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888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48895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87630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62" w:lineRule="exact"/>
        <w:rPr>
          <w:rFonts w:ascii="MS PGothic" w:cs="MS PGothic" w:eastAsia="MS PGothic" w:hAnsi="MS PGothic"/>
          <w:sz w:val="18"/>
          <w:szCs w:val="18"/>
          <w:color w:val="auto"/>
        </w:rPr>
      </w:pPr>
    </w:p>
    <w:p>
      <w:pPr>
        <w:ind w:left="37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2022</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47" w:right="339" w:bottom="1440" w:gutter="0" w:footer="0" w:header="0"/>
        </w:sectPr>
      </w:pPr>
    </w:p>
    <w:p>
      <w:pPr>
        <w:spacing w:after="0" w:line="63"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49" w:lineRule="exact"/>
        <w:rPr>
          <w:sz w:val="24"/>
          <w:szCs w:val="24"/>
          <w:color w:val="auto"/>
        </w:rPr>
      </w:pPr>
    </w:p>
    <w:p>
      <w:pPr>
        <w:sectPr>
          <w:pgSz w:w="11900" w:h="16838" w:orient="portrait"/>
          <w:cols w:equalWidth="0" w:num="2">
            <w:col w:w="6300" w:space="700"/>
            <w:col w:w="4240"/>
          </w:cols>
          <w:pgMar w:left="320" w:top="247"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001-39315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70485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p>
      <w:pPr>
        <w:spacing w:after="0" w:line="130" w:lineRule="exact"/>
        <w:rPr>
          <w:sz w:val="24"/>
          <w:szCs w:val="24"/>
          <w:color w:val="auto"/>
        </w:rPr>
      </w:pPr>
    </w:p>
    <w:tbl>
      <w:tblPr>
        <w:tblLayout w:type="fixed"/>
        <w:tblInd w:w="880" w:type="dxa"/>
        <w:tblCellMar>
          <w:top w:w="0" w:type="dxa"/>
          <w:left w:w="0" w:type="dxa"/>
          <w:bottom w:w="0" w:type="dxa"/>
          <w:right w:w="0" w:type="dxa"/>
        </w:tblCellMar>
      </w:tblPr>
      <w:tr>
        <w:trPr>
          <w:trHeight w:val="452"/>
        </w:trPr>
        <w:tc>
          <w:tcPr>
            <w:tcW w:w="2500" w:type="dxa"/>
            <w:vAlign w:val="bottom"/>
          </w:tcPr>
          <w:p>
            <w:pPr>
              <w:spacing w:after="0"/>
              <w:rPr>
                <w:sz w:val="24"/>
                <w:szCs w:val="24"/>
                <w:color w:val="auto"/>
              </w:rPr>
            </w:pPr>
          </w:p>
        </w:tc>
        <w:tc>
          <w:tcPr>
            <w:tcW w:w="6620" w:type="dxa"/>
            <w:vAlign w:val="bottom"/>
            <w:gridSpan w:val="3"/>
          </w:tcPr>
          <w:p>
            <w:pPr>
              <w:jc w:val="center"/>
              <w:ind w:right="2068"/>
              <w:spacing w:after="0"/>
              <w:rPr>
                <w:sz w:val="20"/>
                <w:szCs w:val="20"/>
                <w:color w:val="auto"/>
              </w:rPr>
            </w:pPr>
            <w:r>
              <w:rPr>
                <w:rFonts w:ascii="Arial" w:cs="Arial" w:eastAsia="Arial" w:hAnsi="Arial"/>
                <w:sz w:val="36"/>
                <w:szCs w:val="36"/>
                <w:b w:val="1"/>
                <w:bCs w:val="1"/>
                <w:color w:val="auto"/>
                <w:w w:val="99"/>
              </w:rPr>
              <w:t>VROOM, INC.</w:t>
            </w:r>
          </w:p>
        </w:tc>
      </w:tr>
      <w:tr>
        <w:trPr>
          <w:trHeight w:val="190"/>
        </w:trPr>
        <w:tc>
          <w:tcPr>
            <w:tcW w:w="2500" w:type="dxa"/>
            <w:vAlign w:val="bottom"/>
          </w:tcPr>
          <w:p>
            <w:pPr>
              <w:spacing w:after="0"/>
              <w:rPr>
                <w:sz w:val="16"/>
                <w:szCs w:val="16"/>
                <w:color w:val="auto"/>
              </w:rPr>
            </w:pPr>
          </w:p>
        </w:tc>
        <w:tc>
          <w:tcPr>
            <w:tcW w:w="6620" w:type="dxa"/>
            <w:vAlign w:val="bottom"/>
            <w:gridSpan w:val="3"/>
          </w:tcPr>
          <w:p>
            <w:pPr>
              <w:jc w:val="center"/>
              <w:ind w:right="2068"/>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66"/>
        </w:trPr>
        <w:tc>
          <w:tcPr>
            <w:tcW w:w="2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3260" w:type="dxa"/>
            <w:vAlign w:val="bottom"/>
          </w:tcPr>
          <w:p>
            <w:pPr>
              <w:spacing w:after="0"/>
              <w:rPr>
                <w:sz w:val="5"/>
                <w:szCs w:val="5"/>
                <w:color w:val="auto"/>
              </w:rPr>
            </w:pPr>
          </w:p>
        </w:tc>
      </w:tr>
      <w:tr>
        <w:trPr>
          <w:trHeight w:val="251"/>
        </w:trPr>
        <w:tc>
          <w:tcPr>
            <w:tcW w:w="2500" w:type="dxa"/>
            <w:vAlign w:val="bottom"/>
          </w:tcPr>
          <w:p>
            <w:pPr>
              <w:jc w:val="center"/>
              <w:ind w:right="348"/>
              <w:spacing w:after="0"/>
              <w:rPr>
                <w:sz w:val="20"/>
                <w:szCs w:val="20"/>
                <w:color w:val="auto"/>
              </w:rPr>
            </w:pPr>
            <w:r>
              <w:rPr>
                <w:rFonts w:ascii="Arial" w:cs="Arial" w:eastAsia="Arial" w:hAnsi="Arial"/>
                <w:sz w:val="14"/>
                <w:szCs w:val="14"/>
                <w:b w:val="1"/>
                <w:bCs w:val="1"/>
                <w:color w:val="auto"/>
              </w:rPr>
              <w:t>Delaware</w:t>
            </w:r>
          </w:p>
        </w:tc>
        <w:tc>
          <w:tcPr>
            <w:tcW w:w="6620" w:type="dxa"/>
            <w:vAlign w:val="bottom"/>
            <w:gridSpan w:val="3"/>
          </w:tcPr>
          <w:p>
            <w:pPr>
              <w:jc w:val="center"/>
              <w:ind w:left="5333"/>
              <w:spacing w:after="0"/>
              <w:rPr>
                <w:sz w:val="20"/>
                <w:szCs w:val="20"/>
                <w:color w:val="auto"/>
              </w:rPr>
            </w:pPr>
            <w:r>
              <w:rPr>
                <w:rFonts w:ascii="Arial" w:cs="Arial" w:eastAsia="Arial" w:hAnsi="Arial"/>
                <w:sz w:val="14"/>
                <w:szCs w:val="14"/>
                <w:b w:val="1"/>
                <w:bCs w:val="1"/>
                <w:color w:val="auto"/>
              </w:rPr>
              <w:t>901112566</w:t>
            </w:r>
          </w:p>
        </w:tc>
      </w:tr>
      <w:tr>
        <w:trPr>
          <w:trHeight w:val="201"/>
        </w:trPr>
        <w:tc>
          <w:tcPr>
            <w:tcW w:w="2500" w:type="dxa"/>
            <w:vAlign w:val="bottom"/>
          </w:tcPr>
          <w:p>
            <w:pPr>
              <w:jc w:val="center"/>
              <w:ind w:right="348"/>
              <w:spacing w:after="0"/>
              <w:rPr>
                <w:sz w:val="20"/>
                <w:szCs w:val="20"/>
                <w:color w:val="auto"/>
              </w:rPr>
            </w:pPr>
            <w:r>
              <w:rPr>
                <w:rFonts w:ascii="Arial" w:cs="Arial" w:eastAsia="Arial" w:hAnsi="Arial"/>
                <w:sz w:val="14"/>
                <w:szCs w:val="14"/>
                <w:b w:val="1"/>
                <w:bCs w:val="1"/>
                <w:color w:val="auto"/>
              </w:rPr>
              <w:t>(State or Other Jurisdiction of</w:t>
            </w: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60" w:type="dxa"/>
            <w:vAlign w:val="bottom"/>
          </w:tcPr>
          <w:p>
            <w:pPr>
              <w:jc w:val="center"/>
              <w:ind w:left="1968"/>
              <w:spacing w:after="0"/>
              <w:rPr>
                <w:sz w:val="20"/>
                <w:szCs w:val="20"/>
                <w:color w:val="auto"/>
              </w:rPr>
            </w:pPr>
            <w:r>
              <w:rPr>
                <w:rFonts w:ascii="Arial" w:cs="Arial" w:eastAsia="Arial" w:hAnsi="Arial"/>
                <w:sz w:val="14"/>
                <w:szCs w:val="14"/>
                <w:b w:val="1"/>
                <w:bCs w:val="1"/>
                <w:color w:val="auto"/>
              </w:rPr>
              <w:t>(I.R.S. Employer</w:t>
            </w:r>
          </w:p>
        </w:tc>
      </w:tr>
      <w:tr>
        <w:trPr>
          <w:trHeight w:val="175"/>
        </w:trPr>
        <w:tc>
          <w:tcPr>
            <w:tcW w:w="2500" w:type="dxa"/>
            <w:vAlign w:val="bottom"/>
          </w:tcPr>
          <w:p>
            <w:pPr>
              <w:jc w:val="center"/>
              <w:ind w:right="348"/>
              <w:spacing w:after="0"/>
              <w:rPr>
                <w:sz w:val="20"/>
                <w:szCs w:val="20"/>
                <w:color w:val="auto"/>
              </w:rPr>
            </w:pPr>
            <w:r>
              <w:rPr>
                <w:rFonts w:ascii="Arial" w:cs="Arial" w:eastAsia="Arial" w:hAnsi="Arial"/>
                <w:sz w:val="14"/>
                <w:szCs w:val="14"/>
                <w:b w:val="1"/>
                <w:bCs w:val="1"/>
                <w:color w:val="auto"/>
              </w:rPr>
              <w:t>Incorporation or Organization)</w:t>
            </w:r>
          </w:p>
        </w:tc>
        <w:tc>
          <w:tcPr>
            <w:tcW w:w="1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260" w:type="dxa"/>
            <w:vAlign w:val="bottom"/>
          </w:tcPr>
          <w:p>
            <w:pPr>
              <w:jc w:val="center"/>
              <w:ind w:left="1968"/>
              <w:spacing w:after="0"/>
              <w:rPr>
                <w:sz w:val="20"/>
                <w:szCs w:val="20"/>
                <w:color w:val="auto"/>
              </w:rPr>
            </w:pPr>
            <w:r>
              <w:rPr>
                <w:rFonts w:ascii="Arial" w:cs="Arial" w:eastAsia="Arial" w:hAnsi="Arial"/>
                <w:sz w:val="14"/>
                <w:szCs w:val="14"/>
                <w:b w:val="1"/>
                <w:bCs w:val="1"/>
                <w:color w:val="auto"/>
              </w:rPr>
              <w:t>Identification No.)</w:t>
            </w:r>
          </w:p>
        </w:tc>
      </w:tr>
      <w:tr>
        <w:trPr>
          <w:trHeight w:val="162"/>
        </w:trPr>
        <w:tc>
          <w:tcPr>
            <w:tcW w:w="2500" w:type="dxa"/>
            <w:vAlign w:val="bottom"/>
          </w:tcPr>
          <w:p>
            <w:pPr>
              <w:spacing w:after="0"/>
              <w:rPr>
                <w:sz w:val="14"/>
                <w:szCs w:val="14"/>
                <w:color w:val="auto"/>
              </w:rPr>
            </w:pPr>
          </w:p>
        </w:tc>
        <w:tc>
          <w:tcPr>
            <w:tcW w:w="6620" w:type="dxa"/>
            <w:vAlign w:val="bottom"/>
            <w:gridSpan w:val="3"/>
          </w:tcPr>
          <w:p>
            <w:pPr>
              <w:jc w:val="center"/>
              <w:ind w:right="2068"/>
              <w:spacing w:after="0"/>
              <w:rPr>
                <w:sz w:val="20"/>
                <w:szCs w:val="20"/>
                <w:color w:val="auto"/>
              </w:rPr>
            </w:pPr>
            <w:r>
              <w:rPr>
                <w:rFonts w:ascii="Arial" w:cs="Arial" w:eastAsia="Arial" w:hAnsi="Arial"/>
                <w:sz w:val="14"/>
                <w:szCs w:val="14"/>
                <w:b w:val="1"/>
                <w:bCs w:val="1"/>
                <w:color w:val="auto"/>
              </w:rPr>
              <w:t>3600 W Sam Houston Pkwy S, Floor 4</w:t>
            </w:r>
          </w:p>
        </w:tc>
      </w:tr>
      <w:tr>
        <w:trPr>
          <w:trHeight w:val="162"/>
        </w:trPr>
        <w:tc>
          <w:tcPr>
            <w:tcW w:w="2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500" w:type="dxa"/>
            <w:vAlign w:val="bottom"/>
            <w:gridSpan w:val="2"/>
          </w:tcPr>
          <w:p>
            <w:pPr>
              <w:jc w:val="center"/>
              <w:ind w:right="3168"/>
              <w:spacing w:after="0"/>
              <w:rPr>
                <w:sz w:val="20"/>
                <w:szCs w:val="20"/>
                <w:color w:val="auto"/>
              </w:rPr>
            </w:pPr>
            <w:r>
              <w:rPr>
                <w:rFonts w:ascii="Arial" w:cs="Arial" w:eastAsia="Arial" w:hAnsi="Arial"/>
                <w:sz w:val="14"/>
                <w:szCs w:val="14"/>
                <w:b w:val="1"/>
                <w:bCs w:val="1"/>
                <w:color w:val="auto"/>
              </w:rPr>
              <w:t>Houston, Texas 77042</w:t>
            </w:r>
          </w:p>
        </w:tc>
      </w:tr>
      <w:tr>
        <w:trPr>
          <w:trHeight w:val="190"/>
        </w:trPr>
        <w:tc>
          <w:tcPr>
            <w:tcW w:w="2500" w:type="dxa"/>
            <w:vAlign w:val="bottom"/>
          </w:tcPr>
          <w:p>
            <w:pPr>
              <w:spacing w:after="0"/>
              <w:rPr>
                <w:sz w:val="16"/>
                <w:szCs w:val="16"/>
                <w:color w:val="auto"/>
              </w:rPr>
            </w:pPr>
          </w:p>
        </w:tc>
        <w:tc>
          <w:tcPr>
            <w:tcW w:w="6620" w:type="dxa"/>
            <w:vAlign w:val="bottom"/>
            <w:gridSpan w:val="3"/>
          </w:tcPr>
          <w:p>
            <w:pPr>
              <w:jc w:val="center"/>
              <w:ind w:right="2068"/>
              <w:spacing w:after="0"/>
              <w:rPr>
                <w:sz w:val="20"/>
                <w:szCs w:val="20"/>
                <w:color w:val="auto"/>
              </w:rPr>
            </w:pPr>
            <w:r>
              <w:rPr>
                <w:rFonts w:ascii="Arial" w:cs="Arial" w:eastAsia="Arial" w:hAnsi="Arial"/>
                <w:sz w:val="14"/>
                <w:szCs w:val="14"/>
                <w:b w:val="1"/>
                <w:bCs w:val="1"/>
                <w:color w:val="auto"/>
              </w:rPr>
              <w:t>(Address of principal executive offices) (Zip code)</w:t>
            </w:r>
          </w:p>
        </w:tc>
      </w:tr>
      <w:tr>
        <w:trPr>
          <w:trHeight w:val="201"/>
        </w:trPr>
        <w:tc>
          <w:tcPr>
            <w:tcW w:w="2500" w:type="dxa"/>
            <w:vAlign w:val="bottom"/>
          </w:tcPr>
          <w:p>
            <w:pPr>
              <w:spacing w:after="0"/>
              <w:rPr>
                <w:sz w:val="17"/>
                <w:szCs w:val="17"/>
                <w:color w:val="auto"/>
              </w:rPr>
            </w:pPr>
          </w:p>
        </w:tc>
        <w:tc>
          <w:tcPr>
            <w:tcW w:w="3360" w:type="dxa"/>
            <w:vAlign w:val="bottom"/>
            <w:gridSpan w:val="2"/>
          </w:tcPr>
          <w:p>
            <w:pPr>
              <w:jc w:val="center"/>
              <w:ind w:left="1053"/>
              <w:spacing w:after="0"/>
              <w:rPr>
                <w:sz w:val="20"/>
                <w:szCs w:val="20"/>
                <w:color w:val="auto"/>
              </w:rPr>
            </w:pPr>
            <w:r>
              <w:rPr>
                <w:rFonts w:ascii="Arial" w:cs="Arial" w:eastAsia="Arial" w:hAnsi="Arial"/>
                <w:sz w:val="14"/>
                <w:szCs w:val="14"/>
                <w:b w:val="1"/>
                <w:bCs w:val="1"/>
                <w:color w:val="auto"/>
              </w:rPr>
              <w:t>(518) 535-9125</w:t>
            </w:r>
          </w:p>
        </w:tc>
        <w:tc>
          <w:tcPr>
            <w:tcW w:w="3260" w:type="dxa"/>
            <w:vAlign w:val="bottom"/>
          </w:tcPr>
          <w:p>
            <w:pPr>
              <w:spacing w:after="0"/>
              <w:rPr>
                <w:sz w:val="17"/>
                <w:szCs w:val="17"/>
                <w:color w:val="auto"/>
              </w:rPr>
            </w:pPr>
          </w:p>
        </w:tc>
      </w:tr>
      <w:tr>
        <w:trPr>
          <w:trHeight w:val="190"/>
        </w:trPr>
        <w:tc>
          <w:tcPr>
            <w:tcW w:w="2500" w:type="dxa"/>
            <w:vAlign w:val="bottom"/>
          </w:tcPr>
          <w:p>
            <w:pPr>
              <w:spacing w:after="0"/>
              <w:rPr>
                <w:sz w:val="16"/>
                <w:szCs w:val="16"/>
                <w:color w:val="auto"/>
              </w:rPr>
            </w:pPr>
          </w:p>
        </w:tc>
        <w:tc>
          <w:tcPr>
            <w:tcW w:w="6620" w:type="dxa"/>
            <w:vAlign w:val="bottom"/>
            <w:gridSpan w:val="3"/>
          </w:tcPr>
          <w:p>
            <w:pPr>
              <w:jc w:val="center"/>
              <w:ind w:right="2048"/>
              <w:spacing w:after="0"/>
              <w:rPr>
                <w:sz w:val="20"/>
                <w:szCs w:val="20"/>
                <w:color w:val="auto"/>
              </w:rPr>
            </w:pPr>
            <w:r>
              <w:rPr>
                <w:rFonts w:ascii="Arial" w:cs="Arial" w:eastAsia="Arial" w:hAnsi="Arial"/>
                <w:sz w:val="14"/>
                <w:szCs w:val="14"/>
                <w:b w:val="1"/>
                <w:b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93345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2"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3"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392"/>
        </w:trPr>
        <w:tc>
          <w:tcPr>
            <w:tcW w:w="4100" w:type="dxa"/>
            <w:vAlign w:val="bottom"/>
          </w:tcPr>
          <w:p>
            <w:pPr>
              <w:jc w:val="center"/>
              <w:spacing w:after="0"/>
              <w:rPr>
                <w:sz w:val="20"/>
                <w:szCs w:val="20"/>
                <w:color w:val="auto"/>
              </w:rPr>
            </w:pPr>
            <w:r>
              <w:rPr>
                <w:rFonts w:ascii="Arial" w:cs="Arial" w:eastAsia="Arial" w:hAnsi="Arial"/>
                <w:sz w:val="16"/>
                <w:szCs w:val="16"/>
                <w:color w:val="auto"/>
              </w:rPr>
              <w:t>Common Stock, $0.001 par value</w:t>
            </w:r>
          </w:p>
        </w:tc>
        <w:tc>
          <w:tcPr>
            <w:tcW w:w="12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6"/>
                <w:szCs w:val="16"/>
                <w:color w:val="auto"/>
              </w:rPr>
              <w:t>VRM</w:t>
            </w:r>
          </w:p>
        </w:tc>
        <w:tc>
          <w:tcPr>
            <w:tcW w:w="12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rPr>
              <w:t>Nasdaq Global Select</w:t>
            </w:r>
          </w:p>
        </w:tc>
      </w:tr>
    </w:tbl>
    <w:p>
      <w:pPr>
        <w:spacing w:after="0" w:line="75"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30" w:lineRule="exact"/>
        <w:rPr>
          <w:sz w:val="24"/>
          <w:szCs w:val="24"/>
          <w:color w:val="auto"/>
        </w:rPr>
      </w:pPr>
    </w:p>
    <w:p>
      <w:pPr>
        <w:ind w:left="380" w:right="1320"/>
        <w:spacing w:after="0" w:line="262" w:lineRule="exact"/>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58" w:lineRule="exact"/>
        <w:rPr>
          <w:sz w:val="24"/>
          <w:szCs w:val="24"/>
          <w:color w:val="auto"/>
        </w:rPr>
      </w:pPr>
    </w:p>
    <w:p>
      <w:pPr>
        <w:ind w:right="40" w:firstLine="374"/>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58" w:lineRule="exact"/>
        <w:rPr>
          <w:sz w:val="24"/>
          <w:szCs w:val="24"/>
          <w:color w:val="auto"/>
        </w:rPr>
      </w:pPr>
    </w:p>
    <w:p>
      <w:pPr>
        <w:ind w:right="120" w:firstLine="374"/>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58" w:lineRule="exact"/>
        <w:rPr>
          <w:sz w:val="24"/>
          <w:szCs w:val="24"/>
          <w:color w:val="auto"/>
        </w:rPr>
      </w:pPr>
    </w:p>
    <w:p>
      <w:pPr>
        <w:jc w:val="both"/>
        <w:ind w:firstLine="374"/>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4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530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2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4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5300" w:type="dxa"/>
            <w:vAlign w:val="bottom"/>
          </w:tcPr>
          <w:p>
            <w:pPr>
              <w:ind w:left="320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54"/>
        </w:trPr>
        <w:tc>
          <w:tcPr>
            <w:tcW w:w="18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5300" w:type="dxa"/>
            <w:vAlign w:val="bottom"/>
          </w:tcPr>
          <w:p>
            <w:pPr>
              <w:ind w:left="320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8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71" w:lineRule="exact"/>
        <w:rPr>
          <w:sz w:val="24"/>
          <w:szCs w:val="24"/>
          <w:color w:val="auto"/>
        </w:rPr>
      </w:pPr>
    </w:p>
    <w:p>
      <w:pPr>
        <w:ind w:right="300" w:firstLine="374"/>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58" w:lineRule="exact"/>
        <w:rPr>
          <w:sz w:val="24"/>
          <w:szCs w:val="24"/>
          <w:color w:val="auto"/>
        </w:rPr>
      </w:pPr>
    </w:p>
    <w:p>
      <w:pPr>
        <w:ind w:right="60" w:firstLine="374"/>
        <w:spacing w:after="0" w:line="193"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2" w:lineRule="exact"/>
        <w:rPr>
          <w:sz w:val="24"/>
          <w:szCs w:val="24"/>
          <w:color w:val="auto"/>
        </w:rPr>
      </w:pPr>
    </w:p>
    <w:p>
      <w:pPr>
        <w:ind w:right="40" w:firstLine="374"/>
        <w:spacing w:after="0" w:line="189"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380" w:firstLine="374"/>
        <w:spacing w:after="0" w:line="201" w:lineRule="exact"/>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Arial" w:cs="Arial" w:eastAsia="Arial" w:hAnsi="Arial"/>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3" w:lineRule="exact"/>
        <w:rPr>
          <w:sz w:val="24"/>
          <w:szCs w:val="24"/>
          <w:color w:val="auto"/>
        </w:rPr>
      </w:pPr>
    </w:p>
    <w:p>
      <w:pPr>
        <w:ind w:left="380"/>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97" w:lineRule="exact"/>
        <w:rPr>
          <w:sz w:val="24"/>
          <w:szCs w:val="24"/>
          <w:color w:val="auto"/>
        </w:rPr>
      </w:pPr>
    </w:p>
    <w:p>
      <w:pPr>
        <w:ind w:right="220" w:firstLine="374"/>
        <w:spacing w:after="0" w:line="259" w:lineRule="auto"/>
        <w:rPr>
          <w:sz w:val="20"/>
          <w:szCs w:val="20"/>
          <w:color w:val="auto"/>
        </w:rPr>
      </w:pPr>
      <w:r>
        <w:rPr>
          <w:rFonts w:ascii="Arial" w:cs="Arial" w:eastAsia="Arial" w:hAnsi="Arial"/>
          <w:sz w:val="16"/>
          <w:szCs w:val="16"/>
          <w:color w:val="auto"/>
        </w:rPr>
        <w:t>As of June 30, 2022, the aggregate market value of the common stock of the registrant held by non-affiliates was $158.9 million based on the closing price of the common stock on The Nasdaq Global Select Market of the Nasdaq Stock Market LLC on such date.</w:t>
      </w:r>
    </w:p>
    <w:p>
      <w:pPr>
        <w:spacing w:after="0" w:line="48" w:lineRule="exact"/>
        <w:rPr>
          <w:sz w:val="24"/>
          <w:szCs w:val="24"/>
          <w:color w:val="auto"/>
        </w:rPr>
      </w:pPr>
    </w:p>
    <w:p>
      <w:pPr>
        <w:ind w:left="380"/>
        <w:spacing w:after="0"/>
        <w:rPr>
          <w:sz w:val="20"/>
          <w:szCs w:val="20"/>
          <w:color w:val="auto"/>
        </w:rPr>
      </w:pPr>
      <w:r>
        <w:rPr>
          <w:rFonts w:ascii="Arial" w:cs="Arial" w:eastAsia="Arial" w:hAnsi="Arial"/>
          <w:sz w:val="16"/>
          <w:szCs w:val="16"/>
          <w:color w:val="auto"/>
        </w:rPr>
        <w:t>As of February 28, 2023, 138,537,183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DOCUMENTS INCORPORATED BY REFERENCE</w:t>
      </w:r>
    </w:p>
    <w:p>
      <w:pPr>
        <w:spacing w:after="0" w:line="72" w:lineRule="exact"/>
        <w:rPr>
          <w:sz w:val="20"/>
          <w:szCs w:val="20"/>
          <w:color w:val="auto"/>
        </w:rPr>
      </w:pPr>
    </w:p>
    <w:p>
      <w:pPr>
        <w:ind w:firstLine="374"/>
        <w:spacing w:after="0" w:line="253" w:lineRule="auto"/>
        <w:rPr>
          <w:sz w:val="20"/>
          <w:szCs w:val="20"/>
          <w:color w:val="auto"/>
        </w:rPr>
      </w:pPr>
      <w:r>
        <w:rPr>
          <w:rFonts w:ascii="Arial" w:cs="Arial" w:eastAsia="Arial" w:hAnsi="Arial"/>
          <w:sz w:val="16"/>
          <w:szCs w:val="16"/>
          <w:color w:val="auto"/>
        </w:rPr>
        <w:t>Certain portions of the information required to be furnished pursuant to Part III of this Annual Report on Form 10-K will be set forth in, and incorporated by reference from, the registrant’s definitive proxy statement for the annual meeting of stockholders which will be filed with the Securities and Exchange Commission no later than 120 days after the end of the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500" w:type="dxa"/>
            <w:vAlign w:val="bottom"/>
            <w:gridSpan w:val="9"/>
          </w:tcPr>
          <w:p>
            <w:pPr>
              <w:spacing w:after="0"/>
              <w:rPr>
                <w:sz w:val="20"/>
                <w:szCs w:val="20"/>
                <w:color w:val="auto"/>
              </w:rPr>
            </w:pPr>
            <w:r>
              <w:rPr>
                <w:rFonts w:ascii="Arial" w:cs="Arial" w:eastAsia="Arial" w:hAnsi="Arial"/>
                <w:sz w:val="18"/>
                <w:szCs w:val="18"/>
                <w:color w:val="0000FF"/>
              </w:rPr>
              <w:t>Table of Contents</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65"/>
        </w:trPr>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0" w:type="dxa"/>
            <w:vAlign w:val="bottom"/>
            <w:gridSpan w:val="11"/>
          </w:tcPr>
          <w:p>
            <w:pPr>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4"/>
                <w:szCs w:val="24"/>
                <w:color w:val="auto"/>
              </w:rPr>
            </w:pPr>
          </w:p>
        </w:tc>
      </w:tr>
      <w:tr>
        <w:trPr>
          <w:trHeight w:val="45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411"/>
        </w:trPr>
        <w:tc>
          <w:tcPr>
            <w:tcW w:w="20" w:type="dxa"/>
            <w:vAlign w:val="bottom"/>
          </w:tcPr>
          <w:p>
            <w:pPr>
              <w:spacing w:after="0"/>
              <w:rPr>
                <w:sz w:val="24"/>
                <w:szCs w:val="24"/>
                <w:color w:val="auto"/>
              </w:rPr>
            </w:pPr>
          </w:p>
        </w:tc>
        <w:tc>
          <w:tcPr>
            <w:tcW w:w="4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Part I</w:t>
            </w:r>
          </w:p>
        </w:tc>
        <w:tc>
          <w:tcPr>
            <w:tcW w:w="20" w:type="dxa"/>
            <w:vAlign w:val="bottom"/>
            <w:tcBorders>
              <w:bottom w:val="single" w:sz="8" w:color="0000EE"/>
            </w:tcBorders>
          </w:tcPr>
          <w:p>
            <w:pPr>
              <w:spacing w:after="0"/>
              <w:rPr>
                <w:sz w:val="24"/>
                <w:szCs w:val="24"/>
                <w:color w:val="auto"/>
              </w:rPr>
            </w:pPr>
          </w:p>
        </w:tc>
        <w:tc>
          <w:tcPr>
            <w:tcW w:w="102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w:t>
            </w:r>
          </w:p>
        </w:tc>
        <w:tc>
          <w:tcPr>
            <w:tcW w:w="8960" w:type="dxa"/>
            <w:vAlign w:val="bottom"/>
            <w:gridSpan w:val="26"/>
          </w:tcPr>
          <w:p>
            <w:pPr>
              <w:spacing w:after="0"/>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1A.</w:t>
            </w:r>
          </w:p>
        </w:tc>
        <w:tc>
          <w:tcPr>
            <w:tcW w:w="8960" w:type="dxa"/>
            <w:vAlign w:val="bottom"/>
            <w:gridSpan w:val="26"/>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1B.</w:t>
            </w:r>
          </w:p>
        </w:tc>
        <w:tc>
          <w:tcPr>
            <w:tcW w:w="22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8"/>
              </w:rPr>
              <w:t>Unresolved Staff Comments</w:t>
            </w:r>
          </w:p>
        </w:tc>
        <w:tc>
          <w:tcPr>
            <w:tcW w:w="672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2.</w:t>
            </w:r>
          </w:p>
        </w:tc>
        <w:tc>
          <w:tcPr>
            <w:tcW w:w="8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7"/>
              </w:rPr>
              <w:t>Properties</w:t>
            </w:r>
          </w:p>
        </w:tc>
        <w:tc>
          <w:tcPr>
            <w:tcW w:w="20" w:type="dxa"/>
            <w:vAlign w:val="bottom"/>
            <w:tcBorders>
              <w:bottom w:val="single" w:sz="8" w:color="0000EE"/>
            </w:tcBorders>
          </w:tcPr>
          <w:p>
            <w:pPr>
              <w:spacing w:after="0"/>
              <w:rPr>
                <w:sz w:val="18"/>
                <w:szCs w:val="18"/>
                <w:color w:val="auto"/>
              </w:rPr>
            </w:pPr>
          </w:p>
        </w:tc>
        <w:tc>
          <w:tcPr>
            <w:tcW w:w="8120" w:type="dxa"/>
            <w:vAlign w:val="bottom"/>
            <w:gridSpan w:val="2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3.</w:t>
            </w:r>
          </w:p>
        </w:tc>
        <w:tc>
          <w:tcPr>
            <w:tcW w:w="14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7"/>
              </w:rPr>
              <w:t>Legal Proceedings</w:t>
            </w:r>
          </w:p>
        </w:tc>
        <w:tc>
          <w:tcPr>
            <w:tcW w:w="20" w:type="dxa"/>
            <w:vAlign w:val="bottom"/>
            <w:tcBorders>
              <w:bottom w:val="single" w:sz="8" w:color="0000EE"/>
            </w:tcBorders>
          </w:tcPr>
          <w:p>
            <w:pPr>
              <w:spacing w:after="0"/>
              <w:rPr>
                <w:sz w:val="18"/>
                <w:szCs w:val="18"/>
                <w:color w:val="auto"/>
              </w:rPr>
            </w:pPr>
          </w:p>
        </w:tc>
        <w:tc>
          <w:tcPr>
            <w:tcW w:w="746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4.</w:t>
            </w:r>
          </w:p>
        </w:tc>
        <w:tc>
          <w:tcPr>
            <w:tcW w:w="8960" w:type="dxa"/>
            <w:vAlign w:val="bottom"/>
            <w:gridSpan w:val="26"/>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8"/>
        </w:trPr>
        <w:tc>
          <w:tcPr>
            <w:tcW w:w="20" w:type="dxa"/>
            <w:vAlign w:val="bottom"/>
          </w:tcPr>
          <w:p>
            <w:pPr>
              <w:spacing w:after="0"/>
              <w:rPr>
                <w:sz w:val="24"/>
                <w:szCs w:val="24"/>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0000FF"/>
              </w:rPr>
              <w:t>Part II</w:t>
            </w: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5.</w:t>
            </w:r>
          </w:p>
        </w:tc>
        <w:tc>
          <w:tcPr>
            <w:tcW w:w="8960" w:type="dxa"/>
            <w:vAlign w:val="bottom"/>
            <w:gridSpan w:val="26"/>
          </w:tcPr>
          <w:p>
            <w:pPr>
              <w:spacing w:after="0"/>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6.</w:t>
            </w:r>
          </w:p>
        </w:tc>
        <w:tc>
          <w:tcPr>
            <w:tcW w:w="8900" w:type="dxa"/>
            <w:vAlign w:val="bottom"/>
            <w:tcBorders>
              <w:top w:val="single" w:sz="8" w:color="0000FF"/>
            </w:tcBorders>
            <w:gridSpan w:val="25"/>
          </w:tcPr>
          <w:p>
            <w:pPr>
              <w:spacing w:after="0"/>
              <w:rPr>
                <w:sz w:val="20"/>
                <w:szCs w:val="20"/>
                <w:color w:val="auto"/>
              </w:rPr>
            </w:pPr>
            <w:r>
              <w:rPr>
                <w:rFonts w:ascii="Arial" w:cs="Arial" w:eastAsia="Arial" w:hAnsi="Arial"/>
                <w:sz w:val="18"/>
                <w:szCs w:val="18"/>
                <w:color w:val="0000FF"/>
              </w:rPr>
              <w:t>Reserved</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7.</w:t>
            </w:r>
          </w:p>
        </w:tc>
        <w:tc>
          <w:tcPr>
            <w:tcW w:w="8960" w:type="dxa"/>
            <w:vAlign w:val="bottom"/>
            <w:gridSpan w:val="2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7A.</w:t>
            </w:r>
          </w:p>
        </w:tc>
        <w:tc>
          <w:tcPr>
            <w:tcW w:w="706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Quantitative and Qualitative Disclosure About Market Risk</w:t>
            </w:r>
          </w:p>
        </w:tc>
        <w:tc>
          <w:tcPr>
            <w:tcW w:w="190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8.</w:t>
            </w:r>
          </w:p>
        </w:tc>
        <w:tc>
          <w:tcPr>
            <w:tcW w:w="460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Financial Statements and Supplementary Data</w:t>
            </w:r>
          </w:p>
        </w:tc>
        <w:tc>
          <w:tcPr>
            <w:tcW w:w="436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9.</w:t>
            </w:r>
          </w:p>
        </w:tc>
        <w:tc>
          <w:tcPr>
            <w:tcW w:w="712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8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9A.</w:t>
            </w:r>
          </w:p>
        </w:tc>
        <w:tc>
          <w:tcPr>
            <w:tcW w:w="19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8"/>
              </w:rPr>
              <w:t>Controls and Procedures</w:t>
            </w:r>
          </w:p>
        </w:tc>
        <w:tc>
          <w:tcPr>
            <w:tcW w:w="698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9B.</w:t>
            </w:r>
          </w:p>
        </w:tc>
        <w:tc>
          <w:tcPr>
            <w:tcW w:w="8960" w:type="dxa"/>
            <w:vAlign w:val="bottom"/>
            <w:gridSpan w:val="26"/>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9C.</w:t>
            </w:r>
          </w:p>
        </w:tc>
        <w:tc>
          <w:tcPr>
            <w:tcW w:w="8960" w:type="dxa"/>
            <w:vAlign w:val="bottom"/>
            <w:gridSpan w:val="26"/>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438"/>
        </w:trPr>
        <w:tc>
          <w:tcPr>
            <w:tcW w:w="20" w:type="dxa"/>
            <w:vAlign w:val="bottom"/>
          </w:tcPr>
          <w:p>
            <w:pPr>
              <w:spacing w:after="0"/>
              <w:rPr>
                <w:sz w:val="24"/>
                <w:szCs w:val="24"/>
                <w:color w:val="auto"/>
              </w:rPr>
            </w:pPr>
          </w:p>
        </w:tc>
        <w:tc>
          <w:tcPr>
            <w:tcW w:w="5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7"/>
              </w:rPr>
              <w:t>Part III</w:t>
            </w:r>
          </w:p>
        </w:tc>
        <w:tc>
          <w:tcPr>
            <w:tcW w:w="20" w:type="dxa"/>
            <w:vAlign w:val="bottom"/>
            <w:tcBorders>
              <w:bottom w:val="single" w:sz="8" w:color="0000EE"/>
            </w:tcBorders>
          </w:tcPr>
          <w:p>
            <w:pPr>
              <w:spacing w:after="0"/>
              <w:rPr>
                <w:sz w:val="24"/>
                <w:szCs w:val="24"/>
                <w:color w:val="auto"/>
              </w:rPr>
            </w:pPr>
          </w:p>
        </w:tc>
        <w:tc>
          <w:tcPr>
            <w:tcW w:w="920" w:type="dxa"/>
            <w:vAlign w:val="bottom"/>
            <w:gridSpan w:val="3"/>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10.</w:t>
            </w:r>
          </w:p>
        </w:tc>
        <w:tc>
          <w:tcPr>
            <w:tcW w:w="45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442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11.</w:t>
            </w:r>
          </w:p>
        </w:tc>
        <w:tc>
          <w:tcPr>
            <w:tcW w:w="19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8"/>
              </w:rPr>
              <w:t>Executive Compensation</w:t>
            </w:r>
          </w:p>
        </w:tc>
        <w:tc>
          <w:tcPr>
            <w:tcW w:w="20" w:type="dxa"/>
            <w:vAlign w:val="bottom"/>
            <w:tcBorders>
              <w:bottom w:val="single" w:sz="8" w:color="0000EE"/>
            </w:tcBorders>
          </w:tcPr>
          <w:p>
            <w:pPr>
              <w:spacing w:after="0"/>
              <w:rPr>
                <w:sz w:val="18"/>
                <w:szCs w:val="18"/>
                <w:color w:val="auto"/>
              </w:rPr>
            </w:pPr>
          </w:p>
        </w:tc>
        <w:tc>
          <w:tcPr>
            <w:tcW w:w="696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12.</w:t>
            </w:r>
          </w:p>
        </w:tc>
        <w:tc>
          <w:tcPr>
            <w:tcW w:w="800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9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13.</w:t>
            </w:r>
          </w:p>
        </w:tc>
        <w:tc>
          <w:tcPr>
            <w:tcW w:w="60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29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14.</w:t>
            </w:r>
          </w:p>
        </w:tc>
        <w:tc>
          <w:tcPr>
            <w:tcW w:w="8960" w:type="dxa"/>
            <w:vAlign w:val="bottom"/>
            <w:gridSpan w:val="26"/>
          </w:tcPr>
          <w:p>
            <w:pPr>
              <w:spacing w:after="0"/>
              <w:rPr>
                <w:sz w:val="20"/>
                <w:szCs w:val="20"/>
                <w:color w:val="auto"/>
              </w:rPr>
            </w:pPr>
            <w:r>
              <w:rPr>
                <w:rFonts w:ascii="Arial" w:cs="Arial" w:eastAsia="Arial" w:hAnsi="Arial"/>
                <w:sz w:val="18"/>
                <w:szCs w:val="18"/>
                <w:color w:val="0000FF"/>
              </w:rPr>
              <w:t>Principal Accounting Fees and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452"/>
        </w:trPr>
        <w:tc>
          <w:tcPr>
            <w:tcW w:w="20" w:type="dxa"/>
            <w:vAlign w:val="bottom"/>
          </w:tcPr>
          <w:p>
            <w:pPr>
              <w:spacing w:after="0"/>
              <w:rPr>
                <w:sz w:val="24"/>
                <w:szCs w:val="24"/>
                <w:color w:val="auto"/>
              </w:rPr>
            </w:pPr>
          </w:p>
        </w:tc>
        <w:tc>
          <w:tcPr>
            <w:tcW w:w="5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Part IV</w:t>
            </w:r>
          </w:p>
        </w:tc>
        <w:tc>
          <w:tcPr>
            <w:tcW w:w="20" w:type="dxa"/>
            <w:vAlign w:val="bottom"/>
            <w:tcBorders>
              <w:bottom w:val="single" w:sz="8" w:color="0000EE"/>
            </w:tcBorders>
          </w:tcPr>
          <w:p>
            <w:pPr>
              <w:spacing w:after="0"/>
              <w:rPr>
                <w:sz w:val="24"/>
                <w:szCs w:val="24"/>
                <w:color w:val="auto"/>
              </w:rPr>
            </w:pPr>
          </w:p>
        </w:tc>
        <w:tc>
          <w:tcPr>
            <w:tcW w:w="900" w:type="dxa"/>
            <w:vAlign w:val="bottom"/>
            <w:gridSpan w:val="2"/>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15</w:t>
            </w:r>
          </w:p>
        </w:tc>
        <w:tc>
          <w:tcPr>
            <w:tcW w:w="35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Exhibits and Financial Statement Schedules</w:t>
            </w:r>
          </w:p>
        </w:tc>
        <w:tc>
          <w:tcPr>
            <w:tcW w:w="5460" w:type="dxa"/>
            <w:vAlign w:val="bottom"/>
            <w:gridSpan w:val="10"/>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16.</w:t>
            </w:r>
          </w:p>
        </w:tc>
        <w:tc>
          <w:tcPr>
            <w:tcW w:w="16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Form 10-K Summary</w:t>
            </w:r>
          </w:p>
        </w:tc>
        <w:tc>
          <w:tcPr>
            <w:tcW w:w="730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7"/>
              </w:rPr>
              <w:t>Signatures</w:t>
            </w:r>
          </w:p>
        </w:tc>
        <w:tc>
          <w:tcPr>
            <w:tcW w:w="8100" w:type="dxa"/>
            <w:vAlign w:val="bottom"/>
            <w:gridSpan w:val="2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66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18"/>
          </w:tcPr>
          <w:p>
            <w:pPr>
              <w:ind w:left="40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3"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 xml:space="preserve">This Annual Report on Form 10-K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Annual Report on Form 10-K, including statements regarding general economic and market conditions, our future results of operations and financial condition, business strategy, and plans and objectives of management for future operations, are forward-looking statements. In some cases, forward-looking statements may be identified by words such as "anticipate," "believe," "contemplate," "continue," "could," "design," "estimate," "expect," "intend," "may," "plan," "potentially," "predict," "project," "should," </w:t>
      </w:r>
      <w:r>
        <w:rPr>
          <w:rFonts w:ascii="Arial" w:cs="Arial" w:eastAsia="Arial" w:hAnsi="Arial"/>
          <w:sz w:val="19"/>
          <w:szCs w:val="19"/>
          <w:color w:val="auto"/>
        </w:rPr>
        <w:t>"</w:t>
      </w:r>
      <w:r>
        <w:rPr>
          <w:rFonts w:ascii="Arial" w:cs="Arial" w:eastAsia="Arial" w:hAnsi="Arial"/>
          <w:sz w:val="18"/>
          <w:szCs w:val="18"/>
          <w:color w:val="auto"/>
        </w:rPr>
        <w:t xml:space="preserve">target," "will," </w:t>
      </w:r>
      <w:r>
        <w:rPr>
          <w:rFonts w:ascii="Arial" w:cs="Arial" w:eastAsia="Arial" w:hAnsi="Arial"/>
          <w:sz w:val="19"/>
          <w:szCs w:val="19"/>
          <w:color w:val="auto"/>
        </w:rPr>
        <w:t>"</w:t>
      </w:r>
      <w:r>
        <w:rPr>
          <w:rFonts w:ascii="Arial" w:cs="Arial" w:eastAsia="Arial" w:hAnsi="Arial"/>
          <w:sz w:val="18"/>
          <w:szCs w:val="18"/>
          <w:color w:val="auto"/>
        </w:rPr>
        <w:t>would," or the negative of these terms or other similar terms or expressions, although not all forward-looking statements contain these identifying words.</w:t>
      </w:r>
    </w:p>
    <w:p>
      <w:pPr>
        <w:spacing w:after="0" w:line="208"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forward-looking statements in this Annual Report on Form 10-K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risks described in the section titled "Risk Factors" and elsewhere in this Annual Report on Form 10-K.</w:t>
      </w:r>
    </w:p>
    <w:p>
      <w:pPr>
        <w:spacing w:after="0" w:line="205" w:lineRule="exact"/>
        <w:rPr>
          <w:sz w:val="20"/>
          <w:szCs w:val="20"/>
          <w:color w:val="auto"/>
        </w:rPr>
      </w:pPr>
    </w:p>
    <w:p>
      <w:pPr>
        <w:ind w:right="80" w:firstLine="761"/>
        <w:spacing w:after="0" w:line="237" w:lineRule="auto"/>
        <w:rPr>
          <w:sz w:val="20"/>
          <w:szCs w:val="20"/>
          <w:color w:val="auto"/>
        </w:rPr>
      </w:pPr>
      <w:r>
        <w:rPr>
          <w:rFonts w:ascii="Arial" w:cs="Arial" w:eastAsia="Arial" w:hAnsi="Arial"/>
          <w:sz w:val="18"/>
          <w:szCs w:val="18"/>
          <w:color w:val="auto"/>
        </w:rPr>
        <w:t>Other sections of this Annual Report on Form 10-K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05" w:lineRule="exact"/>
        <w:rPr>
          <w:sz w:val="20"/>
          <w:szCs w:val="20"/>
          <w:color w:val="auto"/>
        </w:rPr>
      </w:pPr>
    </w:p>
    <w:p>
      <w:pPr>
        <w:ind w:right="140" w:firstLine="761"/>
        <w:spacing w:after="0" w:line="236"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Annual Report on Form 10-K. Except as required by law, we undertake no obligation to update publicly any forward-looking statements for any reason after the date of this report or to conform these statements to actual results or to changes in our expectations. You should read this Annual Report on Form 10-K and the documents that we reference or incorporate by reference in this Annual Report on Form 10-K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33" w:lineRule="exact"/>
        <w:rPr>
          <w:sz w:val="20"/>
          <w:szCs w:val="20"/>
          <w:color w:val="auto"/>
        </w:rPr>
      </w:pPr>
    </w:p>
    <w:p>
      <w:pPr>
        <w:ind w:right="80" w:firstLine="761"/>
        <w:spacing w:after="0"/>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but are not limited to, the following:</w:t>
      </w:r>
    </w:p>
    <w:p>
      <w:pPr>
        <w:spacing w:after="0" w:line="202" w:lineRule="exact"/>
        <w:rPr>
          <w:sz w:val="20"/>
          <w:szCs w:val="20"/>
          <w:color w:val="auto"/>
        </w:rPr>
      </w:pPr>
    </w:p>
    <w:p>
      <w:pPr>
        <w:ind w:left="760" w:right="300" w:hanging="378"/>
        <w:spacing w:after="0" w:line="23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despite the cost saving measures, reduced growth rates and increased focus on liquidity and profitability contemplated by our Business Realignment Plan and long-term roadmap, we may need to raise additional capital through debt or equity financings to achieve our business objectives and there can be no assurance that such financings will be available in amounts or on terms acceptable to us, if at all;</w:t>
      </w:r>
    </w:p>
    <w:p>
      <w:pPr>
        <w:spacing w:after="0" w:line="2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business and economic conditions and risks related to the larger automotive ecosystem, including consumer demand;</w:t>
      </w:r>
    </w:p>
    <w:p>
      <w:pPr>
        <w:spacing w:after="0" w:line="224"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224"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generate sufficient revenue to generate positive cash flow on a sustained basis;</w:t>
      </w:r>
    </w:p>
    <w:p>
      <w:pPr>
        <w:spacing w:after="0" w:line="224" w:lineRule="exact"/>
        <w:rPr>
          <w:rFonts w:ascii="Arial" w:cs="Arial" w:eastAsia="Arial" w:hAnsi="Arial"/>
          <w:sz w:val="18"/>
          <w:szCs w:val="18"/>
          <w:color w:val="auto"/>
        </w:rPr>
      </w:pPr>
    </w:p>
    <w:p>
      <w:pPr>
        <w:ind w:left="760" w:right="160" w:hanging="378"/>
        <w:spacing w:after="0" w:line="24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and are still building out our foundational systems;</w:t>
      </w:r>
    </w:p>
    <w:p>
      <w:pPr>
        <w:spacing w:after="0" w:line="224" w:lineRule="exact"/>
        <w:rPr>
          <w:rFonts w:ascii="Arial" w:cs="Arial" w:eastAsia="Arial" w:hAnsi="Arial"/>
          <w:sz w:val="18"/>
          <w:szCs w:val="18"/>
          <w:color w:val="auto"/>
        </w:rPr>
      </w:pPr>
    </w:p>
    <w:p>
      <w:pPr>
        <w:ind w:left="760" w:right="360" w:hanging="378"/>
        <w:spacing w:after="0" w:line="24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prior rapid growth is not indicative of our near term growth under our long-term roadmap and, if and when we return to rapid growth, we may not be able to manage our growth effectively;</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complete the integration of the United Auto Credit Corporation ("UACC") business into our business and support UACC as a captive lending operation for Vroom, or realize the anticipated benefits of the UACC Acquisition or those benefits could take longer than anticipated;</w:t>
      </w:r>
    </w:p>
    <w:p>
      <w:pPr>
        <w:spacing w:after="0" w:line="201" w:lineRule="exact"/>
        <w:rPr>
          <w:rFonts w:ascii="Arial" w:cs="Arial" w:eastAsia="Arial" w:hAnsi="Arial"/>
          <w:sz w:val="18"/>
          <w:szCs w:val="18"/>
          <w:color w:val="auto"/>
        </w:rPr>
      </w:pPr>
    </w:p>
    <w:p>
      <w:pPr>
        <w:ind w:left="760" w:right="420" w:hanging="378"/>
        <w:spacing w:after="0" w:line="24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UACC's may be unable to sell automotive finance receivables and generate gains on sales of those finance receivables, which could harm our business, results of operations, and financial condition;</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third-party vendors for key components of our business, which exposes us to increased risks;</w:t>
      </w:r>
    </w:p>
    <w:p>
      <w:pPr>
        <w:spacing w:after="0" w:line="224" w:lineRule="exact"/>
        <w:rPr>
          <w:rFonts w:ascii="Arial" w:cs="Arial" w:eastAsia="Arial" w:hAnsi="Arial"/>
          <w:sz w:val="18"/>
          <w:szCs w:val="18"/>
          <w:color w:val="auto"/>
        </w:rPr>
      </w:pPr>
    </w:p>
    <w:p>
      <w:pPr>
        <w:ind w:left="760" w:right="4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entered into outsourcing arrangements with third parties related to our customer experience team, and difficulties experienced in and our transition away from these arrangements have and could continue to result in an interruption of our ability to sell our vehicles and value-added products;</w:t>
      </w:r>
    </w:p>
    <w:p>
      <w:pPr>
        <w:spacing w:after="0" w:line="9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sales and results of operations are materially affected by our customer experience, our reputation and our brand;</w:t>
      </w:r>
    </w:p>
    <w:p>
      <w:pPr>
        <w:spacing w:after="0" w:line="224" w:lineRule="exact"/>
        <w:rPr>
          <w:rFonts w:ascii="Arial" w:cs="Arial" w:eastAsia="Arial" w:hAnsi="Arial"/>
          <w:sz w:val="18"/>
          <w:szCs w:val="18"/>
          <w:color w:val="auto"/>
        </w:rPr>
      </w:pPr>
    </w:p>
    <w:p>
      <w:pPr>
        <w:ind w:left="760" w:right="580" w:hanging="378"/>
        <w:spacing w:after="0" w:line="274"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a variety of risks associated with the operation of our vehicle reconditioning centers by us and our third-party service provider, any of which could materially and adversely affect our business, financial condition and results of operations;</w:t>
      </w:r>
    </w:p>
    <w:p>
      <w:pPr>
        <w:spacing w:after="0" w:line="173" w:lineRule="exact"/>
        <w:rPr>
          <w:rFonts w:ascii="Arial" w:cs="Arial" w:eastAsia="Arial" w:hAnsi="Arial"/>
          <w:sz w:val="17"/>
          <w:szCs w:val="17"/>
          <w:color w:val="auto"/>
        </w:rPr>
      </w:pPr>
    </w:p>
    <w:p>
      <w:pPr>
        <w:ind w:left="760" w:right="40" w:hanging="378"/>
        <w:spacing w:after="0" w:line="274"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currently rely heavily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760" w:right="18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optimizing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p>
    <w:p>
      <w:pPr>
        <w:spacing w:after="0" w:line="201" w:lineRule="exact"/>
        <w:rPr>
          <w:rFonts w:ascii="Arial" w:cs="Arial" w:eastAsia="Arial" w:hAnsi="Arial"/>
          <w:sz w:val="18"/>
          <w:szCs w:val="18"/>
          <w:color w:val="auto"/>
        </w:rPr>
      </w:pPr>
    </w:p>
    <w:p>
      <w:pPr>
        <w:ind w:left="760" w:right="2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geographic concentration where we provide reconditioning services and store inventory and where UACC has a high concentration of borrowers creates an exposure to local and regional downturns or severe weather or catastrophic occurrences that may materially and adversely affect our business, financial condition and results of operations;</w:t>
      </w:r>
    </w:p>
    <w:p>
      <w:pPr>
        <w:spacing w:after="0" w:line="201" w:lineRule="exact"/>
        <w:rPr>
          <w:rFonts w:ascii="Arial" w:cs="Arial" w:eastAsia="Arial" w:hAnsi="Arial"/>
          <w:sz w:val="18"/>
          <w:szCs w:val="18"/>
          <w:color w:val="auto"/>
        </w:rPr>
      </w:pPr>
    </w:p>
    <w:p>
      <w:pPr>
        <w:ind w:left="760" w:right="4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201" w:lineRule="exact"/>
        <w:rPr>
          <w:rFonts w:ascii="Arial" w:cs="Arial" w:eastAsia="Arial" w:hAnsi="Arial"/>
          <w:sz w:val="18"/>
          <w:szCs w:val="18"/>
          <w:color w:val="auto"/>
        </w:rPr>
      </w:pPr>
    </w:p>
    <w:p>
      <w:pPr>
        <w:ind w:left="760" w:right="4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highly regulated industry and are subject to a wide range of federal, state and local laws and regulations and failure to comply with these laws and regulations could have a material adverse effect on our business, financial condition and results of operations;</w:t>
      </w:r>
    </w:p>
    <w:p>
      <w:pPr>
        <w:spacing w:after="0" w:line="20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 and</w:t>
      </w:r>
    </w:p>
    <w:p>
      <w:pPr>
        <w:spacing w:after="0" w:line="201"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actual operating results may differ significantly from our guidance.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20" w:firstLine="859"/>
        <w:spacing w:after="0" w:line="239" w:lineRule="auto"/>
        <w:rPr>
          <w:sz w:val="20"/>
          <w:szCs w:val="20"/>
          <w:color w:val="auto"/>
        </w:rPr>
      </w:pPr>
      <w:r>
        <w:rPr>
          <w:rFonts w:ascii="Arial" w:cs="Arial" w:eastAsia="Arial" w:hAnsi="Arial"/>
          <w:sz w:val="18"/>
          <w:szCs w:val="18"/>
          <w:color w:val="auto"/>
        </w:rPr>
        <w:t>Vroom, Inc., which was incorporated under the laws of the State of Delaware in 2012, is a holding company that conducts its operations through its subsidiaries. Vroom, Inc. completed its initial public offering (“IPO”) in June 2020 and its common stock trades on The Nasdaq Global Select Market (“Nasdaq”) under the symbol VRM. Unless the context otherwise requires, references herein to “Vroom”, “the Company”, “we”, “us” or “our” refer to Vroom and its consolidated subsidiaries. Vroom owns United Auto Credit Corporation (“UACC”), a leading automotive finance company, that offers vehicle financing through third party dealers under the UACC brand and to Vroom customers under the Vroom Financial Services brand. Vroom also operates the Texas Direct Auto (“TDA”) and CarStory brands.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Company</w:t>
      </w:r>
    </w:p>
    <w:p>
      <w:pPr>
        <w:spacing w:after="0" w:line="220" w:lineRule="exact"/>
        <w:rPr>
          <w:sz w:val="20"/>
          <w:szCs w:val="20"/>
          <w:color w:val="auto"/>
        </w:rPr>
      </w:pPr>
    </w:p>
    <w:p>
      <w:pPr>
        <w:jc w:val="both"/>
        <w:ind w:right="160" w:firstLine="749"/>
        <w:spacing w:after="0" w:line="238"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The Company's scalable, data-driven technology brings all phases of the car buying and selling process to consumers wherever they are, and offers an extensive selection of used vehicles, transparent pricing, competitive financing, and at-home pick-up and delivery. Vroom is deeply committed to creating an exceptional experience for its customers.</w:t>
      </w:r>
    </w:p>
    <w:p>
      <w:pPr>
        <w:spacing w:after="0" w:line="190" w:lineRule="exact"/>
        <w:rPr>
          <w:sz w:val="20"/>
          <w:szCs w:val="20"/>
          <w:color w:val="auto"/>
        </w:rPr>
      </w:pPr>
    </w:p>
    <w:p>
      <w:pPr>
        <w:jc w:val="both"/>
        <w:ind w:right="60" w:firstLine="749"/>
        <w:spacing w:after="0"/>
        <w:rPr>
          <w:sz w:val="20"/>
          <w:szCs w:val="20"/>
          <w:color w:val="auto"/>
        </w:rPr>
      </w:pPr>
      <w:r>
        <w:rPr>
          <w:rFonts w:ascii="Arial" w:cs="Arial" w:eastAsia="Arial" w:hAnsi="Arial"/>
          <w:sz w:val="18"/>
          <w:szCs w:val="18"/>
          <w:color w:val="auto"/>
        </w:rPr>
        <w:t>We take a vertically integrated, hybrid approach, which leverages the benefits of national scale and local efficiency. We are driving enduring change in the industry by reinventing all phases of the vehicle buying and selling process, from discovery to delivery and everything in between. Our platform encompasses:</w:t>
      </w:r>
    </w:p>
    <w:p>
      <w:pPr>
        <w:spacing w:after="0" w:line="274" w:lineRule="exact"/>
        <w:rPr>
          <w:sz w:val="20"/>
          <w:szCs w:val="20"/>
          <w:color w:val="auto"/>
        </w:rPr>
      </w:pPr>
    </w:p>
    <w:p>
      <w:pPr>
        <w:ind w:left="1020" w:right="120" w:hanging="504"/>
        <w:spacing w:after="0" w:line="24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We provide consumers with a personalized and intuitive ecommerce interface to research and select from</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 of fully reconditioned vehicles, with specific sorting, searching and filtering functionality. Our platform is accessible at any time on any device and provides transparent haggle-free pricing, detailed vehicle information, real-time financing and nationwide contact-free delivery right to a buyer’s driveway. For consumers looking to sell or trade in their vehicles, we provide attractive market-based pricing, real-time price quotes and convenient, at-home vehicle pick-up.</w:t>
      </w:r>
    </w:p>
    <w:p>
      <w:pPr>
        <w:spacing w:after="0" w:line="273" w:lineRule="exact"/>
        <w:rPr>
          <w:rFonts w:ascii="Arial" w:cs="Arial" w:eastAsia="Arial" w:hAnsi="Arial"/>
          <w:sz w:val="18"/>
          <w:szCs w:val="18"/>
          <w:color w:val="auto"/>
        </w:rPr>
      </w:pPr>
    </w:p>
    <w:p>
      <w:pPr>
        <w:ind w:left="1020" w:hanging="504"/>
        <w:spacing w:after="0" w:line="24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consumers, auctions, rental car companies, original equipment manufacturers (“OEMs”) and dealers. We improve our ability to acquire high-demand vehicles through enhanced supply science across all our sourcing channels and utilize national marketing to drive consumer sourcing. In our reconditioning and logistics operations, we deploy a hybrid strategy that optimizes a combination of ownership and operation of assets by us with strategic third-party partnerships. We continue to leverage our expanding last mile logistics operations and geographically dispersed network of reconditioning centers to further develop our regional operating model designed to improve our operating leverage, drive stronger unit economics and enhance our customer experience.</w:t>
      </w:r>
    </w:p>
    <w:p>
      <w:pPr>
        <w:spacing w:after="0" w:line="299" w:lineRule="exact"/>
        <w:rPr>
          <w:rFonts w:ascii="Arial" w:cs="Arial" w:eastAsia="Arial" w:hAnsi="Arial"/>
          <w:sz w:val="18"/>
          <w:szCs w:val="18"/>
          <w:color w:val="auto"/>
        </w:rPr>
      </w:pPr>
    </w:p>
    <w:p>
      <w:pPr>
        <w:ind w:left="1020" w:right="120" w:hanging="504"/>
        <w:spacing w:after="0" w:line="24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our customer experience, analyze market dynamics at scale, calibrate our vehicle pricing and optimize our overall inventory sales velocity. In our vehicle operations, data science and experimentation enable us to fine tune our supply, sourcing and logistics models and to streamline our reconditioning processes.</w:t>
      </w:r>
    </w:p>
    <w:p>
      <w:pPr>
        <w:spacing w:after="0" w:line="317" w:lineRule="exact"/>
        <w:rPr>
          <w:rFonts w:ascii="Arial" w:cs="Arial" w:eastAsia="Arial" w:hAnsi="Arial"/>
          <w:sz w:val="18"/>
          <w:szCs w:val="18"/>
          <w:color w:val="auto"/>
        </w:rPr>
      </w:pPr>
    </w:p>
    <w:p>
      <w:pPr>
        <w:ind w:left="1020" w:right="200" w:hanging="504"/>
        <w:spacing w:after="0" w:line="24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Vehicle Financing: </w:t>
      </w:r>
      <w:r>
        <w:rPr>
          <w:rFonts w:ascii="Arial" w:cs="Arial" w:eastAsia="Arial" w:hAnsi="Arial"/>
          <w:sz w:val="18"/>
          <w:szCs w:val="18"/>
          <w:color w:val="auto"/>
        </w:rPr>
        <w:t>A critical component of our value proposition is offering vehicle financing to our customers as a seamless</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of the transaction process. We currently offer integrated, real-time, individualized financing solutions through strategic partnerships with trusted lenders in automotive finance and through our subsidiary, UACC, which we acquired on February 1, 2022. The acquisition of UACC accelerated Vroom’s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25" w:lineRule="exact"/>
        <w:rPr>
          <w:sz w:val="20"/>
          <w:szCs w:val="20"/>
          <w:color w:val="auto"/>
        </w:rPr>
      </w:pPr>
    </w:p>
    <w:p>
      <w:pPr>
        <w:ind w:left="1020"/>
        <w:spacing w:after="0" w:line="245" w:lineRule="auto"/>
        <w:rPr>
          <w:sz w:val="20"/>
          <w:szCs w:val="20"/>
          <w:color w:val="auto"/>
        </w:rPr>
      </w:pPr>
      <w:r>
        <w:rPr>
          <w:rFonts w:ascii="Arial" w:cs="Arial" w:eastAsia="Arial" w:hAnsi="Arial"/>
          <w:sz w:val="18"/>
          <w:szCs w:val="18"/>
          <w:color w:val="auto"/>
        </w:rPr>
        <w:t>strategy to develop a captive financing arm and brought with it UACC’s financing expertise and extensive application processing, underwriting, securitization, and servicing capabilities.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Industry and Market Opportunity</w:t>
      </w:r>
    </w:p>
    <w:p>
      <w:pPr>
        <w:spacing w:after="0" w:line="220" w:lineRule="exact"/>
        <w:rPr>
          <w:sz w:val="20"/>
          <w:szCs w:val="20"/>
          <w:color w:val="auto"/>
        </w:rPr>
      </w:pPr>
    </w:p>
    <w:p>
      <w:pPr>
        <w:ind w:right="320" w:firstLine="749"/>
        <w:spacing w:after="0" w:line="237" w:lineRule="auto"/>
        <w:rPr>
          <w:sz w:val="20"/>
          <w:szCs w:val="20"/>
          <w:color w:val="auto"/>
        </w:rPr>
      </w:pPr>
      <w:r>
        <w:rPr>
          <w:rFonts w:ascii="Arial" w:cs="Arial" w:eastAsia="Arial" w:hAnsi="Arial"/>
          <w:sz w:val="18"/>
          <w:szCs w:val="18"/>
          <w:color w:val="auto"/>
        </w:rPr>
        <w:t>The U.S. used automotive market is the largest consumer product category. Based on data from Cox Automotive, there were an estimated 36.2 million used vehicle transactions in 2022. According to a 2022 NADA Auto Retailing market summary, the U.S. automotive industry generated approximately $1.2 trillion in sales in 2021. The industry benefits from entrenched vehicle ownership trends among American consumers, with approximately 283 million registered vehicles on the road in 2022, and approximately 91.9% of families in the United States owning at least one vehicle in 2021. Additionally, the retail used vehicle market generally has shown resilience through recessionary markets and other challenging economic cycles.</w:t>
      </w:r>
    </w:p>
    <w:p>
      <w:pPr>
        <w:spacing w:after="0" w:line="189"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The U.S. used automotive market is ripe for disruption as an industry that is notorious for consumer dissatisfaction and has one of the lowest levels of ecommerce penetration. Across all used vehicle sales in 2021, the largest U.S. used vehicle dealer had a market-share of approximately 2%, with the top 100 used vehicle dealers collectively representing only approximately 11%, according to Automotive News. Industry reports estimate that ecommerce penetration will grow to as much as half of all used vehicle sales by 2030. Reflecting changing consumer behavior towards online purchases, in the Cox Automotive Digitization of End to End Retail Study 2021, 80% of consumers said that they want to make at least part of their vehicle purchase online and 64% of car buyers said that they want to handle more of their purchase online compared to the last time they purchased a vehicle. Our platform, coupled with our national presence and brand, provides a significant competitive advantage versus local dealerships and regional players that lack nationwide reach and scalable technology, operations and logistics. The traditional auto dealers and the peer-to-peer market do not offer consumers what we offer.</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Strategy and Long-Term Roadmap</w:t>
      </w:r>
    </w:p>
    <w:p>
      <w:pPr>
        <w:spacing w:after="0" w:line="220" w:lineRule="exact"/>
        <w:rPr>
          <w:sz w:val="20"/>
          <w:szCs w:val="20"/>
          <w:color w:val="auto"/>
        </w:rPr>
      </w:pPr>
    </w:p>
    <w:p>
      <w:pPr>
        <w:ind w:right="100" w:firstLine="749"/>
        <w:spacing w:after="0" w:line="236" w:lineRule="auto"/>
        <w:rPr>
          <w:sz w:val="20"/>
          <w:szCs w:val="20"/>
          <w:color w:val="auto"/>
        </w:rPr>
      </w:pPr>
      <w:r>
        <w:rPr>
          <w:rFonts w:ascii="Arial" w:cs="Arial" w:eastAsia="Arial" w:hAnsi="Arial"/>
          <w:sz w:val="18"/>
          <w:szCs w:val="18"/>
          <w:color w:val="auto"/>
        </w:rPr>
        <w:t>Following our IPO in 2020, we prioritized unit sales growth over unit economics and experienced triple digit growth in each of 2020 and 2021. In light of operational challenges that arose in our business, the need to reduce our cash spend and changes in financial market sentiment, in May 2022 we adopted a business realignment plan (the “Realignment Plan”), pursuant to which we chose to slow down and improve both our operations and our customer experience, while also living within our means, prioritizing profitability and liquidity and driving unit economics. The Realignment Plan included several elements, such as reducing the rate of unit sales to focus on lowering costs and expanding gross profit per unit; reducing marketing expense by focusing on the highest-ROI channels while aligning with volume trajectory; reducing the number of physical office locations; right sizing our organization through headcount reductions to align with unit volume; and further developing our regional operating model. In furtherance of the Realignment Plan, in 2022 we continued to take measures to reduce fixed and variable costs, including further headcount reductions.</w:t>
      </w:r>
    </w:p>
    <w:p>
      <w:pPr>
        <w:spacing w:after="0" w:line="191" w:lineRule="exact"/>
        <w:rPr>
          <w:sz w:val="20"/>
          <w:szCs w:val="20"/>
          <w:color w:val="auto"/>
        </w:rPr>
      </w:pPr>
    </w:p>
    <w:p>
      <w:pPr>
        <w:jc w:val="both"/>
        <w:ind w:right="420" w:firstLine="749"/>
        <w:spacing w:after="0"/>
        <w:rPr>
          <w:sz w:val="20"/>
          <w:szCs w:val="20"/>
          <w:color w:val="auto"/>
        </w:rPr>
      </w:pPr>
      <w:r>
        <w:rPr>
          <w:rFonts w:ascii="Arial" w:cs="Arial" w:eastAsia="Arial" w:hAnsi="Arial"/>
          <w:sz w:val="18"/>
          <w:szCs w:val="18"/>
          <w:color w:val="auto"/>
        </w:rPr>
        <w:t xml:space="preserve">In 2022, we developed a long-term road map designed to achieve three key objectives: prioritizing unit economics over growth, significantly reducing operating expenses, and maximizing liquidity. In 2023, we have refined these three key objectives to prioritize unit economics </w:t>
      </w:r>
      <w:r>
        <w:rPr>
          <w:rFonts w:ascii="Arial" w:cs="Arial" w:eastAsia="Arial" w:hAnsi="Arial"/>
          <w:sz w:val="18"/>
          <w:szCs w:val="18"/>
          <w:i w:val="1"/>
          <w:iCs w:val="1"/>
          <w:color w:val="auto"/>
        </w:rPr>
        <w:t>and growth</w:t>
      </w:r>
      <w:r>
        <w:rPr>
          <w:rFonts w:ascii="Arial" w:cs="Arial" w:eastAsia="Arial" w:hAnsi="Arial"/>
          <w:sz w:val="18"/>
          <w:szCs w:val="18"/>
          <w:color w:val="auto"/>
        </w:rPr>
        <w:t xml:space="preserve">, improve costs </w:t>
      </w:r>
      <w:r>
        <w:rPr>
          <w:rFonts w:ascii="Arial" w:cs="Arial" w:eastAsia="Arial" w:hAnsi="Arial"/>
          <w:sz w:val="18"/>
          <w:szCs w:val="18"/>
          <w:i w:val="1"/>
          <w:iCs w:val="1"/>
          <w:color w:val="auto"/>
        </w:rPr>
        <w:t>per unit</w:t>
      </w:r>
      <w:r>
        <w:rPr>
          <w:rFonts w:ascii="Arial" w:cs="Arial" w:eastAsia="Arial" w:hAnsi="Arial"/>
          <w:sz w:val="18"/>
          <w:szCs w:val="18"/>
          <w:color w:val="auto"/>
        </w:rPr>
        <w:t xml:space="preserve"> and maximize liquidity.</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To achieve these </w:t>
      </w:r>
      <w:r>
        <w:rPr>
          <w:rFonts w:ascii="Arial" w:cs="Arial" w:eastAsia="Arial" w:hAnsi="Arial"/>
          <w:sz w:val="18"/>
          <w:szCs w:val="18"/>
          <w:b w:val="1"/>
          <w:bCs w:val="1"/>
          <w:i w:val="1"/>
          <w:iCs w:val="1"/>
          <w:color w:val="auto"/>
        </w:rPr>
        <w:t>three key objectives</w:t>
      </w:r>
      <w:r>
        <w:rPr>
          <w:rFonts w:ascii="Arial" w:cs="Arial" w:eastAsia="Arial" w:hAnsi="Arial"/>
          <w:sz w:val="18"/>
          <w:szCs w:val="18"/>
          <w:color w:val="auto"/>
        </w:rPr>
        <w:t xml:space="preserve">, we are focused on </w:t>
      </w:r>
      <w:r>
        <w:rPr>
          <w:rFonts w:ascii="Arial" w:cs="Arial" w:eastAsia="Arial" w:hAnsi="Arial"/>
          <w:sz w:val="18"/>
          <w:szCs w:val="18"/>
          <w:b w:val="1"/>
          <w:bCs w:val="1"/>
          <w:i w:val="1"/>
          <w:iCs w:val="1"/>
          <w:color w:val="auto"/>
        </w:rPr>
        <w:t>four strategic initiatives</w:t>
      </w:r>
      <w:r>
        <w:rPr>
          <w:rFonts w:ascii="Arial" w:cs="Arial" w:eastAsia="Arial" w:hAnsi="Arial"/>
          <w:sz w:val="18"/>
          <w:szCs w:val="18"/>
          <w:color w:val="auto"/>
        </w:rPr>
        <w:t>:</w:t>
      </w:r>
    </w:p>
    <w:p>
      <w:pPr>
        <w:spacing w:after="0" w:line="305" w:lineRule="exact"/>
        <w:rPr>
          <w:sz w:val="20"/>
          <w:szCs w:val="20"/>
          <w:color w:val="auto"/>
        </w:rPr>
      </w:pPr>
    </w:p>
    <w:p>
      <w:pPr>
        <w:ind w:left="1020" w:right="200" w:hanging="504"/>
        <w:spacing w:after="0" w:line="274"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Building a well-oiled transaction machine: </w:t>
      </w:r>
      <w:r>
        <w:rPr>
          <w:rFonts w:ascii="Arial" w:cs="Arial" w:eastAsia="Arial" w:hAnsi="Arial"/>
          <w:sz w:val="17"/>
          <w:szCs w:val="17"/>
          <w:color w:val="auto"/>
        </w:rPr>
        <w:t>Optimize our sales channels using internal and outsourced resources and</w:t>
      </w:r>
      <w:r>
        <w:rPr>
          <w:rFonts w:ascii="Arial" w:cs="Arial" w:eastAsia="Arial" w:hAnsi="Arial"/>
          <w:sz w:val="17"/>
          <w:szCs w:val="17"/>
          <w:b w:val="1"/>
          <w:bCs w:val="1"/>
          <w:color w:val="auto"/>
        </w:rPr>
        <w:t xml:space="preserve"> </w:t>
      </w:r>
      <w:r>
        <w:rPr>
          <w:rFonts w:ascii="Arial" w:cs="Arial" w:eastAsia="Arial" w:hAnsi="Arial"/>
          <w:sz w:val="17"/>
          <w:szCs w:val="17"/>
          <w:color w:val="auto"/>
        </w:rPr>
        <w:t>digitization; streamline and digitize the title and registration process; and optimize our marketing strategies by building brand awareness, growing organic search traffic and fine-tuning paid media campaigns to improve direct traffic and drive conversion.</w:t>
      </w:r>
    </w:p>
    <w:p>
      <w:pPr>
        <w:spacing w:after="0" w:line="287" w:lineRule="exact"/>
        <w:rPr>
          <w:rFonts w:ascii="Arial" w:cs="Arial" w:eastAsia="Arial" w:hAnsi="Arial"/>
          <w:sz w:val="17"/>
          <w:szCs w:val="17"/>
          <w:color w:val="auto"/>
        </w:rPr>
      </w:pPr>
    </w:p>
    <w:p>
      <w:pPr>
        <w:ind w:left="1020" w:right="260" w:hanging="504"/>
        <w:spacing w:after="0" w:line="27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Building a well-oiled metal machine: </w:t>
      </w:r>
      <w:r>
        <w:rPr>
          <w:rFonts w:ascii="Arial" w:cs="Arial" w:eastAsia="Arial" w:hAnsi="Arial"/>
          <w:sz w:val="18"/>
          <w:szCs w:val="18"/>
          <w:color w:val="auto"/>
        </w:rPr>
        <w:t>Optimize pricing and assortment of vehicles through predictive data and analytics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regionalization, as well as synchronize our end-to-end supply chain to increase velocity and improve flow.</w:t>
      </w:r>
    </w:p>
    <w:p>
      <w:pPr>
        <w:spacing w:after="0" w:line="287" w:lineRule="exact"/>
        <w:rPr>
          <w:rFonts w:ascii="Arial" w:cs="Arial" w:eastAsia="Arial" w:hAnsi="Arial"/>
          <w:sz w:val="18"/>
          <w:szCs w:val="18"/>
          <w:color w:val="auto"/>
        </w:rPr>
      </w:pPr>
    </w:p>
    <w:p>
      <w:pPr>
        <w:ind w:left="1020" w:right="480" w:hanging="504"/>
        <w:spacing w:after="0" w:line="27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Building a regional operating model: </w:t>
      </w:r>
      <w:r>
        <w:rPr>
          <w:rFonts w:ascii="Arial" w:cs="Arial" w:eastAsia="Arial" w:hAnsi="Arial"/>
          <w:sz w:val="18"/>
          <w:szCs w:val="18"/>
          <w:color w:val="auto"/>
        </w:rPr>
        <w:t>Build a regional operating model to improve the customer experience; increase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speed of the supply chain; lower logistics costs; and reduce markdowns.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020" w:right="480" w:hanging="504"/>
        <w:spacing w:after="0" w:line="252"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Building a captive finance offering: </w:t>
      </w:r>
      <w:r>
        <w:rPr>
          <w:rFonts w:ascii="Arial" w:cs="Arial" w:eastAsia="Arial" w:hAnsi="Arial"/>
          <w:sz w:val="18"/>
          <w:szCs w:val="18"/>
          <w:color w:val="auto"/>
        </w:rPr>
        <w:t>Accelerate the development of UACC as a captive financing operation, giving us the</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better serve our customers across the credit spectrum, drive enhanced unit economics and improve our overall customer experience.</w:t>
      </w:r>
    </w:p>
    <w:p>
      <w:pPr>
        <w:spacing w:after="0" w:line="179" w:lineRule="exact"/>
        <w:rPr>
          <w:sz w:val="20"/>
          <w:szCs w:val="20"/>
          <w:color w:val="auto"/>
        </w:rPr>
      </w:pPr>
    </w:p>
    <w:p>
      <w:pPr>
        <w:ind w:right="340" w:firstLine="749"/>
        <w:spacing w:after="0" w:line="245" w:lineRule="auto"/>
        <w:rPr>
          <w:sz w:val="20"/>
          <w:szCs w:val="20"/>
          <w:color w:val="auto"/>
        </w:rPr>
      </w:pPr>
      <w:r>
        <w:rPr>
          <w:rFonts w:ascii="Arial" w:cs="Arial" w:eastAsia="Arial" w:hAnsi="Arial"/>
          <w:sz w:val="18"/>
          <w:szCs w:val="18"/>
          <w:color w:val="auto"/>
        </w:rPr>
        <w:t>These four initiatives are designed to further our progress in building a profitable business model, enable us to build a well-oiled machine across our operations and position us to resume growth.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Ecommerce Operations</w:t>
      </w:r>
    </w:p>
    <w:p>
      <w:pPr>
        <w:spacing w:after="0" w:line="220"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Vroom’s end-to-end ecommerce platform streamlines all aspects of the automotive buying and selling experience for consumers. We offer an inventory of thousands of vehicles that have passed our detailed inspections, meet our proprietary Vroom Reconditioning Standards and are backed by our free Vroom 90-Day Limited Warranty. Our platform provides comprehensive and transparent information on each of the vehicles we sell, including high-resolution photography and detailed product descriptions, which show our customers our vehicles from all angles, highlight imperfections and provide third-party vehicle history reports. In addition to the size and diversity of our inventory selection, we provide buyers with a personalized, intuitive interface with specific sorting, searching and filtering functionality. This enables our customers to research and discover the right car for their unique needs.</w:t>
      </w:r>
    </w:p>
    <w:p>
      <w:pPr>
        <w:spacing w:after="0" w:line="193" w:lineRule="exact"/>
        <w:rPr>
          <w:sz w:val="20"/>
          <w:szCs w:val="20"/>
          <w:color w:val="auto"/>
        </w:rPr>
      </w:pPr>
    </w:p>
    <w:p>
      <w:pPr>
        <w:ind w:right="140" w:firstLine="749"/>
        <w:spacing w:after="0" w:line="237" w:lineRule="auto"/>
        <w:rPr>
          <w:sz w:val="20"/>
          <w:szCs w:val="20"/>
          <w:color w:val="auto"/>
        </w:rPr>
      </w:pPr>
      <w:r>
        <w:rPr>
          <w:rFonts w:ascii="Arial" w:cs="Arial" w:eastAsia="Arial" w:hAnsi="Arial"/>
          <w:sz w:val="18"/>
          <w:szCs w:val="18"/>
          <w:color w:val="auto"/>
        </w:rPr>
        <w:t>We price our vehicles using data science and proprietary algorithms, ensuring that buyers receive attractive, market-based, no-haggle pricing. We provide seamlessly integrated, real-time, individualized financing solutions through UACC and our strategic partnerships with trusted leaders in automotive finance and give our customers access to competitive market rates. We also offer third-party protection products, such as vehicle service contracts, GAP protection and tire and wheel coverage, all with transparent pricing. For added assurance, our Vroom 7-Day Return Program offers customers seven days or 250 miles to test drive their purchase and return their vehicle for any reason.</w:t>
      </w:r>
    </w:p>
    <w:p>
      <w:pPr>
        <w:spacing w:after="0" w:line="189"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For consumers looking to sell their vehicles, our Sell Us Your Car® proposition offers the ease of online submission of basic vehicle information to receive an on-demand appraisal for vehicles being sold in a direct-buy transaction or traded in on a vehicle purchase. We utilize our extensive data insights and experience across thousands of transactions to generate a quote that reflects a competitive market-based price. Price quotes are valid for seven days or 250 miles. This process allows customers to shop, compare and analyze the sale of their vehicle from the convenience of their home. We offer customers national, at-home, vehicle pick-up free of charge within days of accepting our price. As an added convenience, we offer hassle-free customer payment and/or pay-off of any loans on the vehicle being sold, saving the customer time and paperwork.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Operations</w:t>
      </w:r>
    </w:p>
    <w:p>
      <w:pPr>
        <w:spacing w:after="0" w:line="220"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We use a combination of in-house customer support personnel and third-party customer service providers to operate our call centers and provide sales support to our customers. Our professional customer experience team accompanies the buyer through the process to answer their questions and address their concerns. As part of our long-term roadmap and in response to a significant staff reduction by one of our third-party telephone sales support providers, we are building our in-house sales team, have ceased using such third-party telephone sales provider and have meaningfully increased the level of sales supported internally, which we believe will improve our customer experience, and lower our selling costs.</w:t>
      </w:r>
    </w:p>
    <w:p>
      <w:pPr>
        <w:spacing w:after="0" w:line="189" w:lineRule="exact"/>
        <w:rPr>
          <w:sz w:val="20"/>
          <w:szCs w:val="20"/>
          <w:color w:val="auto"/>
        </w:rPr>
      </w:pPr>
    </w:p>
    <w:p>
      <w:pPr>
        <w:ind w:right="80" w:firstLine="749"/>
        <w:spacing w:after="0" w:line="237" w:lineRule="auto"/>
        <w:rPr>
          <w:sz w:val="20"/>
          <w:szCs w:val="20"/>
          <w:color w:val="auto"/>
        </w:rPr>
      </w:pPr>
      <w:r>
        <w:rPr>
          <w:rFonts w:ascii="Arial" w:cs="Arial" w:eastAsia="Arial" w:hAnsi="Arial"/>
          <w:sz w:val="18"/>
          <w:szCs w:val="18"/>
          <w:color w:val="auto"/>
        </w:rPr>
        <w:t>As part of our initiative to build a well-oiled transaction machine, we also are focused on optimizing the end-to-end paper supply chain by automating and streamlining processes from initial documentation to vehicle registration. A critical component of this initiative is our Digital Title Vault, utilizing digital scanning and OCR to remove time consuming and error-prone manual processes and ensure all for-sale vehicles have quality-assured titles in Vroom’s name that can be readily transferred to customers. These enhancements are designed to improve the customer experience while also lowering transaction costs.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Reconditioning</w:t>
      </w:r>
    </w:p>
    <w:p>
      <w:pPr>
        <w:spacing w:after="0" w:line="220" w:lineRule="exact"/>
        <w:rPr>
          <w:sz w:val="20"/>
          <w:szCs w:val="20"/>
          <w:color w:val="auto"/>
        </w:rPr>
      </w:pPr>
    </w:p>
    <w:p>
      <w:pPr>
        <w:jc w:val="both"/>
        <w:ind w:right="160" w:firstLine="749"/>
        <w:spacing w:after="0"/>
        <w:rPr>
          <w:sz w:val="20"/>
          <w:szCs w:val="20"/>
          <w:color w:val="auto"/>
        </w:rPr>
      </w:pPr>
      <w:r>
        <w:rPr>
          <w:rFonts w:ascii="Arial" w:cs="Arial" w:eastAsia="Arial" w:hAnsi="Arial"/>
          <w:sz w:val="18"/>
          <w:szCs w:val="18"/>
          <w:color w:val="auto"/>
        </w:rPr>
        <w:t>Before a vehicle is listed for retail sale on our platform, it undergoes a thorough reconditioning process in order to meet our Vroom retail sales criteria. The efficiency of this reconditioning process is a key element in our ability to grow profitably. To recondition vehicles, we rely on a combination of our Vroom-owned vehicle reconditioning center ("VRC")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along with a network of VRCs owned and operated by a third party. We combine the use of our proprietary reconditioning center (“Vroom VRC”) and third-party vehicle reconditioning centers (“third-party VRCs”) to best meet our reconditioning needs. We leverage our partnerships with this third party to recondition approximately three-fourths of the vehicles in our inventory to our Vroom Reconditioning Standards, which creates capacity to quickly and efficiently scale or contract as business needs dictate, while simultaneously reducing our capital commitments. As part of our long-term roadmap, we intend to maintain third-party partners while also pursuing low capital in-house opportunities for reconditioning to ensure adequate capacity, optimize our end-to-end supply chain and support our regional operating model. As we identify potential VRC locations, leveraging our data science and deep industry experience, we take into account a combination of factors, including proximity to customers, transportation costs, access to inbound inventory and the ability to expand capacity at any current or future third-party partners’ specific locations. Our goal is to improve the speed of our reconditioning centers through optimized capacity scheduling, integrated end-to-end inventory management, and predictive analytics. These initiatives are designed to lower reconditioning costs and inbound shipping costs per unit, and thereby improve per unit economics while enhancing the customer experience.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Logistics</w:t>
      </w:r>
    </w:p>
    <w:p>
      <w:pPr>
        <w:spacing w:after="0" w:line="220" w:lineRule="exact"/>
        <w:rPr>
          <w:sz w:val="20"/>
          <w:szCs w:val="20"/>
          <w:color w:val="auto"/>
        </w:rPr>
      </w:pPr>
    </w:p>
    <w:p>
      <w:pPr>
        <w:jc w:val="both"/>
        <w:ind w:right="260" w:firstLine="749"/>
        <w:spacing w:after="0" w:line="248" w:lineRule="auto"/>
        <w:rPr>
          <w:sz w:val="20"/>
          <w:szCs w:val="20"/>
          <w:color w:val="auto"/>
        </w:rPr>
      </w:pPr>
      <w:r>
        <w:rPr>
          <w:rFonts w:ascii="Arial" w:cs="Arial" w:eastAsia="Arial" w:hAnsi="Arial"/>
          <w:sz w:val="17"/>
          <w:szCs w:val="17"/>
          <w:color w:val="auto"/>
        </w:rPr>
        <w:t>We have built our national third-party logistics network through the development of strategic carrier arrangements with national haulers and consolidation of our carrier base into dedicated operating regions, while also developing our proprietary logistics capabilities. This combination of proprietary and third-party service allows us to focus on improving the quality and reliability of our logistics operations.</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Specifically, we have prioritized investment in our last-mile hub delivery operations, where we can have the greatest impact on the customer experience, including by investing in short-haul vehicles to make regional deliveries from our last mile hubs and line -haul vehicles for hub-to-hub shipments on high-volume routes. We are also continuing to invest in our processes and technology to remove inefficiencies and increase automation. Consistent with our long-term roadmap and the continued development of our regional operating model, we intend to continue to strategically combine the operation of our proprietary fleet with the use of third-party carriers, as well as synchronize our end-to-end supply chain to increase sales velocity and optimize flow of our inventory. We plan to reduce the number of miles our vehicles travel and lower our inbound and outbound transportation costs using our regional operating model. We believe these initiatives will enable us to reduce logistics costs per mile, improve our inventory turnover and provide the highest level of customer service.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Financial Services</w:t>
      </w:r>
    </w:p>
    <w:p>
      <w:pPr>
        <w:spacing w:after="0" w:line="220"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We offer our customers seamlessly integrated, real-time financing for their vehicle purchases, which we regard as a critical component of our value proposition. We currently arrange reliable vehicle financing at competitive rates for our customers through UACC and by partnering with trusted leaders in automotive finance, including Chase, Ally Financial and Capital One. Strategic partnerships with such lenders offer convenience, assurance and efficiency for our customers, while providing enhanced revenue streams for us.</w:t>
      </w:r>
    </w:p>
    <w:p>
      <w:pPr>
        <w:spacing w:after="0" w:line="190" w:lineRule="exact"/>
        <w:rPr>
          <w:sz w:val="20"/>
          <w:szCs w:val="20"/>
          <w:color w:val="auto"/>
        </w:rPr>
      </w:pPr>
    </w:p>
    <w:p>
      <w:pPr>
        <w:ind w:right="200" w:firstLine="749"/>
        <w:spacing w:after="0" w:line="237" w:lineRule="auto"/>
        <w:rPr>
          <w:sz w:val="20"/>
          <w:szCs w:val="20"/>
          <w:color w:val="auto"/>
        </w:rPr>
      </w:pPr>
      <w:r>
        <w:rPr>
          <w:rFonts w:ascii="Arial" w:cs="Arial" w:eastAsia="Arial" w:hAnsi="Arial"/>
          <w:sz w:val="18"/>
          <w:szCs w:val="18"/>
          <w:color w:val="auto"/>
        </w:rPr>
        <w:t>The acquisition of UACC in February 2022 has enabled us to expand our offerings across the credit spectrum and accelerate the development of our captive financing operation, Vroom Financial Services, which is one of the key strategic initiatives under our long-term roadmap. As of December 31, 2022, UACC funded approximately $133 million in loans to Vroom's customers. As we make further investments in UACC and continue our integration efforts, we expect to develop UACC into a full captive financing arm with disciplined lending expertise, which would enable us to increase our ecommerce unit sales, expand our penetration into sales to customers across the credit spectrum and improve our unit economics.</w:t>
      </w:r>
    </w:p>
    <w:p>
      <w:pPr>
        <w:spacing w:after="0" w:line="189"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In addition to its financing expertise, the UACC platform brings with it extensive application processing, underwriting, servicing, and securitization capabilities. We expect UACC to continue to service most of the auto loans it originates. Further, we intend that all loans made by UACC will be funded via existing warehouse lines and sold to third-party investors via securitization transactions or forward flow arrangements. Subject to market conditions and overall economics, we intend to structure UACC’s future securitizations as off-balance sheet transactions.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Party Financial Services</w:t>
      </w:r>
    </w:p>
    <w:p>
      <w:pPr>
        <w:spacing w:after="0" w:line="220"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While serving as a captive lender for Vroom, UACC also will continue to provide lending and servicing services to its existing dealer network and will seek to expand that network over time. UACC provides funding that allows manufacturer-franchised and independent motor vehicle dealers to finance their customers' purchases of new and used automobiles, light duty trucks and vans. Currently, UACC serves a nationwide network of over 10,000 dealers in 49</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states. UACC's lending programs are primarily designed to serve consumers who have limited access to traditional motor vehicle financing. UACC services all of the retail installment sale contracts that it purchases or originates from third party dealers. As of December 31, 2022, and separately from the services it provides through Vroom Financial Services, UACC serviced a portfolio of approximately 72,000 motor vehicle contracts with an aggregate principal outstanding balance of $800.5 million.</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Marketing</w:t>
      </w:r>
    </w:p>
    <w:p>
      <w:pPr>
        <w:spacing w:after="0" w:line="220"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operate a multi-channel marketing strategy that includes both national brand and digital performance marketing. As part of our long-term roadmap, we intend to optimize our marketing investment towards the most efficient channels, including by continuing to build brand awareness, growing organic search traffic and optimizing paid media campaigns to improve direct traffic to vroom.com. Our national presence provides a significant competitive advantage versus local dealerships and regional players that lack scalable technology, operations and logistics, and are unable to take advantage of the efficiencies and lower costs of national brand advertising and must typically rely on costly local or regional advertising campaigns. Increasing our brand awareness leads to consumers coming directly to our website and creates an opportunity for increased conversion of our existing lead base, in particular as we expand our offerings across the credit spectrum with the development of our captive financing operations, build additional transactional functionality into our ecommerce platform and build our customer relationship management database.</w:t>
      </w:r>
    </w:p>
    <w:p>
      <w:pPr>
        <w:spacing w:after="0" w:line="191"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We leverage various digital performance channels to generate demand among consumers actively in-market to buy or sell a vehicle. This includes aggregator listing sites where we manage the distribution footprint of each VIN by continually optimizing its placement to maximize consumer demand and achieve planned conversion, sales velocity and profitability. Because brand leads convert at a higher rate than all other marketing channels, we believe that a strategic mix of national brand leads and targeted performance marketing leads will improve our marketing efficiency. We also utilize our national marketing efforts to feature our Sell Us Your Car® proposition to drive consumer sourcing of vehicles, which typically generate higher gross profit per unit when sold compared to other inventory sources.</w:t>
      </w:r>
    </w:p>
    <w:p>
      <w:pPr>
        <w:spacing w:after="0" w:line="189" w:lineRule="exact"/>
        <w:rPr>
          <w:sz w:val="20"/>
          <w:szCs w:val="20"/>
          <w:color w:val="auto"/>
        </w:rPr>
      </w:pPr>
    </w:p>
    <w:p>
      <w:pPr>
        <w:jc w:val="both"/>
        <w:ind w:right="140" w:firstLine="749"/>
        <w:spacing w:after="0"/>
        <w:rPr>
          <w:sz w:val="20"/>
          <w:szCs w:val="20"/>
          <w:color w:val="auto"/>
        </w:rPr>
      </w:pPr>
      <w:r>
        <w:rPr>
          <w:rFonts w:ascii="Arial" w:cs="Arial" w:eastAsia="Arial" w:hAnsi="Arial"/>
          <w:sz w:val="18"/>
          <w:szCs w:val="18"/>
          <w:color w:val="auto"/>
        </w:rPr>
        <w:t>We analyze visitor traffic and customer interaction with our platform to identify and correlate visitor behavior with sales conversion. Our analytics enable us to measure and monitor the ROI generated by our marketing placements, which we then use to optimize placement and spend across marketing channels to balance sales velocity and profitability.</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Data Science and Technology</w:t>
      </w:r>
    </w:p>
    <w:p>
      <w:pPr>
        <w:spacing w:after="0" w:line="220" w:lineRule="exact"/>
        <w:rPr>
          <w:sz w:val="20"/>
          <w:szCs w:val="20"/>
          <w:color w:val="auto"/>
        </w:rPr>
      </w:pPr>
    </w:p>
    <w:p>
      <w:pPr>
        <w:ind w:right="120" w:firstLine="749"/>
        <w:spacing w:after="0" w:line="236" w:lineRule="auto"/>
        <w:rPr>
          <w:sz w:val="20"/>
          <w:szCs w:val="20"/>
          <w:color w:val="auto"/>
        </w:rPr>
      </w:pPr>
      <w:r>
        <w:rPr>
          <w:rFonts w:ascii="Arial" w:cs="Arial" w:eastAsia="Arial" w:hAnsi="Arial"/>
          <w:sz w:val="18"/>
          <w:szCs w:val="18"/>
          <w:color w:val="auto"/>
        </w:rPr>
        <w:t>Technology and data science are at the core of everything we do, and all aspects of our business are enhanced by data science. We continuously experiment using A/B and multivariate testing methodologies to drive conversion, innovation and improved unit economics. As part of our long-term roadmap, we are expanding and continuously improving our access to data, using data science and machine learning across our business to achieve our four strategic initiatives. We use our proprietary technology, machine learning and data science models to optimize our vehicle pricing and assortment, improve vehicle gross profit per unit, optimize our marketing investments and conversion funnel, fine-tune our supply, sourcing and logistics models, streamline our reconditioning processes and optimize our overall inventory sales velocity.</w:t>
      </w:r>
    </w:p>
    <w:p>
      <w:pPr>
        <w:spacing w:after="0" w:line="193" w:lineRule="exact"/>
        <w:rPr>
          <w:sz w:val="20"/>
          <w:szCs w:val="20"/>
          <w:color w:val="auto"/>
        </w:rPr>
      </w:pPr>
    </w:p>
    <w:p>
      <w:pPr>
        <w:ind w:right="240" w:firstLine="749"/>
        <w:spacing w:after="0" w:line="238" w:lineRule="auto"/>
        <w:rPr>
          <w:sz w:val="20"/>
          <w:szCs w:val="20"/>
          <w:color w:val="auto"/>
        </w:rPr>
      </w:pPr>
      <w:r>
        <w:rPr>
          <w:rFonts w:ascii="Arial" w:cs="Arial" w:eastAsia="Arial" w:hAnsi="Arial"/>
          <w:sz w:val="18"/>
          <w:szCs w:val="18"/>
          <w:color w:val="auto"/>
        </w:rPr>
        <w:t>Our team of data scientists and engineers continuously extract and analyze additional information, processing millions of data points daily to create models that inform purchasing, pricing and market decisions, allowing us to understand price elasticity, and also allowing us to price a significant majority of the vehicles we acquire from consumers in just a few seconds. We adjust price as a function of overall market value trend, taking into account competitor inventory, market price fluctuations, and relative inventory advantages.</w:t>
      </w:r>
    </w:p>
    <w:p>
      <w:pPr>
        <w:spacing w:after="0" w:line="190"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Core to our underlying technology is the real-time collection of customer and inventory data. We analyze and act on the data in real time. As our systems collect new or updated incoming data signals, those signals are immediately available to downstream systems to trigger parallel event processes. Our technology supports multi-channel engagement with our customers, delivering consistent messaging via the web, in native apps and via email. In cases where customers need attention outside of our ecommerce experience, we provide customer assistance via phone.</w:t>
      </w:r>
    </w:p>
    <w:p>
      <w:pPr>
        <w:spacing w:after="0" w:line="192"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In addition, CarStory drives automotive retail innovation by aggregating, optimizing, and distributing current market data from thousands of automotive sources. CarStory tracks over three and a half million unique VINs listed for sale every day. This data is aggregated with demand insights from dealers and enterprise brands to generate accurate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920"/>
        <w:spacing w:after="0" w:line="245" w:lineRule="auto"/>
        <w:rPr>
          <w:sz w:val="20"/>
          <w:szCs w:val="20"/>
          <w:color w:val="auto"/>
        </w:rPr>
      </w:pPr>
      <w:r>
        <w:rPr>
          <w:rFonts w:ascii="Arial" w:cs="Arial" w:eastAsia="Arial" w:hAnsi="Arial"/>
          <w:sz w:val="18"/>
          <w:szCs w:val="18"/>
          <w:color w:val="auto"/>
        </w:rPr>
        <w:t>price and sales predictions. These predictions are further enhanced by CarStory's proprietary enhanced VIN database, ensuring a comprehensive and accurate view of a vehicle.</w:t>
      </w:r>
    </w:p>
    <w:p>
      <w:pPr>
        <w:spacing w:after="0" w:line="184" w:lineRule="exact"/>
        <w:rPr>
          <w:sz w:val="20"/>
          <w:szCs w:val="20"/>
          <w:color w:val="auto"/>
        </w:rPr>
      </w:pPr>
    </w:p>
    <w:p>
      <w:pPr>
        <w:ind w:right="240" w:firstLine="749"/>
        <w:spacing w:after="0" w:line="245" w:lineRule="auto"/>
        <w:rPr>
          <w:sz w:val="20"/>
          <w:szCs w:val="20"/>
          <w:color w:val="auto"/>
        </w:rPr>
      </w:pPr>
      <w:r>
        <w:rPr>
          <w:rFonts w:ascii="Arial" w:cs="Arial" w:eastAsia="Arial" w:hAnsi="Arial"/>
          <w:sz w:val="18"/>
          <w:szCs w:val="18"/>
          <w:color w:val="auto"/>
        </w:rPr>
        <w:t>We have also integrated UACC's underwriting platform into our ecommerce experience. The platform delivers instantaneous risk-adjusted pricing decisions by combining over 25 years of lending and servicing performance data.</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U.S. used vehicle market is highly fragmented. We face competition from a variety of sources, including the following:</w:t>
      </w:r>
    </w:p>
    <w:p>
      <w:pPr>
        <w:spacing w:after="0" w:line="305" w:lineRule="exact"/>
        <w:rPr>
          <w:sz w:val="20"/>
          <w:szCs w:val="20"/>
          <w:color w:val="auto"/>
        </w:rPr>
      </w:pPr>
    </w:p>
    <w:p>
      <w:pPr>
        <w:ind w:left="1020" w:right="3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dealerships, including traditional new and used car dealerships, large, national car dealers, such as CarMax and AutoNation, which have expanded into online sales, including “omni-channel” offerings, and used car dealers or marketplaces that have ecommerce business models or online platforms, such as Carvana, Shift or CarBravo;</w:t>
      </w:r>
    </w:p>
    <w:p>
      <w:pPr>
        <w:spacing w:after="0" w:line="93" w:lineRule="exact"/>
        <w:rPr>
          <w:rFonts w:ascii="Arial" w:cs="Arial" w:eastAsia="Arial" w:hAnsi="Arial"/>
          <w:sz w:val="18"/>
          <w:szCs w:val="18"/>
          <w:color w:val="auto"/>
        </w:rPr>
      </w:pPr>
    </w:p>
    <w:p>
      <w:pPr>
        <w:ind w:left="1020" w:right="720" w:hanging="504"/>
        <w:spacing w:after="0" w:line="24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automotive finance companies with online ecommerce businesses, such as Chase Auto Preferred and CapitalOne Auto Navigator;</w:t>
      </w:r>
    </w:p>
    <w:p>
      <w:pPr>
        <w:spacing w:after="0" w:line="89" w:lineRule="exact"/>
        <w:rPr>
          <w:rFonts w:ascii="Arial" w:cs="Arial" w:eastAsia="Arial" w:hAnsi="Arial"/>
          <w:sz w:val="18"/>
          <w:szCs w:val="18"/>
          <w:color w:val="auto"/>
        </w:rPr>
      </w:pPr>
    </w:p>
    <w:p>
      <w:pPr>
        <w:ind w:left="1020" w:right="440" w:hanging="504"/>
        <w:spacing w:after="0" w:line="24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peer-to-peer market, utilizing sites such as Facebook, Craigslist.com, eBay Motors and Nextdoor.com and consignment websites such as CarLotz; and</w:t>
      </w:r>
    </w:p>
    <w:p>
      <w:pPr>
        <w:spacing w:after="0" w:line="89" w:lineRule="exact"/>
        <w:rPr>
          <w:rFonts w:ascii="Arial" w:cs="Arial" w:eastAsia="Arial" w:hAnsi="Arial"/>
          <w:sz w:val="18"/>
          <w:szCs w:val="18"/>
          <w:color w:val="auto"/>
        </w:rPr>
      </w:pPr>
    </w:p>
    <w:p>
      <w:pPr>
        <w:ind w:left="1020" w:right="440" w:hanging="504"/>
        <w:spacing w:after="0" w:line="24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by rental car companies directly to consumers of used vehicles which were previously utilized in rental fleets, such as Enterprise Car Sales.</w:t>
      </w:r>
    </w:p>
    <w:p>
      <w:pPr>
        <w:spacing w:after="0" w:line="184" w:lineRule="exact"/>
        <w:rPr>
          <w:sz w:val="20"/>
          <w:szCs w:val="20"/>
          <w:color w:val="auto"/>
        </w:rPr>
      </w:pPr>
    </w:p>
    <w:p>
      <w:pPr>
        <w:ind w:right="40" w:firstLine="749"/>
        <w:spacing w:after="0" w:line="253" w:lineRule="auto"/>
        <w:rPr>
          <w:sz w:val="20"/>
          <w:szCs w:val="20"/>
          <w:color w:val="auto"/>
        </w:rPr>
      </w:pPr>
      <w:r>
        <w:rPr>
          <w:rFonts w:ascii="Arial" w:cs="Arial" w:eastAsia="Arial" w:hAnsi="Arial"/>
          <w:sz w:val="17"/>
          <w:szCs w:val="17"/>
          <w:color w:val="auto"/>
        </w:rPr>
        <w:t>Internet and online automotive sites could change their models to sell used vehicles and compete with us, such as Google, Amazon, AutoTrader.com, Edmunds.com, KBB.com, Autobytel.com, TrueCar.com, CarGurus and Cars.com. In addition, automobile manufacturers such as Ford and Volkswagen could change their sales models in a fashion similar to General Motors (with their platform CarBravo, a used-vehicle marketplace for General Motors-branded vehicles aimed at competing with online dealerships) or otherwise to better compete with our model through technology and infrastructure investments. While such enterprises may change their business models and endeavor to compete with us, the sale of used vehicles through ecommerce presents unique operational and technical challenges.</w:t>
      </w:r>
    </w:p>
    <w:p>
      <w:pPr>
        <w:spacing w:after="0" w:line="179"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We view our main competitors to be the traditional auto dealers, who make up the significant portion of U.S. used vehicle sales and are still operating under an outdated business model that is ripe for disruption. We believe the primary competitive factors in the used automotive retail industry include price, selection, transparency, convenience, quality and competitive financing and that our model provides a competitive advantage with respect to these and other factors.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Human Capital Management</w:t>
      </w:r>
    </w:p>
    <w:p>
      <w:pPr>
        <w:spacing w:after="0" w:line="220"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As of December 31, 2022, Vroom employed a total of 1,323 employees, of which 1,322 were full-time employees. The total consisted of 1,157 employees across 29 states in the United States and 166 employees based in Belgrade, Serbia, and does not include employees of United Auto Credit Corporation ("UACC"), which we acquired on February 1, 2022. Vroom employees are spread across reconditioning and logistics (23%), corporate functions (15%), transactional staff (34%), technical staff (including data and engineering) (16%) and sales and retail staff (12%). As of December 31, 2022, UACC employed a total of 683 employees, of which 671 were full-time employees. None of our employees is represented by a labor union. We consider our relationships with our employees to be good and have not experienced any interruptions of operations due to labor disagreements.</w:t>
      </w:r>
    </w:p>
    <w:p>
      <w:pPr>
        <w:spacing w:after="0" w:line="193"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In May 2022, in connection with our Realignment Plan, and in January 2023, as part of our continued focus on reducing variable and fixed costs as we pursue our long-term roadmap, we conducted reductions in force across the Vroom business. In 2022, we significantly improved our operations, specifically in our titling, registration and transaction processes, allowing us to now run these aspects of our business with fewer people. We further reduced Vroom's headcount in January 2023 by approximately 275 employees in pursuit of our three key objectives of prioritizing unit economics, reducing operating expenses and maximizing liquidity, as outlined in our long-term roadmap and based on a careful assessment of our business needs, key initiatives, and long-term success and profitable growth. These reductions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jc w:val="center"/>
        <w:ind w:right="420"/>
        <w:spacing w:after="0" w:line="469" w:lineRule="auto"/>
        <w:rPr>
          <w:sz w:val="20"/>
          <w:szCs w:val="20"/>
          <w:color w:val="auto"/>
        </w:rPr>
      </w:pPr>
      <w:r>
        <w:rPr>
          <w:rFonts w:ascii="Arial" w:cs="Arial" w:eastAsia="Arial" w:hAnsi="Arial"/>
          <w:sz w:val="18"/>
          <w:szCs w:val="18"/>
          <w:color w:val="auto"/>
        </w:rPr>
        <w:t xml:space="preserve">in force together reflected an approximately 50% reduction of Vroom employees and contractors (excluding UACC) since January 2022. </w:t>
      </w:r>
      <w:r>
        <w:rPr>
          <w:rFonts w:ascii="Arial" w:cs="Arial" w:eastAsia="Arial" w:hAnsi="Arial"/>
          <w:sz w:val="18"/>
          <w:szCs w:val="18"/>
          <w:b w:val="1"/>
          <w:bCs w:val="1"/>
          <w:color w:val="auto"/>
        </w:rPr>
        <w:t>Intellectual Property</w:t>
      </w:r>
    </w:p>
    <w:p>
      <w:pPr>
        <w:ind w:right="40" w:firstLine="749"/>
        <w:spacing w:after="0" w:line="237" w:lineRule="auto"/>
        <w:rPr>
          <w:sz w:val="20"/>
          <w:szCs w:val="20"/>
          <w:color w:val="auto"/>
        </w:rPr>
      </w:pPr>
      <w:r>
        <w:rPr>
          <w:rFonts w:ascii="Arial" w:cs="Arial" w:eastAsia="Arial" w:hAnsi="Arial"/>
          <w:sz w:val="18"/>
          <w:szCs w:val="18"/>
          <w:color w:val="auto"/>
        </w:rPr>
        <w:t>The protection of our technology and intellectual property is an important aspect of our business. We seek to protect our intellectual property rights, including our intellectual property rights in our technology, through trademark, trade secret and copyright law, as well as confidentiality agreements, procedures and other contractual commitments and other legal rights. We generally enter into confidentiality agreements and invention assignment agreements with our employees and consultants to control access to, and clarify ownership of, our proprietary information.</w:t>
      </w:r>
    </w:p>
    <w:p>
      <w:pPr>
        <w:spacing w:after="0" w:line="192"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As of the date of this Annual Report on Form 10-K, our CarStory business has 29 U.S. patents with expirations through 2039 and five pending U.S. patent applications, and Vroom has one pending provisional patent and may obtain patents in the future. We own 21 registrations for our trademarks in the United States for Vroom and UACC, collectively, with expirations through 2032, including Vroom®, V &amp; Design®, Get In®, Sell Us Your Car®, VroomProtect®, TDA®, DealerLane®, Texas Direct®, and United Auto Credit®; and we hold 50 registered trademarks in Colombia, Chile, Argentina, the European Union, the United Kingdom, Japan, Singapore, Mexico, Canada, South Korea and Peru for the Vroom® trademark with expirations through 2032 and have a number of pending applications to register Vroom trademarks in other foreign jurisdictions. We continually review our branding strategies and technology development efforts to assess the existence, registrability, and patentability of new intellectual property.</w:t>
      </w:r>
    </w:p>
    <w:p>
      <w:pPr>
        <w:spacing w:after="0" w:line="192"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Intellectual property laws, procedures and restrictions provide only limited protection and any of our intellectual property rights may be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 brands, or other intellectual property.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22222"/>
        </w:rPr>
        <w:t>Government Regulation</w:t>
      </w:r>
    </w:p>
    <w:p>
      <w:pPr>
        <w:spacing w:after="0" w:line="220" w:lineRule="exact"/>
        <w:rPr>
          <w:sz w:val="20"/>
          <w:szCs w:val="20"/>
          <w:color w:val="auto"/>
        </w:rPr>
      </w:pPr>
    </w:p>
    <w:p>
      <w:pPr>
        <w:ind w:right="20" w:firstLine="749"/>
        <w:spacing w:after="0" w:line="250" w:lineRule="auto"/>
        <w:rPr>
          <w:sz w:val="20"/>
          <w:szCs w:val="20"/>
          <w:color w:val="auto"/>
        </w:rPr>
      </w:pPr>
      <w:r>
        <w:rPr>
          <w:rFonts w:ascii="Arial" w:cs="Arial" w:eastAsia="Arial" w:hAnsi="Arial"/>
          <w:sz w:val="17"/>
          <w:szCs w:val="17"/>
          <w:color w:val="auto"/>
        </w:rPr>
        <w:t>Our business is and will continue to be subject to extensive U.S. federal, state and local laws and regulations. The advertising, sale, purchase, financing and transportation of used vehicles are regulated by every state in which we operate and by the U.S. federal government. The titling and registration of vehicles and the sale of value-added products also are regulated by state laws, and such laws can vary significantly from state to state. In addition, we are subject to regulations and laws specifically governing the internet and ecommerce and the collection, storage and use of personal information and other customer data. We are also subject to federal and state consumer protection laws, including prohibitions against unfair or deceptive acts or practices. The federal governmental agencies that regulate our business and have the authority to enforce such regulations and laws against us include agencies such as the U.S. Federal Trade Commission, the U.S. Department of Transportation, the U.S. Occupational Health and Safety Administration, the U.S. Department of Justice and the U.S. Federal Communications Commission. Additionally, we are subject to regulation by individual state dealer licensing authorities, state consumer protection agencies and state financial regulatory agencies. From time to time, we have been subject to audits, requests for information, investigations and other inquiries from our regulators related to customer complaints. As we encountered operational challenges in keeping up with our rapid growth from 2020 through the first quarter of 2022, we experienced an increase in customer complaints, leading to an increase in such regulatory inquiries. We endeavor to promptly respond to any such inquiries and cooperate with our regulators.</w:t>
      </w:r>
    </w:p>
    <w:p>
      <w:pPr>
        <w:spacing w:after="0" w:line="185"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State dealer licensing authorities regulate the purchase and sale of used vehicles by dealers within their respective states. The applicability of these regulatory and legal compliance obligations to our ecommerce business is dependent on evolving interpretations of these laws and regulations and how our operations are, or are not, subject to them. We are licensed as a dealer in the States of Texas, Florida, Arizona, California and Ohio and all of our vehicle transactions are conducted under our Texas, Florida and Arizona and Ohio licenses. We believe that our activities in other states are not subject to such states’ vehicle dealer licensing laws; however, regulators in such states could seek to require us to maintain a used vehicle dealer license in order to engage in activities in that state. In addition, we may obtain a used vehicle dealer license in certain additional states to maximize operational flexibility and efficiency, enhance our customer experience and invest in relationships with state regulators.</w:t>
      </w:r>
    </w:p>
    <w:p>
      <w:pPr>
        <w:spacing w:after="0" w:line="192" w:lineRule="exact"/>
        <w:rPr>
          <w:sz w:val="20"/>
          <w:szCs w:val="20"/>
          <w:color w:val="auto"/>
        </w:rPr>
      </w:pPr>
    </w:p>
    <w:p>
      <w:pPr>
        <w:ind w:right="100" w:firstLine="749"/>
        <w:spacing w:after="0" w:line="238" w:lineRule="auto"/>
        <w:rPr>
          <w:sz w:val="20"/>
          <w:szCs w:val="20"/>
          <w:color w:val="auto"/>
        </w:rPr>
      </w:pPr>
      <w:r>
        <w:rPr>
          <w:rFonts w:ascii="Arial" w:cs="Arial" w:eastAsia="Arial" w:hAnsi="Arial"/>
          <w:sz w:val="18"/>
          <w:szCs w:val="18"/>
          <w:color w:val="auto"/>
        </w:rPr>
        <w:t>Most states regulate retail installment sales, including setting a maximum interest rate and caps on certain fees or amounts financed. In addition, certain states require that retail installment sellers file a notice or registration document or have a sales finance license or an installment sellers license in order to solicit or originate installment sales in that state. We have obtained a motor vehicle sales finance license in Texas in connection with our Texas dealer license, a retail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installment seller license in Florida in connection with our Florida dealer license, and filed the required notice in Arizona in connection with our Arizona dealer license. The financial regulatory agency in Pennsylvania determined that we need to obtain an installment seller license in order to enter into retail installment sales with residents of Pennsylvania. As a result, we are not currently offering third-party financing to our customers in Pennsylvania, who must obtain independent financing to the extent needed to fund any vehicle purchases on our platform. We have since obtained a Pennsylvania installment seller license and expect to resume offering financing to Pennsylvania customers in the future. We also are registered with the Indiana Department of Financial Regulation as a non-lender credit seller.</w:t>
      </w:r>
    </w:p>
    <w:p>
      <w:pPr>
        <w:spacing w:after="0" w:line="189"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We are not operating in the Commonwealth of Massachusetts due to its prohibition on the use of temporary tags, which we typically provide to our customers upon delivery.</w:t>
      </w:r>
    </w:p>
    <w:p>
      <w:pPr>
        <w:spacing w:after="0" w:line="184"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In addition, the ongoing expansion of our proprietary logistics operations exposes us to greater regulation from the U.S. Department of Transportation and state transportation regulators.</w:t>
      </w:r>
    </w:p>
    <w:p>
      <w:pPr>
        <w:spacing w:after="0" w:line="184" w:lineRule="exact"/>
        <w:rPr>
          <w:sz w:val="20"/>
          <w:szCs w:val="20"/>
          <w:color w:val="auto"/>
        </w:rPr>
      </w:pPr>
    </w:p>
    <w:p>
      <w:pPr>
        <w:ind w:right="120" w:firstLine="749"/>
        <w:spacing w:after="0" w:line="254" w:lineRule="auto"/>
        <w:rPr>
          <w:sz w:val="20"/>
          <w:szCs w:val="20"/>
          <w:color w:val="auto"/>
        </w:rPr>
      </w:pPr>
      <w:r>
        <w:rPr>
          <w:rFonts w:ascii="Arial" w:cs="Arial" w:eastAsia="Arial" w:hAnsi="Arial"/>
          <w:sz w:val="17"/>
          <w:szCs w:val="17"/>
          <w:color w:val="auto"/>
        </w:rPr>
        <w:t>UACC's financing operations are subject to U.S. federal, state, and local laws and regulations regarding loan origination, acquiring motor vehicle installment sales contracts from retail sellers, credit bureau reporting, servicing, debt collection practices, and securitization transactions. Certain states require UACC to have a sales finance license, consumer credit license, or similar applicable license. UACC has obtained licenses in all states as required. In addition, UACC is subject to enforcement by the Consumer Financial Protection Bureau (“CFPB”) and state consumer protection agencies, including state attorney general offices and state financial regulatory agencies.</w:t>
      </w:r>
    </w:p>
    <w:p>
      <w:pPr>
        <w:spacing w:after="0" w:line="179"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In addition to these laws and regulations that apply specifically to the sale and financing of used vehicles, our facilities and business operations are subject to laws and regulations relating to environmental protection, occupational health and safety, and other broadly applicable business regulations. We also are subject to laws and regulations involving taxes, tariffs, privacy and data security, anti-spam, pricing, content protection, electronic contracts and communications, mobile communications, consumer protection, information-reporting requirements, unencumbered internet access to our platform, the design and operation of websites and internet neutrality. We also are subject to laws and regulations affecting public companies, including securities laws and Nasdaq listing rules.</w:t>
      </w:r>
    </w:p>
    <w:p>
      <w:pPr>
        <w:spacing w:after="0" w:line="189"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Additionally, we have in the past been subject to federal, state and local laws and regulations, and other government actions related to the COVID-19 pandemic, and may be subject to them in the future, including in. the event of any resurgences or the emergence of new variants.</w:t>
      </w:r>
    </w:p>
    <w:p>
      <w:pPr>
        <w:spacing w:after="0" w:line="188"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For a discussion of the various risks we face from regulation and compliance matters, see “Risk Factors—Risks Related to Cybersecurity and Privacy—Failure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 “Risk Factors—Risks Related to Laws and Regulations——We operate in a highly regulated industry and are subject to a wide range of federal, state and local laws and regulations. Failure to comply with these laws and regulations could have a material adverse effect on our business, financial condition and results of operations”; “—If we fail to comply with the Telephone Consumer Protection Act, we may face significant damages, which could harm our business, financial condition and results of operations”; “—Government regulation of the internet and ecommerce is evolving, and unfavorable changes or failure by us to comply with these regulations could substantially harm our business, financial condition and results of operations”; “Risk Factors—Risks Related to Our Use of Data and Technology—We are subject to risks related to online payment methods”; “Risk Factors—Risks Related to Our Growth and Strategy—We are optimizing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 and “Risk Factors—General Risk Factors—The full extent of the impact of the COVID-19 pandemic, including the emergence of variants or any other resurgences, is uncertain.”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w:t>
      </w:r>
    </w:p>
    <w:p>
      <w:pPr>
        <w:spacing w:after="0" w:line="220"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Used vehicle sales are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In line with these macro trends, our gross profit per unit has historically been higher in the first half of the year when compared to the second half of the year. See “Risk Factors—Risks Related to Our Financial Condition and Results of Operations—We may experience seasonal and other fluctuations in our quarterly results of operations, which may not fully reflect the underlying performance of our business.”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Available Information</w:t>
      </w:r>
    </w:p>
    <w:p>
      <w:pPr>
        <w:spacing w:after="0" w:line="220" w:lineRule="exact"/>
        <w:rPr>
          <w:sz w:val="20"/>
          <w:szCs w:val="20"/>
          <w:color w:val="auto"/>
        </w:rPr>
      </w:pPr>
    </w:p>
    <w:p>
      <w:pPr>
        <w:ind w:right="140" w:firstLine="749"/>
        <w:spacing w:after="0" w:line="237" w:lineRule="auto"/>
        <w:rPr>
          <w:sz w:val="20"/>
          <w:szCs w:val="20"/>
          <w:color w:val="auto"/>
        </w:rPr>
      </w:pPr>
      <w:r>
        <w:rPr>
          <w:rFonts w:ascii="Arial" w:cs="Arial" w:eastAsia="Arial" w:hAnsi="Arial"/>
          <w:sz w:val="18"/>
          <w:szCs w:val="18"/>
          <w:color w:val="auto"/>
        </w:rPr>
        <w:t>Our website address is www.vroom.com. The information contained on, or that can be accessed through, our website is deemed not to be incorporated in this Annual Report on Form 10-K or to be part of this Annual Report on Form 10-K or any other report filed with the SEC. Our Annual Report on Form 10-K, Quarterly Reports on Form 10-Q and Current Reports on Form 8-K, as well as any amendments to those reports, are available free of charge through our website as soon as reasonably practicable after we file them with, or furnish them to, the SEC. The SEC maintains a website at www.sec.gov that contains reports, proxy statements, and other information regarding SEC registrants, including Vroom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An investment in our common stock involves a high degree of risk. You should consider carefully the risks and uncertainties described below, together with the financial and other information contained in this Annual Report on Form 10-K, before you decide to purchase shares of our common stock. The risks and uncertainties described below are not the only ones we face. Additional risks and uncertainties that we are unaware of, or that we currently believe are not material or important, may also become material or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Condition and Results of Operations</w:t>
      </w:r>
    </w:p>
    <w:p>
      <w:pPr>
        <w:spacing w:after="0" w:line="19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Despite the cost saving measures, reduced growth rates and increased focus on liquidity and profitability contemplated by our Realignment Plan and long-term roadmap, we may need to raise additional capital through debt or equity financings to achieve our business objectives and there can be no assurance that such financings will be available in amounts or on terms acceptable to us, if at all.</w:t>
      </w:r>
    </w:p>
    <w:p>
      <w:pPr>
        <w:spacing w:after="0" w:line="185" w:lineRule="exact"/>
        <w:rPr>
          <w:sz w:val="20"/>
          <w:szCs w:val="20"/>
          <w:color w:val="auto"/>
        </w:rPr>
      </w:pPr>
    </w:p>
    <w:p>
      <w:pPr>
        <w:ind w:right="20" w:firstLine="749"/>
        <w:spacing w:after="0" w:line="235" w:lineRule="auto"/>
        <w:rPr>
          <w:sz w:val="20"/>
          <w:szCs w:val="20"/>
          <w:color w:val="auto"/>
        </w:rPr>
      </w:pPr>
      <w:r>
        <w:rPr>
          <w:rFonts w:ascii="Arial" w:cs="Arial" w:eastAsia="Arial" w:hAnsi="Arial"/>
          <w:sz w:val="18"/>
          <w:szCs w:val="18"/>
          <w:color w:val="auto"/>
        </w:rPr>
        <w:t>As of December 31, 2022, we had cash and cash equivalents of $398.9 million. In May 2022, we adopted the Business Realignment Plan (the “Realignment Plan”) and thereafter adopted our long-term roadmap, each of which was designed to prioritize unit economics, reduce operating expenses and maximize liquidity. Nevertheless, our future capital requirements will depend on many factors, including our revenues, our continued efforts to reduce operating expenses, costs associated with the ongoing integration of UACC and its development into a captive financing operation, investments in our reconditioning, logistics and customer experience operations, UACC’s ability to complete additional securitization transactions, and our ability to free up restricted cash. We may be required to seek additional equity or debt financing in the future to fund our operations or to fund our needs for capital expenditures, however, there can be no assurance that such financing will be available in amounts or on terms acceptable to us, if at all. Failure to reduce our cash burn rate, free up restricted cash, generate sufficient revenues, reduce operating costs and/or raise additional capital through debt or equity financings, could have a material adverse effect on our ability to meet our short and long-term liquidity needs and achieve our intended long-term business objectives. See “We may require additional capital to pursue our business objectives and respond to business opportunities, challenges or unforeseen circumstances. If such capital is not available to us, our business, financial condition and results of operations may be materially and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achieve or maintain profitability in the future.</w:t>
      </w:r>
    </w:p>
    <w:p>
      <w:pPr>
        <w:spacing w:after="0" w:line="220"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We have not been profitable since our inception in 2012 and had an accumulated deficit of approximately $1,600.7 million as of December 31, 2022. We incurred net losses of $451.9 million and $370.9 million for the years ended December 31, 2022 and 2021, respectively. We may incur significant losses in the future for a number of reasons, including our inability to reduce costs and increase per unit profitability in accordance with our long-term roadmap, acquire and appropriately price vehicle inventory, provide the exceptional customer experience needed to attract customers, or identify and respond to emerging trends in the used car industry; a slowdown in demand for used vehicles and our related value-added products; weakness in the automotive retail industry generally; general economic conditions, including rising interest rates and inflation; global pandemics and other public health emergencies; and increasing competition, as well as other risks described in this Annual Report on Form 10-K, and we may encounter unforeseen expenses, difficulties, complications and delays in achieving profitability.</w:t>
      </w:r>
    </w:p>
    <w:p>
      <w:pPr>
        <w:spacing w:after="0" w:line="191"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While we have reduced fixed and variable operating expenses through the implementation of our Realignment Plan, we expect to continue incurring significant operating expenses as we invest in the UACC business and develop it into a captive finance operation, invest in our proprietary logistics operations, expand our reconditioning capacity, expand our internal sales force, continue certain advertising and marketing efforts to attract customers to our platform and build our brand, continue to invest in technology development and automating key portions of our sales operations and further regionalize our operating infrastructure in accordance with our long-term roadmap. In addition, we anticipate an increase in legal and regulatory costs associated with our operational challenges, as well as continued legal, accounting, compliance and other expenses as a public company. As a result of these expenditures, we will have to generate and sustain revenue sufficient to offset our operating expenses and achieve and maintain profitability. In addition, if we reduce variable costs to respond to losses, this may limit our ability to grow our sales volume and revenues. Our ecommerce gross profit per unit increased by $339, or 15.4%, from the year ended December 31, 2021 to December 31, 2022. To reduce our losses, we will need to increase our gross profit per unit by lowering our costs per unit by, among other things,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focusing on our regional operating model, increasing efficiencies in reconditioning and logistics, and reducing transaction and support expenses, which we may be unable to do. Accordingly, we may not achieve or maintain profitability and we may continue to incur significant losses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revenue to generate positive cash flow on a sustained basis.</w:t>
      </w:r>
    </w:p>
    <w:p>
      <w:pPr>
        <w:spacing w:after="0" w:line="220"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 xml:space="preserve">We cannot assure you that we will generate sufficient revenue to offset the cost of maintaining our platform and operations. In line with the reduced unit sales contemplated by our Realignment Plan, our revenue has declined from $ 3,184.3 million for the year ended December 31, 2021 to $1,948.9 million for the year ended December 31, 2022. Our revenue growth also may be adversely affected by our inability to acquire and appropriately price vehicle inventory, provide the exceptional customer experience needed to attract customers, or execute effective marketing campaigns to increase traffic to our platform; a slowdown in demand for used vehicles and our related value-added products; weakness in the automotive retail industry generally; general economic conditions, including rising interest rates and inflation; global pandemics and other public health emergencies; and increasing competition. </w:t>
      </w:r>
      <w:r>
        <w:rPr>
          <w:rFonts w:ascii="Arial" w:cs="Arial" w:eastAsia="Arial" w:hAnsi="Arial"/>
          <w:sz w:val="18"/>
          <w:szCs w:val="18"/>
          <w:color w:val="222222"/>
        </w:rPr>
        <w:t>We expect our revenue to decline in the short</w:t>
      </w:r>
      <w:r>
        <w:rPr>
          <w:rFonts w:ascii="Arial" w:cs="Arial" w:eastAsia="Arial" w:hAnsi="Arial"/>
          <w:sz w:val="18"/>
          <w:szCs w:val="18"/>
          <w:color w:val="auto"/>
        </w:rPr>
        <w:t xml:space="preserve"> </w:t>
      </w:r>
      <w:r>
        <w:rPr>
          <w:rFonts w:ascii="Arial" w:cs="Arial" w:eastAsia="Arial" w:hAnsi="Arial"/>
          <w:sz w:val="18"/>
          <w:szCs w:val="18"/>
          <w:color w:val="222222"/>
        </w:rPr>
        <w:t xml:space="preserve">term as we implement our long-term roadmap. </w:t>
      </w:r>
      <w:r>
        <w:rPr>
          <w:rFonts w:ascii="Arial" w:cs="Arial" w:eastAsia="Arial" w:hAnsi="Arial"/>
          <w:sz w:val="18"/>
          <w:szCs w:val="18"/>
          <w:color w:val="000000"/>
        </w:rPr>
        <w:t>You should not consider our historical revenue growth as indicative of our future performance.</w:t>
      </w:r>
      <w:r>
        <w:rPr>
          <w:rFonts w:ascii="Arial" w:cs="Arial" w:eastAsia="Arial" w:hAnsi="Arial"/>
          <w:sz w:val="18"/>
          <w:szCs w:val="18"/>
          <w:color w:val="222222"/>
        </w:rPr>
        <w:t xml:space="preserve"> </w:t>
      </w:r>
      <w:r>
        <w:rPr>
          <w:rFonts w:ascii="Arial" w:cs="Arial" w:eastAsia="Arial" w:hAnsi="Arial"/>
          <w:sz w:val="18"/>
          <w:szCs w:val="18"/>
          <w:color w:val="000000"/>
        </w:rPr>
        <w:t>If our revenue declines beyond what is contemplated, our business, financial condition and results of operations will be materially and adversely affected.</w:t>
      </w:r>
    </w:p>
    <w:p>
      <w:pPr>
        <w:spacing w:after="0" w:line="190"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Further, going forward we expect to continue making significant investments to further develop our business, and these investments may not result in increased revenue or growth on a timely basis or at all. For example, we expect to continue to expend substantial financial and other resources on developing our captive finance operation, expanding our internal sales force, continuing certain marketing and other efforts to acquire and retain customers and build our brand, improving our customer experience operations, developing our technology and data science capabilities, adding new features and functionality to our website and mobile applications and expanding of our proprietary reconditioning and logistics operations. These investments may not result in increased revenue or growth in our business. If we cannot successfully earn revenue at a rate that exceeds the costs associated with our business, we will not be able to generate positive cash flow on a sustained basis and our revenue may decline beyond what is contemplated by our long-term roadmap. Additionally, we base our expenses and investment plans on our estimates of revenue and gross profit. If our assumptions prove to be wrong, we may spend more than we anticipate or may generate less revenue than anticipated. If we fail to realize the anticipated benefits of our investments, our business, financial condition and results of operations could be materially and adversely affected.</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We recognized an impairment charge related to goodwill. If our amortizable intangible assets or long lived assets become impaired in the future, we would incur additional impairment charges, which would negatively affect our operating results.</w:t>
      </w:r>
    </w:p>
    <w:p>
      <w:pPr>
        <w:spacing w:after="0" w:line="161" w:lineRule="exact"/>
        <w:rPr>
          <w:sz w:val="20"/>
          <w:szCs w:val="20"/>
          <w:color w:val="auto"/>
        </w:rPr>
      </w:pPr>
    </w:p>
    <w:p>
      <w:pPr>
        <w:ind w:right="120" w:firstLine="749"/>
        <w:spacing w:after="0" w:line="236" w:lineRule="auto"/>
        <w:rPr>
          <w:sz w:val="20"/>
          <w:szCs w:val="20"/>
          <w:color w:val="auto"/>
        </w:rPr>
      </w:pPr>
      <w:r>
        <w:rPr>
          <w:rFonts w:ascii="Arial" w:cs="Arial" w:eastAsia="Arial" w:hAnsi="Arial"/>
          <w:sz w:val="18"/>
          <w:szCs w:val="18"/>
          <w:color w:val="auto"/>
        </w:rPr>
        <w:t>Our goodwill was fully impaired as of December 31, 2022. However, if our amortizable intangible assets or long lived assets become impaired in the future, we would incur additional impairment charges, which would negatively affect our results of operations. There is significant judgment required in the analysis of a potential impairment of identified intangible assets and other long-lived assets. Impairment may result from, among other things, significant changes in the manner of use of the acquired assets, negative industry or economic trends and/or significant underperformance relative to historic or projected operating results. As of March 31, 2022, a quantitative interim goodwill impairment assessment was performed over the Company's reporting units, due to the decline in the Company's and comparable companies' stock prices. The Company determined that the estimated fair value of the Ecommerce, Wholesale, and TDA reporting units was less than their carrying amounts. The Company recorded a goodwill impairment charge of $201.7 million in the consolidated statements of operations for the year ended December 31, 2022. See Note 8 to the Company’s Consolidated Financial Statements.</w:t>
      </w:r>
    </w:p>
    <w:p>
      <w:pPr>
        <w:spacing w:after="0" w:line="168" w:lineRule="exact"/>
        <w:rPr>
          <w:sz w:val="20"/>
          <w:szCs w:val="20"/>
          <w:color w:val="auto"/>
        </w:rPr>
      </w:pPr>
    </w:p>
    <w:p>
      <w:pPr>
        <w:ind w:right="340"/>
        <w:spacing w:after="0" w:line="301"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138"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As of December 31, 2022, we had outstanding $277.0 million aggregate principal amount of borrowings under our 2022 Vehicle Floorplan Facility and $365.8 million aggregate principal amount of our 0.75% Convertible Senior Notes due 2026 (the "Notes"). Our interest expense was $26.8 million for the year ended December 31, 2022, related to the 2022 Vehicle Floorplan Facility. In addition, as of December 31, 2022, UACC had $79.8 million of securitization indebtedness as well as four senior secured warehouse facility agreements the (“Warehouse Credit Facilities”) with banking institutions, with an aggregate borrowing limit of $850.0 million. As of December 31, 2022, there was $229.5 million in outstanding</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borrowings related to the Warehouse Credit Facilities. In 2022, we repurchased $254.3 million in aggregate principal amount of our Notes, net of deferred issuance costs of $4.9 million, in open market transactions for $ 90.2 million. Subject to market conditions and availability, we may continue to opportunistically repurchase Notes from time to time to reduce our outstanding indebtedness at a discount. However, we may be unable to repay, restructure or refinance the remaining Notes.</w:t>
      </w:r>
    </w:p>
    <w:p>
      <w:pPr>
        <w:spacing w:after="0" w:line="190"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Any failure to make payments of interest and principal on our outstanding indebtedness on a timely basis or failure to comply with certain restrictions in our debt instruments would result in a default under our debt instruments. In the event of a default under any of our current or future debt instruments, the lenders could elect to declare all amounts outstanding under such debt instruments to be due and payable. Furthermore, our 2022 Vehicle Floorplan Facility restricts our ability to dispose of assets and/or use the proceeds from the disposition. We may not be able to consummate any such dispositions or to obtain the proceeds that we could realize from them and these proceeds may not be adequate to meet any debt service obligations then due.</w:t>
      </w:r>
    </w:p>
    <w:p>
      <w:pPr>
        <w:spacing w:after="0" w:line="188"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In addition, our indebtedness under our 2022 Vehicle Floorplan Facility bears interest at variable rates. Because we have variable rate debt, fluctuations in interest rates may affect our cash flows or business, financial condition and results of operations. In light of the Federal Reserve's recent increases to the federal funds rate and expectations of future rate increases, we expect to pay higher interest under our 2022 Vehicle Floorplan Facility and incur higher interest expense in 2023 compared to 2022. The 2022 Vehicle Floorplan Facility has higher interest rates than our prior facility, and any future funding arrangements may be at higher interest rates or subject to other less favorable terms. We may attempt to minimize interest rate risk and lower our overall borrowing costs through the utilization of derivative financial instruments, primarily interest rate swaps.</w:t>
      </w:r>
    </w:p>
    <w:p>
      <w:pPr>
        <w:spacing w:after="0" w:line="171" w:lineRule="exact"/>
        <w:rPr>
          <w:sz w:val="20"/>
          <w:szCs w:val="20"/>
          <w:color w:val="auto"/>
        </w:rPr>
      </w:pPr>
    </w:p>
    <w:p>
      <w:pPr>
        <w:ind w:right="520"/>
        <w:spacing w:after="0" w:line="301" w:lineRule="auto"/>
        <w:rPr>
          <w:sz w:val="20"/>
          <w:szCs w:val="20"/>
          <w:color w:val="auto"/>
        </w:rPr>
      </w:pPr>
      <w:r>
        <w:rPr>
          <w:rFonts w:ascii="Arial" w:cs="Arial" w:eastAsia="Arial" w:hAnsi="Arial"/>
          <w:sz w:val="17"/>
          <w:szCs w:val="17"/>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38" w:lineRule="exact"/>
        <w:rPr>
          <w:sz w:val="20"/>
          <w:szCs w:val="20"/>
          <w:color w:val="auto"/>
        </w:rPr>
      </w:pPr>
    </w:p>
    <w:p>
      <w:pPr>
        <w:ind w:right="540" w:firstLine="749"/>
        <w:spacing w:after="0"/>
        <w:rPr>
          <w:sz w:val="20"/>
          <w:szCs w:val="20"/>
          <w:color w:val="auto"/>
        </w:rPr>
      </w:pPr>
      <w:r>
        <w:rPr>
          <w:rFonts w:ascii="Arial" w:cs="Arial" w:eastAsia="Arial" w:hAnsi="Arial"/>
          <w:sz w:val="18"/>
          <w:szCs w:val="18"/>
          <w:color w:val="auto"/>
        </w:rPr>
        <w:t>As of December 31, 2022, we, including our subsidiaries, had approximately $955.9 million principal amount of consolidated indebtedness. We may incur additional indebtedness to meet future financing needs. Our indebtedness could have significant negative consequences for our security holders and our business, results of operations and financial condition by, among other things:</w:t>
      </w:r>
    </w:p>
    <w:p>
      <w:pPr>
        <w:spacing w:after="0" w:line="94" w:lineRule="exact"/>
        <w:rPr>
          <w:sz w:val="20"/>
          <w:szCs w:val="20"/>
          <w:color w:val="auto"/>
        </w:rPr>
      </w:pPr>
    </w:p>
    <w:p>
      <w:pPr>
        <w:ind w:left="2040" w:hanging="505"/>
        <w:spacing w:after="0"/>
        <w:tabs>
          <w:tab w:leader="none" w:pos="2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16" w:lineRule="exact"/>
        <w:rPr>
          <w:rFonts w:ascii="Arial" w:cs="Arial" w:eastAsia="Arial" w:hAnsi="Arial"/>
          <w:sz w:val="18"/>
          <w:szCs w:val="18"/>
          <w:color w:val="auto"/>
        </w:rPr>
      </w:pPr>
    </w:p>
    <w:p>
      <w:pPr>
        <w:ind w:left="2040" w:hanging="505"/>
        <w:spacing w:after="0"/>
        <w:tabs>
          <w:tab w:leader="none" w:pos="2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16" w:lineRule="exact"/>
        <w:rPr>
          <w:rFonts w:ascii="Arial" w:cs="Arial" w:eastAsia="Arial" w:hAnsi="Arial"/>
          <w:sz w:val="18"/>
          <w:szCs w:val="18"/>
          <w:color w:val="auto"/>
        </w:rPr>
      </w:pPr>
    </w:p>
    <w:p>
      <w:pPr>
        <w:ind w:left="2040" w:right="60" w:hanging="505"/>
        <w:spacing w:after="0"/>
        <w:tabs>
          <w:tab w:leader="none" w:pos="2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 including the successful execution of our long-term roadmap;</w:t>
      </w:r>
    </w:p>
    <w:p>
      <w:pPr>
        <w:spacing w:after="0" w:line="93" w:lineRule="exact"/>
        <w:rPr>
          <w:rFonts w:ascii="Arial" w:cs="Arial" w:eastAsia="Arial" w:hAnsi="Arial"/>
          <w:sz w:val="18"/>
          <w:szCs w:val="18"/>
          <w:color w:val="auto"/>
        </w:rPr>
      </w:pPr>
    </w:p>
    <w:p>
      <w:pPr>
        <w:ind w:left="2040" w:hanging="505"/>
        <w:spacing w:after="0"/>
        <w:tabs>
          <w:tab w:leader="none" w:pos="2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16" w:lineRule="exact"/>
        <w:rPr>
          <w:rFonts w:ascii="Arial" w:cs="Arial" w:eastAsia="Arial" w:hAnsi="Arial"/>
          <w:sz w:val="18"/>
          <w:szCs w:val="18"/>
          <w:color w:val="auto"/>
        </w:rPr>
      </w:pPr>
    </w:p>
    <w:p>
      <w:pPr>
        <w:ind w:left="2040" w:hanging="505"/>
        <w:spacing w:after="0" w:line="245" w:lineRule="auto"/>
        <w:tabs>
          <w:tab w:leader="none" w:pos="2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diluting the interests of our existing stockholders as a result of issuing shares of our common stock upon conversion of our Notes due 2026; and</w:t>
      </w:r>
    </w:p>
    <w:p>
      <w:pPr>
        <w:spacing w:after="0" w:line="89" w:lineRule="exact"/>
        <w:rPr>
          <w:rFonts w:ascii="Arial" w:cs="Arial" w:eastAsia="Arial" w:hAnsi="Arial"/>
          <w:sz w:val="18"/>
          <w:szCs w:val="18"/>
          <w:color w:val="auto"/>
        </w:rPr>
      </w:pPr>
    </w:p>
    <w:p>
      <w:pPr>
        <w:ind w:left="2040" w:right="240" w:hanging="505"/>
        <w:spacing w:after="0" w:line="245" w:lineRule="auto"/>
        <w:tabs>
          <w:tab w:leader="none" w:pos="2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84" w:lineRule="exact"/>
        <w:rPr>
          <w:sz w:val="20"/>
          <w:szCs w:val="20"/>
          <w:color w:val="auto"/>
        </w:rPr>
      </w:pPr>
    </w:p>
    <w:p>
      <w:pPr>
        <w:ind w:right="140" w:firstLine="749"/>
        <w:spacing w:after="0" w:line="237"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or to pay amounts due under our indebtedness, and our cash needs may increase in the future. In addition, our existing indebtedness contains, and any future indebtedness that we may incur may contain, financial and other restrictive covenants that may limit our ability to operate our business, raise capital or make payments under our other indebtedness. For example, the delisting of our common stock from the Nasdaq Global Select Market would constitute a fundamental change under the terms of our Indenture and make our Notes redeemable at par upon delisting. If we fail 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comply with these covenants or to make payments under our indebtedness when due, then we would be in default under that indebtedness, which could, in turn, result in that and our other indebtedness becoming immediately payable in full.</w:t>
      </w:r>
    </w:p>
    <w:p>
      <w:pPr>
        <w:spacing w:after="0" w:line="16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i w:val="1"/>
          <w:iCs w:val="1"/>
          <w:color w:val="auto"/>
        </w:rPr>
        <w:t>We may require additional capital to pursue our business objectives and respond to business opportunities, challenges or unforeseen circumstances. If such capital is not available to us, our business, financial condition and results of operations may be materially and adversely affected.</w:t>
      </w:r>
    </w:p>
    <w:p>
      <w:pPr>
        <w:spacing w:after="0" w:line="179" w:lineRule="exact"/>
        <w:rPr>
          <w:sz w:val="20"/>
          <w:szCs w:val="20"/>
          <w:color w:val="auto"/>
        </w:rPr>
      </w:pPr>
    </w:p>
    <w:p>
      <w:pPr>
        <w:ind w:firstLine="749"/>
        <w:spacing w:after="0" w:line="250" w:lineRule="auto"/>
        <w:rPr>
          <w:sz w:val="20"/>
          <w:szCs w:val="20"/>
          <w:color w:val="auto"/>
        </w:rPr>
      </w:pPr>
      <w:r>
        <w:rPr>
          <w:rFonts w:ascii="Arial" w:cs="Arial" w:eastAsia="Arial" w:hAnsi="Arial"/>
          <w:sz w:val="17"/>
          <w:szCs w:val="17"/>
          <w:color w:val="auto"/>
        </w:rPr>
        <w:t>We may require additional capital to pursue our business objectives and respond to business opportunities, challenges or unforeseen circumstances, including to successfully execute on our long-term roadmap, make certain marketing expenditures to improve our brand awareness, build and maintain our inventory of used vehicles, develop our captive finance operation, expand our internal sales force, improve our customer experience operations, develop new products or services or further improve existing products and services, expand and enhance our operating and proprietary logistics and reconditioning infrastructure and acquire complementary businesses and technologies. Accordingly, we may need to engage in additional equity or debt financings at the Vroom or UACC level to secure additional funds to satisfy our short or long term liquidity needs. However, additional funds may not be available when we need them, on terms that are acceptable to us, or at all. Moreover, any debt financing that we secure in the future could involve restrictive covenants which may make it more difficult for us to obtain additional capital and to pursue business opportunities. Volatility in the credit markets may also have an adverse effect on our ability to obtain debt financing.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If we are unable to obtain adequate financing or financing on terms satisfactory to us when we require it, we may be forced to obtain financing on undesirable terms or our ability to continue to pursue our business objectives, including to successfully execute our long-term roadmap, and to respond to business opportunities, challenges or unforeseen circumstances, could be significantly limited, and our business, financial condition and results of operations could be materially and adversely affected.</w:t>
      </w:r>
    </w:p>
    <w:p>
      <w:pPr>
        <w:spacing w:after="0" w:line="160"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b w:val="1"/>
          <w:bCs w:val="1"/>
          <w:i w:val="1"/>
          <w:iCs w:val="1"/>
          <w:color w:val="auto"/>
        </w:rPr>
        <w:t>We currently rely on an agreement with a single lender to finance our vehicle inventory purchases under our 2022 Vehicle Floorplan Facility. If our relationship with this lender were to terminate, and we fail to acquire alternative sources of funding to finance our vehicle inventory purchases, we may be unable to maintain sufficient inventory, which would adversely affect our business, financial condition and results of operations.</w:t>
      </w:r>
    </w:p>
    <w:p>
      <w:pPr>
        <w:spacing w:after="0" w:line="185"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We rely on a revolving credit agreement with a single lender to finance our vehicle inventory purchases under our 2022 Vehicle Floorplan Facility. Outstanding borrowings are due as financed vehicles are sold, and the 2022 Vehicle Floorplan Facility is secured by our vehicle inventory and certain other assets. If we are unable to maintain our 2022 Vehicle Floorplan Facility, which expires in March 2024, absent renewal, on favorable terms or at all, or if the agreement is terminated or expires and is not renewed with our existing third-party lender or we are unable to find a satisfactory replacement, our inventory supply may decline, resulting in fewer vehicles available for sale on our website. Moreover, the 2022 Vehicle Floorplan Facility has higher interest rates than our prior facility, and any future new funding arrangements may be at higher interest rates or subject to other less favorable terms. These financing risks, in addition to potential rising interest rates, inflation, and changes in market conditions, if realized, could negatively impact our business, financial condition and results of operations. See “Management’s Discussion and Analysis of Financial Condition and Results of Operations—Liquidity and Capital Resources —Vehicle Financing”.</w:t>
      </w:r>
    </w:p>
    <w:p>
      <w:pPr>
        <w:spacing w:after="0" w:line="168"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b w:val="1"/>
          <w:bCs w:val="1"/>
          <w:i w:val="1"/>
          <w:iCs w:val="1"/>
          <w:color w:val="auto"/>
        </w:rPr>
        <w:t>We may experience seasonal and other fluctuations in our quarterly results of operations, which may not fully reflect the underlying performance of our business.</w:t>
      </w:r>
    </w:p>
    <w:p>
      <w:pPr>
        <w:spacing w:after="0" w:line="161"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We expect our quarterly results of operations, including our revenue, gross profit and cash flow to vary significantly in the future based in part on, among other things, vehicle-buying patterns. Vehicle sales historically have exhibited seasonality, with an increase in sales early in the year that reaches its highest point late in the first quarter and early in the second quarter, which then levels off through the rest of the year with the lowest level of sales in the fourth quarter. This seasonality historically corresponds with the timing of income tax refunds, which can provide a primary source of funds for customers’ payments on used vehicle purchases. Used vehicle prices also exhibit seasonality, with used vehicles depreciating at a faster rate in the last two quarters of each year and a slower rate in the first two quarters of each year. While 2021 and the first half of 2022 did not follow typical market depreciation trends, with continued appreciation in used vehicle pricing throughout that period, there was a shift in the third quarter of 2022 to above average depreciation as compared to pre-pandemic levels. While there remains continued uncertainty surrounding market trends, the current economic outlook forecasts a return to historical seasonal trends in 2023.</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factors that may cause our quarterly results to fluctuate include, without limitation:</w:t>
      </w:r>
    </w:p>
    <w:p>
      <w:pPr>
        <w:spacing w:after="0" w:line="103" w:lineRule="exact"/>
        <w:rPr>
          <w:sz w:val="20"/>
          <w:szCs w:val="20"/>
          <w:color w:val="auto"/>
        </w:rPr>
      </w:pPr>
    </w:p>
    <w:p>
      <w:pPr>
        <w:ind w:left="1020" w:right="100" w:hanging="504"/>
        <w:spacing w:after="0" w:line="245"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operational changes and initiatives that we have and are undertaking under in accordance with our Realignment Plan and our long-term roadmap;</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to develop our captive finance operation;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sufficient inventory of desirable vehicles;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generate sales of value-added products;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regulatory environment;</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associated with unforeseen quality issues;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macroeconomic conditions, including the impact of the COVID-19 pandemic and inflation;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seasonality of the automotive industry and third-party aggregation websites on which we rely;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that impact disposable income, including changes that impact the timing or amount of income tax refunds;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or other claims against us and increased legal and regulatory expenses.</w:t>
      </w:r>
    </w:p>
    <w:p>
      <w:pPr>
        <w:spacing w:after="0" w:line="211"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In addition, a significant portion of our expenses are fixed and do not vary proportionately with fluctuations in revenues. As a result of these seasonal fluctuations, our results in any quarter may not be indicative of the results we may achieve in any subsequent quarter or for the full year, and period-to-period comparisons of our results of operations may not be meaningful.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Growth and Strategy</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Our prior rapid growth is not indicative of our short-term strategy under our long-term roadmap and, if and when we return to rapid growth, we may not be able to manage our growth effectively.</w:t>
      </w:r>
    </w:p>
    <w:p>
      <w:pPr>
        <w:spacing w:after="0" w:line="161"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Our revenue declined from $3,184.3 million for the year ended December 31, 2021 to $ 1,948.9 million for the year ended December 31, 2022. Under our Realignment Plan, we reduced the rate of unit sales to focus on profitability, by among other things, lowering our operating expenses and increasing our gross profit per unit. In addition, in accordance with our long-term roadmap, we are investing in further improving and automating key aspects of our sales operations and addressing operational challenges that have arisen from our rapid growth from 2020 through the first quarter of 2022. There can be no assurance that our strategy of reducing the rate of unit sales and focusing on profitability will be successful.</w:t>
      </w:r>
    </w:p>
    <w:p>
      <w:pPr>
        <w:spacing w:after="0" w:line="189" w:lineRule="exact"/>
        <w:rPr>
          <w:sz w:val="20"/>
          <w:szCs w:val="20"/>
          <w:color w:val="auto"/>
        </w:rPr>
      </w:pPr>
    </w:p>
    <w:p>
      <w:pPr>
        <w:ind w:right="20" w:firstLine="749"/>
        <w:spacing w:after="0" w:line="245" w:lineRule="auto"/>
        <w:rPr>
          <w:sz w:val="20"/>
          <w:szCs w:val="20"/>
          <w:color w:val="auto"/>
        </w:rPr>
      </w:pPr>
      <w:r>
        <w:rPr>
          <w:rFonts w:ascii="Arial" w:cs="Arial" w:eastAsia="Arial" w:hAnsi="Arial"/>
          <w:sz w:val="18"/>
          <w:szCs w:val="18"/>
          <w:color w:val="auto"/>
        </w:rPr>
        <w:t>We expect that, in the future, we will pursue profitable growth. However, we may not be successful in pursing profitable growth if we do not, among other things:</w:t>
      </w:r>
    </w:p>
    <w:p>
      <w:pPr>
        <w:spacing w:after="0" w:line="90" w:lineRule="exact"/>
        <w:rPr>
          <w:sz w:val="20"/>
          <w:szCs w:val="20"/>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gross profit per unit and reduce our operating expenses;</w:t>
      </w:r>
    </w:p>
    <w:p>
      <w:pPr>
        <w:spacing w:after="0" w:line="116" w:lineRule="exact"/>
        <w:rPr>
          <w:rFonts w:ascii="Arial" w:cs="Arial" w:eastAsia="Arial" w:hAnsi="Arial"/>
          <w:sz w:val="18"/>
          <w:szCs w:val="18"/>
          <w:color w:val="auto"/>
        </w:rPr>
      </w:pPr>
    </w:p>
    <w:p>
      <w:pPr>
        <w:ind w:left="1020" w:right="320" w:hanging="504"/>
        <w:spacing w:after="0" w:line="245"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number of unique visitors to our website, the number of qualified visitors to our website (i.e. those who have the intent and ability to transact), and the number of customers transacting on or through our platform;</w:t>
      </w:r>
    </w:p>
    <w:p>
      <w:pPr>
        <w:spacing w:after="0" w:line="89" w:lineRule="exact"/>
        <w:rPr>
          <w:rFonts w:ascii="Arial" w:cs="Arial" w:eastAsia="Arial" w:hAnsi="Arial"/>
          <w:sz w:val="18"/>
          <w:szCs w:val="18"/>
          <w:color w:val="auto"/>
        </w:rPr>
      </w:pPr>
    </w:p>
    <w:p>
      <w:pPr>
        <w:ind w:left="1020" w:right="460" w:hanging="504"/>
        <w:spacing w:after="0" w:line="245"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enhance the quality of our vehicle offerings and value-added products, and introduce high quality new offerings and features on our platform;</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invest in and develop our captive financing capabilities;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sufficient high-quality inventory at an attractive cost to meet the increasing demand for our vehicles;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25" w:lineRule="exact"/>
        <w:rPr>
          <w:sz w:val="20"/>
          <w:szCs w:val="20"/>
          <w:color w:val="auto"/>
        </w:rPr>
      </w:pPr>
    </w:p>
    <w:p>
      <w:pPr>
        <w:ind w:left="1020" w:right="10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invest in and enhance the quality of our customer experience and logistics operations, including by transitioning to increasingly automated sales and customer experience operations and improving our customer delivery experience through our proprietary last mile hub and long haul operations;</w:t>
      </w:r>
    </w:p>
    <w:p>
      <w:pPr>
        <w:spacing w:after="0" w:line="93"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expand our vehicle reconditioning capacity to satisfy increasing unit sales, including by opening additional proprietary VRCs; and</w:t>
      </w:r>
    </w:p>
    <w:p>
      <w:pPr>
        <w:spacing w:after="0" w:line="128" w:lineRule="exact"/>
        <w:rPr>
          <w:rFonts w:ascii="Arial" w:cs="Arial" w:eastAsia="Arial" w:hAnsi="Arial"/>
          <w:sz w:val="17"/>
          <w:szCs w:val="17"/>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develop the functionality of our website and mobile applications to facilitate fully digital transactions.</w:t>
      </w:r>
    </w:p>
    <w:p>
      <w:pPr>
        <w:spacing w:after="0" w:line="211" w:lineRule="exact"/>
        <w:rPr>
          <w:sz w:val="20"/>
          <w:szCs w:val="20"/>
          <w:color w:val="auto"/>
        </w:rPr>
      </w:pPr>
    </w:p>
    <w:p>
      <w:pPr>
        <w:ind w:right="20" w:firstLine="749"/>
        <w:spacing w:after="0" w:line="235" w:lineRule="auto"/>
        <w:rPr>
          <w:sz w:val="20"/>
          <w:szCs w:val="20"/>
          <w:color w:val="auto"/>
        </w:rPr>
      </w:pPr>
      <w:r>
        <w:rPr>
          <w:rFonts w:ascii="Arial" w:cs="Arial" w:eastAsia="Arial" w:hAnsi="Arial"/>
          <w:sz w:val="18"/>
          <w:szCs w:val="18"/>
          <w:color w:val="auto"/>
        </w:rPr>
        <w:t>In 2020 and 2021, our business grew rapidly as new customers purchased vehicles and value-added products from us. During periods of rapid growth we have encountered, and in the future may continue to encounter, risks and difficulties frequently experienced by growing companies in rapidly changing industries, including difficulties in our ability to achieve market acceptance of our platform and attract customers, as well as increasing competition, operational challenges and significant expenses as we grow our business. As we continue to develop our business, and particularly in light of the workforce and operating expense reductions that we have undertaken and may undertake to reduce fixed and variable costs in accordance with our long-term roadmap, we may find it difficult to adapt to meet these challenges. We also expect that our business will evolve in ways that may be difficult to predict. For example, over time our investments that are intended to drive new customer traffic to our website may be less productive than expected, our investments in developing proprietary logistics and reconditioning operations and automating our sales operations may not successfully address our existing operational challenges and we may not successfully develop our captive financing capabilities. In the event of these or any other adverse developments, our continued success will depend on our ability to successfully adjust our strategy to meet changing market dynamics. If we are unable to do so, our business, financial condition and results of operations could be materially and adversely affected.</w:t>
      </w:r>
    </w:p>
    <w:p>
      <w:pPr>
        <w:spacing w:after="0" w:line="197" w:lineRule="exact"/>
        <w:rPr>
          <w:sz w:val="20"/>
          <w:szCs w:val="20"/>
          <w:color w:val="auto"/>
        </w:rPr>
      </w:pPr>
    </w:p>
    <w:p>
      <w:pPr>
        <w:ind w:right="20" w:firstLine="749"/>
        <w:spacing w:after="0" w:line="235" w:lineRule="auto"/>
        <w:rPr>
          <w:sz w:val="20"/>
          <w:szCs w:val="20"/>
          <w:color w:val="auto"/>
        </w:rPr>
      </w:pPr>
      <w:r>
        <w:rPr>
          <w:rFonts w:ascii="Arial" w:cs="Arial" w:eastAsia="Arial" w:hAnsi="Arial"/>
          <w:sz w:val="18"/>
          <w:szCs w:val="18"/>
          <w:color w:val="auto"/>
        </w:rPr>
        <w:t>Our prior rapid growth placed, and in the future may continue to place, significant demands on our management and our operational and financial resources. In addition to our significant growth in sales and revenues, we experienced significant growth in the number of customers on our platform as well as the amount of data that we analyze. Although we hired additional personnel, our operations did not keep pace with our top-line growth, which resulted in backlogs in our operations that adversely affected our customers' experience. In addition, our organizational structure is becoming more complex as we refine our business focus, and we will need to continue to improve our operational, financial and management controls as well as our reporting systems and procedures. This will require significant capital expenditures and the allocation of valuable management resources to grow and adapt in these areas without undermining our corporate culture of teamwork or failing to meet our financial goals. In order to address the operational challenges created by our prior rapid growth, including delays in titling and registering vehicles purchased by our customers, we have undertaken various initiatives. These initiatives include increased digitization and electronic transmission of transaction documents and implementation of our digital title vault to ensure that titles are quality checked and vaulted prior to listing. While these initiatives are designed to improve our transaction processing, enhance our customer experience, and reduce our regulatory risk, they have resulted in, among other things, an increase in the number of days between our acquisition of vehicles and the final delivery of such vehicles to customers. If we cannot manage our growth effectively to maintain the quality and efficiency of our customers’ experience and/or the quality of the vehicles we sell, our business, financial condition and results of operations could be materially and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are still building out our foundational systems.</w:t>
      </w:r>
    </w:p>
    <w:p>
      <w:pPr>
        <w:spacing w:after="0" w:line="220" w:lineRule="exact"/>
        <w:rPr>
          <w:sz w:val="20"/>
          <w:szCs w:val="20"/>
          <w:color w:val="auto"/>
        </w:rPr>
      </w:pPr>
    </w:p>
    <w:p>
      <w:pPr>
        <w:ind w:right="80" w:firstLine="749"/>
        <w:spacing w:after="0" w:line="236" w:lineRule="auto"/>
        <w:rPr>
          <w:sz w:val="20"/>
          <w:szCs w:val="20"/>
          <w:color w:val="auto"/>
        </w:rPr>
      </w:pPr>
      <w:r>
        <w:rPr>
          <w:rFonts w:ascii="Arial" w:cs="Arial" w:eastAsia="Arial" w:hAnsi="Arial"/>
          <w:sz w:val="18"/>
          <w:szCs w:val="18"/>
          <w:color w:val="auto"/>
        </w:rPr>
        <w:t>We commenced operations in 2012 and acquired TDA in 2015 and, as a result, have a limited operating history. Moreover, over the past several years, we brought in a new senior leadership team that has refocused our strategy, accelerated our growth and committed us to pursue a path to profitability. To execute this strategy, during prior periods of rapid growth we had to manage costs while making investments in enhancing our foundational systems as we scaled our business, including design and expansion of website functionality and features, mobile application development, advancement and deployment of sophisticated data science, lean manufacturing technology, logistics network management, and automation of our transaction processes, and work on all such foundational systems is ongoing. Fundamental to our path to long-term profitability and future growth is the further development of the functionality of our website and mobile applications to facilitate fully digital transactions and reduce the need for continued investments in staffing for the sales and sales support functions and our customer experience operations.</w:t>
      </w:r>
    </w:p>
    <w:p>
      <w:pPr>
        <w:spacing w:after="0" w:line="191" w:lineRule="exact"/>
        <w:rPr>
          <w:sz w:val="20"/>
          <w:szCs w:val="20"/>
          <w:color w:val="auto"/>
        </w:rPr>
      </w:pPr>
    </w:p>
    <w:p>
      <w:pPr>
        <w:ind w:right="100" w:firstLine="749"/>
        <w:spacing w:after="0" w:line="238" w:lineRule="auto"/>
        <w:rPr>
          <w:sz w:val="20"/>
          <w:szCs w:val="20"/>
          <w:color w:val="auto"/>
        </w:rPr>
      </w:pPr>
      <w:r>
        <w:rPr>
          <w:rFonts w:ascii="Arial" w:cs="Arial" w:eastAsia="Arial" w:hAnsi="Arial"/>
          <w:sz w:val="18"/>
          <w:szCs w:val="18"/>
          <w:color w:val="auto"/>
        </w:rPr>
        <w:t>These types of activities and investments subject us to various costs and risks, including significant capital expenditures, additional administration and operating expenses, potential disruption of our internal control structure, acquisition and retention of sufficiently skilled personnel, demands on management time, the introduction of errors or vulnerabilities and other risks and costs of delays or difficulties in transitioning to or integrating new systems into our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foundational systems. There can be no assurance that we will succeed in successfully developing our capabilities in each of these areas, or that a desirable return on investment will be achieved on the investments made in these areas. A failure to successfully execute on the development of our foundational systems would adversely affect our business, financial condition and results of operations.</w:t>
      </w:r>
    </w:p>
    <w:p>
      <w:pPr>
        <w:spacing w:after="0" w:line="16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b w:val="1"/>
          <w:bCs w:val="1"/>
          <w:i w:val="1"/>
          <w:iCs w:val="1"/>
          <w:color w:val="auto"/>
        </w:rPr>
        <w:t>We are optimizing our proprietary logistics operations, including vehicle pick-ups and delivery from our last mile hubs and line haul transportation of vehicles between our last mile hubs, which will further expose us to increased risks related to ownership of infrastructure and the transportation of vehicles.</w:t>
      </w:r>
    </w:p>
    <w:p>
      <w:pPr>
        <w:spacing w:after="0" w:line="179" w:lineRule="exact"/>
        <w:rPr>
          <w:sz w:val="20"/>
          <w:szCs w:val="20"/>
          <w:color w:val="auto"/>
        </w:rPr>
      </w:pPr>
    </w:p>
    <w:p>
      <w:pPr>
        <w:ind w:right="40" w:firstLine="749"/>
        <w:spacing w:after="0" w:line="235" w:lineRule="auto"/>
        <w:rPr>
          <w:sz w:val="20"/>
          <w:szCs w:val="20"/>
          <w:color w:val="auto"/>
        </w:rPr>
      </w:pPr>
      <w:r>
        <w:rPr>
          <w:rFonts w:ascii="Arial" w:cs="Arial" w:eastAsia="Arial" w:hAnsi="Arial"/>
          <w:sz w:val="18"/>
          <w:szCs w:val="18"/>
          <w:color w:val="auto"/>
        </w:rPr>
        <w:t>In order to enhance the quality of our logistics operations and our customer experience, we have been developing our proprietary logistics operations, including expanding our owned vehicle fleet. Additionally, we are utilizing last mile hubs around the country, through which we coordinate directly with our customers to schedule deliveries in an effort to further strengthen our customer experience. Initially, we prioritized investment in our last mile hub delivery operations and subsequently invested in short-haul trucks to make regional deliveries from our last mile hubs, and line-haul vehicles for hub-to-hub shipments on high-volume routes. As part of our long-term roadmap, we intend to increase our proprietary last mile hub and line-haul fleet over time as we build out our regional operating model. These investments will require significant capital expenditures and operating expenses, increase our current risks and expose us to new risks. These risks include local and federal regulations, vehicular crashes, injury, insufficient internal capacity, taxes, license and registration fees, insurance premiums, self-insurance levels, difficulty in recruiting and retaining qualified drivers, maintaining the truck fleet, disruption of our technology systems, equipment supply, equipment quality, and increasing equipment and operational and overhead costs. Our failure to successfully manage the expansion of our logistics operations could cause delays and increase costs in our inbound and outbound shipping, which may adversely affect our operating results and financial condition.</w:t>
      </w:r>
    </w:p>
    <w:p>
      <w:pPr>
        <w:spacing w:after="0" w:line="17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Our ability to expand value-added product offerings and introduce additional products and services may be limited, which could have a material adverse effect on our business, financial condition and results of operations.</w:t>
      </w:r>
    </w:p>
    <w:p>
      <w:pPr>
        <w:spacing w:after="0" w:line="161"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Currently, our third-party value-added products consist of finance and protection products, which includes third-party financing of customers’ vehicle purchases, as well as other value-added products, such as vehicle service contracts, GAP protection and tire and wheel coverage. If we introduce new value-added products or expand existing offerings on our platform, such as music services and vehicle diagnostic and tracking services, we may incur losses or otherwise fail to enter these markets successfully. Our expansion into these markets may place us in competitive and regulatory environments with which we are unfamiliar and involve various risks, including the need to invest significant resources to familiarize ourselves with such frameworks and the possibility that returns on such investments may not be achieved for several years, if at all. In attempting to establish new offerings, we expect to incur significant expenses and face various other challenges, such as expanding our customer experience team, internal sales force and management personnel to cover these markets and complying with complicated regulations that apply to these markets. In addition, we may not successfully demonstrate the value of these value-added products to customers, and failure to do so would compromise our ability to successfully expand into these additional revenue streams. Any of these risks, if realized, could materially and adversely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vendors for key components of our business, which exposes us to increased risks.</w:t>
      </w:r>
    </w:p>
    <w:p>
      <w:pPr>
        <w:spacing w:after="0" w:line="220"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line with our hybrid business strategy, many components of our business, including our reconditioning facilities, our logistics operations, our customer financing and our customer experience teams primarily have been provided by third parties. In our reconditioning operations, we currently have one third-party service provider reconditioning the substantial majority of our inventory. We carefully select our third-party vendors, but we cannot control their actions. If our vendors terminate their relationships with us or fail to perform as we expect, our operations and reputation could suffer. One or more of these third-party vendors could choose not to do business with us, or could experience financial distress, staffing shortages or liquidity challenges, file for bankruptcy protection, go out of business, undergo a change of control, or suffer disruptions in their business due to the COVID-19 pandemic. For example, in the third quarter of 2022, one of our third-party sales support teams notified us of their intention not to renew their contract with us and significantly reduced its staff dedicated to the Company’s sales operations, which had an impact on our unit sales volume in the second half of 2022 as we transitioned away from the third-party provider. The use of third-party vendors represents an inherent risk to our Company that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Our future profitability and growth relies heavily on the effectiveness and efficiency of our marketing and branding efforts, and these efforts may not be successful.</w:t>
      </w:r>
    </w:p>
    <w:p>
      <w:pPr>
        <w:spacing w:after="0" w:line="161"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Because we are a consumer brand, we rely heavily on marketing and advertising to increase brand visibility and attract potential customers. While we have reduced marketing expenses as part of our Realignment Plan, advertising expenditures are and will continue to be a significant component of our operating expenses, and there can be no assurance that we will achieve a meaningful return on investment on such expenditures. We continue to evolve our marketing strategies, adjusting our messages, the amount we spend on advertising and where we spend it, and no assurance can be given that we will be successful in developing effective messages and in achieving efficiency in our marketing and advertising expenditures. As a result, our future profitability and growth may depend in part on:</w:t>
      </w:r>
    </w:p>
    <w:p>
      <w:pPr>
        <w:spacing w:after="0" w:line="95" w:lineRule="exact"/>
        <w:rPr>
          <w:sz w:val="20"/>
          <w:szCs w:val="20"/>
          <w:color w:val="auto"/>
        </w:rPr>
      </w:pPr>
    </w:p>
    <w:p>
      <w:pPr>
        <w:ind w:left="1020" w:right="140" w:hanging="504"/>
        <w:spacing w:after="0" w:line="24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design our near-term marketing strategy to support the goals of our long-term roadmap on a substantially reduced marketing budget;</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effectively design our marketing programs to support our regional operating model;</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advertising campaigns and search marketing programs in generating awareness and sales;</w:t>
      </w:r>
    </w:p>
    <w:p>
      <w:pPr>
        <w:spacing w:after="0" w:line="116" w:lineRule="exact"/>
        <w:rPr>
          <w:rFonts w:ascii="Arial" w:cs="Arial" w:eastAsia="Arial" w:hAnsi="Arial"/>
          <w:sz w:val="18"/>
          <w:szCs w:val="18"/>
          <w:color w:val="auto"/>
        </w:rPr>
      </w:pPr>
    </w:p>
    <w:p>
      <w:pPr>
        <w:ind w:left="1020" w:right="40" w:hanging="504"/>
        <w:spacing w:after="0" w:line="24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prevent confusion among customers that can result from search engines that allow competitors to use or bid on our trademarks to direct customers to competitors’ websites;</w:t>
      </w:r>
    </w:p>
    <w:p>
      <w:pPr>
        <w:spacing w:after="0" w:line="89" w:lineRule="exact"/>
        <w:rPr>
          <w:rFonts w:ascii="Arial" w:cs="Arial" w:eastAsia="Arial" w:hAnsi="Arial"/>
          <w:sz w:val="18"/>
          <w:szCs w:val="18"/>
          <w:color w:val="auto"/>
        </w:rPr>
      </w:pPr>
    </w:p>
    <w:p>
      <w:pPr>
        <w:ind w:left="1020" w:right="180" w:hanging="504"/>
        <w:spacing w:after="0" w:line="24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prevent internet publication of false or misleading information regarding our platform or our competitors’ offerings; and</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reduce our dependence on third-party aggregation websites.</w:t>
      </w:r>
    </w:p>
    <w:p>
      <w:pPr>
        <w:spacing w:after="0" w:line="251"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currently advertise through a blend of brand and direct advertising channels with the goal of increasing the strength, recognition and trust in the Vroom brand and driving more unique visitors to our platform. Our marketing strategy currently includes national television campaigns, and performance marketing through digital platforms, including both auto-centric lead generation platforms and broader consumer-facing platforms. As such, our marketing spend involves the use of various marketing techniques, including programmatic ad-buying, interest targeting, retargeting and email nurturing. As part of our Realignment Plan, we decreased our marketing expense by focusing on our highest-ROI channels while aligning with volume trajectory. Our future profitability and growth will depend in part on the increased efficiency of our promotional advertising and marketing programs and related expenditures, including our ability to create greater awareness of our platform and brand name, to appropriately plan for future expenditures and to drive the promotion of our platform.</w:t>
      </w:r>
    </w:p>
    <w:p>
      <w:pPr>
        <w:spacing w:after="0" w:line="192" w:lineRule="exact"/>
        <w:rPr>
          <w:sz w:val="20"/>
          <w:szCs w:val="20"/>
          <w:color w:val="auto"/>
        </w:rPr>
      </w:pPr>
    </w:p>
    <w:p>
      <w:pPr>
        <w:ind w:right="160" w:firstLine="749"/>
        <w:spacing w:after="0" w:line="238" w:lineRule="auto"/>
        <w:rPr>
          <w:sz w:val="20"/>
          <w:szCs w:val="20"/>
          <w:color w:val="auto"/>
        </w:rPr>
      </w:pPr>
      <w:r>
        <w:rPr>
          <w:rFonts w:ascii="Arial" w:cs="Arial" w:eastAsia="Arial" w:hAnsi="Arial"/>
          <w:sz w:val="18"/>
          <w:szCs w:val="18"/>
          <w:color w:val="auto"/>
        </w:rPr>
        <w:t>Additionally, our business model relies on our ability to decrease incremental customer acquisition costs as we grow. If we are unable to recover our marketing costs through increases in customer traffic and incremental sales, if our advertising partners refuse to work with us at competitive rates or at all, or if our broad marketing campaigns are not successful or are terminated, our business, financial condition and results of operations could be materially and adversely affected.</w:t>
      </w:r>
    </w:p>
    <w:p>
      <w:pPr>
        <w:spacing w:after="0" w:line="16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results of operations.</w:t>
      </w:r>
    </w:p>
    <w:p>
      <w:pPr>
        <w:spacing w:after="0" w:line="161"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Our success will depend, in part, on our ability to develop and evolve our business in response to the demands of consumers and other constituents within the automotive industry, as well as competitive pressures. Although we have no plans to do so currently, in some circumstances, we may determine to grow our business through the acquisition of complementary businesses and technologies rather than through internal development, such as our UACC Acquisition in 2022, and our earlier acquisition of the CarStory business. The identification of suitable acquisition candidates can be difficult, time-consuming and costly, and we may not be able to successfully complete identified acquisitions. The risks we face in connection with acquisitions include:</w:t>
      </w:r>
    </w:p>
    <w:p>
      <w:pPr>
        <w:spacing w:after="0" w:line="95" w:lineRule="exact"/>
        <w:rPr>
          <w:sz w:val="20"/>
          <w:szCs w:val="20"/>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coordination of technology, research and development and sales and marketing functions;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transition of the acquired company’s users to our platform;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25" w:lineRule="exact"/>
        <w:rPr>
          <w:sz w:val="20"/>
          <w:szCs w:val="20"/>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adverse reactions to the acquisition by an acquired company’s customers;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integration of the acquired company’s accounting, management information, human resources and other administrative systems;</w:t>
      </w:r>
    </w:p>
    <w:p>
      <w:pPr>
        <w:spacing w:after="0" w:line="128" w:lineRule="exact"/>
        <w:rPr>
          <w:rFonts w:ascii="Arial" w:cs="Arial" w:eastAsia="Arial" w:hAnsi="Arial"/>
          <w:sz w:val="17"/>
          <w:szCs w:val="17"/>
          <w:color w:val="auto"/>
        </w:rPr>
      </w:pPr>
    </w:p>
    <w:p>
      <w:pPr>
        <w:ind w:left="1020" w:right="10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implement or improve controls, policies and procedures at a business that, prior to the acquisition, may have lacked effective controls, policies and procedures;</w:t>
      </w:r>
    </w:p>
    <w:p>
      <w:pPr>
        <w:spacing w:after="0" w:line="89" w:lineRule="exact"/>
        <w:rPr>
          <w:rFonts w:ascii="Arial" w:cs="Arial" w:eastAsia="Arial" w:hAnsi="Arial"/>
          <w:sz w:val="18"/>
          <w:szCs w:val="18"/>
          <w:color w:val="auto"/>
        </w:rPr>
      </w:pPr>
    </w:p>
    <w:p>
      <w:pPr>
        <w:ind w:left="1020" w:right="34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write-offs of intangibles or other assets acquired in such transactions that may have an adverse effect our results of operations;</w:t>
      </w:r>
    </w:p>
    <w:p>
      <w:pPr>
        <w:spacing w:after="0" w:line="89" w:lineRule="exact"/>
        <w:rPr>
          <w:rFonts w:ascii="Arial" w:cs="Arial" w:eastAsia="Arial" w:hAnsi="Arial"/>
          <w:sz w:val="18"/>
          <w:szCs w:val="18"/>
          <w:color w:val="auto"/>
        </w:rPr>
      </w:pPr>
    </w:p>
    <w:p>
      <w:pPr>
        <w:ind w:left="1020" w:right="68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 and</w:t>
      </w:r>
    </w:p>
    <w:p>
      <w:pPr>
        <w:spacing w:after="0" w:line="89" w:lineRule="exact"/>
        <w:rPr>
          <w:rFonts w:ascii="Arial" w:cs="Arial" w:eastAsia="Arial" w:hAnsi="Arial"/>
          <w:sz w:val="18"/>
          <w:szCs w:val="18"/>
          <w:color w:val="auto"/>
        </w:rPr>
      </w:pPr>
    </w:p>
    <w:p>
      <w:pPr>
        <w:ind w:left="1020" w:right="46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84"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could cause us to fail to realize the anticipated benefits of these acquisitions or investments, cause us to incur unanticipated liabilities and otherwise harm our business. Future acquisitions also could result in dilutive issuances of our equity securities, the incurrence of debt, contingent liabilities or amortization expenses, any of which could harm our financial condition. Also, the anticipated benefits of any acquisitions may not materialize. Any of these risks, if realized, could materially and adversely affect our business, financial condition and results of operations.</w:t>
      </w:r>
    </w:p>
    <w:p>
      <w:pPr>
        <w:spacing w:after="0" w:line="16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Risks Related to Our Operations</w:t>
      </w:r>
    </w:p>
    <w:p>
      <w:pPr>
        <w:spacing w:after="0" w:line="19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We face a variety of risks associated with the operation of our VRCs by us and our third-party service provider, any of which could materially and adversely affect our business, financial condition and results of operations.</w:t>
      </w:r>
    </w:p>
    <w:p>
      <w:pPr>
        <w:spacing w:after="0" w:line="161"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We and a third-party service provider operate our VRCs, with the substantial majority of our inventory being reconditioned by a single third-party service provider. If we are unable to maintain our relationship with our third-party service provider, such service provider ceases to provide the services we need, or such service provider is unable to effectively deliver our services to our standards on timelines and at the prices we have negotiated, and we are unable to contract with alternative providers, increase our supply from existing providers, or replace such service provider with a proprietary VRC (which may require significant time and investment), we could experience a decrease in the finished goods output sufficient to maintain or grow our inventory level, a decline in quality of our reconditioning services, delays in listing our inventory, additional expenses, delivery delays and loss of potential and existing customers and related revenues, which may materially and adversely affect our business, financial condition and results of operations.</w:t>
      </w:r>
    </w:p>
    <w:p>
      <w:pPr>
        <w:spacing w:after="0" w:line="192" w:lineRule="exact"/>
        <w:rPr>
          <w:sz w:val="20"/>
          <w:szCs w:val="20"/>
          <w:color w:val="auto"/>
        </w:rPr>
      </w:pPr>
    </w:p>
    <w:p>
      <w:pPr>
        <w:ind w:right="80" w:firstLine="749"/>
        <w:spacing w:after="0" w:line="252" w:lineRule="auto"/>
        <w:rPr>
          <w:sz w:val="20"/>
          <w:szCs w:val="20"/>
          <w:color w:val="auto"/>
        </w:rPr>
      </w:pPr>
      <w:r>
        <w:rPr>
          <w:rFonts w:ascii="Arial" w:cs="Arial" w:eastAsia="Arial" w:hAnsi="Arial"/>
          <w:sz w:val="17"/>
          <w:szCs w:val="17"/>
          <w:color w:val="auto"/>
        </w:rPr>
        <w:t>Moreover, our future profitability and growth depends in part on developing our proprietary reconditioning and last-mile delivery operations and regionalizing the geographic reach of those operations in accordance with our long-term roadmap in order to reduce shipping costs. We have expanded our reconditioning capacity through third-party VRC locations and, as we continue to develop our business, we intend to add additional proprietary VRCs to our integrated hybrid network to ensure adequate capacity. We have right-sized our proprietary reconditioning operations in the Houston market and currently intend to add additional proprietary VRCs into our integrated network over time. Our existing facilities in the Atlanta area provide us with the space and opportunity to develop a secondary proprietary VRC in the future, depending on our future reconditioning volume. However, there can be no guarantee that we will be able to add additional proprietary VRCs quickly enough and in optimal locations to facilitate development of our regional operating model and to address our capacity needs.</w:t>
      </w:r>
    </w:p>
    <w:p>
      <w:pPr>
        <w:spacing w:after="0" w:line="178"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Additionally, we and our third-party service provider are required to obtain approvals, permits and licenses from state regulators and local municipalities to operate our VRCs. There could be delays in obtaining the requisite approvals, permits, financing and licenses to operate our VRCs or we may not be able to obtain them at all. If we or our third-party service provider encounter delays in obtaining or cannot obtain the requisite approvals, permits, financing and licenses to operate our VRCs in desirable locations, our business, financial condition and results of operations may be materially and adversely affected.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7"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b w:val="1"/>
          <w:bCs w:val="1"/>
          <w:i w:val="1"/>
          <w:iCs w:val="1"/>
          <w:color w:val="auto"/>
        </w:rPr>
        <w:t>We currently rely heavily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179" w:lineRule="exact"/>
        <w:rPr>
          <w:sz w:val="20"/>
          <w:szCs w:val="20"/>
          <w:color w:val="auto"/>
        </w:rPr>
      </w:pPr>
    </w:p>
    <w:p>
      <w:pPr>
        <w:ind w:right="120" w:firstLine="749"/>
        <w:spacing w:after="0" w:line="236" w:lineRule="auto"/>
        <w:rPr>
          <w:sz w:val="20"/>
          <w:szCs w:val="20"/>
          <w:color w:val="auto"/>
        </w:rPr>
      </w:pPr>
      <w:r>
        <w:rPr>
          <w:rFonts w:ascii="Arial" w:cs="Arial" w:eastAsia="Arial" w:hAnsi="Arial"/>
          <w:sz w:val="18"/>
          <w:szCs w:val="18"/>
          <w:color w:val="auto"/>
        </w:rPr>
        <w:t>Although we are optimizing our proprietary logistics network, including as part of our increased focus on developing our regional operating model under our long-term roadmap, we still heavily rely on third-party carriers to transport vehicles from auctions or individual sellers to VRCs, and then from our VRCs to our customers. As a result, we are exposed to risks associated with the transportation industry such as weather, traffic patterns, local and federal regulations, vehicular crashes, gasoline prices and lack of reliability of many independent carriers. Our third-party carriers’ failure to successfully manage our logistics and fulfillment process could cause a disruption in our inventory supply chain and decrease our inventory sales velocity, which may materially and adversely affect our business, financial condition and results of operations. In addition, third-party carriers who deliver vehicles to our customers could adversely affect the customer experience if they do not perform to our standards of professionalism and courtesy, which could adversely impact our business, financial condition and results of operations.</w:t>
      </w:r>
    </w:p>
    <w:p>
      <w:pPr>
        <w:spacing w:after="0" w:line="16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We rely on third-party service providers to provide financing, as well as value-added products to our customers, and we cannot control the availability, quality or fulfillment of these products.</w:t>
      </w:r>
    </w:p>
    <w:p>
      <w:pPr>
        <w:spacing w:after="0" w:line="161"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We have historically relied on third-party lenders to finance all of our customers’ vehicle purchases. We will continue to rely on third-party lenders as we continue to integrate and develop UACC into a full captive lending operation. We also offer value-added products to our customers through a third-party service provider, such as vehicle service contracts, GAP protection and tire and wheel coverage. Because we utilize third-party service providers, we cannot control all of the factors that might affect the quality and fulfillment of these services and products, including (i) lack of day-to-day control over the activities of third-party service providers, (ii) that such service providers may not fulfill their obligations to us or our customers or may otherwise fail to meet expectations and (iii) that such service providers may terminate their arrangements with us on limited or no notice or may change the terms of these arrangements in a manner unfavorable to us for reasons outside of our control. Such providers also are subject to state and federal regulations and any failure by such third-party service providers to comply with applicable legal requirements could cause us financial or reputational harm. Currently, the majority of customers who purchase vehicles finance their purchases through our third-party lenders. If we are unable to maintain our relationships with our third-party lenders, there is no guarantee that UACC would be able to service the additional transaction volume and expanded credit profiles, or that we would be able to find replacement lenders who will provide our customers with financing, in which case our ability to sell our vehicles would be adversely affected; accordingly, the loss of such relationships could have a material adverse effect on our business, financial condition, and results of operations.</w:t>
      </w:r>
    </w:p>
    <w:p>
      <w:pPr>
        <w:spacing w:after="0" w:line="197" w:lineRule="exact"/>
        <w:rPr>
          <w:sz w:val="20"/>
          <w:szCs w:val="20"/>
          <w:color w:val="auto"/>
        </w:rPr>
      </w:pPr>
    </w:p>
    <w:p>
      <w:pPr>
        <w:ind w:right="280" w:firstLine="749"/>
        <w:spacing w:after="0" w:line="253" w:lineRule="auto"/>
        <w:rPr>
          <w:sz w:val="20"/>
          <w:szCs w:val="20"/>
          <w:color w:val="auto"/>
        </w:rPr>
      </w:pPr>
      <w:r>
        <w:rPr>
          <w:rFonts w:ascii="Arial" w:cs="Arial" w:eastAsia="Arial" w:hAnsi="Arial"/>
          <w:sz w:val="17"/>
          <w:szCs w:val="17"/>
          <w:color w:val="auto"/>
        </w:rPr>
        <w:t>Our revenues and results of operations are partially dependent on the actions of these third parties. If one or more of these third-party service providers cease to provide these services or products to our customers, tighten their credit standards or otherwise provide services to fewer customers or are no longer able to provide them on competitive terms, it could have a material adverse effect on our business, revenues and results of operations. If we were unable to replace the current third-party providers upon the occurrence of one or more of the foregoing events, it could also have a material adverse effect on our business, revenues and results of operations. In addition, disagreements with such third-party service providers could require or result in costly and time-consuming litigation or arbitration.</w:t>
      </w:r>
    </w:p>
    <w:p>
      <w:pPr>
        <w:spacing w:after="0" w:line="179" w:lineRule="exact"/>
        <w:rPr>
          <w:sz w:val="20"/>
          <w:szCs w:val="20"/>
          <w:color w:val="auto"/>
        </w:rPr>
      </w:pPr>
    </w:p>
    <w:p>
      <w:pPr>
        <w:ind w:right="260" w:firstLine="749"/>
        <w:spacing w:after="0" w:line="261" w:lineRule="auto"/>
        <w:rPr>
          <w:sz w:val="20"/>
          <w:szCs w:val="20"/>
          <w:color w:val="auto"/>
        </w:rPr>
      </w:pPr>
      <w:r>
        <w:rPr>
          <w:rFonts w:ascii="Arial" w:cs="Arial" w:eastAsia="Arial" w:hAnsi="Arial"/>
          <w:sz w:val="17"/>
          <w:szCs w:val="17"/>
          <w:color w:val="auto"/>
        </w:rPr>
        <w:t>Moreover, we receive fees from these third-party service providers in connection with finance, service and protection products purchased by our customers. A portion of the fees we receive on such products is subject to chargebacks in the event of early termination, default or prepayment of the contracts by end-customers, which could adversely affect our business, revenues and results of operations.</w:t>
      </w:r>
    </w:p>
    <w:p>
      <w:pPr>
        <w:spacing w:after="0" w:line="149" w:lineRule="exact"/>
        <w:rPr>
          <w:sz w:val="20"/>
          <w:szCs w:val="20"/>
          <w:color w:val="auto"/>
        </w:rPr>
      </w:pPr>
    </w:p>
    <w:p>
      <w:pPr>
        <w:jc w:val="both"/>
        <w:ind w:right="200"/>
        <w:spacing w:after="0" w:line="252" w:lineRule="auto"/>
        <w:rPr>
          <w:sz w:val="20"/>
          <w:szCs w:val="20"/>
          <w:color w:val="auto"/>
        </w:rPr>
      </w:pPr>
      <w:r>
        <w:rPr>
          <w:rFonts w:ascii="Arial" w:cs="Arial" w:eastAsia="Arial" w:hAnsi="Arial"/>
          <w:sz w:val="18"/>
          <w:szCs w:val="18"/>
          <w:b w:val="1"/>
          <w:bCs w:val="1"/>
          <w:i w:val="1"/>
          <w:iCs w:val="1"/>
          <w:color w:val="auto"/>
        </w:rPr>
        <w:t>The current geographic concentration where we provide reconditioning services and store inventory and where UACC has a high concentration of borrowers creates an exposure to local and regional downturns or severe weather or catastrophic occurrences that may materially and adversely affect our business, financial condition and results of operations.</w:t>
      </w:r>
    </w:p>
    <w:p>
      <w:pPr>
        <w:spacing w:after="0" w:line="179"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We currently conduct our business through multiple VRCs, including our Vroom VRC located outside Houston, Texas, where we hold approximately 12% of our inventory. In addition, our third-party reconditioning services are primarily conducted through a single provider, with facilities located in California, Florida, Arizona and other states. Any unforeseen events or circumstances that negatively affect these areas, including our facilities near Houston, which have experienced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flooding and other damage in recent years as a result of severe weather conditions, including hurricanes, could materially and adversely affect our revenues and results of operations. Changes in demographics and population or severe weather conditions and other catastrophic occurrences in areas in which we operate or from which we obtain inventory may materially and adversely affect our results of operations. Such conditions may result in physical damage to our properties, loss of inventory and delays in the delivery of vehicles to our customers. In​ addition, any such events or circumstances in any of the states where UACC has a high concentration of borrowers could result in payment delays and increased risk of losses and could materially and adversely affect our revenues and results of operations.</w:t>
      </w:r>
    </w:p>
    <w:p>
      <w:pPr>
        <w:spacing w:after="0" w:line="16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integrate and attract qualified personnel, our ability to develop and successfully grow our business could be harmed.</w:t>
      </w:r>
    </w:p>
    <w:p>
      <w:pPr>
        <w:spacing w:after="0" w:line="161"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We believe our success has depended, and continues to depend, on the efforts and talents of our executives and employees. Our future success depends on our continuing ability to retain, develop, motivate and attract highly qualified and skilled employees. Qualified individuals are in high demand, and we may incur significant costs to retain and attract them. In particular, we are highly dependent on the services of our leadership team to the development of our business, future vision, and strategic direction. In May 2022, Thomas H. Shortt was appointed as our Chief Executive Officer, succeeding Paul J. Hennessy. Additionally, Robert J. Mylod, Jr. was appointed as the Independent Executive Chair of the Board in order to support the leadership change in the Chief Executive Officer position. Our future performance will depend, in part, on the successful transition of the Chief Executive Officer position. If we do not successfully manage the transition, it could be viewed negatively by our customers, employees, investors, suppliers and other third-party partners, and could have an adverse impact on our business and results of operations. We also heavily rely on the continued service and performance of our senior management team, which provides leadership, contributes to the core areas of our business and helps us to efficiently execute our business, including with respect to strategic initiatives such as our long-term roadmap. If members of our senior management team, including our executive leadership, become ill, or if we are otherwise unable to retain them, we may not be able to manage our business effectively and, as a result, our business and operating results could be harmed. If the senior management team, including any new hires that we make, fails to work together effectively and to execute our plans and strategies on a timely basis then our business and future growth prospects could be harmed.</w:t>
      </w:r>
    </w:p>
    <w:p>
      <w:pPr>
        <w:spacing w:after="0" w:line="196"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In addition, we issue equity awards to certain of our employees as part our hiring and retention efforts, and job candidates and existing employees often consider the value of the equity awards they receive in connection with their employment. Our employees’ ability to sell their shares in the public market at times and/or at prices desired may lead to a larger than normal turnover rate. If the actual or perceived value of our common stock declines, it may adversely affect our ability to hire or retain employees. In addition, we may periodically change our equity compensation practices, which may include reducing the number of employees eligible for equity awards or reducing the size or value of equity awards granted per employee or undertaking other efforts that may prove an unsuccessful retention mechanism. If we are unable to attract, integrate, or retain the qualified and highly skilled personnel required to fulfill our current or future needs, our business and future growth prospects could be harmed.</w:t>
      </w:r>
    </w:p>
    <w:p>
      <w:pPr>
        <w:spacing w:after="0" w:line="192"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Furthermore, in light of the reduction in headcount as part of our initiatives to reduce fixed and variable costs in accordance with our long-term roadmap, we may find it difficult to maintain valuable aspects of our culture,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retaining and motivating existing employees or attracting well-qualified employees in the future, our business, financial condition and results of operations could be materially and adversely affected.</w:t>
      </w:r>
    </w:p>
    <w:p>
      <w:pPr>
        <w:spacing w:after="0" w:line="170" w:lineRule="exact"/>
        <w:rPr>
          <w:sz w:val="20"/>
          <w:szCs w:val="20"/>
          <w:color w:val="auto"/>
        </w:rPr>
      </w:pPr>
    </w:p>
    <w:p>
      <w:pPr>
        <w:ind w:right="440"/>
        <w:spacing w:after="0" w:line="252" w:lineRule="auto"/>
        <w:rPr>
          <w:sz w:val="20"/>
          <w:szCs w:val="20"/>
          <w:color w:val="auto"/>
        </w:rPr>
      </w:pPr>
      <w:r>
        <w:rPr>
          <w:rFonts w:ascii="Arial" w:cs="Arial" w:eastAsia="Arial" w:hAnsi="Arial"/>
          <w:sz w:val="18"/>
          <w:szCs w:val="18"/>
          <w:b w:val="1"/>
          <w:bCs w:val="1"/>
          <w:i w:val="1"/>
          <w:iCs w:val="1"/>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spacing w:after="0" w:line="179" w:lineRule="exact"/>
        <w:rPr>
          <w:sz w:val="20"/>
          <w:szCs w:val="20"/>
          <w:color w:val="auto"/>
        </w:rPr>
      </w:pPr>
    </w:p>
    <w:p>
      <w:pPr>
        <w:ind w:right="200" w:firstLine="749"/>
        <w:spacing w:after="0" w:line="237" w:lineRule="auto"/>
        <w:rPr>
          <w:sz w:val="20"/>
          <w:szCs w:val="20"/>
          <w:color w:val="auto"/>
        </w:rPr>
      </w:pPr>
      <w:r>
        <w:rPr>
          <w:rFonts w:ascii="Arial" w:cs="Arial" w:eastAsia="Arial" w:hAnsi="Arial"/>
          <w:sz w:val="18"/>
          <w:szCs w:val="18"/>
          <w:color w:val="auto"/>
        </w:rPr>
        <w:t>We are subject to various litigation matters from time to time, the outcome of which could have a material adverse effect on our business, financial condition and results of operations. Claims arising out of actual or alleged violations of law could be asserted against us by individuals, either individually or through class actions, by governmental entities in civil or criminal investigations and proceedings or by other entities. These claims could be asserted under a variety of laws, including but not limited to consumer finance laws, consumer protection laws, intellectual property laws, privacy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laws, labor and employment laws, securities laws and employee benefit laws. These actions could expose us to adverse publicity and to substantial monetary damages and legal defense costs, injunctive relief and criminal and civil fines and penalties, including but not limited to suspension or revocation of licenses to conduct business. For example, a consolidated class action is pending in the U.S. District Court for the Southern District of New York asserting claims on behalf of a putative class of Company stockholders against us, certain of our officers, and certain of our directors, among others, alleging violations of the federal securities laws. We also are a party to certain stockholder derivative suits in which the Company is named as a nominal defendant in suits that various individual stockholders seek to bring on behalf of the Company against certain of our current and former directors and officers. These suits are pending in the U.S. District Court for the Southern District of New York and the U.S. District Court for the District of Delaware and are based on the same general course of conduct alleged in the consolidated securities class action. We believe these lawsuits are without merit and intend to vigorously contest these claims. In addition, in April 2022, the Attorney General of Texas filed a lawsuit on behalf of the State of Texas in the District Court of Travis County, Texas against the Company, alleging violation of the Texas Deceptive Trade Practices − Consumer Protection Act. See Part I, Item 3. “Legal Proceedings” for more information about these matters and the other legal proceedings to which we are subject.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Customer Experience</w:t>
      </w:r>
    </w:p>
    <w:p>
      <w:pPr>
        <w:spacing w:after="0" w:line="19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b w:val="1"/>
          <w:bCs w:val="1"/>
          <w:i w:val="1"/>
          <w:iCs w:val="1"/>
          <w:color w:val="auto"/>
        </w:rPr>
        <w:t>We have entered into outsourcing arrangements with third parties related to our customer experience team, and difficulties experienced in and our transition away from these arrangements have and could continue to result in an interruption of our ability to sell our vehicles and value-added products.</w:t>
      </w:r>
    </w:p>
    <w:p>
      <w:pPr>
        <w:spacing w:after="0" w:line="179"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We have entered into several outsourcing arrangements with third parties related to our customer experience teams, including with respect to our customer inquiries, sales, purchases, financing, document support, customer service and other customer experience operations.</w:t>
      </w:r>
    </w:p>
    <w:p>
      <w:pPr>
        <w:spacing w:after="0" w:line="188"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While we have begun to automate and insource key portions of our sales operations as part of our long-term roadmap, in 2022 a majority of inquiries, sales, purchases and financings of our vehicles in our ecommerce business were conducted by phone through a single third-party customer experience center. This third party notified us of their intention not to renew their contract with us beyond the term ending on December 31, 2022 and significantly reduced its staff dedicated to the Company’s sales operations in the second half of 2022. While we have engaged an internal sales team, consistent with our strategy to insource our sales operations as part of our long-term roadmap, as well as an additional third-party team, the reduced staffing at this third-party customer experience center had an impact on our unit sales volume in the second half of 2022 as we began to transition away from using their services and is expected to have an impact on our unit sales volume in the first quarter of 2023. We have ceased using this third-party provider as of January 31, 2023 and have meaningfully increased the level of sales supported internally. If we cannot successfully transition to using our internal sales team and the additional third-party resource to conduct our sales operations, we may be limited in our ability to complete customer transactions, which would make it more difficult to sell vehicles and value-added products through our platform. The ability to successfully grow an effective internal sales team will be critical to our ability to achieve profitable growth.</w:t>
      </w:r>
    </w:p>
    <w:p>
      <w:pPr>
        <w:spacing w:after="0" w:line="197" w:lineRule="exact"/>
        <w:rPr>
          <w:sz w:val="20"/>
          <w:szCs w:val="20"/>
          <w:color w:val="auto"/>
        </w:rPr>
      </w:pPr>
    </w:p>
    <w:p>
      <w:pPr>
        <w:ind w:right="220" w:firstLine="749"/>
        <w:spacing w:after="0" w:line="253" w:lineRule="auto"/>
        <w:rPr>
          <w:sz w:val="20"/>
          <w:szCs w:val="20"/>
          <w:color w:val="auto"/>
        </w:rPr>
      </w:pPr>
      <w:r>
        <w:rPr>
          <w:rFonts w:ascii="Arial" w:cs="Arial" w:eastAsia="Arial" w:hAnsi="Arial"/>
          <w:sz w:val="17"/>
          <w:szCs w:val="17"/>
          <w:color w:val="auto"/>
        </w:rPr>
        <w:t>We also rely on other third parties to provide customer service, document support, titling and registration services and other important customer experience operations and face challenges in maintaining the quality of our customer experience. If any of these third parties are unable to perform to our standards or to provide the level of service required or expected by our customers, or we are unable to renegotiate our agreements with them on attractive terms or at all, or if we are unable to contract with alternative third-party providers, we may be forced to pursue alternatives to provide these services, which could result in delays, interruptions, additional expenses and loss of potential and existing customers and related revenues, any of which may harm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sales and results of operations are materially affected by our customer experience, our reputation and our brand.</w:t>
      </w:r>
    </w:p>
    <w:p>
      <w:pPr>
        <w:spacing w:after="0" w:line="220" w:lineRule="exact"/>
        <w:rPr>
          <w:sz w:val="20"/>
          <w:szCs w:val="20"/>
          <w:color w:val="auto"/>
        </w:rPr>
      </w:pPr>
    </w:p>
    <w:p>
      <w:pPr>
        <w:ind w:right="160" w:firstLine="749"/>
        <w:spacing w:after="0" w:line="236" w:lineRule="auto"/>
        <w:rPr>
          <w:sz w:val="20"/>
          <w:szCs w:val="20"/>
          <w:color w:val="auto"/>
        </w:rPr>
      </w:pPr>
      <w:r>
        <w:rPr>
          <w:rFonts w:ascii="Arial" w:cs="Arial" w:eastAsia="Arial" w:hAnsi="Arial"/>
          <w:sz w:val="18"/>
          <w:szCs w:val="18"/>
          <w:color w:val="auto"/>
        </w:rPr>
        <w:t>Our business model is primarily based on our ability to enable consumers to buy and sell used vehicles through our ecommerce platform in a seamless, transparent and hassle-free transaction. A decrease or even the perception of a decrease in the quality of our customer experience or brand could impact results. If consumers fail to perceive us as a trusted brand with a strong reputation and high standards, or if an event occurs that damages our reputation, it could adversely affect customer demand and have a material adverse effect on our business, revenues and results of operations. Our high rate of historical growth made maintaining the quality of our customer experience more difficult, and we have encountered operational challenges in keeping up with our rapid growth from 2020 through the first quarter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2022. Backlogs in our business developed as there was more sales volume than we had the capacity to manage, resulting in delays in processing transactions, including delays in titling and registering vehicles purchased by our customers, which have adversely affected our customer experience and have led to increased calls to our customer service teams, who have had difficulty keeping up with the increased call volume. If we cannot adequately address these challenges and deliver a positive customer experience through completion of the transaction, including if we cannot successfully transition to our new customer service model and automate and insource key portions of our sales operations in accordance with our long-term roadmap, our brand and our business will suffer. See "We have entered into outsourcing arrangements with third parties related to our customer experience team, and difficulties experienced in and our transition away from these arrangements have and could continue to result in an interruption of our ability to sell our vehicles and value-added products."</w:t>
      </w:r>
    </w:p>
    <w:p>
      <w:pPr>
        <w:spacing w:after="0" w:line="178" w:lineRule="exact"/>
        <w:rPr>
          <w:sz w:val="20"/>
          <w:szCs w:val="20"/>
          <w:color w:val="auto"/>
        </w:rPr>
      </w:pPr>
    </w:p>
    <w:p>
      <w:pPr>
        <w:ind w:right="240" w:firstLine="749"/>
        <w:spacing w:after="0" w:line="236" w:lineRule="auto"/>
        <w:rPr>
          <w:sz w:val="20"/>
          <w:szCs w:val="20"/>
          <w:color w:val="auto"/>
        </w:rPr>
      </w:pPr>
      <w:r>
        <w:rPr>
          <w:rFonts w:ascii="Arial" w:cs="Arial" w:eastAsia="Arial" w:hAnsi="Arial"/>
          <w:sz w:val="18"/>
          <w:szCs w:val="18"/>
          <w:color w:val="auto"/>
        </w:rPr>
        <w:t>Complaints or negative publicity about our business practices, marketing and advertising campaigns, vehicle quality, customer service, delivery experience, compliance with applicable laws and regulations, data privacy and security or other aspects of our business, including on consumer platforms such as the Better Business Bureau, consumer facing blogs and social media websites, could diminish consumer confidence in our platform and adversely affect our brand. The growing use of social media increases the speed with which information and opinions can be shared and thus the speed with which our reputation can be damaged. If we fail or are perceived to fail to deliver the desired customer experience, or fail to correct or mitigate misinformation or negative information about us, our platform, our vehicle inventory, our customer experience, our brand or any aspect of our business, including information spread through social media or traditional media channels, it could materially and adversely affect our business, financial condition and results of operations.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the UACC Business</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We may be unable to successfully complete the integration of the UACC business into Vroom’s business and support UACC as a captive lending operation for Vroom.</w:t>
      </w:r>
    </w:p>
    <w:p>
      <w:pPr>
        <w:spacing w:after="0" w:line="161"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On February 1, 2022, we completed the UACC Acquisition. Vroom and UACC will need to continue to successfully integrate their operations and to support UACC's operations as a captive lending operation for Vroom. The ongoing integration requires significant efforts from each company, additional investments in technology and operations to scale the combined operations and the development of full credit spectrum lending capabilities at UACC. The ongoing integration of UACC may also divert management’s time and resources from our core business, which could impair our relationships with our current employees, customers and strategic partners and disrupt our operations. The failure to successfully complete such integration would undermine our ability to realize the benefits we expect to receive from the transaction and successfully execute our long-term roadmap, and our business and financial condition may be harmed as a result.</w:t>
      </w:r>
    </w:p>
    <w:p>
      <w:pPr>
        <w:spacing w:after="0" w:line="171"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We may not realize the anticipated benefits of the UACC Acquisition or realization of those benefits could take longer than anticipated.</w:t>
      </w:r>
    </w:p>
    <w:p>
      <w:pPr>
        <w:spacing w:after="0" w:line="161"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We acquired UACC with the expectation that the transaction would result in benefits to our business over time, including the benefits of a captive finance arm that would enable us to increase ecommerce unit sales, expand our penetration into non-prime sales, accelerate total revenue growth, enhance aggregate gross profit and GPPU, and leverage our fixed cost base. We expect that the development of our captive financing capabilities through the UACC Acquisition will be a significant element of our path to profitability and help position us for long-term growth in accordance with our long-term roadmap. Achieving these benefits will require the successful integration, development and operation of the combined businesses and it is not certain that we will succeed in those efforts. If we fail to fully integrate, develop and operate the combined businesses, we may not realize the benefits we expect to receive from the transaction or realization of those benefits may take substantially longer than anticipated. In addition to these operational risks, ownership of a captive lender will subject us to increased legal and regulatory scrutiny of our lending operations, including credit bureau reporting, loan origination practices and debt collection practices.</w:t>
      </w:r>
    </w:p>
    <w:p>
      <w:pPr>
        <w:spacing w:after="0" w:line="190"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In addition, with regard to UACC’s financing, subject to market conditions we intend to maintain a hybrid funding approach through the use of off-balance sheet securitization transactions and forward flow arrangements. Achievement of off-balance sheet accounting treatment requires the Company to sell all of the rated notes and residual certificates in the securitization, subject to holding 5% risk retention. Execution of securitization transactions, including achievement of off-balance sheet accounting treatment for those transactions, is subject to market conditions. Even if UACC is able to complete its securitizations, it may not be able to sell its subordinated securities and those securitizations may not qualify</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for off-balance sheet accounting treatment, resulting in retention of the underlying loans (or subordinated securities) on our consolidated balance sheet, which could have an adverse impact on our liquidity. For example, as a result of current market conditions, which led to unfavorable pricing, we retained the non-investment grade securities and residual interests in UACC's January 2023 securitization, requiring that the transaction remain on balance sheet pending the sale of the additional retained interests. There can be no assurance that these additional retained interests will be sold and off-balance sheet treatment will be achieved in the future for this transaction.</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UACC may be unable to sell automotive finance receivables and generate gains on sales of those finance receivables, which could harm our business, results of operations, and financial condition.</w:t>
      </w:r>
    </w:p>
    <w:p>
      <w:pPr>
        <w:spacing w:after="0" w:line="161"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UACC provides indirect financing by drawing on its Warehouse Credit Facilities to purchase motor vehicle retail installment sales contracts and pledging eligible finance receivables as collateral, then typically selling the receivables related to the financing contract. Advance rates available to UACC on borrowings from the Warehouse Credit Facilities may decrease as a result of the increasing credit losses in UACC's portfolio and overall rising interest rates, which may in turn have an adverse impact on our liquidity. In addition, UACC has entered into various arrangements to sell automotive finance receivables that it purchases, including through securitizations, and we expect UACC to enter into additional securitizations, loan sales to financing partners and other new arrangements in the future, subject to market conditions. If UACC is not able to sell receivables under these current or future arrangements for a variety of reasons, including increased credit losses or because it has reached its capacity under the arrangements, its financing partners exercise termination rights before it reaches capacity, general economic or credit market conditions, market disruption or it reaches the scheduled expiration date of the commitment, and it is not able to enter into new arrangements on similar terms, it may not have adequate liquidity and our business, financial condition and results of operations may be adversely affected. For example, as a result of current market conditions, which led to unfavorable pricing, we retained the non-investment grade securities and residual interests in UACC's January 2023 securitization, requiring that the transaction remain on balance sheet pending the sale of the additional retained interests. There can be no assurance that these additional retained interests will be sold and off-balance sheet treatment will be achieved in the future for this transaction. Furthermore, if its financing partners do not purchase these receivables, we could be subject to the risk that some of these receivables are not paid when due and be forced to incur unexpected asset write-offs and bad-debt expense.</w:t>
      </w:r>
    </w:p>
    <w:p>
      <w:pPr>
        <w:spacing w:after="0" w:line="17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UACC's securitizations may expose it to financing and other risks, and there can be no assurance that it will be able to access the securitization market in the future, which may require it to seek more costly financing.</w:t>
      </w:r>
    </w:p>
    <w:p>
      <w:pPr>
        <w:spacing w:after="0" w:line="161"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UACC has securitized, and we expect will in the future securitize, certain of its automotive finance receivables to generate cash. In such transactions, it conveys a pool of automotive finance receivables to a special purpose vehicle, typically a trust that, in turn, issues certain securities. The securities issued by the special purpose vehicle are collateralized by the pool of automotive finance receivables. In exchange for the transfer of finance receivables to the special purpose vehicle, UACC typically receives the cash proceeds from the sale of the securities.</w:t>
      </w:r>
    </w:p>
    <w:p>
      <w:pPr>
        <w:spacing w:after="0" w:line="192" w:lineRule="exact"/>
        <w:rPr>
          <w:sz w:val="20"/>
          <w:szCs w:val="20"/>
          <w:color w:val="auto"/>
        </w:rPr>
      </w:pPr>
    </w:p>
    <w:p>
      <w:pPr>
        <w:ind w:right="120" w:firstLine="749"/>
        <w:spacing w:after="0" w:line="235" w:lineRule="auto"/>
        <w:rPr>
          <w:sz w:val="20"/>
          <w:szCs w:val="20"/>
          <w:color w:val="auto"/>
        </w:rPr>
      </w:pPr>
      <w:r>
        <w:rPr>
          <w:rFonts w:ascii="Arial" w:cs="Arial" w:eastAsia="Arial" w:hAnsi="Arial"/>
          <w:sz w:val="18"/>
          <w:szCs w:val="18"/>
          <w:color w:val="auto"/>
        </w:rPr>
        <w:t>There can be no assurance that UACC will be able to complete additional securitizations in the future, particularly if the securitization markets become increasingly constrained. In addition, the value of any securities that UACC may retain in its securitizations, including securities retained to comply with applicable risk retention rules, might be reduced or, in some cases, eliminated as a result of an adverse change in economic conditions or the financial markets. Furthermore, although our intent is to sell loans originated by UACC using off-balance sheet securitization transactions, even if UACC is able to complete its securitizations, those securitizations may not qualify for sales accounting if market conditions do not allow for the sale of residual certificates. For example, as a result of current market conditions, which led to unfavorable pricing, we retained the non-investment grade securities and residual interests in UACC's January 2023 securitization, requiring that the transaction remain on balance sheet pending the sale of the additional retained interests. There can be no assurance that these additional retained interests will be sold and off-balance sheet treatment will be achieved in the future for this transaction. If it is not possible or economical for UACC to securitize its automotive finance receivables in the future, it would need to seek alternative financing to support its operations and to meet its existing debt obligations, which may be less efficient and more expensive than raising capital via securitizations and may have a material adverse effect on our results of operations, financial condition, and liquidity.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7" w:lineRule="exact"/>
        <w:rPr>
          <w:sz w:val="20"/>
          <w:szCs w:val="20"/>
          <w:color w:val="auto"/>
        </w:rPr>
      </w:pPr>
    </w:p>
    <w:p>
      <w:pPr>
        <w:jc w:val="both"/>
        <w:ind w:right="600"/>
        <w:spacing w:after="0" w:line="252" w:lineRule="auto"/>
        <w:rPr>
          <w:sz w:val="20"/>
          <w:szCs w:val="20"/>
          <w:color w:val="auto"/>
        </w:rPr>
      </w:pPr>
      <w:r>
        <w:rPr>
          <w:rFonts w:ascii="Arial" w:cs="Arial" w:eastAsia="Arial" w:hAnsi="Arial"/>
          <w:sz w:val="18"/>
          <w:szCs w:val="18"/>
          <w:b w:val="1"/>
          <w:bCs w:val="1"/>
          <w:i w:val="1"/>
          <w:iCs w:val="1"/>
          <w:color w:val="auto"/>
        </w:rPr>
        <w:t>UACC is currently experiencing increasing credit losses in interests it holds in automotive finance receivables and its credit scoring systems may not effectively forecast its automotive receivables loss rates. Higher than anticipated credit losses or prepayments or the inability to effectively forecast loss rates may negatively impact its operating results.</w:t>
      </w:r>
    </w:p>
    <w:p>
      <w:pPr>
        <w:spacing w:after="0" w:line="17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Until UACC sells automotive finance receivables, and to the extent it retains interests in automotive finance receivables after it sells them, whether pursuant to securitization transactions or otherwise, UACC is exposed to the risk that applicable customers will be unable or unwilling to repay their loans according to their terms and that the vehicle collateral securing the payment of their loans may not be sufficient to ensure full repayment. Additionally, higher energy prices (including the price of gasoline) and other consumer prices, unstable real estate values, reset of adjustable-rate mortgages to higher interest rates, geopolitical tensions (including outbreaks of military hostilities such as the ongoing military conflict between Ukraine and Russia), interest rate increases, inflation and other factors can affect consumer confidence and disposable income. While credit losses are inherent in the automotive finance receivables business, these conditions can increase loss frequency, decrease consumer demand for motor vehicles and weaken collateral values on certain types of motor vehicles in any period of extended economic slowdown or recession and could have a material adverse effect on our results of operations. Because UACC focuses predominately on sub-prime borrowers, the actual rates of delinquencies, defaults, repossessions and losses on its receivables are higher than those experienced in the general motor vehicle finance industry and may be affected to a greater extent during an economic downturn.</w:t>
      </w:r>
    </w:p>
    <w:p>
      <w:pPr>
        <w:spacing w:after="0" w:line="188"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 xml:space="preserve">In addition, the success of UACC's business is highly dependent on the ability to securitize and sell the automotive finance receivables that it underwrites. As a result of increasing interest rates, the current inflationary environment and vehicle depreciation in the used automotive industry, UACC is experiencing higher loss severity in a soft securitization market. As a result, UACC may not be able to sell the subordinate notes or residual certificates issued in the securitizations at a favorable price or at all. In addition, the increased loss severity could lead to reduced servicing income if UACC elects to waive </w:t>
      </w:r>
      <w:r>
        <w:rPr>
          <w:rFonts w:ascii="Arial" w:cs="Arial" w:eastAsia="Arial" w:hAnsi="Arial"/>
          <w:sz w:val="18"/>
          <w:szCs w:val="18"/>
          <w:color w:val="222222"/>
        </w:rPr>
        <w:t>monthly servicing fees going forward as it did in January. The waiver</w:t>
      </w:r>
      <w:r>
        <w:rPr>
          <w:rFonts w:ascii="Arial" w:cs="Arial" w:eastAsia="Arial" w:hAnsi="Arial"/>
          <w:sz w:val="18"/>
          <w:szCs w:val="18"/>
          <w:color w:val="auto"/>
        </w:rPr>
        <w:t xml:space="preserve"> </w:t>
      </w:r>
      <w:r>
        <w:rPr>
          <w:rFonts w:ascii="Arial" w:cs="Arial" w:eastAsia="Arial" w:hAnsi="Arial"/>
          <w:sz w:val="18"/>
          <w:szCs w:val="18"/>
          <w:color w:val="222222"/>
        </w:rPr>
        <w:t>of servicing fees on prior off-balance sheet securitizations could result in consolidation of the related finance receivables and securitization debt on Vroom’s financial statements</w:t>
      </w:r>
      <w:r>
        <w:rPr>
          <w:rFonts w:ascii="Arial" w:cs="Arial" w:eastAsia="Arial" w:hAnsi="Arial"/>
          <w:sz w:val="18"/>
          <w:szCs w:val="18"/>
          <w:color w:val="000000"/>
        </w:rPr>
        <w:t>.</w:t>
      </w:r>
    </w:p>
    <w:p>
      <w:pPr>
        <w:spacing w:after="0" w:line="193"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UACC makes various assumptions and judgments about the automotive finance receivables it originates and may establish a valuation allowance and value beneficial ownership interests based on a number of factors. Although management may establish a valuation allowance and value beneficial ownership interests based on analysis it believes is appropriate, this may not be adequate, particularly in periods of increased industry-wide vehicle depreciation rates, which we are currently experiencing. For example, if economic conditions were to deteriorate unexpectedly, additional loan losses not incorporated in the existing valuation may occur. Several variables have historically affected UACC’s recent loss and delinquency rates, including general economic conditions and market interest rates, and such variables are likely to differ in the future. In particular, given the impact the COVID-19 pandemic had on the economy and individuals, historical loss and delinquency expectations may not accurately predict the performance of UACC's receivables and impact its ability to effectively forecast loss rates. Losses in excess of expectations could have a material adverse effect on our business, results of operations, and financial condition. Further, the rate of prepayments cannot be predicted and may be influenced by a variety of factors, including changes in the economic and social conditions of our borrowers.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UACC relies on its internally developed credit scoring systems to forecast loss rates of the automotive finance receivables it originates. If it relies on systems that fail to effectively forecast loss rates on receivables it originates, those receivables may suffer higher losses than expected. UACC’s credit scoring systems were developed prior to the onset of the COVID-19 pandemic and, accordingly, were not designed to take into account the effect of the economic, financial and social disruptions resulting from the pandemic. UACC generally seeks to sell these receivables through securitization transactions and expects to enter into loan sales to financing partners and other new arrangements in the future. If the receivables it sells experience higher loss rates than forecasted, it may obtain less favorable pricing on the receivables it sells to those parties in the future and suffer reputational harm in the marketplace for the receivables it sells and its business, results of operations, and financial condition may be adversely affected. If UACC holds receivables that it originates on its balance sheet until it sells them in securitization transactions or, in the future, through loan sales to its financing partners or other arrangements, and to the extent those receivables fail to perform during its holding period, they may become ineligible for sale.</w:t>
      </w:r>
    </w:p>
    <w:p>
      <w:pPr>
        <w:spacing w:after="0" w:line="190" w:lineRule="exact"/>
        <w:rPr>
          <w:sz w:val="20"/>
          <w:szCs w:val="20"/>
          <w:color w:val="auto"/>
        </w:rPr>
      </w:pPr>
    </w:p>
    <w:p>
      <w:pPr>
        <w:ind w:right="140" w:firstLine="749"/>
        <w:spacing w:after="0" w:line="237" w:lineRule="auto"/>
        <w:rPr>
          <w:sz w:val="20"/>
          <w:szCs w:val="20"/>
          <w:color w:val="auto"/>
        </w:rPr>
      </w:pPr>
      <w:r>
        <w:rPr>
          <w:rFonts w:ascii="Arial" w:cs="Arial" w:eastAsia="Arial" w:hAnsi="Arial"/>
          <w:sz w:val="18"/>
          <w:szCs w:val="18"/>
          <w:color w:val="auto"/>
        </w:rPr>
        <w:t>UACC is currently experiencing increasing credit losses on its finance receivables, which has negatively impacted the fair value of our financial receivables and the losses recognized during 2022. Increasing credit losses may continue to negatively impact our business during 2023, especially due to the fact that UACC primarily operates in the sub-prime sector of the market. As UACC has become and will continue to be an increasingly significant part of our consolidated operations, our business, results of operations, and financial condition is increasingly vulnerable to adverse developments in UACC's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Cybersecurity and Privacy</w:t>
      </w:r>
    </w:p>
    <w:p>
      <w:pPr>
        <w:spacing w:after="0" w:line="198"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An actual or perceived failure to maintain the security of personal information and other customer data that we collect, store, process, and use could harm our business, financial condition and results of operations.</w:t>
      </w:r>
    </w:p>
    <w:p>
      <w:pPr>
        <w:spacing w:after="0" w:line="161"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We collect, store, process, and use personal information and other customer data, and rely in part on third parties that are not directly under our control, including our third-party customer experience teams, to manage certain areas of these operations. For example, we rely on encryption, storage, and processing technology developed by third parties to securely transmit, operate on and store such information. Due to the volume and sensitivity of the personal information and data we and these third parties manage and expect to manage in the future, as well as the nature of our customer base, the security features of our information systems are critical. Any failure or perceived failure to maintain the security of personal and other data that is provided to us by customers, employees and vendors could harm our reputation and brand and expose us to a risk of loss or litigation and possible liability, any of which could adversely affect our business, financial condition, and results of operations.</w:t>
      </w:r>
    </w:p>
    <w:p>
      <w:pPr>
        <w:spacing w:after="0" w:line="192" w:lineRule="exact"/>
        <w:rPr>
          <w:sz w:val="20"/>
          <w:szCs w:val="20"/>
          <w:color w:val="auto"/>
        </w:rPr>
      </w:pPr>
    </w:p>
    <w:p>
      <w:pPr>
        <w:ind w:right="20" w:firstLine="749"/>
        <w:spacing w:after="0" w:line="235" w:lineRule="auto"/>
        <w:rPr>
          <w:sz w:val="20"/>
          <w:szCs w:val="20"/>
          <w:color w:val="auto"/>
        </w:rPr>
      </w:pPr>
      <w:r>
        <w:rPr>
          <w:rFonts w:ascii="Arial" w:cs="Arial" w:eastAsia="Arial" w:hAnsi="Arial"/>
          <w:sz w:val="18"/>
          <w:szCs w:val="18"/>
          <w:color w:val="auto"/>
        </w:rPr>
        <w:t>Additionally, concerns about our practices with regard to the collection, use or disclosure of personal information or other privacy-related matters, even if unfounded, could harm our business, financial condition and results of operations. We are subject to numerous federal, state and local laws and regulations regarding privacy, cybersecurity and the collection, use and disclosure of personal information and other data. The scope and interpretation of these laws continue to evolve and may be inconsistent across jurisdictions. New laws also may be enacted. See "Failure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 Further, we are subject to contractual requirements and others’ privacy policies that govern how we use and protect personal information and other data. These obligations may be interpreted and applied inconsistently and may conflict with other rules or our practices. Any failure or perceived failure by us to comply with our privacy policies or obligations may result in governmental enforcement actions, litigation or negative publicity that could have an adverse effect on our business. If our third-party service providers violate applicable laws, contractual obligations or our policies, then such violations also may put consumer, employee and vendor information at risk and could, in turn, harm our reputation, business and operating results.</w:t>
      </w:r>
    </w:p>
    <w:p>
      <w:pPr>
        <w:spacing w:after="0" w:line="17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b w:val="1"/>
          <w:bCs w:val="1"/>
          <w:i w:val="1"/>
          <w:iCs w:val="1"/>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17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Threat actors are increasingly sophisticated and can operate large-scale complex automated attacks. Similar to most IT systems and companies, there is a consistent threat from cyber-attacks, viruses, malicious software, physical break-ins, theft, ransomware, phishing, social engineering, unintentional employee error or malfeasance, system availability, and other security breaches. Further, third-party hosts or service providers are also a source of security concerns as it relates to failures of their own security systems and infrastructure. Our technology infrastructure may be subject to increased risk of slowdown or interruption as a result of integration with third-party services, including cloud services, and/or failures by such third parties, which are beyond our control. The costs to eliminate or address evolving security threats and vulnerabilities before or after a cyber-incident could be significant. Our remediation efforts may not be successful and could result in interruptions, delays or cessation of service and loss of existing or potential suppliers or players.</w:t>
      </w:r>
    </w:p>
    <w:p>
      <w:pPr>
        <w:spacing w:after="0" w:line="192"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Although we have insurance coverage for losses associated with cyber-attacks, as with all insurance policies, there are coverage exclusions and limitations, and our coverage may not be sufficient to cover all possible claims, and we may still suffer losses that could have a material adverse effect on our business, including reputational damage. We also could be negatively impacted by existing and proposed U.S. laws and regulations, and government policies and practices related to cybersecurity, data privacy, and data localization. In the event that we or our service providers are unable to prevent, detect, and remediate the foregoing security threats and risks, our operations could be disrupted or we could incur financial, legal or reputational losses arising from misappropriation, misuse, leakage, falsification or intentional or accidental release or loss of information maintained in our information systems and networks, including personal information of our employees and our customers.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w:t>
      </w:r>
    </w:p>
    <w:p>
      <w:pPr>
        <w:spacing w:after="0" w:line="185" w:lineRule="exact"/>
        <w:rPr>
          <w:sz w:val="20"/>
          <w:szCs w:val="20"/>
          <w:color w:val="auto"/>
        </w:rPr>
      </w:pPr>
    </w:p>
    <w:p>
      <w:pPr>
        <w:ind w:right="140" w:firstLine="749"/>
        <w:spacing w:after="0" w:line="235" w:lineRule="auto"/>
        <w:rPr>
          <w:sz w:val="20"/>
          <w:szCs w:val="20"/>
          <w:color w:val="auto"/>
        </w:rPr>
      </w:pPr>
      <w:r>
        <w:rPr>
          <w:rFonts w:ascii="Arial" w:cs="Arial" w:eastAsia="Arial" w:hAnsi="Arial"/>
          <w:sz w:val="18"/>
          <w:szCs w:val="18"/>
          <w:color w:val="auto"/>
        </w:rPr>
        <w:t>There are numerous federal, state and local laws regarding privacy and the collection, processing, storing, sharing, disclosing, using and protecting of personal information and other data, the scope of which are changing, subject to differing interpretations, and which may be costly to comply with, inconsistent between jurisdictions or conflicting with other rules. We are also subject to specific contractual requirements contained in third-party agreements governing our use and protection of personal information and other data. We generally comply with industry standards and are subject to the terms of our privacy policies and the privacy- and security-related obligations to third parties. We strive to comply with applicable laws, policies, legal obligations and industry codes of conduct relating to privacy and data protection, to the extent possible. However, it is possible that these obligations may be interpreted and applied in new ways or in a manner that is inconsistent from one jurisdiction to another and may conflict with other rules or our practices. Additionally, new regulations could be enacted with which we are not familiar. Any failure or perceived failure by us to comply with our privacy policies, our privacy-related obligations to customers or other third parties, or our privacy-related legal obligations or any compromise of security that results in the unauthorized release or transfer of sensitive information, which may include personally identifiable information or other customer data, may result in governmental enforcement actions, litigation or public statements against us by consumer advocacy groups or others and could cause customers, vendors and third-party business partners to lose trust in us, which could have a material adverse effect on our business, financial condition and results of operations. Additionally, if vendors, developers or other third parties that we work with violate applicable laws or our policies, such violations may also put customers’, vendors’ or receivables-purchasers’ information at risk and could in turn harm our business, financial condition and results of operations.</w:t>
      </w:r>
    </w:p>
    <w:p>
      <w:pPr>
        <w:spacing w:after="0" w:line="196" w:lineRule="exact"/>
        <w:rPr>
          <w:sz w:val="20"/>
          <w:szCs w:val="20"/>
          <w:color w:val="auto"/>
        </w:rPr>
      </w:pPr>
    </w:p>
    <w:p>
      <w:pPr>
        <w:jc w:val="both"/>
        <w:ind w:right="100" w:firstLine="749"/>
        <w:spacing w:after="0" w:line="248" w:lineRule="auto"/>
        <w:rPr>
          <w:sz w:val="20"/>
          <w:szCs w:val="20"/>
          <w:color w:val="auto"/>
        </w:rPr>
      </w:pPr>
      <w:r>
        <w:rPr>
          <w:rFonts w:ascii="Arial" w:cs="Arial" w:eastAsia="Arial" w:hAnsi="Arial"/>
          <w:sz w:val="17"/>
          <w:szCs w:val="17"/>
          <w:color w:val="auto"/>
        </w:rPr>
        <w:t>We expect that industry standards, laws and regulations will continue to develop regarding privacy, data protection and information security in many jurisdictions. Complying with these evolving obligations is costly. For instance, expanding definitions and interpretations of what constitutes “personal data” (or the equivalent) within the United States may increase our compliance costs and legal liability.</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Additionally, California has created a new data protection agency, and other states may do the same, specifically tasked to enforce California privacy laws, which would likely result in increased regulatory scrutiny in the areas of data protection and security.</w:t>
      </w:r>
    </w:p>
    <w:p>
      <w:pPr>
        <w:spacing w:after="0" w:line="184" w:lineRule="exact"/>
        <w:rPr>
          <w:sz w:val="20"/>
          <w:szCs w:val="20"/>
          <w:color w:val="auto"/>
        </w:rPr>
      </w:pPr>
    </w:p>
    <w:p>
      <w:pPr>
        <w:ind w:right="220" w:firstLine="749"/>
        <w:spacing w:after="0" w:line="236" w:lineRule="auto"/>
        <w:rPr>
          <w:sz w:val="20"/>
          <w:szCs w:val="20"/>
          <w:color w:val="auto"/>
        </w:rPr>
      </w:pPr>
      <w:r>
        <w:rPr>
          <w:rFonts w:ascii="Arial" w:cs="Arial" w:eastAsia="Arial" w:hAnsi="Arial"/>
          <w:sz w:val="18"/>
          <w:szCs w:val="18"/>
          <w:color w:val="auto"/>
        </w:rPr>
        <w:t>A significant data breach or any failure, or perceived failure, by us to comply with any federal, state or local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171" w:lineRule="exact"/>
        <w:rPr>
          <w:sz w:val="20"/>
          <w:szCs w:val="20"/>
          <w:color w:val="auto"/>
        </w:rPr>
      </w:pPr>
    </w:p>
    <w:p>
      <w:pPr>
        <w:ind w:right="2820" w:firstLine="2860"/>
        <w:spacing w:after="0" w:line="481" w:lineRule="auto"/>
        <w:rPr>
          <w:sz w:val="20"/>
          <w:szCs w:val="20"/>
          <w:color w:val="auto"/>
        </w:rPr>
      </w:pPr>
      <w:r>
        <w:rPr>
          <w:rFonts w:ascii="Arial" w:cs="Arial" w:eastAsia="Arial" w:hAnsi="Arial"/>
          <w:sz w:val="18"/>
          <w:szCs w:val="18"/>
          <w:b w:val="1"/>
          <w:bCs w:val="1"/>
          <w:color w:val="auto"/>
        </w:rPr>
        <w:t xml:space="preserve">Risks Related to Our Industry and General Economic Conditions </w:t>
      </w:r>
      <w:r>
        <w:rPr>
          <w:rFonts w:ascii="Arial" w:cs="Arial" w:eastAsia="Arial" w:hAnsi="Arial"/>
          <w:sz w:val="18"/>
          <w:szCs w:val="18"/>
          <w:b w:val="1"/>
          <w:bCs w:val="1"/>
          <w:i w:val="1"/>
          <w:iCs w:val="1"/>
          <w:color w:val="auto"/>
        </w:rPr>
        <w:t>Our business is sensitive to changes in the prices of new and used vehicles.</w:t>
      </w:r>
    </w:p>
    <w:p>
      <w:pPr>
        <w:spacing w:after="0" w:line="1" w:lineRule="exact"/>
        <w:rPr>
          <w:sz w:val="20"/>
          <w:szCs w:val="20"/>
          <w:color w:val="auto"/>
        </w:rPr>
      </w:pPr>
    </w:p>
    <w:p>
      <w:pPr>
        <w:ind w:right="160" w:firstLine="749"/>
        <w:spacing w:after="0" w:line="236" w:lineRule="auto"/>
        <w:rPr>
          <w:sz w:val="20"/>
          <w:szCs w:val="20"/>
          <w:color w:val="auto"/>
        </w:rPr>
      </w:pPr>
      <w:r>
        <w:rPr>
          <w:rFonts w:ascii="Arial" w:cs="Arial" w:eastAsia="Arial" w:hAnsi="Arial"/>
          <w:sz w:val="18"/>
          <w:szCs w:val="18"/>
          <w:color w:val="auto"/>
        </w:rPr>
        <w:t>Any significant changes in retail prices for new or used vehicles could have a material adverse effect on our business, financial condition and results of operations. For example, if retail prices for used vehicles rise relative to retail prices for new vehicles, it could make buying a new vehicle more attractive to our customers than buying a used vehicle, which could have a material adverse effect on our business, financial condition and results of operations and could result in reduced vehicle sales and lower revenue. Additionally, manufacturer incentives, including financing, could contribute to narrowing the price gap between new and used vehicles. While there continues to be downward pressure on the supply of lower price point vehicles, overall demand for used vehicles has recently started to decline after heightened demand during the COVID-19 pandemic. This volatility creates risks around our ability to appropriately price our vehicles and maintain our sales margins. There can be no assurance for how long these market conditions will continue.</w:t>
      </w:r>
    </w:p>
    <w:p>
      <w:pPr>
        <w:spacing w:after="0" w:line="192" w:lineRule="exact"/>
        <w:rPr>
          <w:sz w:val="20"/>
          <w:szCs w:val="20"/>
          <w:color w:val="auto"/>
        </w:rPr>
      </w:pPr>
    </w:p>
    <w:p>
      <w:pPr>
        <w:ind w:right="160" w:firstLine="749"/>
        <w:spacing w:after="0"/>
        <w:rPr>
          <w:sz w:val="20"/>
          <w:szCs w:val="20"/>
          <w:color w:val="auto"/>
        </w:rPr>
      </w:pPr>
      <w:r>
        <w:rPr>
          <w:rFonts w:ascii="Arial" w:cs="Arial" w:eastAsia="Arial" w:hAnsi="Arial"/>
          <w:sz w:val="18"/>
          <w:szCs w:val="18"/>
          <w:color w:val="auto"/>
        </w:rPr>
        <w:t>More recently, we have observed decreases in the prices for certain new vehicles, including recent announcements by electric vehicle OEMs of reductions in the prices of several of their electric vehicle models, which has an impact on the price of similar used vehicle models.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While lower new vehicle prices generally reduce the price of used vehicles, and therefore, reduces our cost of acquiring new inventory, in 2022 lower prices impacted the value of our inventory. This dynamic has had, and may in the future have, a negative impact on gross profit. For example, while overall inventory reserve decreased from 2021 to 2022 as a result of lower inventory levels, the decrease was partially offset by higher reserves related to our aged inventory and a $3.7 million additional reserve for recent electric vehicle OEM price decreases.</w:t>
      </w:r>
    </w:p>
    <w:p>
      <w:pPr>
        <w:spacing w:after="0" w:line="192" w:lineRule="exact"/>
        <w:rPr>
          <w:sz w:val="20"/>
          <w:szCs w:val="20"/>
          <w:color w:val="auto"/>
        </w:rPr>
      </w:pPr>
    </w:p>
    <w:p>
      <w:pPr>
        <w:jc w:val="both"/>
        <w:ind w:right="60" w:firstLine="749"/>
        <w:spacing w:after="0"/>
        <w:rPr>
          <w:sz w:val="20"/>
          <w:szCs w:val="20"/>
          <w:color w:val="auto"/>
        </w:rPr>
      </w:pPr>
      <w:r>
        <w:rPr>
          <w:rFonts w:ascii="Arial" w:cs="Arial" w:eastAsia="Arial" w:hAnsi="Arial"/>
          <w:sz w:val="18"/>
          <w:szCs w:val="18"/>
          <w:color w:val="auto"/>
        </w:rPr>
        <w:t>Moreover, any significant changes in retail prices due to scarcity or competition for used vehicles could impact our ability to source desirable inventory for our customers and/or the prices we pay to secure inventory, which could have a material adverse effect on our results of operations and could result in fewer used-car sales and lower revenue or lower gross profit.</w:t>
      </w:r>
    </w:p>
    <w:p>
      <w:pPr>
        <w:spacing w:after="0" w:line="166" w:lineRule="exact"/>
        <w:rPr>
          <w:sz w:val="20"/>
          <w:szCs w:val="20"/>
          <w:color w:val="auto"/>
        </w:rPr>
      </w:pPr>
    </w:p>
    <w:p>
      <w:pPr>
        <w:jc w:val="both"/>
        <w:ind w:right="600"/>
        <w:spacing w:after="0" w:line="252" w:lineRule="auto"/>
        <w:rPr>
          <w:sz w:val="20"/>
          <w:szCs w:val="20"/>
          <w:color w:val="auto"/>
        </w:rPr>
      </w:pPr>
      <w:r>
        <w:rPr>
          <w:rFonts w:ascii="Arial" w:cs="Arial" w:eastAsia="Arial" w:hAnsi="Arial"/>
          <w:sz w:val="18"/>
          <w:szCs w:val="18"/>
          <w:b w:val="1"/>
          <w:bCs w:val="1"/>
          <w:i w:val="1"/>
          <w:iCs w:val="1"/>
          <w:color w:val="auto"/>
        </w:rPr>
        <w:t>Our business is dependent upon access to desirable vehicle inventory. Obstacles to acquiring attractive inventory, whether because of supply, competition or other factors, may have a material adverse effect on our business, financial condition and results of operations.</w:t>
      </w:r>
    </w:p>
    <w:p>
      <w:pPr>
        <w:spacing w:after="0" w:line="179" w:lineRule="exact"/>
        <w:rPr>
          <w:sz w:val="20"/>
          <w:szCs w:val="20"/>
          <w:color w:val="auto"/>
        </w:rPr>
      </w:pPr>
    </w:p>
    <w:p>
      <w:pPr>
        <w:ind w:right="100" w:firstLine="749"/>
        <w:spacing w:after="0" w:line="236" w:lineRule="auto"/>
        <w:rPr>
          <w:sz w:val="20"/>
          <w:szCs w:val="20"/>
          <w:color w:val="auto"/>
        </w:rPr>
      </w:pPr>
      <w:r>
        <w:rPr>
          <w:rFonts w:ascii="Arial" w:cs="Arial" w:eastAsia="Arial" w:hAnsi="Arial"/>
          <w:sz w:val="18"/>
          <w:szCs w:val="18"/>
          <w:color w:val="auto"/>
        </w:rPr>
        <w:t>We acquire vehicles for sale from consumers, auctions, rental car companies, OEMs and dealers. There can be no assurance that the supply of desirable used vehicles will be sufficient to meet our needs. We purchased approximately 80% and 69% of our retail inventory sold from consumers in the years ended December 31, 2022 and 2021, respectively. If our brand is damaged, or consumers otherwise are unwilling to transact with us, we may not be able to source sufficient inventory, or may have to source inventory from lower margin channels. In addition, we purchase a significant amount of our inventory from certain third-party auction sources. If these third parties are unable to fulfill our inventory needs or if we are unable to source desirable used vehicles from alternative third-party providers, we may lack sufficient inventory and, as a result, may lose potential and existing customers and related revenues. Moreover, we sell consumer-sourced vehicles that do not meet our retail standards to auctions, which may result in lower revenues and also could lead to reductions in our available inventory.</w:t>
      </w:r>
    </w:p>
    <w:p>
      <w:pPr>
        <w:spacing w:after="0" w:line="191"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Additionally, we appraise thousands of consumer vehicles daily and evaluate potential purchases based on mechanical soundness, consumer desirability and relative value in relation to retail inventory or wholesale disposition. If we fail to adjust appraisal offers to stay in line with broader market trade-in offer trends or fail to recognize those trends, it could adversely affect our ability to acquire inventory. Our ability to source vehicles through our appraisal process also could be affected by competition, both from new and used vehicle dealers directly and through third-party websites driving appraisal traffic to those dealers. In addition, we remain dependent on third parties to sell us used vehicles, and there can be no assurance of an adequate supply of desirable vehicles on terms that are attractive to us. A reduction in the availability of or access to sources of inventory for any reason could have a material adverse effect on our business, financial condition and results of operations.</w:t>
      </w:r>
    </w:p>
    <w:p>
      <w:pPr>
        <w:spacing w:after="0" w:line="170"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Our business is dependent upon our ability to expeditiously list and sell inventory. Failure to expeditiously list and sell our inventory could have a material adverse effect on our business, financial condition and results of operations.</w:t>
      </w:r>
    </w:p>
    <w:p>
      <w:pPr>
        <w:spacing w:after="0" w:line="161"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We have undertaken various initiatives to address the operational challenges created by our prior rapid growth, including delays in titling and registering vehicles purchased by our customers. These initiatives include increased digitization and electronic transmission of transaction documents and implementation of our digital title vault to ensure that titles are quality checked and vaulted prior to listing. While these initiatives are designed to improve our transaction processing, enhance our customer experience, reduce our regulatory risk and increase efficiency in transaction processing, they have resulted in delays in listing our inventory for sale. Since vehicles depreciate rapidly, a failure to expeditiously list our inventory for sale could hurt our sales margins and gross profit per unit, and could materially and adversely affect our business, financial condition and results of operations. For example, a higher portion of our unit sales in the fourth quarter of 2022 was from aged inventory as we obtain titles for vehicles not previously listed for sale, which negatively impacted our sales margin. We expect this trend to continue through the first half of 2023 and to continue to negatively impact our sales margin.</w:t>
      </w:r>
    </w:p>
    <w:p>
      <w:pPr>
        <w:spacing w:after="0" w:line="191"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Sourcing of our used vehicle inventory is based in large part on projected demand. If actual sales are materially less than our forecasts, we would experience an over-supply of used vehicle inventory. An over-supply of used vehicle inventory will generally cause downward pressure on our vehicle sales prices and margins and decrease inventory sales velocity. Vehicles depreciate rapidly, so a failure to expeditiously sell our inventory or to efficiently recondition and deliver vehicles to customers could hurt our sales margins and gross profit per unit and could materially and adversely affect our business, financial condition and results of operations. The rate at which customers return vehicles increased in recent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periods and there can be no assurance that return rates will remain similar to our historical levels. Vehicles returned continue to depreciate in value and if return rates continue to increase, our revenue, business, financial condition and results of operations could be materially and adversely affected.</w:t>
      </w:r>
    </w:p>
    <w:p>
      <w:pPr>
        <w:spacing w:after="0" w:line="188"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Used vehicle inventory has typically represented a significant portion of our total assets. Having such a large portion of our total assets in the form of used vehicle inventory for an extended period of time subjects us to write-downs and other risks that affect our results of operations. Accordingly, if we have excess inventory, if we are unable to ship and deliver vehicles efficiently or if our inventory sales velocity decreases, we may be unable to liquidate such inventory at prices that would allow us to meet unit economics targets or to recover our costs, which could have a material adverse effect on our business, financial condition and results of operations.</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We participate in a highly competitive industry, and pressure from existing and new companies may adversely affect our business and results of operations.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current and future competitors may include:</w:t>
      </w:r>
    </w:p>
    <w:p>
      <w:pPr>
        <w:spacing w:after="0" w:line="103" w:lineRule="exact"/>
        <w:rPr>
          <w:sz w:val="20"/>
          <w:szCs w:val="20"/>
          <w:color w:val="auto"/>
        </w:rPr>
      </w:pPr>
    </w:p>
    <w:p>
      <w:pPr>
        <w:ind w:left="1020" w:right="28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dealerships, including traditional new and used car dealerships, large, national car dealers, such as CarMax and AutoNation, which have expanded into online sales, including “omni-channel” offerings, and used car dealers or marketplaces that have ecommerce business models or online platforms, such as Carvana, Shift or CarBravo;</w:t>
      </w:r>
    </w:p>
    <w:p>
      <w:pPr>
        <w:spacing w:after="0" w:line="93" w:lineRule="exact"/>
        <w:rPr>
          <w:rFonts w:ascii="Arial" w:cs="Arial" w:eastAsia="Arial" w:hAnsi="Arial"/>
          <w:sz w:val="18"/>
          <w:szCs w:val="18"/>
          <w:color w:val="auto"/>
        </w:rPr>
      </w:pPr>
    </w:p>
    <w:p>
      <w:pPr>
        <w:ind w:left="1020" w:right="680" w:hanging="504"/>
        <w:spacing w:after="0" w:line="245"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automotive finance companies with online ecommerce businesses, such as Chase Auto Preferred and CapitalOne Auto Navigator;</w:t>
      </w:r>
    </w:p>
    <w:p>
      <w:pPr>
        <w:spacing w:after="0" w:line="89" w:lineRule="exact"/>
        <w:rPr>
          <w:rFonts w:ascii="Arial" w:cs="Arial" w:eastAsia="Arial" w:hAnsi="Arial"/>
          <w:sz w:val="18"/>
          <w:szCs w:val="18"/>
          <w:color w:val="auto"/>
        </w:rPr>
      </w:pPr>
    </w:p>
    <w:p>
      <w:pPr>
        <w:ind w:left="1020" w:right="400" w:hanging="504"/>
        <w:spacing w:after="0" w:line="245"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peer-to-peer market, utilizing sites such as Facebook, Craigslist.com, eBay Motors and Nextdoor.com and consignment websites such as CarLotz; and</w:t>
      </w:r>
    </w:p>
    <w:p>
      <w:pPr>
        <w:spacing w:after="0" w:line="89" w:lineRule="exact"/>
        <w:rPr>
          <w:rFonts w:ascii="Arial" w:cs="Arial" w:eastAsia="Arial" w:hAnsi="Arial"/>
          <w:sz w:val="18"/>
          <w:szCs w:val="18"/>
          <w:color w:val="auto"/>
        </w:rPr>
      </w:pPr>
    </w:p>
    <w:p>
      <w:pPr>
        <w:ind w:left="1020" w:right="400" w:hanging="504"/>
        <w:spacing w:after="0" w:line="245"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by rental car companies directly to consumers of used vehicles which were previously utilized in rental fleets, such as Enterprise Car Sales.</w:t>
      </w:r>
    </w:p>
    <w:p>
      <w:pPr>
        <w:spacing w:after="0" w:line="184"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Internet and online automotive sites, such as Google, Amazon, AutoTrader.com, Edmunds.com, KBB.com, Autobytel.com, TrueCar.com, CarGurus and Cars.com, could change their models to sell used vehicles and compete with us. In addition, automobile manufacturers such as Ford and Volkswagen could change their sales models in a fashion similar to General Motors (with their platform CarBravo, a used-vehicle marketplace for General Motors-branded vehicles aimed at competing with online dealerships) or otherwise to better compete with our model through technology and infrastructure investments. While such enterprises may change their business models and endeavor to compete with us, the sale of used vehicles through ecommerce presents unique operational and technical challenges.</w:t>
      </w:r>
    </w:p>
    <w:p>
      <w:pPr>
        <w:spacing w:after="0" w:line="179" w:lineRule="exact"/>
        <w:rPr>
          <w:sz w:val="20"/>
          <w:szCs w:val="20"/>
          <w:color w:val="auto"/>
        </w:rPr>
      </w:pPr>
    </w:p>
    <w:p>
      <w:pPr>
        <w:ind w:right="140" w:firstLine="749"/>
        <w:spacing w:after="0"/>
        <w:rPr>
          <w:sz w:val="20"/>
          <w:szCs w:val="20"/>
          <w:color w:val="auto"/>
        </w:rPr>
      </w:pPr>
      <w:r>
        <w:rPr>
          <w:rFonts w:ascii="Arial" w:cs="Arial" w:eastAsia="Arial" w:hAnsi="Arial"/>
          <w:sz w:val="18"/>
          <w:szCs w:val="18"/>
          <w:color w:val="auto"/>
        </w:rPr>
        <w:t>Our competitors also compete in the online market through companies that provide listings, information, lead generation and car buying services designed to reach customers and enable dealers to reach these customers and providers of offline, membership-based car buying services such as the Costco Auto Program.</w:t>
      </w:r>
    </w:p>
    <w:p>
      <w:pPr>
        <w:spacing w:after="0" w:line="188"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We also expect that new competitors will continue to enter the traditional and ecommerce automotive retail industry with competing brands, business models and products and services, which could have an adverse effect on our revenue, business and financial results. For example, traditional car dealers could transition their selling efforts to the internet, allowing them to sell vehicles across state lines and compete directly with our online offering and no-negotiating pricing model.</w:t>
      </w:r>
    </w:p>
    <w:p>
      <w:pPr>
        <w:spacing w:after="0" w:line="190" w:lineRule="exact"/>
        <w:rPr>
          <w:sz w:val="20"/>
          <w:szCs w:val="20"/>
          <w:color w:val="auto"/>
        </w:rPr>
      </w:pPr>
    </w:p>
    <w:p>
      <w:pPr>
        <w:ind w:right="120" w:firstLine="749"/>
        <w:spacing w:after="0" w:line="237" w:lineRule="auto"/>
        <w:rPr>
          <w:sz w:val="20"/>
          <w:szCs w:val="20"/>
          <w:color w:val="auto"/>
        </w:rPr>
      </w:pPr>
      <w:r>
        <w:rPr>
          <w:rFonts w:ascii="Arial" w:cs="Arial" w:eastAsia="Arial" w:hAnsi="Arial"/>
          <w:sz w:val="18"/>
          <w:szCs w:val="18"/>
          <w:color w:val="auto"/>
        </w:rPr>
        <w:t>Our current and potential competitors may have significantly greater financial, technical, marketing and other resources than we have, and the ability to devote greater resources to the development, promotion and support of their businesses, platforms, and related products and services. Additionally, they may have more extensive automotive industry relationships, longer operating histories and greater name recognition than we have. As a result, these competitors may be able to respond more quickly to consumer needs with new technologies and to undertake more extensive marketing or promotional campaigns. If we are unable to compete with these companies, the demand for our used vehicles and value-added products could substantially decline.</w:t>
      </w:r>
    </w:p>
    <w:p>
      <w:pPr>
        <w:spacing w:after="0" w:line="189" w:lineRule="exact"/>
        <w:rPr>
          <w:sz w:val="20"/>
          <w:szCs w:val="20"/>
          <w:color w:val="auto"/>
        </w:rPr>
      </w:pPr>
    </w:p>
    <w:p>
      <w:pPr>
        <w:ind w:right="140" w:firstLine="749"/>
        <w:spacing w:after="0" w:line="238"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the change in the competitive landscape could adversely affect our ability to compete effectively. We may not be able to compete successfully against current or future competitors, and competitive pressures may harm our business, financial condition and results of operations. Furthermore, if our competitors develop business models, products or services with</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jc w:val="both"/>
        <w:ind w:right="400"/>
        <w:spacing w:after="0"/>
        <w:rPr>
          <w:sz w:val="20"/>
          <w:szCs w:val="20"/>
          <w:color w:val="auto"/>
        </w:rPr>
      </w:pPr>
      <w:r>
        <w:rPr>
          <w:rFonts w:ascii="Arial" w:cs="Arial" w:eastAsia="Arial" w:hAnsi="Arial"/>
          <w:sz w:val="18"/>
          <w:szCs w:val="18"/>
          <w:color w:val="auto"/>
        </w:rPr>
        <w:t>similar or superior functionality to our platform, it may adversely affect our business. Additionally, our competitors could use their political influence and increase lobbying efforts to encourage new regulations or interpretations of existing regulations that would prevent us from operating in certain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auto industry may threaten our business model if we are unable to adapt.</w:t>
      </w:r>
    </w:p>
    <w:p>
      <w:pPr>
        <w:spacing w:after="0" w:line="220"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The market for used vehicles may be impacted by the significant, and likely accelerating, changes to the broader automotive industry, which may render our existing or future business model or our ability to sell vehicles, products and services less competitive, unmarketable or obsolete. For example, technology is currently being developed to produce automated, driverless vehicles that could reduce the demand for, or replace, traditional vehicles, including the used vehicles that we acquire and sell, and change the dynamics of car ownership in the future. Additionally, technological advances are facilitating the development of electric, battery powered and hybrid gas/electric vehicles. While most major vehicle manufacturers have announced plans to electrify some or all of their new vehicle offerings, the eventual timing of widespread availability of electric, battery powered and hybrid gas/electric vehicles and driverless vehicles is uncertain due to regulatory requirements, additional technological requirements, and uncertain consumer acceptance of these vehicles. The effect of autonomous, electric and hybrid vehicles on the automotive retail business is uncertain and could include changes in the level of new or used vehicle sales, the price of new or used vehicles and the levels of service required for such vehicles. Also the increase in remote work and virtual workplaces, particularly since the start of the COVID-19 pandemic, has reduced commuting by our existing and potential customers and could lead to reductions in demand for vehicles. Additionally, ride-hailing and ride-sharing services are becoming increasingly popular as a means of transportation and may decrease consumer demand for the used vehicles we sell, particularly as urbanization increases. Urban congestion and congestion pricing, or state and local laws that have been or may be passed encouraging carpooling and use of mass transit systems, may also negatively impact demand for vehicles and pricing that a customer would be willing to pay for a used vehicle. If we are unable to anticipate and respond to trends in the consumer marketplace and the industry, we could experience a material and adverse impact on our business, financial condition and results of operations. In addition to the state and local laws that have been passed in recent years that encourage the use of carpooling and mass transit, local, state and federal environmental regulatory authorities may continue to pursue measures related to climate change and greenhouse gas emissions that may have the effect of discouraging or decreasing the number of cars being driven. Such laws or regulations could adversely impact the demand for our services and our business. If we are unable to or otherwise fail to successfully adapt to such industry changes or laws and regulations, our business, financial condition and results of operations could be materially and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Prospective purchasers of vehicles may choose not to shop online, which would prevent us from growing our business.</w:t>
      </w:r>
    </w:p>
    <w:p>
      <w:pPr>
        <w:spacing w:after="0" w:line="220"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Our success will depend, in part, on our ability to attract additional customers who have historically purchased vehicles through traditional dealers. The online market for vehicles is significantly less developed than the online market for other goods and services such as books, music, travel and other consumer products. If this market does not gain widespread acceptance, our business may suffer. Furthermore, we may have to incur significantly higher and more sustained advertising and promotional expenditures or offer more incentives than we currently anticipate in order to attract additional consumers to our platform and convert them into purchasing customers. Specific factors that could prevent consumers from purchasing vehicles through our ecommerce platform include:</w:t>
      </w:r>
    </w:p>
    <w:p>
      <w:pPr>
        <w:spacing w:after="0" w:line="297" w:lineRule="exact"/>
        <w:rPr>
          <w:sz w:val="20"/>
          <w:szCs w:val="20"/>
          <w:color w:val="auto"/>
        </w:rPr>
      </w:pPr>
    </w:p>
    <w:p>
      <w:pPr>
        <w:ind w:left="1020" w:right="200" w:hanging="504"/>
        <w:spacing w:after="0" w:line="245"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concerns about buying vehicles without face-to-face interaction with sales personnel and the ability to physically test-drive and examine vehicles;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preference for a more personal experience when purchasing vehicles;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level of desirable inventory;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that does not meet consumer expectations;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delayed deliveries;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inconvenience with returning or exchanging vehicles purchased online;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obtaining temporary tags or title and registration;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concerns about the security of online transactions and the privacy of personal information;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usability, functionality and features of our platform.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540" w:firstLine="749"/>
        <w:spacing w:after="0" w:line="245" w:lineRule="auto"/>
        <w:rPr>
          <w:sz w:val="20"/>
          <w:szCs w:val="20"/>
          <w:color w:val="auto"/>
        </w:rPr>
      </w:pPr>
      <w:r>
        <w:rPr>
          <w:rFonts w:ascii="Arial" w:cs="Arial" w:eastAsia="Arial" w:hAnsi="Arial"/>
          <w:sz w:val="18"/>
          <w:szCs w:val="18"/>
          <w:color w:val="auto"/>
        </w:rPr>
        <w:t>If the online market for vehicles does not continue to develop and grow, our business will not grow and our business, financial condition and results of operations could be materially and adversely affected.</w:t>
      </w:r>
    </w:p>
    <w:p>
      <w:pPr>
        <w:spacing w:after="0" w:line="162"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General business and economic conditions, and risks related to the larger automotive ecosystem, including consumer demand, could reduce our sales and profitability, which could have a material adverse effect on our business, financial condition and results of operations.</w:t>
      </w:r>
    </w:p>
    <w:p>
      <w:pPr>
        <w:spacing w:after="0" w:line="17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Our business is affected by general business and economic conditions. The global economy often experiences periods of instability, and this volatility may result in reduced demand for our vehicles and value-added products, reduced spending on vehicles, inability of customers to obtain credit to finance purchases of vehicles and decreased consumer confidence to make discretionary purchases. Consumer purchases of new and used vehicles generally decline during recessionary periods and other periods in which disposable income is adversely affected. In addition, such periods may lead to high unemployment and a lack of available credit, which may in turn lead to increased delinquencies, defaults, repossessions and losses on motor vehicle contracts financed through UACC and could materially and adversely affect our business, financial condition and results of operations.</w:t>
      </w:r>
    </w:p>
    <w:p>
      <w:pPr>
        <w:spacing w:after="0" w:line="193" w:lineRule="exact"/>
        <w:rPr>
          <w:sz w:val="20"/>
          <w:szCs w:val="20"/>
          <w:color w:val="auto"/>
        </w:rPr>
      </w:pPr>
    </w:p>
    <w:p>
      <w:pPr>
        <w:ind w:right="100" w:firstLine="749"/>
        <w:spacing w:after="0" w:line="236" w:lineRule="auto"/>
        <w:rPr>
          <w:sz w:val="20"/>
          <w:szCs w:val="20"/>
          <w:color w:val="auto"/>
        </w:rPr>
      </w:pPr>
      <w:r>
        <w:rPr>
          <w:rFonts w:ascii="Arial" w:cs="Arial" w:eastAsia="Arial" w:hAnsi="Arial"/>
          <w:sz w:val="18"/>
          <w:szCs w:val="18"/>
          <w:color w:val="auto"/>
        </w:rPr>
        <w:t>Purchases of new and used vehicles are typically discretionary for consumers and have been, and may continue to be, affected by negative trends in the economy and other factors, including inflation and rising interest rates, the cost of energy and gasoline, the availability and cost of consumer credit, reductions in consumer confidence and fears of recession, stock market volatility, increased regulation and increased unemployment. The current inflationary environment has led to both overall price increases and pronounced price increases in certain sectors, including gasoline prices. Moreover, the Federal Reserve’s efforts to tame inflation have led to, and may continue to lead to, increased interest rates, which affects automotive finance rates, making vehicle financing more costly and less accessible to many consumers. Additionally, increased environmental regulation has made, and may in the future make, used vehicles more expensive and less desirable for consumers.</w:t>
      </w:r>
    </w:p>
    <w:p>
      <w:pPr>
        <w:spacing w:after="0" w:line="192" w:lineRule="exact"/>
        <w:rPr>
          <w:sz w:val="20"/>
          <w:szCs w:val="20"/>
          <w:color w:val="auto"/>
        </w:rPr>
      </w:pPr>
    </w:p>
    <w:p>
      <w:pPr>
        <w:ind w:right="140" w:firstLine="749"/>
        <w:spacing w:after="0"/>
        <w:rPr>
          <w:sz w:val="20"/>
          <w:szCs w:val="20"/>
          <w:color w:val="auto"/>
        </w:rPr>
      </w:pPr>
      <w:r>
        <w:rPr>
          <w:rFonts w:ascii="Arial" w:cs="Arial" w:eastAsia="Arial" w:hAnsi="Arial"/>
          <w:sz w:val="18"/>
          <w:szCs w:val="18"/>
          <w:color w:val="auto"/>
        </w:rPr>
        <w:t>Changing trends in consumer tastes, negative business and economic conditions and market volatility may also make it difficult for us to accurately forecast vehicle demand trends, which could cause us to increase our inventory carrying costs and could materially and adversely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sensitive to conditions affecting automotive manufacturers, including manufacturer recalls.</w:t>
      </w:r>
    </w:p>
    <w:p>
      <w:pPr>
        <w:spacing w:after="0" w:line="220" w:lineRule="exact"/>
        <w:rPr>
          <w:sz w:val="20"/>
          <w:szCs w:val="20"/>
          <w:color w:val="auto"/>
        </w:rPr>
      </w:pPr>
    </w:p>
    <w:p>
      <w:pPr>
        <w:ind w:right="80" w:firstLine="749"/>
        <w:spacing w:after="0" w:line="248" w:lineRule="auto"/>
        <w:rPr>
          <w:sz w:val="20"/>
          <w:szCs w:val="20"/>
          <w:color w:val="auto"/>
        </w:rPr>
      </w:pPr>
      <w:r>
        <w:rPr>
          <w:rFonts w:ascii="Arial" w:cs="Arial" w:eastAsia="Arial" w:hAnsi="Arial"/>
          <w:sz w:val="17"/>
          <w:szCs w:val="17"/>
          <w:color w:val="auto"/>
        </w:rPr>
        <w:t>Adverse conditions affecting one or more automotive manufacturers could have a material adverse effect on our business, financial condition and results of operations and could impact our supply of used vehicles. In addition, manufacturer recalls are a common occurrence that have accelerated in frequency and scope in recent years. In the instance of an open recall, we may have to temporarily remove vehicles from inventory and may be unable to liquidate such inventory in a timely manner or at all. Because we do not have manufacturer authorization to complete recall-related repairs, some vehicles we sell may have unrepaired safety recalls. Such recalls, and our lack of authorization to make recall-related repairs or potential unavailability of parts needed to make such repairs, could (i) adversely affect used vehicle sales or valuations, (ii) cause us to temporarily remove vehicles from inventory, (iii) cause us to sell any affected vehicles at a loss,</w:t>
      </w:r>
    </w:p>
    <w:p>
      <w:pPr>
        <w:spacing w:after="0" w:line="2" w:lineRule="exact"/>
        <w:rPr>
          <w:sz w:val="20"/>
          <w:szCs w:val="20"/>
          <w:color w:val="auto"/>
        </w:rPr>
      </w:pPr>
    </w:p>
    <w:p>
      <w:pPr>
        <w:ind w:right="140" w:firstLine="8"/>
        <w:spacing w:after="0" w:line="245" w:lineRule="auto"/>
        <w:tabs>
          <w:tab w:leader="none" w:pos="299"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force us to incur increased costs and (v) expose us to litigation and adverse publicity related to the sale of recalled vehicles, which could have a material adverse effect on our business, financial condition and results of operations.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21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i w:val="1"/>
          <w:iCs w:val="1"/>
          <w:color w:val="auto"/>
        </w:rPr>
        <w:t>We operate in a highly regulated industry and are subject to a wide range of federal, state and local laws and regulations. Failure to comply with these laws and regulations could have a material adverse effect on our business, financial condition and results of operations.</w:t>
      </w:r>
    </w:p>
    <w:p>
      <w:pPr>
        <w:spacing w:after="0" w:line="179"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Our business is and will continue to be subject to extensive U.S. federal, state and local laws and regulations. The advertising, sale, purchase, financing and transportation of used vehicles are regulated by every state in which we operate and by the U.S. federal government. The titling and registration of vehicles and the sale of value-added products also are regulated by state laws, and such laws can vary significantly from state to state. Regulations governing the used vehicle industry generally do not contemplate our ecommerce business model. In addition, we are subject to regulations and laws specifically governing the internet and ecommerce and the collection, storage and use of personal information and other customer data. We are also subject to federal and state consumer protection laws, including prohibitions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against unfair or deceptive acts or practices. The federal governmental agencies that regulate our business and have the authority to enforce such regulations and laws against us include agencies such as the U.S. Federal Trade Commission, the U.S. Department of Transportation (“DOT”), the U.S. Occupational Health and Safety Administration, the U.S. Department of Justice and the U.S. Federal Communications Commission ("FCC"). Additionally, we are subject to regulation by individual state dealer licensing authorities, state consumer protection agencies and state financial regulatory agencies.</w:t>
      </w:r>
    </w:p>
    <w:p>
      <w:pPr>
        <w:spacing w:after="0" w:line="192" w:lineRule="exact"/>
        <w:rPr>
          <w:sz w:val="20"/>
          <w:szCs w:val="20"/>
          <w:color w:val="auto"/>
        </w:rPr>
      </w:pPr>
    </w:p>
    <w:p>
      <w:pPr>
        <w:ind w:right="140" w:firstLine="749"/>
        <w:spacing w:after="0" w:line="236" w:lineRule="auto"/>
        <w:rPr>
          <w:sz w:val="20"/>
          <w:szCs w:val="20"/>
          <w:color w:val="auto"/>
        </w:rPr>
      </w:pPr>
      <w:r>
        <w:rPr>
          <w:rFonts w:ascii="Arial" w:cs="Arial" w:eastAsia="Arial" w:hAnsi="Arial"/>
          <w:sz w:val="18"/>
          <w:szCs w:val="18"/>
          <w:color w:val="auto"/>
        </w:rPr>
        <w:t>From time to time, we have been subject to audits, requests for information, investigations and other inquiries from our regulators related to customer complaints. As we encountered operational challenges in keeping up with our rapid growth from 2020 through the first quarter of 2022, we experienced an increase in customer complaints, leading to an increase in such regulatory inquiries. We endeavor to promptly respond to any such inquiries and cooperate with our regulators. Failure to satisfy regulators in response to such inquiries could lead to revocation of licenses, financial penalties and restrictions on our operations. Such an outcome could have a material adverse effect on our business, financial condition and results of operations. We have incurred fines in certain states and on April 19, 2022, the State of Texas filed a lawsuit in the District Court of Travis County, Texas, against the Company and one of its subsidiaries, alleging violations of the Texas Deceptive Trade Practices Consumer Protection Act. See Part II, Item 1 – “Legal Proceedings.”</w:t>
      </w:r>
    </w:p>
    <w:p>
      <w:pPr>
        <w:spacing w:after="0" w:line="192"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State dealer licensing authorities regulate the purchase and sale of used vehicles by dealers within their respective states. The applicability of these regulatory and legal compliance obligations to our ecommerce business is dependent on evolving interpretations of these laws and regulations and how our operations are, or are not, subject to them. We are currently licensed as a dealer in the States of Texas, Florida, Arizona, California and Ohio and currently all of our vehicle transactions are conducted under our Texas, Florida, Arizona and Ohio licenses. We believe that our activities in other states are not subject to such states' vehicle dealer licensing laws; however, regulators in such states could seek to require us to maintain a used vehicle dealer license in order to engage in activities in that state.</w:t>
      </w:r>
    </w:p>
    <w:p>
      <w:pPr>
        <w:spacing w:after="0" w:line="189"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Most states regulate retail installment sales, including setting a maximum interest rate and caps on certain fees or amounts financed. In addition, certain states require that retail installment sellers file a notice or registration document or have a sales finance license or an installment sellers license in order to solicit or originate installment sales in that state. We have obtained a motor vehicle sales finance license in Texas in connection with our Texas dealer license, a retail installment seller license in Florida in connection with our Florida dealer license, and filed the required notice in Arizona in connection with our Arizona dealer license. The financial regulatory agency in Pennsylvania determined that we need to obtain an installment seller license in order to enter into retail installment sales with residents of Pennsylvania. As a result, we are not currently offering third-party financing to our customers in Pennsylvania, who must obtain independent financing to the extent needed to fund any vehicle purchases on our platform. We have since obtained a Pennsylvania installment seller license and expect to resume offering financing to Pennsylvania customers in the future. We also are registered with the Indiana Department of Financial Regulation as a non-lender credit seller.</w:t>
      </w:r>
    </w:p>
    <w:p>
      <w:pPr>
        <w:spacing w:after="0" w:line="190"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Any failure to renew or maintain or any revocation of any of the foregoing licenses would materially and adversely affect our business, financial condition and results of operations. Many aspects of our business are subject to regulatory regimes at the state and local level, and we may not have all licenses required to conduct business in every jurisdiction in which we operate. Despite our belief that we are not subject to certain licensing requirements of those state and local jurisdictions, regulators may seek to impose punitive fines for operating without a license or demand we seek a license in those state and local jurisdictions, any of which may inhibit our ability to do business in those state and local jurisdictions, increase our operating expenses and adversely affect our business, financial condition and results of operations.</w:t>
      </w:r>
    </w:p>
    <w:p>
      <w:pPr>
        <w:spacing w:after="0" w:line="193"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Our proprietary logistics operations are subject to regulation by the DOT and by the states through which our vehicles travel. Transport vehicle dimensions, transport vehicle conditions, driver motor vehicle record history, driver alcohol and drug testing, and driver hours of service are also subject to both federal and state regulation. More restrictive limitations on vehicle weight and size, condition, trailer length and configuration, methods of measurement, driver qualifications, or driver hours of service would increase our operating expenses and may adversely affect our financial condition, operating results, and cash flows. If we fail to comply with the DOT regulations or if those regulations become more stringent, we could be subject to increased inspections, audits, or compliance burdens. Regulatory authorities could take remedial action including imposing fines, suspending, or shutting down our transportation operations. If any of these events occur, our business, financial condition and results of operations would be adversely affected.</w:t>
      </w:r>
    </w:p>
    <w:p>
      <w:pPr>
        <w:spacing w:after="0" w:line="192" w:lineRule="exact"/>
        <w:rPr>
          <w:sz w:val="20"/>
          <w:szCs w:val="20"/>
          <w:color w:val="auto"/>
        </w:rPr>
      </w:pPr>
    </w:p>
    <w:p>
      <w:pPr>
        <w:ind w:right="100" w:firstLine="749"/>
        <w:spacing w:after="0" w:line="245" w:lineRule="auto"/>
        <w:rPr>
          <w:sz w:val="20"/>
          <w:szCs w:val="20"/>
          <w:color w:val="auto"/>
        </w:rPr>
      </w:pPr>
      <w:r>
        <w:rPr>
          <w:rFonts w:ascii="Arial" w:cs="Arial" w:eastAsia="Arial" w:hAnsi="Arial"/>
          <w:sz w:val="18"/>
          <w:szCs w:val="18"/>
          <w:color w:val="auto"/>
        </w:rPr>
        <w:t>UACC's financing operations are subject to U.S. federal, state, and local laws and regulations regarding loan origination, acquiring motor vehicle installment sales contracts from retail sellers, credit bureau reporting, servicing, debt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collection practices, and securitization transactions. Certain states require UACC to have a sales finance license, consumer credit license, or similar applicable license. UACC has obtained licenses in all states as required. In addition, UACC is subject to enforcement by the CFPB and state consumer protection agencies, including state attorney general offices and state financial regulatory agencies. As a result of the acquisition of UACC, we may be considered a “related person” to UACC for the purposes of CFPB jurisdiction.</w:t>
      </w:r>
    </w:p>
    <w:p>
      <w:pPr>
        <w:spacing w:after="0" w:line="190" w:lineRule="exact"/>
        <w:rPr>
          <w:sz w:val="20"/>
          <w:szCs w:val="20"/>
          <w:color w:val="auto"/>
        </w:rPr>
      </w:pPr>
    </w:p>
    <w:p>
      <w:pPr>
        <w:ind w:right="100" w:firstLine="749"/>
        <w:spacing w:after="0" w:line="254" w:lineRule="auto"/>
        <w:rPr>
          <w:sz w:val="20"/>
          <w:szCs w:val="20"/>
          <w:color w:val="auto"/>
        </w:rPr>
      </w:pPr>
      <w:r>
        <w:rPr>
          <w:rFonts w:ascii="Arial" w:cs="Arial" w:eastAsia="Arial" w:hAnsi="Arial"/>
          <w:sz w:val="17"/>
          <w:szCs w:val="17"/>
          <w:color w:val="auto"/>
        </w:rPr>
        <w:t>In addition to these laws and regulations that apply specifically to the sale and financing of used vehicles and logistics, our facilities and business operations are subject to laws and regulations relating to environmental protection, occupational health and safety, and other broadly applicable business regulations. We also are subject to laws and regulations involving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w:t>
      </w:r>
    </w:p>
    <w:p>
      <w:pPr>
        <w:spacing w:after="0" w:line="179" w:lineRule="exact"/>
        <w:rPr>
          <w:sz w:val="20"/>
          <w:szCs w:val="20"/>
          <w:color w:val="auto"/>
        </w:rPr>
      </w:pPr>
    </w:p>
    <w:p>
      <w:pPr>
        <w:ind w:right="60" w:firstLine="749"/>
        <w:spacing w:after="0" w:line="237" w:lineRule="auto"/>
        <w:rPr>
          <w:sz w:val="20"/>
          <w:szCs w:val="20"/>
          <w:color w:val="auto"/>
        </w:rPr>
      </w:pPr>
      <w:r>
        <w:rPr>
          <w:rFonts w:ascii="Arial" w:cs="Arial" w:eastAsia="Arial" w:hAnsi="Arial"/>
          <w:sz w:val="18"/>
          <w:szCs w:val="18"/>
          <w:color w:val="auto"/>
        </w:rPr>
        <w:t>We are also subject to laws and regulations affecting public companies, including securities laws and Nasdaq listing rules. The violation of any of these laws or regulations could result in administrative, civil or criminal penalties or in a cease-and -desist order against our business operations, any of which could damage our reputation and have a material adverse effect on our business, financial condition and results of operations. We have incurred and will continue to incur capital and operating expenses and other costs to comply with these laws and regulations.</w:t>
      </w:r>
    </w:p>
    <w:p>
      <w:pPr>
        <w:spacing w:after="0" w:line="192"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Additionally, we have in the past been subject to federal, state and local laws and regulations, and other government actions related to the COVID-19 pandemic, and may be subject to them in the future, including in the event of any resurgences or the emergence of new variants.</w:t>
      </w:r>
    </w:p>
    <w:p>
      <w:pPr>
        <w:spacing w:after="0" w:line="188" w:lineRule="exact"/>
        <w:rPr>
          <w:sz w:val="20"/>
          <w:szCs w:val="20"/>
          <w:color w:val="auto"/>
        </w:rPr>
      </w:pPr>
    </w:p>
    <w:p>
      <w:pPr>
        <w:ind w:right="280" w:firstLine="749"/>
        <w:spacing w:after="0" w:line="237"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evolving interpretations and continuous change. The enactment of new laws and regulations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170"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b w:val="1"/>
          <w:bCs w:val="1"/>
          <w:i w:val="1"/>
          <w:iCs w:val="1"/>
          <w:color w:val="auto"/>
        </w:rPr>
        <w:t>If we fail to comply with the Telephone Consumer Protection Act, we may face significant damages, which could harm our business, financial condition and results of operations.</w:t>
      </w:r>
    </w:p>
    <w:p>
      <w:pPr>
        <w:spacing w:after="0" w:line="161"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We utilize telephone calls as a means of responding to and communicating with customers interested in purchasing, trading in and/or selling vehicles and value-added products. Potential customers can submit their contact information, including phone number, via our website or third-party listing sites to express their interest in purchasing a vehicle, selling a vehicle, or obtaining financing terms. We currently engage third-party customer experience centers to respond to certain of these inquiries and further communicate with potential customers concerning sales, purchases and financings of our vehicles through our platform. We send text messages to customers concerning the status of their order, and we intend to expand our use of texting as a means of communicating with our customers.</w:t>
      </w:r>
    </w:p>
    <w:p>
      <w:pPr>
        <w:spacing w:after="0" w:line="189" w:lineRule="exact"/>
        <w:rPr>
          <w:sz w:val="20"/>
          <w:szCs w:val="20"/>
          <w:color w:val="auto"/>
        </w:rPr>
      </w:pPr>
    </w:p>
    <w:p>
      <w:pPr>
        <w:ind w:right="60" w:firstLine="749"/>
        <w:spacing w:after="0" w:line="237" w:lineRule="auto"/>
        <w:rPr>
          <w:sz w:val="20"/>
          <w:szCs w:val="20"/>
          <w:color w:val="auto"/>
        </w:rPr>
      </w:pPr>
      <w:r>
        <w:rPr>
          <w:rFonts w:ascii="Arial" w:cs="Arial" w:eastAsia="Arial" w:hAnsi="Arial"/>
          <w:sz w:val="18"/>
          <w:szCs w:val="18"/>
          <w:color w:val="auto"/>
        </w:rPr>
        <w:t>The Telephone Consumer Protection Act (the “TCPA”), as interpreted and implemented by the FCC and U.S. courts, imposes significant restrictions on the use of autodialed telephone calls, pre-recorded messages, and text messages to residential and mobile telephone numbers as a means of communication when prior consent of the person being contacted has not been obtained. Violations of the TCPA may be enforced by the FCC or by individuals through litigation, including class actions. Statutory penalties for TCPA violations range from $500 to $1,500 per violation, which has been interpreted to mean per phone call or text message.</w:t>
      </w:r>
    </w:p>
    <w:p>
      <w:pPr>
        <w:spacing w:after="0" w:line="192"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While we have implemented processes and procedures to comply with the TCPA, if we or the third parties on which we rely fail to adhere to or successfully implement appropriate processes and procedures in response to existing or future regulations, it could result in legal and monetary liability, fines, penalties or damage to our reputation in the marketplace, any of which could have a material adverse effect on our business, financial condition and results of operations. Additionally, any changes to the TCPA, its interpretation, or enforcement of it by the government or private parties that further restrict the way we contact and communicate with our potential customers or generate leads could adversely affect our ability to attract customers and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or failure by us to comply with these regulations could substantially harm our business, financial condition and results of operations.</w:t>
      </w:r>
    </w:p>
    <w:p>
      <w:pPr>
        <w:spacing w:after="0" w:line="161" w:lineRule="exact"/>
        <w:rPr>
          <w:sz w:val="20"/>
          <w:szCs w:val="20"/>
          <w:color w:val="auto"/>
        </w:rPr>
      </w:pPr>
    </w:p>
    <w:p>
      <w:pPr>
        <w:ind w:right="60" w:firstLine="749"/>
        <w:spacing w:after="0" w:line="235" w:lineRule="auto"/>
        <w:rPr>
          <w:sz w:val="20"/>
          <w:szCs w:val="20"/>
          <w:color w:val="auto"/>
        </w:rPr>
      </w:pPr>
      <w:r>
        <w:rPr>
          <w:rFonts w:ascii="Arial" w:cs="Arial" w:eastAsia="Arial" w:hAnsi="Arial"/>
          <w:sz w:val="18"/>
          <w:szCs w:val="18"/>
          <w:color w:val="auto"/>
        </w:rPr>
        <w:t xml:space="preserve">We are subject to general business regulations and laws, as well as regulations and laws specifically governing the internet and ecommerce. Existing and future regulations and laws could impede the growth of the internet, ecommerce or mobile commerce. These regulations and laws may involve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 It is not clear how existing laws governing issues such as property ownership, sales and other taxes and consumer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market segment to another and may conflict with other rules or our practices. For example, federal, state and local regulation regarding privacy, data protection and information security has become more significant, </w:t>
      </w:r>
      <w:r>
        <w:rPr>
          <w:rFonts w:ascii="Arial" w:cs="Arial" w:eastAsia="Arial" w:hAnsi="Arial"/>
          <w:sz w:val="18"/>
          <w:szCs w:val="18"/>
          <w:color w:val="222222"/>
        </w:rPr>
        <w:t>and these evolving regulations may</w:t>
      </w:r>
      <w:r>
        <w:rPr>
          <w:rFonts w:ascii="Arial" w:cs="Arial" w:eastAsia="Arial" w:hAnsi="Arial"/>
          <w:sz w:val="18"/>
          <w:szCs w:val="18"/>
          <w:color w:val="auto"/>
        </w:rPr>
        <w:t xml:space="preserve"> </w:t>
      </w:r>
      <w:r>
        <w:rPr>
          <w:rFonts w:ascii="Arial" w:cs="Arial" w:eastAsia="Arial" w:hAnsi="Arial"/>
          <w:sz w:val="18"/>
          <w:szCs w:val="18"/>
          <w:color w:val="222222"/>
        </w:rPr>
        <w:t>increase our costs of compliance</w:t>
      </w:r>
      <w:r>
        <w:rPr>
          <w:rFonts w:ascii="Arial" w:cs="Arial" w:eastAsia="Arial" w:hAnsi="Arial"/>
          <w:sz w:val="18"/>
          <w:szCs w:val="18"/>
          <w:color w:val="000000"/>
        </w:rPr>
        <w:t>. We cannot be sure that our practices have complied, comply or will comply fully with all such laws and</w:t>
      </w:r>
      <w:r>
        <w:rPr>
          <w:rFonts w:ascii="Arial" w:cs="Arial" w:eastAsia="Arial" w:hAnsi="Arial"/>
          <w:sz w:val="18"/>
          <w:szCs w:val="18"/>
          <w:color w:val="222222"/>
        </w:rPr>
        <w:t xml:space="preserve"> </w:t>
      </w:r>
      <w:r>
        <w:rPr>
          <w:rFonts w:ascii="Arial" w:cs="Arial" w:eastAsia="Arial" w:hAnsi="Arial"/>
          <w:sz w:val="18"/>
          <w:szCs w:val="18"/>
          <w:color w:val="000000"/>
        </w:rPr>
        <w:t>regulations. The enactment of new laws and regulations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197"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actively use anonymous online data for targeting ads online and if ad networks are compelled by regulatory bodies to limit use of this data, it could materially affect our ability to do effective performance marketing.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decrease the use of our sites by customers and suppliers and result in the imposition of monetary liability. We also may be contractually liable to indemnify and hold harmless third parties from the costs or consequences of non-compliance with any such laws or regulations. Adverse legal or regulatory developments could substantially harm our business, our ability to attract new customers may be adversely affected, and we may not be able to maintain or grow our revenue and expand our business as anticipated.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Use of Data and Technology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inventory are dependent on our ability to correctly appraise and price vehicles we buy and sell.</w:t>
      </w:r>
    </w:p>
    <w:p>
      <w:pPr>
        <w:spacing w:after="0" w:line="220"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When purchasing a vehicle from us, our customers sometimes trade in their current vehicle and apply the trade-in value towards their purchase. We also acquire vehicles from consumers independent of any purchase of a vehicle from us and purchase vehicles from auctions, rental car companies, OEMs and dealers. We appraise and price vehicles we buy and sell using data science and proprietary algorithms based on a number of factors, including mechanical soundness, consumer desirability, vehicle history, market prices and relative value as prospective inventory. If we are unable to correctly appraise and price both the vehicles we buy and the vehicles we sell, we may be unable to acquire or sell inventory at attractive prices or to manage inventory effectively, and accordingly our revenue, gross margins and results of operations would be affected, which could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online payment methods.</w:t>
      </w:r>
    </w:p>
    <w:p>
      <w:pPr>
        <w:spacing w:after="0" w:line="220"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We accept payments for deposits on our vehicles through a variety of methods, including credit card and debit card. As we offer new payment options to customers, we may be subject to additional regulations, compliance requirements and fraud. For certain payment methods, including credit and debit cards, we pay interchange and other fees, which may increase over time and raise our operating costs. We are also subject to payment card association operating rules and certification requirements, including the Payment Card Industry Data Security Standard and rules governing electronic funds transfers, which could change or be reinterpreted to make it difficult or impossible for us to comply. As our business changes, we also may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systems, we may, among other things, be subject to fines or higher transaction fees and may lose, or face restrictions placed upon, our ability to accept credit card and debit card payments from customers or facilitate other types of online payments. If any of these events were to occur, our business, financial condition and results of operations could be materially adversely affected.</w:t>
      </w:r>
    </w:p>
    <w:p>
      <w:pPr>
        <w:spacing w:after="0" w:line="188" w:lineRule="exact"/>
        <w:rPr>
          <w:sz w:val="20"/>
          <w:szCs w:val="20"/>
          <w:color w:val="auto"/>
        </w:rPr>
      </w:pPr>
    </w:p>
    <w:p>
      <w:pPr>
        <w:ind w:right="80" w:firstLine="749"/>
        <w:spacing w:after="0" w:line="237" w:lineRule="auto"/>
        <w:rPr>
          <w:sz w:val="20"/>
          <w:szCs w:val="20"/>
          <w:color w:val="auto"/>
        </w:rPr>
      </w:pPr>
      <w:r>
        <w:rPr>
          <w:rFonts w:ascii="Arial" w:cs="Arial" w:eastAsia="Arial" w:hAnsi="Arial"/>
          <w:sz w:val="18"/>
          <w:szCs w:val="18"/>
          <w:color w:val="auto"/>
        </w:rPr>
        <w:t>We occasionally receive orders placed with fraudulent credit card data, including stolen credit card numbers, or from clients who have closed bank accounts or have insufficient funds in open bank accounts to satisfy payment obligations. We may suffer losses as a result of orders placed with fraudulent credit card data even if the associated financial institution approved payment of the orders. Under current credit card practices, we may be liable for fraudulent credit card transactions. If we are unable to detect or control credit card or other fraud, our liability for these transactions could harm our business, financial condition and results of operations.</w:t>
      </w:r>
    </w:p>
    <w:p>
      <w:pPr>
        <w:spacing w:after="0" w:line="17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If we do not adequately address our customers’ reliance on mobile device technology, our results of operations could be harmed and our growth could be negatively affected.</w:t>
      </w:r>
    </w:p>
    <w:p>
      <w:pPr>
        <w:spacing w:after="0" w:line="161"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Vroom.com is a mobile website that consumers can access and utilize from their mobile devices. In addition, we have designed and launched mobile apps (iOS and android) to enhance customers’ mobile experience. In light of consumers’ shift to mobile technology, our future success depends in part on our ability to provide enhanced functionality for customers who use mobile devices, including automation of key portions of our sales operations in accordance with our long-term roadmap, to shop for used vehicles and increase the number of transactions with us that are completed by those users. The shift to mobile technology by our users may harm our business in the following ways:</w:t>
      </w:r>
    </w:p>
    <w:p>
      <w:pPr>
        <w:spacing w:after="0" w:line="297" w:lineRule="exact"/>
        <w:rPr>
          <w:sz w:val="20"/>
          <w:szCs w:val="20"/>
          <w:color w:val="auto"/>
        </w:rPr>
      </w:pPr>
    </w:p>
    <w:p>
      <w:pPr>
        <w:ind w:left="1020" w:right="240" w:hanging="504"/>
        <w:spacing w:after="0" w:line="245"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provide sufficient website functionality to mobile device users, which may cause customers using mobile devices to believe that our competitors offer superior products and features;</w:t>
      </w:r>
    </w:p>
    <w:p>
      <w:pPr>
        <w:spacing w:after="0" w:line="89" w:lineRule="exact"/>
        <w:rPr>
          <w:rFonts w:ascii="Arial" w:cs="Arial" w:eastAsia="Arial" w:hAnsi="Arial"/>
          <w:sz w:val="18"/>
          <w:szCs w:val="18"/>
          <w:color w:val="auto"/>
        </w:rPr>
      </w:pPr>
    </w:p>
    <w:p>
      <w:pPr>
        <w:ind w:left="1020" w:right="20" w:hanging="504"/>
        <w:spacing w:after="0" w:line="245"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may arise in developing applications for alternative devices and platforms and the need to devote significant resources to the creation, support and maintenance of such applications; or</w:t>
      </w:r>
    </w:p>
    <w:p>
      <w:pPr>
        <w:spacing w:after="0" w:line="89" w:lineRule="exact"/>
        <w:rPr>
          <w:rFonts w:ascii="Arial" w:cs="Arial" w:eastAsia="Arial" w:hAnsi="Arial"/>
          <w:sz w:val="18"/>
          <w:szCs w:val="18"/>
          <w:color w:val="auto"/>
        </w:rPr>
      </w:pPr>
    </w:p>
    <w:p>
      <w:pPr>
        <w:ind w:left="1020" w:right="40" w:hanging="504"/>
        <w:spacing w:after="0" w:line="23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regulations related to consumer protection, such as the Federal Trade Commission Act and similar state regulations, and related to consumer finance disclosures, including the Truth in Lending Act and the Fair Credit Reporting Act, may be interpreted, in the context of mobile devices, in a manner which could expose us to legal liability in the event we are found to have violated applicable laws.</w:t>
      </w:r>
    </w:p>
    <w:p>
      <w:pPr>
        <w:spacing w:after="0" w:line="190" w:lineRule="exact"/>
        <w:rPr>
          <w:sz w:val="20"/>
          <w:szCs w:val="20"/>
          <w:color w:val="auto"/>
        </w:rPr>
      </w:pPr>
    </w:p>
    <w:p>
      <w:pPr>
        <w:ind w:right="740" w:firstLine="749"/>
        <w:spacing w:after="0" w:line="245" w:lineRule="auto"/>
        <w:rPr>
          <w:sz w:val="20"/>
          <w:szCs w:val="20"/>
          <w:color w:val="auto"/>
        </w:rPr>
      </w:pPr>
      <w:r>
        <w:rPr>
          <w:rFonts w:ascii="Arial" w:cs="Arial" w:eastAsia="Arial" w:hAnsi="Arial"/>
          <w:sz w:val="18"/>
          <w:szCs w:val="18"/>
          <w:color w:val="auto"/>
        </w:rPr>
        <w:t>If we do not develop suitable functionality for users who visit our website using a mobile device or use our mobile apps, our business, financial condition and results of operations could be harmed.</w:t>
      </w:r>
    </w:p>
    <w:p>
      <w:pPr>
        <w:spacing w:after="0" w:line="162"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We rely on internet search engines, vehicle listing sites and social networking sites to help drive traffic to our website, and if we fail to appear prominently in the search results or fail to drive traffic through paid advertising, our traffic would decline and our business, financial condition and results of operations could be materially and adversely affected.</w:t>
      </w:r>
    </w:p>
    <w:p>
      <w:pPr>
        <w:spacing w:after="0" w:line="179" w:lineRule="exact"/>
        <w:rPr>
          <w:sz w:val="20"/>
          <w:szCs w:val="20"/>
          <w:color w:val="auto"/>
        </w:rPr>
      </w:pPr>
    </w:p>
    <w:p>
      <w:pPr>
        <w:ind w:right="120" w:firstLine="749"/>
        <w:spacing w:after="0" w:line="235" w:lineRule="auto"/>
        <w:rPr>
          <w:sz w:val="20"/>
          <w:szCs w:val="20"/>
          <w:color w:val="auto"/>
        </w:rPr>
      </w:pPr>
      <w:r>
        <w:rPr>
          <w:rFonts w:ascii="Arial" w:cs="Arial" w:eastAsia="Arial" w:hAnsi="Arial"/>
          <w:sz w:val="18"/>
          <w:szCs w:val="18"/>
          <w:color w:val="auto"/>
        </w:rPr>
        <w:t>We depend in part on internet search engines, such as Google and Bing, vehicle listing sites and social networking sites such as Facebook and Instagram to drive traffic to our platform. Our ability to maintain and increase the number of visitors directed to our platform is not entirely within our control. Our competitors may increase their search engine marketing efforts and outbid us for placement on various vehicle listing sites or for search terms on various search engines, resulting in their websites receiving a higher search result page ranking than ours. Additionally, internet search engines could revise their methodologies in a way that would adversely affect our search result rankings. If internet search engines modify their search algorithms in ways that are detrimental to us, if vehicle listing sites refuse to display any or all of our inventory in certain geographic locations, or if our competitors’ efforts are more successful than ours, overall growth in our customer base could slow or our customer base could decline. Internet search engine providers could provide automotive dealer and pricing information directly in search results, align with our competitors or choose to develop competing services. Our platform has experienced fluctuations in search result rankings in the past, and we anticipate similar fluctuations in the future. We could reach a point of inventory saturation at third-party aggregation websites whereby we will exceed the maximum allowable inventory that will require us to spend greater than market rates to list our inventory. Any reduction in the number of users directed to our platform through internet search engines, vehicle listings sites or social networking sites could harm our business, financial condition and results of operations.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b w:val="1"/>
          <w:bCs w:val="1"/>
          <w:i w:val="1"/>
          <w:iCs w:val="1"/>
          <w:color w:val="auto"/>
        </w:rPr>
        <w:t>Our business relies on email and other messaging services, and any restrictions on the sending of emails or messages or an inability to timely deliver such communications could materially and adversely affect our business, financial condition and results of operations.</w:t>
      </w:r>
    </w:p>
    <w:p>
      <w:pPr>
        <w:spacing w:after="0" w:line="179" w:lineRule="exact"/>
        <w:rPr>
          <w:sz w:val="20"/>
          <w:szCs w:val="20"/>
          <w:color w:val="auto"/>
        </w:rPr>
      </w:pPr>
    </w:p>
    <w:p>
      <w:pPr>
        <w:ind w:right="160" w:firstLine="749"/>
        <w:spacing w:after="0" w:line="236" w:lineRule="auto"/>
        <w:rPr>
          <w:sz w:val="20"/>
          <w:szCs w:val="20"/>
          <w:color w:val="auto"/>
        </w:rPr>
      </w:pPr>
      <w:r>
        <w:rPr>
          <w:rFonts w:ascii="Arial" w:cs="Arial" w:eastAsia="Arial" w:hAnsi="Arial"/>
          <w:sz w:val="18"/>
          <w:szCs w:val="18"/>
          <w:color w:val="auto"/>
        </w:rPr>
        <w:t>Our business is dependent upon email and other messaging services for promoting our platform and vehicles available for purchase. Promotions offered through email and other messages sent by us are an important part of our marketing strategy. We provide emails to customers and other visitors informing them of the convenience and value of using our platform, as well as updates on new inventory and price updates on listed inventory, and we believe these emails, coupled with our general marketing efforts, are an important part of our customer experience and help generate revenue. If we are unable to successfully deliver emails or other messages to our customers, or if customers decline to open our emails or other messages, our revenues could be materially and adversely affected. Any changes in how webmail applications organize and prioritize email may reduce the number of customers opening our emails. For example, Google’s Gmail service has a feature that organizes incoming emails into categories (such as primary, social and promotions). Such categorization or similar inbox organizational features may result in our emails being delivered in a less prominent location in a subscriber’s inbox or viewed as “spam” by our customers and may reduce the likelihood of that customer opening our emails.</w:t>
      </w:r>
    </w:p>
    <w:p>
      <w:pPr>
        <w:spacing w:after="0" w:line="190"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In addition, actions by third parties to 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 or other messages to third parties. Changes in the laws or regulations that limit our ability to send such communications or impose additional requirements upon us in connection with sending such communications could also materially and adversely affect our business, financial condition and results of operations. Our use of email and other messaging services to send communications about our sites or other matters may also result in legal claims against us, which may cause us to incur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customers to send communications. Changes to the terms of these social networking services to limit promotional communications, any restrictions that would limit our ability or our customers’ ability to send communications through their services, disruptions or downtime experienced by these social networking services or decline in the use of or engagement with social networking services by customers and potential customers could materially and adversely affect our business, financial condition and results of operations.</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We rely on third-party technology and information systems to complete critical business functions. If that technology fails to adequately serve our needs, and we cannot find alternatives, it may negatively impact our business, financial condition and results of operations.</w:t>
      </w:r>
    </w:p>
    <w:p>
      <w:pPr>
        <w:spacing w:after="0" w:line="17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rely on third-party technology for certain of our critical business functions, including customer identity verification for financing, transportation fleet telemetry, network infrastructure for hosting our website and inventory data, software libraries, development environments and tools, services to calculate state taxes and fees associated with our vehicle sales and acquisitions, services to allow customers to digitally sign contracts and customer experience center management. Our business is dependent on the integrity, security and efficient operation of these systems and technologies. Our systems and operations or those of our third-party vendors and partners could be exposed to damage or interruption from, among other things, fire, natural disaster, power loss, telecommunications failure, unauthorized entry, computer viruses, ransomware, denial-of-service attacks, acts of terrorism, human error, vandalism or sabotage, financial insolvency, bankruptcy and similar events. The failure of these systems to perform as designed, the failure to maintain or update these systems as necessary, the vulnerability of these systems to ransomware, other security breaches or attacks or the inability to enhance our information technology capabilities, and our inability to find suitable alternatives could disrupt our operations and have a material adverse effect on our business, financial condition and results of operations.</w:t>
      </w:r>
    </w:p>
    <w:p>
      <w:pPr>
        <w:spacing w:after="0" w:line="166"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b w:val="1"/>
          <w:bCs w:val="1"/>
          <w:i w:val="1"/>
          <w:iCs w:val="1"/>
          <w:color w:val="auto"/>
        </w:rPr>
        <w:t>Our platform utilizes open-source software, and any defects or security vulnerabilities in the open-source software could negatively affect our business.</w:t>
      </w:r>
    </w:p>
    <w:p>
      <w:pPr>
        <w:spacing w:after="0" w:line="161" w:lineRule="exact"/>
        <w:rPr>
          <w:sz w:val="20"/>
          <w:szCs w:val="20"/>
          <w:color w:val="auto"/>
        </w:rPr>
      </w:pPr>
    </w:p>
    <w:p>
      <w:pPr>
        <w:ind w:right="80" w:firstLine="749"/>
        <w:spacing w:after="0" w:line="237" w:lineRule="auto"/>
        <w:rPr>
          <w:sz w:val="20"/>
          <w:szCs w:val="20"/>
          <w:color w:val="auto"/>
        </w:rPr>
      </w:pPr>
      <w:r>
        <w:rPr>
          <w:rFonts w:ascii="Arial" w:cs="Arial" w:eastAsia="Arial" w:hAnsi="Arial"/>
          <w:sz w:val="18"/>
          <w:szCs w:val="18"/>
          <w:color w:val="auto"/>
        </w:rPr>
        <w:t>Our platform employs open-source software, and we expect to use open-source software in the future. To the extent that our platform depends upon the successful operation of open-source software,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in conjunction, make our systems more vulnerable to data breaches.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In addition, the terms of various open-source licenses have not been interpreted by United States courts, and there is a risk that such licenses could be construed in a manner that imposes unanticipated conditions or restrictions on our ability to market our platform. Some open-source licenses might require us to make our source code available at no cost or require us to make our source code publicly available for modifications or derivative works if our source code is based upon, incorporates, or was created using the open-source software to license such source code under the terms of the particular open-source license. While we try to insulate our proprietary code from the effects of such open-source license provisions, we cannot guarantee we will be successful. In addition to risks related to open-source license requirements, usage of open-source software can lead to greater risks than use of third-party commercial software, as open-source licensors generally do not provide warranties or controls on the origin of the software. Many of the risks associated with usage of open-source software cannot be eliminated and could materially and adversely affect our business, financial condition and results of operations.</w:t>
      </w:r>
    </w:p>
    <w:p>
      <w:pPr>
        <w:spacing w:after="0" w:line="169"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A significant disruption in service on our platform could damage our reputation and result in a loss of customers, which could harm our brand or our business, financial condition and results of operations.</w:t>
      </w:r>
    </w:p>
    <w:p>
      <w:pPr>
        <w:spacing w:after="0" w:line="161"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Our brand, reputation and ability to attract customers depend on the reliable performance of our platform and the supporting systems, technology and infrastructure. We may experience significant interruptions to our systems in the future. Interruptions in these systems, whether due to system failures, programming or configuration errors, computer viruses or physical or electronic break-ins, could affect the availability of our inventory on our platform and prevent or inhibit the ability of customers to access our platform. Problems with the reliability or security of our systems could harm our reputation, result in a loss of customers and result in additional costs.</w:t>
      </w:r>
    </w:p>
    <w:p>
      <w:pPr>
        <w:spacing w:after="0" w:line="192" w:lineRule="exact"/>
        <w:rPr>
          <w:sz w:val="20"/>
          <w:szCs w:val="20"/>
          <w:color w:val="auto"/>
        </w:rPr>
      </w:pPr>
    </w:p>
    <w:p>
      <w:pPr>
        <w:ind w:right="60" w:firstLine="749"/>
        <w:spacing w:after="0" w:line="235" w:lineRule="auto"/>
        <w:rPr>
          <w:sz w:val="20"/>
          <w:szCs w:val="20"/>
          <w:color w:val="auto"/>
        </w:rPr>
      </w:pPr>
      <w:r>
        <w:rPr>
          <w:rFonts w:ascii="Arial" w:cs="Arial" w:eastAsia="Arial" w:hAnsi="Arial"/>
          <w:sz w:val="18"/>
          <w:szCs w:val="18"/>
          <w:color w:val="auto"/>
        </w:rPr>
        <w:t>Vroom operates a data center at a colocation facility in Houston, Texas, which connects all of Vroom’s offices and our Vroom VRC. UACC operates separate data centers at a colocation facility in California and in Texas to support its operations. Our data centers are vulnerable to damage or interruption from fire, flood, power loss, telecommunications failures, terrorist attacks, acts of war, electronic and physical break-ins, computer viruses, ransomware, earthquakes and similar events. The occurrence of any of these events could render communications between Vroom offices inoperable or results of operations could be harmed. Problems faced by our third-party web-hosting providers, including AWS and Google Cloud, could inhibit the functionality of our platform. For example, our third-party web-hosting providers could close their facilities without adequate notice or suffer interruptions in service caused by cyber-attacks, natural disasters or other phenomena. Disruption of their services could cause our website to be inoperable and could have a material adverse effect on our business, financial condition and results of operations. Any financial difficulties, up to and including bankruptcy, faced by our third-party web-hosting providers or any of the service providers with whom they contract may have negative effects on our business, the nature and extent of which are difficult to predict. In addition, if our third-party web-hosting providers are unable to keep up with our growing capacity needs, our business, financial condition and results of operations could be harmed.</w:t>
      </w:r>
    </w:p>
    <w:p>
      <w:pPr>
        <w:spacing w:after="0" w:line="197" w:lineRule="exact"/>
        <w:rPr>
          <w:sz w:val="20"/>
          <w:szCs w:val="20"/>
          <w:color w:val="auto"/>
        </w:rPr>
      </w:pPr>
    </w:p>
    <w:p>
      <w:pPr>
        <w:ind w:right="80" w:firstLine="749"/>
        <w:spacing w:after="0"/>
        <w:rPr>
          <w:sz w:val="20"/>
          <w:szCs w:val="20"/>
          <w:color w:val="auto"/>
        </w:rPr>
      </w:pPr>
      <w:r>
        <w:rPr>
          <w:rFonts w:ascii="Arial" w:cs="Arial" w:eastAsia="Arial" w:hAnsi="Arial"/>
          <w:sz w:val="18"/>
          <w:szCs w:val="18"/>
          <w:color w:val="auto"/>
        </w:rPr>
        <w:t>Any errors, defects, disruptions, or other performance or reliability problems with our platform could interrupt our customers’ access to our inventory and our access to data that drives our inventory purchase operations, which could harm our reputation or our business, financial condition and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Failure to adequately protect our intellectual property, technology and confidential information could harm our business, financial condition and results of operations.</w:t>
      </w:r>
    </w:p>
    <w:p>
      <w:pPr>
        <w:spacing w:after="0" w:line="161"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The protection of intellectual property, technology and confidential information is crucial to the success of our business. We rely on a combination of trademark, trade secret, patent and copyright law, as well as contractual restrictions, to protect our intellectual property (including our brand, technology and confidential information). 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We also cannot guarantee that others will not independently develop technology that has the same or similar functionality as our technology. Unauthorized parties may also attempt to copy or obtain and use our technology to develop competing solutions, and policing unauthorized use of our technology and intellectual property rights may be difficult and may not be effective. Furthermore, we may face claims of infringement of third-party intellectual property that could interfere with our ability to market, promote and sell our brands, products and services. Any litigation to enforce our intellectual property rights or defend ourselves against claims of infringement of third-party intellectual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property rights could be costly, divert attention of management and may not ultimately be resolved in our favor.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90"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As part of our efforts to protect our intellectual property, technology and confidential information, we require certain of our employees and consultants to enter into confidentiality and assignment of inventions agreements, and we also require certain third parties to enter into nondisclosure agreements. These agreements may not effectively grant all necessary rights to any inventions that may have been developed by our employees and consultants.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proprietary rights, unauthorized parties may attempt to copy aspects of our website features, software and functionality or obtain and use information that we consider proprietary. Changes in the law or adverse court rulings may also negatively affect our ability to prevent others from using our technology.</w:t>
      </w:r>
    </w:p>
    <w:p>
      <w:pPr>
        <w:spacing w:after="0" w:line="178" w:lineRule="exact"/>
        <w:rPr>
          <w:sz w:val="20"/>
          <w:szCs w:val="20"/>
          <w:color w:val="auto"/>
        </w:rPr>
      </w:pPr>
    </w:p>
    <w:p>
      <w:pPr>
        <w:ind w:right="340" w:firstLine="749"/>
        <w:spacing w:after="0" w:line="257" w:lineRule="auto"/>
        <w:rPr>
          <w:sz w:val="20"/>
          <w:szCs w:val="20"/>
          <w:color w:val="auto"/>
        </w:rPr>
      </w:pPr>
      <w:r>
        <w:rPr>
          <w:rFonts w:ascii="Arial" w:cs="Arial" w:eastAsia="Arial" w:hAnsi="Arial"/>
          <w:sz w:val="17"/>
          <w:szCs w:val="17"/>
          <w:color w:val="auto"/>
        </w:rPr>
        <w:t>We are currently the registrant of the vroom.com, texasdirectauto.com, carstory.com, vast.com and unitedautocredit.net internet domain names and various other related domain names. The regulation of domain names in the United States is subject to change. Regulatory bodies could establish additional top-level domains, appoint additional domain name registrars or modify the requirements for holding domain names. As a result, we may not be able to acquire or maintain domain names that are important for our business.</w:t>
      </w:r>
    </w:p>
    <w:p>
      <w:pPr>
        <w:spacing w:after="0" w:line="174"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addition, we have certain trademarks that are important to our business, such as the Vroom®, Sell Us Your Car®, CarStory®, Vroom Financial Services™, Vast® and United Auto Credit® trademarks. If we fail to adequately protect or enforce our rights under these trademarks, we may lose the ability to use those trademarks or to prevent others from using them, which could adversely harm our reputation and our business, financial condition and results of operations. While we are actively seeking, and have secured registration of several of our trademarks in the U.S. and other jurisdictions (including Canada and Europe), it is possible that others may assert senior rights to similar trademarks, in the U.S. and internationally, and seek to prevent our use and registration of our trademarks in certain jurisdictions. Our pending trademark or service mark applications may not result in such marks being registered.</w:t>
      </w:r>
    </w:p>
    <w:p>
      <w:pPr>
        <w:spacing w:after="0" w:line="193"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While software can be protected under copyright law, we have chosen not to register any copyrights in these works, and instead, primarily rely on trade secret law to protect our proprietary software. In order to bring a copyright infringement lawsuit in the United States, the copyright must be registered. Accordingly, the remedies and damages available to us for unauthorized use of our software may be limited. Our trade secrets, know-how and other proprietary materials may be revealed to the public or our competitors or independently developed by our competitors and no longer provide protection for the related intellectual property. Furthermore, our trade secrets, know-how and other proprietary materials may be revealed to the public or our competitors or independently developed by our competitors and no longer provide protection for the related intellectual property.</w:t>
      </w:r>
    </w:p>
    <w:p>
      <w:pPr>
        <w:spacing w:after="0" w:line="193" w:lineRule="exact"/>
        <w:rPr>
          <w:sz w:val="20"/>
          <w:szCs w:val="20"/>
          <w:color w:val="auto"/>
        </w:rPr>
      </w:pPr>
    </w:p>
    <w:p>
      <w:pPr>
        <w:ind w:right="180" w:firstLine="749"/>
        <w:spacing w:after="0" w:line="237" w:lineRule="auto"/>
        <w:rPr>
          <w:sz w:val="20"/>
          <w:szCs w:val="20"/>
          <w:color w:val="auto"/>
        </w:rPr>
      </w:pPr>
      <w:r>
        <w:rPr>
          <w:rFonts w:ascii="Arial" w:cs="Arial" w:eastAsia="Arial" w:hAnsi="Arial"/>
          <w:sz w:val="18"/>
          <w:szCs w:val="18"/>
          <w:color w:val="auto"/>
        </w:rPr>
        <w:t>Our CarStory business has a number of patents and Vroom has one pending provisional patent and may obtain patents in the future. Effective protection of patents is expensive and difficult to maintain, both in terms of application and registration costs as well as the costs of defending and enforcing those rights.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w:t>
      </w:r>
    </w:p>
    <w:p>
      <w:pPr>
        <w:spacing w:after="0" w:line="167"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79" w:lineRule="exact"/>
        <w:rPr>
          <w:sz w:val="20"/>
          <w:szCs w:val="20"/>
          <w:color w:val="auto"/>
        </w:rPr>
      </w:pPr>
    </w:p>
    <w:p>
      <w:pPr>
        <w:ind w:right="200" w:firstLine="749"/>
        <w:spacing w:after="0" w:line="237" w:lineRule="auto"/>
        <w:rPr>
          <w:sz w:val="20"/>
          <w:szCs w:val="20"/>
          <w:color w:val="auto"/>
        </w:rPr>
      </w:pPr>
      <w:r>
        <w:rPr>
          <w:rFonts w:ascii="Arial" w:cs="Arial" w:eastAsia="Arial" w:hAnsi="Arial"/>
          <w:sz w:val="18"/>
          <w:szCs w:val="18"/>
          <w:color w:val="auto"/>
        </w:rPr>
        <w:t>Although we try to ensure that our employees, consultants and advisors do not use the proprietary information or know -how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220" w:firstLine="749"/>
        <w:spacing w:after="0" w:line="23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third parties or defend claims that they may bring against us to determine the ownership of what we regard as our intellectual property.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9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b w:val="1"/>
          <w:bCs w:val="1"/>
          <w:i w:val="1"/>
          <w:iCs w:val="1"/>
          <w:color w:val="auto"/>
        </w:rPr>
        <w:t>Our common stock price may be volatile and the value of our common stock has declined since our initial public offering and may continue to decline regardless of our operating performance, and you may not be able to resell your shares at or above the price which you paid for them.</w:t>
      </w:r>
    </w:p>
    <w:p>
      <w:pPr>
        <w:spacing w:after="0" w:line="179"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It is possible that an active trading market for shares of our common stock will not be sustained, which could make it difficult for you to sell your shares of common stock at an attractive price or at all.</w:t>
      </w:r>
    </w:p>
    <w:p>
      <w:pPr>
        <w:spacing w:after="0" w:line="184" w:lineRule="exact"/>
        <w:rPr>
          <w:sz w:val="20"/>
          <w:szCs w:val="20"/>
          <w:color w:val="auto"/>
        </w:rPr>
      </w:pPr>
    </w:p>
    <w:p>
      <w:pPr>
        <w:ind w:right="280" w:firstLine="799"/>
        <w:spacing w:after="0" w:line="274" w:lineRule="auto"/>
        <w:rPr>
          <w:sz w:val="20"/>
          <w:szCs w:val="20"/>
          <w:color w:val="auto"/>
        </w:rPr>
      </w:pPr>
      <w:r>
        <w:rPr>
          <w:rFonts w:ascii="Arial" w:cs="Arial" w:eastAsia="Arial" w:hAnsi="Arial"/>
          <w:sz w:val="17"/>
          <w:szCs w:val="17"/>
          <w:color w:val="auto"/>
        </w:rPr>
        <w:t>Many factors, some of which are outside our control, may cause the market price of our common stock to fluctuate significantly, including those described in this “Risk Factors” section and elsewhere in this Annual Report on Form 10-K, as well as the following:</w:t>
      </w:r>
    </w:p>
    <w:p>
      <w:pPr>
        <w:spacing w:after="0" w:line="268" w:lineRule="exact"/>
        <w:rPr>
          <w:sz w:val="20"/>
          <w:szCs w:val="20"/>
          <w:color w:val="auto"/>
        </w:rPr>
      </w:pPr>
    </w:p>
    <w:p>
      <w:pPr>
        <w:ind w:left="1020" w:right="40" w:hanging="504"/>
        <w:spacing w:after="0" w:line="24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 including as a result of operational changes and initiatives we have and continue to undertake as part of our long-term roadmap;</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guidance regarding future quarterly or annual earnings, and our financial results in relation to previously issued guidance;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achieve the benefits of any cost saving measures;</w:t>
      </w:r>
    </w:p>
    <w:p>
      <w:pPr>
        <w:spacing w:after="0" w:line="116" w:lineRule="exact"/>
        <w:rPr>
          <w:rFonts w:ascii="Arial" w:cs="Arial" w:eastAsia="Arial" w:hAnsi="Arial"/>
          <w:sz w:val="18"/>
          <w:szCs w:val="18"/>
          <w:color w:val="auto"/>
        </w:rPr>
      </w:pPr>
    </w:p>
    <w:p>
      <w:pPr>
        <w:ind w:left="1020" w:right="320" w:hanging="504"/>
        <w:spacing w:after="0" w:line="24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that impact demand for our offerings and platform, including demand in the automotive industry generally and the performance of the third parties through whom we conduct significant parts of our business;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announcements concerning our business or our competitors’ businesses;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business strategy;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market sentiment regarding growth companies that are not yet profitable;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senior management or key personnel and the impact of reductions in our workforce;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issuances, exchanges or sales, or expected issuances, exchanges or sales of our capital stock;</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dividend policy;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or adverse resolution of pending, litigation or other claims against us;</w:t>
      </w:r>
    </w:p>
    <w:p>
      <w:pPr>
        <w:spacing w:after="0" w:line="116" w:lineRule="exact"/>
        <w:rPr>
          <w:rFonts w:ascii="Arial" w:cs="Arial" w:eastAsia="Arial" w:hAnsi="Arial"/>
          <w:sz w:val="18"/>
          <w:szCs w:val="18"/>
          <w:color w:val="auto"/>
        </w:rPr>
      </w:pPr>
    </w:p>
    <w:p>
      <w:pPr>
        <w:ind w:left="1020" w:right="8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unrest and wars, such as the current war in Ukraine, which could delay and disrupt our business, and if such political unrest further escalates or leads to disruptions in the financial markets or puts further pressure on global supply chains, it could heighten many of the other risk factors included in this Item 1A; and</w:t>
      </w:r>
    </w:p>
    <w:p>
      <w:pPr>
        <w:spacing w:after="0" w:line="93" w:lineRule="exact"/>
        <w:rPr>
          <w:rFonts w:ascii="Arial" w:cs="Arial" w:eastAsia="Arial" w:hAnsi="Arial"/>
          <w:sz w:val="18"/>
          <w:szCs w:val="18"/>
          <w:color w:val="auto"/>
        </w:rPr>
      </w:pPr>
    </w:p>
    <w:p>
      <w:pPr>
        <w:ind w:left="1020" w:right="220" w:hanging="504"/>
        <w:spacing w:after="0" w:line="24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current inflationary environment in the United States and in other global economies, the impact of rising interest rates and the impact of any recession or general economic downturn; and</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25" w:lineRule="exact"/>
        <w:rPr>
          <w:sz w:val="20"/>
          <w:szCs w:val="20"/>
          <w:color w:val="auto"/>
        </w:rPr>
      </w:pPr>
    </w:p>
    <w:p>
      <w:pPr>
        <w:ind w:left="1020" w:right="380" w:hanging="504"/>
        <w:spacing w:after="0" w:line="274"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 changes in general market, economic and political conditions in the United States and global economies or financial markets, including those resulting from natural disasters, terrorist attacks, global pandemics, and responses to such events.</w:t>
      </w:r>
    </w:p>
    <w:p>
      <w:pPr>
        <w:spacing w:after="0" w:line="160"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As a result, volatility in the market price of our common stock may prevent investors from being able to sell their common stock at or above the price which they paid for them. 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Broad market and industry fluctuations, as well as general economic, political, regulatory, and market conditions, may negatively impact the market price of our common stock.</w:t>
      </w:r>
    </w:p>
    <w:p>
      <w:pPr>
        <w:spacing w:after="0" w:line="192" w:lineRule="exact"/>
        <w:rPr>
          <w:sz w:val="20"/>
          <w:szCs w:val="20"/>
          <w:color w:val="auto"/>
        </w:rPr>
      </w:pPr>
    </w:p>
    <w:p>
      <w:pPr>
        <w:ind w:firstLine="749"/>
        <w:spacing w:after="0" w:line="235" w:lineRule="auto"/>
        <w:rPr>
          <w:sz w:val="20"/>
          <w:szCs w:val="20"/>
          <w:color w:val="auto"/>
        </w:rPr>
      </w:pPr>
      <w:r>
        <w:rPr>
          <w:rFonts w:ascii="Arial" w:cs="Arial" w:eastAsia="Arial" w:hAnsi="Arial"/>
          <w:sz w:val="18"/>
          <w:szCs w:val="18"/>
          <w:color w:val="auto"/>
        </w:rPr>
        <w:t>We have recently experienced significant declines in the market price of our common stock, and it could continue to decline in the future, including as a result of the execution, and implementation of our long-term roadmap. Based upon the decline in our stock price, we recorded a goodwill impairment charge in our condensed consolidated statement of operations for the quarter ended March 31, 2022. See Note 8 to our Consolidated Financial Statements. Further declines in our stock price could, among other things, make it more difficult to raise capital on terms acceptable to us, or at all, make it difficult for our investors to sell their shares of common stock, and put us at risk of our stock being delisted from the Nasdaq Global Select exchange if it falls below a minimum bid price of $ 1 per share for at least 30 consecutive trading days, which would also constitute a fundamental change under the terms of our Indenture and make our Notes redeemable at par upon delisting. In such circumstances, there are actions we could take to prevent such a delisting, such as a reverse stock split, but there can be no assurance that we could successfully execute such actions and prevent a delisting. In addition, companies that experience volatility in the market price of their securities often are the subject of securities class action litigation. For example, a consolidated class action is pending in the U.S. District Court for the Southern District of New York against us, certain of our officers, and certain of our directors, among others, alleging violations of the federal securities laws. See Part I, Item 3.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for the foreseeable future.</w:t>
      </w:r>
    </w:p>
    <w:p>
      <w:pPr>
        <w:spacing w:after="0" w:line="220"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industry trends and other factors that our board of directors may deem relevant. Any such decision also will be subject to compliance with contractual restrictions and covenants in the agreements governing our current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could also adversely affect the market price of our common stock.</w:t>
      </w:r>
    </w:p>
    <w:p>
      <w:pPr>
        <w:spacing w:after="0" w:line="16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61" w:lineRule="exact"/>
        <w:rPr>
          <w:sz w:val="20"/>
          <w:szCs w:val="20"/>
          <w:color w:val="auto"/>
        </w:rPr>
      </w:pPr>
    </w:p>
    <w:p>
      <w:pPr>
        <w:ind w:right="120" w:firstLine="749"/>
        <w:spacing w:after="0" w:line="237"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of directors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and adversely affect the market price and the voting and other rights of the holders of our common stock.</w:t>
      </w:r>
    </w:p>
    <w:p>
      <w:pPr>
        <w:spacing w:after="0" w:line="16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The issuance by us of additional shares of common stock or convertible securities may dilute your ownership of us and could adversely affect our stock price.</w:t>
      </w:r>
    </w:p>
    <w:p>
      <w:pPr>
        <w:spacing w:after="0" w:line="161" w:lineRule="exact"/>
        <w:rPr>
          <w:sz w:val="20"/>
          <w:szCs w:val="20"/>
          <w:color w:val="auto"/>
        </w:rPr>
      </w:pPr>
    </w:p>
    <w:p>
      <w:pPr>
        <w:ind w:right="140" w:firstLine="749"/>
        <w:spacing w:after="0" w:line="238" w:lineRule="auto"/>
        <w:rPr>
          <w:sz w:val="20"/>
          <w:szCs w:val="20"/>
          <w:color w:val="auto"/>
        </w:rPr>
      </w:pPr>
      <w:r>
        <w:rPr>
          <w:rFonts w:ascii="Arial" w:cs="Arial" w:eastAsia="Arial" w:hAnsi="Arial"/>
          <w:sz w:val="18"/>
          <w:szCs w:val="18"/>
          <w:color w:val="auto"/>
        </w:rPr>
        <w:t>We may issue additional capital stock in the future that will result in dilution to all other stockholders. We also expect to continue to grant equity awards to employees, directors and consultants under our equity incentive plans. From time to time in the future, we may also issue additional shares of our common stock or securities convertible into common stock pursuant to a variety of transactions, including acquisitions. The issuance by us of additional shares of our common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stock or securities convertible into our common stock would dilute your ownership of us and the sale of a significant amount of such shares in the public market could adversely affect prevailing market prices of our common stock.</w:t>
      </w:r>
    </w:p>
    <w:p>
      <w:pPr>
        <w:spacing w:after="0" w:line="16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The issuance or sale of shares of our common stock, or rights to acquire shares of our common stock, could depress the trading price of our common stock and our notes.</w:t>
      </w:r>
    </w:p>
    <w:p>
      <w:pPr>
        <w:spacing w:after="0" w:line="161"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We may conduct future offerings of our common stock, preferred stock or other securities that are convertible into or exercisable for our common stock to finance our operations or fund acquisitions, or for other purposes. In addition, as of December 31, 2022, we had reserved 4,966,357 shares of our common stock for issuance under our equity incentive plans. The Indenture for our Notes does not restrict our ability to issue additional equity securities in the future.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accordingly, our Notes may significantly decline. In addition, our issuance of additional shares of common stock will dilute the ownership interests of our existing common stockholders, including noteholders who have received shares of our common stock upon conversion of their Notes.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could cause the market price for our common stock to decline.</w:t>
      </w:r>
    </w:p>
    <w:p>
      <w:pPr>
        <w:spacing w:after="0" w:line="161" w:lineRule="exact"/>
        <w:rPr>
          <w:sz w:val="20"/>
          <w:szCs w:val="20"/>
          <w:color w:val="auto"/>
        </w:rPr>
      </w:pPr>
    </w:p>
    <w:p>
      <w:pPr>
        <w:ind w:right="80" w:firstLine="749"/>
        <w:spacing w:after="0" w:line="252" w:lineRule="auto"/>
        <w:rPr>
          <w:sz w:val="20"/>
          <w:szCs w:val="20"/>
          <w:color w:val="auto"/>
        </w:rPr>
      </w:pPr>
      <w:r>
        <w:rPr>
          <w:rFonts w:ascii="Arial" w:cs="Arial" w:eastAsia="Arial" w:hAnsi="Arial"/>
          <w:sz w:val="17"/>
          <w:szCs w:val="17"/>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 Other than shares held by our affiliates, stockholders who held our capital stock prior to completion of our IPO now hold freely tradable shares of our common stock without restriction or further registration requirements under the Securities Act, and therefore they may take steps to sell their shares or otherwise secure the unrecognized gains on those shares. Additionally, any shares of common stock held by our affiliates are eligible for resale pursuant to Rule 144 under the Securities Act, subject to the volume, manner of sale, holding period and other limitations of Rule 144.</w:t>
      </w:r>
    </w:p>
    <w:p>
      <w:pPr>
        <w:spacing w:after="0" w:line="181"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We filed a registration statement on Form S-8 to register shares of our common stock issued or reserved for issuance under our 2020 Incentive Award Plan and Second Amended and Restated 2014 Equity Incentive Plan, as well as a registration statement on Form S-8 to register shares of our common stock issued or reserved for issuance under our 2022 Inducement Award Plan. Subject to the satisfaction of vesting conditions, shares registered under these registration statements on Form S-8 became available for resale immediately in the public market without restriction.</w:t>
      </w:r>
    </w:p>
    <w:p>
      <w:pPr>
        <w:spacing w:after="0" w:line="192" w:lineRule="exact"/>
        <w:rPr>
          <w:sz w:val="20"/>
          <w:szCs w:val="20"/>
          <w:color w:val="auto"/>
        </w:rPr>
      </w:pPr>
    </w:p>
    <w:p>
      <w:pPr>
        <w:ind w:right="180" w:firstLine="749"/>
        <w:spacing w:after="0" w:line="274" w:lineRule="auto"/>
        <w:rPr>
          <w:sz w:val="20"/>
          <w:szCs w:val="20"/>
          <w:color w:val="auto"/>
        </w:rPr>
      </w:pPr>
      <w:r>
        <w:rPr>
          <w:rFonts w:ascii="Arial" w:cs="Arial" w:eastAsia="Arial" w:hAnsi="Arial"/>
          <w:sz w:val="17"/>
          <w:szCs w:val="17"/>
          <w:color w:val="auto"/>
        </w:rPr>
        <w:t>Further, certain holders of our common stock have rights, subject to some conditions, to require us to file registration statements covering the sale of their shares or to include their shares in registration statements that we may file on our behalf or for other stockholders.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unable to predict the timing of or the effect that such sales may have on the prevailing market price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obligations associated with being a public company require significant resources and management attention.</w:t>
      </w:r>
    </w:p>
    <w:p>
      <w:pPr>
        <w:spacing w:after="0" w:line="220"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As a public company, we face significant legal, accounting, administrative and other costs and expenses. We are subject to the Exchange Act, the rules and regulations implemented by the SEC, the Sarbanes-Oxley Act of 2022, as amended (the "Sarbanes Oxley-Act"), the Wall Street Reform and Consumer Protection Act of 2020 (the “Dodd-Frank Act”), the Public Company Accounting Oversight Board (“PCAOB”) and Nasdaq rules and standards, each of which imposes additional reporting and other obligations on public companies. As a public company, we are required to, among other things:</w:t>
      </w:r>
    </w:p>
    <w:p>
      <w:pPr>
        <w:spacing w:after="0" w:line="299" w:lineRule="exact"/>
        <w:rPr>
          <w:sz w:val="20"/>
          <w:szCs w:val="20"/>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prepare, file and distribute annual, quarterly and current reports with respect to our business and financial condition;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prepare, file and distribute proxy statements and other stockholder communications;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25" w:lineRule="exact"/>
        <w:rPr>
          <w:sz w:val="20"/>
          <w:szCs w:val="20"/>
          <w:color w:val="auto"/>
        </w:rPr>
      </w:pPr>
    </w:p>
    <w:p>
      <w:pPr>
        <w:ind w:left="1020" w:right="640" w:hanging="504"/>
        <w:spacing w:after="0" w:line="245"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 financial and accounting personnel and other experienced accounting and finance staff with the expertise to address complex accounting matters applicable to public companies;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institute comprehensive financial reporting and disclosure compliance procedures;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involve and retain outside counsel and accountants to assist us with the activities listed above;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 our investor relations function;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enforce new internal policies, including those relating to trading in our securities and disclosure controls and procedures;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 with Nasdaq’s listing standards;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 with the Sarbanes-Oxley Act.</w:t>
      </w:r>
    </w:p>
    <w:p>
      <w:pPr>
        <w:spacing w:after="0" w:line="211"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These rules and regulations and changes in laws, regulations and standards relating to corporate governance and public disclosure, which have created uncertainty for public companies, have and will continue to increase our legal and financial compliance costs and make some activities more time consuming and costly.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has and will continue to result in increased administrative expenses and a diversion of management’s time and attention from revenue-generating activities to compliance activities, which could have a material adverse effect on our business, financial condition and results of operations.</w:t>
      </w:r>
    </w:p>
    <w:p>
      <w:pPr>
        <w:spacing w:after="0" w:line="178" w:lineRule="exact"/>
        <w:rPr>
          <w:sz w:val="20"/>
          <w:szCs w:val="20"/>
          <w:color w:val="auto"/>
        </w:rPr>
      </w:pPr>
    </w:p>
    <w:p>
      <w:pPr>
        <w:ind w:right="80" w:firstLine="749"/>
        <w:spacing w:after="0" w:line="236" w:lineRule="auto"/>
        <w:rPr>
          <w:sz w:val="20"/>
          <w:szCs w:val="20"/>
          <w:color w:val="auto"/>
        </w:rPr>
      </w:pPr>
      <w:r>
        <w:rPr>
          <w:rFonts w:ascii="Arial" w:cs="Arial" w:eastAsia="Arial" w:hAnsi="Arial"/>
          <w:sz w:val="18"/>
          <w:szCs w:val="18"/>
          <w:color w:val="auto"/>
        </w:rPr>
        <w:t>In addition, the need to continue to develop the corporate infrastructure demanded of a public company may also divert management’s attention from implementing our business strategy, including our long-term roadmap, which could prevent us from improving our business, financial condition and results of operations. 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comply with these requirements. We anticipate that these costs will materially increase our general and administrative expenses.</w:t>
      </w:r>
    </w:p>
    <w:p>
      <w:pPr>
        <w:spacing w:after="0" w:line="193" w:lineRule="exact"/>
        <w:rPr>
          <w:sz w:val="20"/>
          <w:szCs w:val="20"/>
          <w:color w:val="auto"/>
        </w:rPr>
      </w:pPr>
    </w:p>
    <w:p>
      <w:pPr>
        <w:ind w:right="200" w:firstLine="749"/>
        <w:spacing w:after="0" w:line="238" w:lineRule="auto"/>
        <w:rPr>
          <w:sz w:val="20"/>
          <w:szCs w:val="20"/>
          <w:color w:val="auto"/>
        </w:rPr>
      </w:pPr>
      <w:r>
        <w:rPr>
          <w:rFonts w:ascii="Arial" w:cs="Arial" w:eastAsia="Arial" w:hAnsi="Arial"/>
          <w:sz w:val="18"/>
          <w:szCs w:val="18"/>
          <w:color w:val="auto"/>
        </w:rPr>
        <w:t>Being a public company and complying with applicable rules and regulations could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6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161"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As of December 31, 2022, we are a “smaller reporting company” as defined under the rules promulgated under the Exchange Act. We will remain a smaller reporting company until the fiscal year following the determination that either (i) the value of our voting and non-voting common shares held by non-affiliates is $250 million or more measured on the last business day of our second fiscal quarter or (ii) our annual revenues are $100 million or more during the most recently completed fiscal year and the value of our voting and non-voting common shares held by non-affiliates is $700 million or more measured on the last business day of our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or supplemental financial information.</w:t>
      </w:r>
    </w:p>
    <w:p>
      <w:pPr>
        <w:spacing w:after="0" w:line="192" w:lineRule="exact"/>
        <w:rPr>
          <w:sz w:val="20"/>
          <w:szCs w:val="20"/>
          <w:color w:val="auto"/>
        </w:rPr>
      </w:pPr>
    </w:p>
    <w:p>
      <w:pPr>
        <w:ind w:right="320" w:firstLine="749"/>
        <w:spacing w:after="0"/>
        <w:rPr>
          <w:sz w:val="20"/>
          <w:szCs w:val="20"/>
          <w:color w:val="auto"/>
        </w:rPr>
      </w:pPr>
      <w:r>
        <w:rPr>
          <w:rFonts w:ascii="Arial" w:cs="Arial" w:eastAsia="Arial" w:hAnsi="Arial"/>
          <w:sz w:val="18"/>
          <w:szCs w:val="18"/>
          <w:color w:val="auto"/>
        </w:rPr>
        <w:t>We cannot predict whether investors will find our common stock less attractive if we choose to rely on any these exemptions. If some investors find our common stock less attractive as a result, there may be a less active trading market for our common stock and our stock price may be reduced or more volatile.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b w:val="1"/>
          <w:bCs w:val="1"/>
          <w:i w:val="1"/>
          <w:iCs w:val="1"/>
          <w:color w:val="auto"/>
        </w:rPr>
        <w:t>As a public reporting company, we are subject to rules and regulations established from time to time by the SEC and Nasdaq regarding our internal control over financial reporting. If we experience additional material weaknesses or otherwise fail to maintain effective internal control over financial reporting and disclosure controls and procedures, we may not be able to accurately report our financial results or report them in a timely manner, which may adversely affect investor confidence in us and, as a result, the value of our common stock.</w:t>
      </w:r>
    </w:p>
    <w:p>
      <w:pPr>
        <w:spacing w:after="0" w:line="188" w:lineRule="exact"/>
        <w:rPr>
          <w:sz w:val="20"/>
          <w:szCs w:val="20"/>
          <w:color w:val="auto"/>
        </w:rPr>
      </w:pPr>
    </w:p>
    <w:p>
      <w:pPr>
        <w:ind w:right="480" w:firstLine="749"/>
        <w:spacing w:after="0" w:line="238" w:lineRule="auto"/>
        <w:rPr>
          <w:sz w:val="20"/>
          <w:szCs w:val="20"/>
          <w:color w:val="auto"/>
        </w:rPr>
      </w:pPr>
      <w:r>
        <w:rPr>
          <w:rFonts w:ascii="Arial" w:cs="Arial" w:eastAsia="Arial" w:hAnsi="Arial"/>
          <w:sz w:val="18"/>
          <w:szCs w:val="18"/>
          <w:color w:val="auto"/>
        </w:rPr>
        <w:t>We are a public reporting company subject to the rules and regulations established from time to time by the SEC and Nasdaq. These rules and regulations require, among other things, that we establish and periodically evaluate procedures with respect to our disclosure controls and procedures and our internal control over financial reporting. Reporting obligations as a public company place a considerable strain on our financial and management systems, processes and controls, as well as on our personnel.</w:t>
      </w:r>
    </w:p>
    <w:p>
      <w:pPr>
        <w:spacing w:after="0" w:line="190"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Section 404(a) of the Sarbanes-Oxley Act (“Section 404(a)”) requires that management assess and report annually on the effectiveness of our internal control over financial reporting and identify any material weaknesses in our internal control over financial reporting. Additionally, Section 404(b) requires our independent registered public accounting firm to issue an annual report that addresses the effectiveness of our internal control over financial reporting. Our compliance with Section 404(a) will require that we incur substantial expenses and expend significant management efforts.</w:t>
      </w:r>
    </w:p>
    <w:p>
      <w:pPr>
        <w:spacing w:after="0" w:line="193" w:lineRule="exact"/>
        <w:rPr>
          <w:sz w:val="20"/>
          <w:szCs w:val="20"/>
          <w:color w:val="auto"/>
        </w:rPr>
      </w:pPr>
    </w:p>
    <w:p>
      <w:pPr>
        <w:ind w:right="100" w:firstLine="749"/>
        <w:spacing w:after="0" w:line="236" w:lineRule="auto"/>
        <w:rPr>
          <w:sz w:val="20"/>
          <w:szCs w:val="20"/>
          <w:color w:val="auto"/>
        </w:rPr>
      </w:pPr>
      <w:r>
        <w:rPr>
          <w:rFonts w:ascii="Arial" w:cs="Arial" w:eastAsia="Arial" w:hAnsi="Arial"/>
          <w:sz w:val="18"/>
          <w:szCs w:val="18"/>
          <w:color w:val="auto"/>
        </w:rPr>
        <w:t>Management excluded Unitas Holdings Corp., including its wholly owned subsidiaries United PanAm Financial Corp. and United Auto Credit Corporation, from its assessment of internal control over financial reporting as of December 31, 2022 because it was acquired in a business combination on February 1, 2022. We are required to include Unitas Holdings Corp., United PanAm Financial Corp. and United Auto Credit Corporation in our management's report on internal control over financial reporting pursuant to Section 404 of the Sarbanes-Oxley Act one year from the date of the acquisition, which we expect to be in our Annual Report on Form 10-K for the year ended December 31, 2023. We must ensure that UACC establishes and maintains effective internal controls and procedures for financial reporting. Such compliance efforts may be costly and time consuming and may divert the attention of management.</w:t>
      </w:r>
    </w:p>
    <w:p>
      <w:pPr>
        <w:spacing w:after="0" w:line="193"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previously identified and disclosed certain material weaknesses in our internal control over financial reporting in our Annual Report on Form 10-K for the year ended December 31, 2020. These material weaknesses have since been remediated, but additional material weaknesses or significant deficiencies may be discovered in the future. If we identify additional material weaknesses in our internal control over financial reporting, our management will be unable to assert that our disclosure controls and procedures and our internal control over financial reporting is effective.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operating results could be adversely affected.</w:t>
      </w:r>
    </w:p>
    <w:p>
      <w:pPr>
        <w:spacing w:after="0" w:line="161" w:lineRule="exact"/>
        <w:rPr>
          <w:sz w:val="20"/>
          <w:szCs w:val="20"/>
          <w:color w:val="auto"/>
        </w:rPr>
      </w:pPr>
    </w:p>
    <w:p>
      <w:pPr>
        <w:ind w:right="60" w:firstLine="749"/>
        <w:spacing w:after="0" w:line="23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in Part II, Item 7 of this Annual Report on Form 10-K. The results of these estimates form the basis for making judgments about the carrying values of assets, liabilities, expenses and related disclosures. Significant assumptions and estimates used in preparing our consolidated financial statements include those related to income taxes, the realizability of inventory, stock-based compensation, revenue-related reserves, as well as impairment of goodwill and long-lived assets.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660" w:firstLine="749"/>
        <w:spacing w:after="0" w:line="245" w:lineRule="auto"/>
        <w:rPr>
          <w:sz w:val="20"/>
          <w:szCs w:val="20"/>
          <w:color w:val="auto"/>
        </w:rPr>
      </w:pPr>
      <w:r>
        <w:rPr>
          <w:rFonts w:ascii="Arial" w:cs="Arial" w:eastAsia="Arial" w:hAnsi="Arial"/>
          <w:sz w:val="18"/>
          <w:szCs w:val="18"/>
          <w:color w:val="auto"/>
        </w:rPr>
        <w:t>The implementation of new accounting requirements or other changes to GAAP could have a material adverse effect on our reported results of operations and financial condition.</w:t>
      </w:r>
    </w:p>
    <w:p>
      <w:pPr>
        <w:spacing w:after="0" w:line="162" w:lineRule="exact"/>
        <w:rPr>
          <w:sz w:val="20"/>
          <w:szCs w:val="20"/>
          <w:color w:val="auto"/>
        </w:rPr>
      </w:pPr>
    </w:p>
    <w:p>
      <w:pPr>
        <w:ind w:right="560" w:firstLine="50"/>
        <w:spacing w:after="0" w:line="246" w:lineRule="auto"/>
        <w:rPr>
          <w:sz w:val="20"/>
          <w:szCs w:val="20"/>
          <w:color w:val="auto"/>
        </w:rPr>
      </w:pPr>
      <w:r>
        <w:rPr>
          <w:rFonts w:ascii="Arial" w:cs="Arial" w:eastAsia="Arial" w:hAnsi="Arial"/>
          <w:sz w:val="18"/>
          <w:szCs w:val="18"/>
          <w:b w:val="1"/>
          <w:bCs w:val="1"/>
          <w:i w:val="1"/>
          <w:iCs w:val="1"/>
          <w:color w:val="auto"/>
        </w:rPr>
        <w:t>Increased scrutiny and changing expectations from investors, consumers, employees, regulators, and others regarding our environmental, social and governance practices and reporting could cause us to incur additional costs, devote additional resources and expose us to additional risks, which could adversely impact our reputation, customer attraction and retention, access to capital and employee recruitment and retention.</w:t>
      </w:r>
    </w:p>
    <w:p>
      <w:pPr>
        <w:spacing w:after="0" w:line="225" w:lineRule="exact"/>
        <w:rPr>
          <w:sz w:val="20"/>
          <w:szCs w:val="20"/>
          <w:color w:val="auto"/>
        </w:rPr>
      </w:pPr>
    </w:p>
    <w:p>
      <w:pPr>
        <w:ind w:right="260" w:firstLine="749"/>
        <w:spacing w:after="0" w:line="237" w:lineRule="auto"/>
        <w:rPr>
          <w:sz w:val="20"/>
          <w:szCs w:val="20"/>
          <w:color w:val="auto"/>
        </w:rPr>
      </w:pPr>
      <w:r>
        <w:rPr>
          <w:rFonts w:ascii="Arial" w:cs="Arial" w:eastAsia="Arial" w:hAnsi="Arial"/>
          <w:sz w:val="18"/>
          <w:szCs w:val="18"/>
          <w:color w:val="auto"/>
        </w:rPr>
        <w:t>Companies across all industries are facing increasing scrutiny related to their environmental, social and governance (“ESG”) practices and reporting. Investors, consumers, employees and other stakeholders have focused increasingly on ESG practices and placed increasing importance on the implications and social cost of their investments, purchases and other interactions with companies. With this increased focus, public reporting regarding ESG practices is becoming more broadly expected. If our ESG practices and reporting do not meet investor, consumer or employee expectations, which continue to evolve, our brand, reputation and customer retention may be negatively impacted.</w:t>
      </w:r>
    </w:p>
    <w:p>
      <w:pPr>
        <w:spacing w:after="0" w:line="189" w:lineRule="exact"/>
        <w:rPr>
          <w:sz w:val="20"/>
          <w:szCs w:val="20"/>
          <w:color w:val="auto"/>
        </w:rPr>
      </w:pPr>
    </w:p>
    <w:p>
      <w:pPr>
        <w:ind w:right="200" w:firstLine="749"/>
        <w:spacing w:after="0" w:line="245" w:lineRule="auto"/>
        <w:rPr>
          <w:sz w:val="20"/>
          <w:szCs w:val="20"/>
          <w:color w:val="auto"/>
        </w:rPr>
      </w:pPr>
      <w:r>
        <w:rPr>
          <w:rFonts w:ascii="Arial" w:cs="Arial" w:eastAsia="Arial" w:hAnsi="Arial"/>
          <w:sz w:val="18"/>
          <w:szCs w:val="18"/>
          <w:color w:val="auto"/>
        </w:rPr>
        <w:t>Our ability to achieve any ESG objective is subject to numerous risks, many of which are outside of our control. Examples of such risks include:</w:t>
      </w:r>
    </w:p>
    <w:p>
      <w:pPr>
        <w:spacing w:after="0" w:line="90" w:lineRule="exact"/>
        <w:rPr>
          <w:sz w:val="20"/>
          <w:szCs w:val="20"/>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and cost of low- or non-carbon-based energy sources;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evolving regulatory requirements affecting ESG standards or disclosures;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suppliers that can meet sustainability, diversity and other ESG standards that we may set;</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recruit, develop and retain diverse talent in our labor markets;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our organic growth and acquisitions or dispositions of businesses or operations.</w:t>
      </w:r>
    </w:p>
    <w:p>
      <w:pPr>
        <w:spacing w:after="0" w:line="211" w:lineRule="exact"/>
        <w:rPr>
          <w:sz w:val="20"/>
          <w:szCs w:val="20"/>
          <w:color w:val="auto"/>
        </w:rPr>
      </w:pPr>
    </w:p>
    <w:p>
      <w:pPr>
        <w:ind w:right="180" w:firstLine="749"/>
        <w:spacing w:after="0" w:line="237" w:lineRule="auto"/>
        <w:rPr>
          <w:sz w:val="20"/>
          <w:szCs w:val="20"/>
          <w:color w:val="auto"/>
        </w:rPr>
      </w:pPr>
      <w:r>
        <w:rPr>
          <w:rFonts w:ascii="Arial" w:cs="Arial" w:eastAsia="Arial" w:hAnsi="Arial"/>
          <w:sz w:val="18"/>
          <w:szCs w:val="18"/>
          <w:color w:val="auto"/>
        </w:rPr>
        <w:t>If we fail, or are perceived to be failing, to meet the standards included in any sustainability disclosure or the expectations of our various stakeholders, it could negatively impact our reputation, customer attraction and retention, access to capital and employee retention. In addition, new sustainability rules and regulations have been adopted and may continue to be introduced in various states and other jurisdictions. Our failure to comply with any applicable rules or regulations could lead to penalties and adversely impact our reputation, customer attraction and retention, access to capital and employee retention.</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Provisions in the Indenture governing our outstanding convertible notes could delay or prevent an otherwise beneficial takeover of us.</w:t>
      </w:r>
    </w:p>
    <w:p>
      <w:pPr>
        <w:spacing w:after="0" w:line="161"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On June 18, 2021, we issued $625.0 million aggregate principal amount of Notes, of which $365.8 million aggregate principal amount are still outstanding. Certain provisions in our Notes and our indenture governing our Notes could make a third party attempt to acquire us more difficult or expensive. For example, if a takeover constitutes a fundamental change, then noteholders will have the right to require us to repurchase their Notes for cash. In addition, if a takeover constitutes a make-whole fundamental change, then we may be required to temporarily increase the conversion rate. In either case, and in other cases, our obligations under our Notes and our indenture could increase the cost of acquiring us or otherwise discourage a third party from acquiring us or removing incumbent management, including in a transaction that our security holders may view as favorable.</w:t>
      </w:r>
    </w:p>
    <w:p>
      <w:pPr>
        <w:spacing w:after="0" w:line="171" w:lineRule="exact"/>
        <w:rPr>
          <w:sz w:val="20"/>
          <w:szCs w:val="20"/>
          <w:color w:val="auto"/>
        </w:rPr>
      </w:pPr>
    </w:p>
    <w:p>
      <w:pPr>
        <w:jc w:val="both"/>
        <w:ind w:right="360"/>
        <w:spacing w:after="0" w:line="252" w:lineRule="auto"/>
        <w:rPr>
          <w:sz w:val="20"/>
          <w:szCs w:val="20"/>
          <w:color w:val="auto"/>
        </w:rPr>
      </w:pPr>
      <w:r>
        <w:rPr>
          <w:rFonts w:ascii="Arial" w:cs="Arial" w:eastAsia="Arial" w:hAnsi="Arial"/>
          <w:sz w:val="18"/>
          <w:szCs w:val="18"/>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common stock.</w:t>
      </w:r>
    </w:p>
    <w:p>
      <w:pPr>
        <w:spacing w:after="0" w:line="179" w:lineRule="exact"/>
        <w:rPr>
          <w:sz w:val="20"/>
          <w:szCs w:val="20"/>
          <w:color w:val="auto"/>
        </w:rPr>
      </w:pPr>
    </w:p>
    <w:p>
      <w:pPr>
        <w:ind w:right="140" w:firstLine="749"/>
        <w:spacing w:after="0"/>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could have the effect of rendering more difficult, delaying or preventing an acquisition deemed undesirable by our board of directors. Among others, our amended and restated certificate of incorporation and amended and restated bylaws include the following provisions:</w:t>
      </w:r>
    </w:p>
    <w:p>
      <w:pPr>
        <w:spacing w:after="0" w:line="296" w:lineRule="exact"/>
        <w:rPr>
          <w:sz w:val="20"/>
          <w:szCs w:val="20"/>
          <w:color w:val="auto"/>
        </w:rPr>
      </w:pPr>
    </w:p>
    <w:p>
      <w:pPr>
        <w:ind w:left="1020" w:right="700" w:hanging="504"/>
        <w:spacing w:after="0" w:line="245"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convening special stockholder meetings, which could make it difficult for our stockholders to adopt desired governance changes;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25" w:lineRule="exact"/>
        <w:rPr>
          <w:sz w:val="20"/>
          <w:szCs w:val="20"/>
          <w:color w:val="auto"/>
        </w:rPr>
      </w:pPr>
    </w:p>
    <w:p>
      <w:pPr>
        <w:ind w:left="1020" w:right="360" w:hanging="504"/>
        <w:spacing w:after="0" w:line="24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notice procedures, which apply for stockholders to nominate candidates for election as directors or to bring matters before an annual meeting of stockholders;</w:t>
      </w:r>
    </w:p>
    <w:p>
      <w:pPr>
        <w:spacing w:after="0" w:line="89" w:lineRule="exact"/>
        <w:rPr>
          <w:rFonts w:ascii="Arial" w:cs="Arial" w:eastAsia="Arial" w:hAnsi="Arial"/>
          <w:sz w:val="18"/>
          <w:szCs w:val="18"/>
          <w:color w:val="auto"/>
        </w:rPr>
      </w:pPr>
    </w:p>
    <w:p>
      <w:pPr>
        <w:ind w:left="1020" w:right="320" w:hanging="504"/>
        <w:spacing w:after="0" w:line="24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means that our stockholders will only be able to take action at a meeting of stockholders;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forum selection clause, which means certain litigation against us can only be brought in Delaware;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authorization of cumulative voting, which limits the ability of minority stockholders to elect director candidates;</w:t>
      </w:r>
    </w:p>
    <w:p>
      <w:pPr>
        <w:spacing w:after="0" w:line="116" w:lineRule="exact"/>
        <w:rPr>
          <w:rFonts w:ascii="Arial" w:cs="Arial" w:eastAsia="Arial" w:hAnsi="Arial"/>
          <w:sz w:val="18"/>
          <w:szCs w:val="18"/>
          <w:color w:val="auto"/>
        </w:rPr>
      </w:pPr>
    </w:p>
    <w:p>
      <w:pPr>
        <w:ind w:left="1020" w:right="120" w:hanging="504"/>
        <w:spacing w:after="0" w:line="24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two-thirds of the then outstanding voting power of our capital stock;</w:t>
      </w:r>
    </w:p>
    <w:p>
      <w:pPr>
        <w:spacing w:after="0" w:line="89" w:lineRule="exact"/>
        <w:rPr>
          <w:rFonts w:ascii="Arial" w:cs="Arial" w:eastAsia="Arial" w:hAnsi="Arial"/>
          <w:sz w:val="18"/>
          <w:szCs w:val="18"/>
          <w:color w:val="auto"/>
        </w:rPr>
      </w:pPr>
    </w:p>
    <w:p>
      <w:pPr>
        <w:ind w:left="1020" w:right="280" w:hanging="504"/>
        <w:spacing w:after="0" w:line="24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bylaws provide that the affirmative vote of two-thirds of the then-outstanding voting power of our capital stock, voting as a single class, is required for stockholders to amend or adopt any provision of our bylaws; and</w:t>
      </w:r>
    </w:p>
    <w:p>
      <w:pPr>
        <w:spacing w:after="0" w:line="89" w:lineRule="exact"/>
        <w:rPr>
          <w:rFonts w:ascii="Arial" w:cs="Arial" w:eastAsia="Arial" w:hAnsi="Arial"/>
          <w:sz w:val="18"/>
          <w:szCs w:val="18"/>
          <w:color w:val="auto"/>
        </w:rPr>
      </w:pPr>
    </w:p>
    <w:p>
      <w:pPr>
        <w:ind w:left="1020" w:right="160" w:hanging="504"/>
        <w:spacing w:after="0" w:line="24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authorization of undesignated or “blank check” preferred stock, the terms of which may be established and shares of which may be issued without further action by our stockholders.</w:t>
      </w:r>
    </w:p>
    <w:p>
      <w:pPr>
        <w:spacing w:after="0" w:line="184" w:lineRule="exact"/>
        <w:rPr>
          <w:sz w:val="20"/>
          <w:szCs w:val="20"/>
          <w:color w:val="auto"/>
        </w:rPr>
      </w:pPr>
    </w:p>
    <w:p>
      <w:pPr>
        <w:ind w:right="120" w:firstLine="749"/>
        <w:spacing w:after="0" w:line="236"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As a Delaware corporation, we are also subject to provisions of Delaware law, including Section 203 of the Delaware General Corporation Law (the “DGCL”), which prevents interested stockholders, such as certain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approval, the business combination receives the approval of the holders of at least two-thirds of our outstanding common stock not held by such interested stockholder.</w:t>
      </w:r>
    </w:p>
    <w:p>
      <w:pPr>
        <w:spacing w:after="0" w:line="192"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6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and federal district courts will be the sole and exclusive forum for Securities Act claims, which could limit our stockholders’ ability to obtain a favorable judicial forum for disputes with us or our directors, officers or employees.</w:t>
      </w:r>
    </w:p>
    <w:p>
      <w:pPr>
        <w:spacing w:after="0" w:line="185" w:lineRule="exact"/>
        <w:rPr>
          <w:sz w:val="20"/>
          <w:szCs w:val="20"/>
          <w:color w:val="auto"/>
        </w:rPr>
      </w:pPr>
    </w:p>
    <w:p>
      <w:pPr>
        <w:jc w:val="both"/>
        <w:ind w:right="40" w:firstLine="749"/>
        <w:spacing w:after="0" w:line="248"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the Court of Chancery of the State of Delaware is the sole and exclusive forum for: (a) any derivative action or proceeding brought on our behalf;</w:t>
      </w:r>
    </w:p>
    <w:p>
      <w:pPr>
        <w:spacing w:after="0" w:line="1" w:lineRule="exact"/>
        <w:rPr>
          <w:sz w:val="20"/>
          <w:szCs w:val="20"/>
          <w:color w:val="auto"/>
        </w:rPr>
      </w:pPr>
    </w:p>
    <w:p>
      <w:pPr>
        <w:ind w:firstLine="8"/>
        <w:spacing w:after="0" w:line="235"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directors, officers or other employees to us or to our stockholders; (c) any action asserting a claim arising pursuant to the DGCL, our amended and restated certificate of incorporation or amended bylaws, or as to which the DGCL confers exclusive jurisdiction on the Court of Chancery of the State of Delaware; or (d) any action asserting a claim governed by the internal affairs doctrine; provided that the exclusive forum provisions will not apply to suits brought to enforce any liability or duty created by Exchange Act or to any claim for which the federal courts have exclusive jurisdiction. Our amended and restated certificate of incorporation further provides that, unless we consent in writing to the selection of an alternative forum, the federal district courts are the sole and exclusive forum for the resolution of any complaint asserting a cause of action arising under the Securities Act. 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company, or if they issue unfavorable commentary about us or our industry or downgrade our common stock, the price of our common stock could decline.</w:t>
      </w:r>
    </w:p>
    <w:p>
      <w:pPr>
        <w:spacing w:after="0" w:line="161" w:lineRule="exact"/>
        <w:rPr>
          <w:sz w:val="20"/>
          <w:szCs w:val="20"/>
          <w:color w:val="auto"/>
        </w:rPr>
      </w:pPr>
    </w:p>
    <w:p>
      <w:pPr>
        <w:jc w:val="both"/>
        <w:ind w:right="60" w:firstLine="749"/>
        <w:spacing w:after="0" w:line="261" w:lineRule="auto"/>
        <w:rPr>
          <w:sz w:val="20"/>
          <w:szCs w:val="20"/>
          <w:color w:val="auto"/>
        </w:rPr>
      </w:pPr>
      <w:r>
        <w:rPr>
          <w:rFonts w:ascii="Arial" w:cs="Arial" w:eastAsia="Arial" w:hAnsi="Arial"/>
          <w:sz w:val="17"/>
          <w:szCs w:val="17"/>
          <w:color w:val="auto"/>
        </w:rPr>
        <w:t>Our stock price and trading volume are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171"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We do not have any control over these analysts. Currently, seven analysts cover our company, which is a decrease from the 13 analysts who covered us at the end of 2021. If the number of analysts that cover us declines further, demand for our common stock could decrease and our common stock price and trading volume may decline.</w:t>
      </w:r>
    </w:p>
    <w:p>
      <w:pPr>
        <w:spacing w:after="0" w:line="190" w:lineRule="exact"/>
        <w:rPr>
          <w:sz w:val="20"/>
          <w:szCs w:val="20"/>
          <w:color w:val="auto"/>
        </w:rPr>
      </w:pPr>
    </w:p>
    <w:p>
      <w:pPr>
        <w:ind w:right="180" w:firstLine="749"/>
        <w:spacing w:after="0"/>
        <w:rPr>
          <w:sz w:val="20"/>
          <w:szCs w:val="20"/>
          <w:color w:val="auto"/>
        </w:rPr>
      </w:pPr>
      <w:r>
        <w:rPr>
          <w:rFonts w:ascii="Arial" w:cs="Arial" w:eastAsia="Arial" w:hAnsi="Arial"/>
          <w:sz w:val="18"/>
          <w:szCs w:val="18"/>
          <w:color w:val="auto"/>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88" w:lineRule="exact"/>
        <w:rPr>
          <w:sz w:val="20"/>
          <w:szCs w:val="20"/>
          <w:color w:val="auto"/>
        </w:rPr>
      </w:pPr>
    </w:p>
    <w:p>
      <w:pPr>
        <w:ind w:right="120" w:firstLine="749"/>
        <w:spacing w:after="0" w:line="238" w:lineRule="auto"/>
        <w:rPr>
          <w:sz w:val="20"/>
          <w:szCs w:val="20"/>
          <w:color w:val="auto"/>
        </w:rPr>
      </w:pPr>
      <w:r>
        <w:rPr>
          <w:rFonts w:ascii="Arial" w:cs="Arial" w:eastAsia="Arial" w:hAnsi="Arial"/>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Tax Matters</w:t>
      </w:r>
    </w:p>
    <w:p>
      <w:pPr>
        <w:spacing w:after="0" w:line="19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We may be limited in our ability to utilize, or may not be able to utilize, net operating loss carryforwards to reduce our future tax liability.</w:t>
      </w:r>
    </w:p>
    <w:p>
      <w:pPr>
        <w:spacing w:after="0" w:line="161" w:lineRule="exact"/>
        <w:rPr>
          <w:sz w:val="20"/>
          <w:szCs w:val="20"/>
          <w:color w:val="auto"/>
        </w:rPr>
      </w:pPr>
    </w:p>
    <w:p>
      <w:pPr>
        <w:ind w:right="80" w:firstLine="749"/>
        <w:spacing w:after="0" w:line="237" w:lineRule="auto"/>
        <w:rPr>
          <w:sz w:val="20"/>
          <w:szCs w:val="20"/>
          <w:color w:val="auto"/>
        </w:rPr>
      </w:pPr>
      <w:r>
        <w:rPr>
          <w:rFonts w:ascii="Arial" w:cs="Arial" w:eastAsia="Arial" w:hAnsi="Arial"/>
          <w:sz w:val="18"/>
          <w:szCs w:val="18"/>
          <w:color w:val="auto"/>
        </w:rPr>
        <w:t>As of December 31, 2022 we had substantial U.S. federal net operating loss (“NOL”) carryforwards, the utilization of which may be limited annually due to certain change in ownership provisions of Section 382 of the Internal Revenue Code of 1986, as amended (the “Code”). Some of our U.S. federal NOL carryforwards will begin to expire in 2028, with the remaining losses having no expiration. Please refer to Note 20 of our consolidated financial statements appearing elsewhere in this Annual Report on Form 10-K for a further discussion of the carryforward of our NOLs. As of December 31, 2022, we maintain a full valuation allowance for our net deferred tax assets.</w:t>
      </w:r>
    </w:p>
    <w:p>
      <w:pPr>
        <w:spacing w:after="0" w:line="192"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An “ownership change” (generally defined as greater than 50-percentage-point cumulative changes in the equity ownership of certain stockholders over a rolling three-year period) under Section 382 of the Code may limit our ability to utilize fully our pre-change NOL carryforwards to reduce our taxable income in periods following the ownership change. In general, an ownership change would limit our ability to utilize U.S. federal NOL carryforwards to an amount equal to the aggregate value of our equity at the time of the ownership change multiplied by a specified tax-exempt interest rate, subject to increase by certain built-in gains. Similar provisions of state tax law may also apply to our state NOL carryforwards. We believe we have undergone an ownership change for purposes of Section 382 of the Code in each of 2013, 2014, 2015 and 2021, which substantially limits our ability to use U.S. federal NOL carryforwards generated prior to each such ownership change. In addition, future changes in our stock ownership, some of which may be beyond our control, could result in additional ownership changes under Section 382 of the Code.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 could impact our results of operations and financial condition.</w:t>
      </w:r>
    </w:p>
    <w:p>
      <w:pPr>
        <w:spacing w:after="0" w:line="220" w:lineRule="exact"/>
        <w:rPr>
          <w:sz w:val="20"/>
          <w:szCs w:val="20"/>
          <w:color w:val="auto"/>
        </w:rPr>
      </w:pPr>
    </w:p>
    <w:p>
      <w:pPr>
        <w:ind w:right="120" w:firstLine="749"/>
        <w:spacing w:after="0" w:line="236" w:lineRule="auto"/>
        <w:rPr>
          <w:sz w:val="20"/>
          <w:szCs w:val="20"/>
          <w:color w:val="auto"/>
        </w:rPr>
      </w:pPr>
      <w:r>
        <w:rPr>
          <w:rFonts w:ascii="Arial" w:cs="Arial" w:eastAsia="Arial" w:hAnsi="Arial"/>
          <w:sz w:val="18"/>
          <w:szCs w:val="18"/>
          <w:color w:val="auto"/>
        </w:rPr>
        <w:t>We are subject to U.S. federal income tax, as well as income tax in certain states. Our provision for income taxes and cash tax liability in the future could be adversely affected by numerous factors including, changes in tax laws, regulations, accounting principles or interpretations thereof, which could materially and adversely impact our cash flows and our business, financial condition and results of operations in future periods. Increases in our effective tax rate could also materially affect our net results. In addition, the U.S. government may enact significant changes to the taxation of business entities including, among others, an increase in the corporate income tax rate and the imposition of minimum taxes. The likelihood of these changes being enacted or implemented is unclear. We are currently unable to predict whether such changes will occur and, if so, the ultimate impact on our business. Further, we are subject to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examination of our income and other tax returns by the IRS and state and local tax authorities, which could have an impact on our business, financial condition and results of operations.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Risk Factors</w:t>
      </w:r>
    </w:p>
    <w:p>
      <w:pPr>
        <w:spacing w:after="0" w:line="198" w:lineRule="exact"/>
        <w:rPr>
          <w:sz w:val="20"/>
          <w:szCs w:val="20"/>
          <w:color w:val="auto"/>
        </w:rPr>
      </w:pPr>
    </w:p>
    <w:p>
      <w:pPr>
        <w:ind w:right="880"/>
        <w:spacing w:after="0" w:line="271" w:lineRule="auto"/>
        <w:rPr>
          <w:sz w:val="20"/>
          <w:szCs w:val="20"/>
          <w:color w:val="auto"/>
        </w:rPr>
      </w:pPr>
      <w:r>
        <w:rPr>
          <w:rFonts w:ascii="Arial" w:cs="Arial" w:eastAsia="Arial" w:hAnsi="Arial"/>
          <w:sz w:val="18"/>
          <w:szCs w:val="18"/>
          <w:b w:val="1"/>
          <w:bCs w:val="1"/>
          <w:i w:val="1"/>
          <w:iCs w:val="1"/>
          <w:color w:val="auto"/>
        </w:rPr>
        <w:t>The full extent of the impact of the COVID-19 pandemic, including the emergence of variants or any other resurgences, is uncertain.</w:t>
      </w:r>
    </w:p>
    <w:p>
      <w:pPr>
        <w:spacing w:after="0" w:line="161" w:lineRule="exact"/>
        <w:rPr>
          <w:sz w:val="20"/>
          <w:szCs w:val="20"/>
          <w:color w:val="auto"/>
        </w:rPr>
      </w:pPr>
    </w:p>
    <w:p>
      <w:pPr>
        <w:ind w:right="120" w:firstLine="749"/>
        <w:spacing w:after="0" w:line="238" w:lineRule="auto"/>
        <w:rPr>
          <w:sz w:val="20"/>
          <w:szCs w:val="20"/>
          <w:color w:val="auto"/>
        </w:rPr>
      </w:pPr>
      <w:r>
        <w:rPr>
          <w:rFonts w:ascii="Arial" w:cs="Arial" w:eastAsia="Arial" w:hAnsi="Arial"/>
          <w:sz w:val="18"/>
          <w:szCs w:val="18"/>
          <w:color w:val="auto"/>
        </w:rPr>
        <w:t>The COVID-19 pandemic and measures implemented by governmental authorities around the world to reduce the spread of COVID-19 disrupted our operations and adversely affected our financial performance beginning late in the first quarter of 2020. After the initial disruption, the used vehicle market began to recover and consumer demand for used vehicles increased. This recovery was bolstered by the introduction of COVID-19 vaccines nationwide.</w:t>
      </w:r>
    </w:p>
    <w:p>
      <w:pPr>
        <w:spacing w:after="0" w:line="190" w:lineRule="exact"/>
        <w:rPr>
          <w:sz w:val="20"/>
          <w:szCs w:val="20"/>
          <w:color w:val="auto"/>
        </w:rPr>
      </w:pPr>
    </w:p>
    <w:p>
      <w:pPr>
        <w:ind w:right="200" w:firstLine="749"/>
        <w:spacing w:after="0" w:line="238" w:lineRule="auto"/>
        <w:rPr>
          <w:sz w:val="20"/>
          <w:szCs w:val="20"/>
          <w:color w:val="auto"/>
        </w:rPr>
      </w:pPr>
      <w:r>
        <w:rPr>
          <w:rFonts w:ascii="Arial" w:cs="Arial" w:eastAsia="Arial" w:hAnsi="Arial"/>
          <w:sz w:val="18"/>
          <w:szCs w:val="18"/>
          <w:color w:val="auto"/>
        </w:rPr>
        <w:t>The nature of work has been greatly altered by COVID-19 and related protocols which have, in turn, broadly shifted employee sentiment regarding in-person work, compensation, and flexibility. Accordingly, we eliminated certain physical office locations in New York and Detroit, where in-person work was not required, in alignment with our cost-saving measures taken across the business pursuant to our Realignment Plan and our long-term roadmap.</w:t>
      </w:r>
    </w:p>
    <w:p>
      <w:pPr>
        <w:spacing w:after="0" w:line="190" w:lineRule="exact"/>
        <w:rPr>
          <w:sz w:val="20"/>
          <w:szCs w:val="20"/>
          <w:color w:val="auto"/>
        </w:rPr>
      </w:pPr>
    </w:p>
    <w:p>
      <w:pPr>
        <w:ind w:right="480" w:firstLine="749"/>
        <w:spacing w:after="0"/>
        <w:rPr>
          <w:sz w:val="20"/>
          <w:szCs w:val="20"/>
          <w:color w:val="auto"/>
        </w:rPr>
      </w:pPr>
      <w:r>
        <w:rPr>
          <w:rFonts w:ascii="Arial" w:cs="Arial" w:eastAsia="Arial" w:hAnsi="Arial"/>
          <w:sz w:val="18"/>
          <w:szCs w:val="18"/>
          <w:color w:val="auto"/>
        </w:rPr>
        <w:t>In addition, since early March 2020, UACC has worked, and continues to work, with borrowers impacted by COVID-19 on an individual basis to provide deferments, due date changes and other assistance programs. UACC’s assistance programs, if expanded or continued, could materially and adversely impact our business, financial condition and results of operations.</w:t>
      </w:r>
    </w:p>
    <w:p>
      <w:pPr>
        <w:spacing w:after="0" w:line="188" w:lineRule="exact"/>
        <w:rPr>
          <w:sz w:val="20"/>
          <w:szCs w:val="20"/>
          <w:color w:val="auto"/>
        </w:rPr>
      </w:pPr>
    </w:p>
    <w:p>
      <w:pPr>
        <w:ind w:right="520" w:firstLine="749"/>
        <w:spacing w:after="0" w:line="274" w:lineRule="auto"/>
        <w:rPr>
          <w:sz w:val="20"/>
          <w:szCs w:val="20"/>
          <w:color w:val="auto"/>
        </w:rPr>
      </w:pPr>
      <w:r>
        <w:rPr>
          <w:rFonts w:ascii="Arial" w:cs="Arial" w:eastAsia="Arial" w:hAnsi="Arial"/>
          <w:sz w:val="17"/>
          <w:szCs w:val="17"/>
          <w:color w:val="auto"/>
        </w:rPr>
        <w:t>The extent to which COVID-19, including the emergence of any variants or any resurgences, ultimately impacts our business, financial condition and results of operations will depend on future developments, which are highly uncertain and unpredictable.</w:t>
      </w:r>
    </w:p>
    <w:p>
      <w:pPr>
        <w:spacing w:after="0" w:line="160"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The pandemic may also have the effect of heightening many of the other risks described herein, including risks relating to changes in consumer demand; our limited operating history; our ability to generate sufficient revenue to generate positive cash flow; our relationships with third-party customer experience teams; the availability of third -party providers to deliver our vehicles to customers nationwide; the operation of our VRCs by us and our third-party service providers; the current geographic concentration of reconditioning services and store inventory; our level of indebtedness; our agreement with a single lender to finance our vehicle inventory purchases and the expiration of such agreement; our access to desirable vehicle inventory; regulatory restrictions; and the shift by traditional dealers to online sales and deliveries. These consequences could have a material effect on our business, operating results, financial condition and prospects.</w:t>
      </w:r>
    </w:p>
    <w:p>
      <w:pPr>
        <w:spacing w:after="0" w:line="17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Our business is subject to the risk of natural disasters, adverse weather events and other catastrophic events, such as war and terrorism.</w:t>
      </w:r>
    </w:p>
    <w:p>
      <w:pPr>
        <w:spacing w:after="0" w:line="161"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Our business is vulnerable to damage or interruption from earthquakes, fires, floods, hurricanes, power losses, telecommunications failures, terrorist attacks, acts of war, global pandemics, human errors and similar events. We have historically experienced business interruptions from time to time at our VRCs, due to actual or threatened adverse weather conditions or natural disasters, and our last mile delivery options may be subject to the same risks. The third-party systems and operations on which we rely are subject to similar risks. For example, a significant natural disaster, such as an earthquake, fire, flood or hurricane could have an adverse effect on our business, financial condition and operating results, and our insurance coverage may be insufficient to compensate us for losses that may occur. Global climate change is resulting in certain types of natural disasters occurring more frequently or with more intense effects. We may not have sufficient protection or recovery plans in some circumstances, such as if a natural disaster affects locations that store a significant amount of our inventory vehicles. As we rely heavily on our computer and communications systems and the internet to conduct our business and provide high-quality customer service, any disruptions could negatively affect our ability to run our business, which could have an adverse effect on our business, financial condition, and operating results.</w:t>
      </w:r>
    </w:p>
    <w:p>
      <w:pPr>
        <w:spacing w:after="0" w:line="188"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War and acts of terrorism in the United States and abroad could also cause disruptions in our business, consumer demand or the economy as a whole. For example, the invasion of Ukraine by Russia and resulting sanctions by the United States, European Union and other countries could result in a slowdown in global economic growth, rising inflation, market disruptions and increased volatility in commodity prices in the United States. The extent and duration of the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military action, sanctions and resulting market disruptions could be significant and could potentially have substantial impact on the global economy and our business for an unknown period of time. The broader consequences of geopolitical tensions, such as embargoes, regional instability and geopolitical shifts; airspace bans relating to certain routes, or strategic decisions to alter certain routes; and potential retaliatory action by governments against companies, cannot be predicted. We may incur expenses or delays relating to such events outside of our control, which could have a material adverse impact on our business, operating results and financial condition. Any such disruptions may also magnify the impact of other risks described in this Risk Factors section.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220"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 For example, insurance we maintain against liability claims may not continue to be available on terms acceptable to us and such coverage may not be adequate to cover the types of liabilities actually incurred. A successful claim brought against us, if not fully covered by available insurance coverage, could materially and adversely affect our business, financial condition and results of operations.</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the market price of our common stock may decline.</w:t>
      </w:r>
    </w:p>
    <w:p>
      <w:pPr>
        <w:spacing w:after="0" w:line="161"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From time to time, we provide public guidance on our expected operating and financial results for future periods. Any such guidance will be comprised of forward-looking statements subject to the risks and uncertainties described in this Annual Report on Form 10-K and in our other public filings and public statements. Any such guidance is prepared by our management and is qualified by, and subject to, the assumptions and the other information contained or referred to in the relevant release and the factors described under “Special Note Regarding Forward-Looking Statements” in this Annual Report on Form 10-K and our current and periodic reports filed with the SEC.</w:t>
      </w:r>
    </w:p>
    <w:p>
      <w:pPr>
        <w:spacing w:after="0" w:line="192"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Guidance is based upon a number of assumptions and estimates that, although presented with numerical specificity, are inherently subject to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estimated ranges. The principal reason that we release this guidance is to provide a basis for our management to discuss our business outlook with analysts and investors. We do not accept any responsibility for any projections or reports published by any third parties. Moreover, even if we do issue public guidance, there can be no assurance that we will continue to do so in the future.</w:t>
      </w:r>
    </w:p>
    <w:p>
      <w:pPr>
        <w:spacing w:after="0" w:line="181"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Our actual results may not always be in line with or exceed any guidance we have provided, especially in times of economic uncertainty. If, in the future, our operating or financial results for a particular period do not meet any guidance we provide or the expectations of investment analysts, or if we reduce our guidance for future periods, the market price of our common stock may decline.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 sellers of our stock may be manipulative and may drive down the market price of our common stock.</w:t>
      </w:r>
    </w:p>
    <w:p>
      <w:pPr>
        <w:spacing w:after="0" w:line="220"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93" w:lineRule="exact"/>
        <w:rPr>
          <w:sz w:val="20"/>
          <w:szCs w:val="20"/>
          <w:color w:val="auto"/>
        </w:rPr>
      </w:pPr>
    </w:p>
    <w:p>
      <w:pPr>
        <w:ind w:right="540" w:firstLine="749"/>
        <w:spacing w:after="0" w:line="245" w:lineRule="auto"/>
        <w:rPr>
          <w:sz w:val="20"/>
          <w:szCs w:val="20"/>
          <w:color w:val="auto"/>
        </w:rPr>
      </w:pPr>
      <w:r>
        <w:rPr>
          <w:rFonts w:ascii="Arial" w:cs="Arial" w:eastAsia="Arial" w:hAnsi="Arial"/>
          <w:sz w:val="18"/>
          <w:szCs w:val="18"/>
          <w:color w:val="auto"/>
        </w:rPr>
        <w:t>As a public entity, we may be the subject of concerted efforts by short sellers to spread negative information in order to gain a market advantage. In addition, the publication of misinformation may also result in lawsuits, the uncertainty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and expense of which could adversely impact our business, financial condition, and reputation. There are no assurances that we will not face short sellers' efforts or similar tactics in the future, and the market price of our common stock may decline as a result of their actions.</w:t>
      </w:r>
    </w:p>
    <w:p>
      <w:pPr>
        <w:spacing w:after="0" w:line="162"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i w:val="1"/>
          <w:iCs w:val="1"/>
          <w:color w:val="auto"/>
        </w:rPr>
        <w:t>Stockholder activism could disrupt our business, cause us to incur significant expenses, hinder execution of our business strategy, and impact our stock price.</w:t>
      </w:r>
    </w:p>
    <w:p>
      <w:pPr>
        <w:spacing w:after="0" w:line="161"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We may in the future be subject to stockholder activism, which can arise in a variety of predictable or unpredictable situations, and can result in substantial costs and divert management’s and our board’s attention and resources from our business. Additionally, stockholder activism could give rise to perceived uncertainties as to our long-term business, financial forecasts, future operations and strategic planning, harm our reputation, adversely affect our relationships with our business partners, and make it more difficult to attract and retain qualified personnel. We may also be required to incur significant fees and other expenses related to activist matters, including for third-party advisors that would be retained by us to assist in navigating activist situations. Our stock price could fluctuate due to trading activity associated with various announcements, developments, and share purchases over the course of an activist campaign or otherwise be adversely affected by the events, risks and uncertainties related to any such stockholder activism.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0"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We lease office space outside Houston, Texas, consisting of approximately 102,492 square feet of space under a lease that expires in November 2024. We use this space as our corporate headquarters and to support our administrative functions, including finance, human resources, information technology, engineering, sales and marketing and other administrative functions, all of which support our Ecommerce and Wholesale segments.</w:t>
      </w:r>
    </w:p>
    <w:p>
      <w:pPr>
        <w:spacing w:after="0" w:line="190" w:lineRule="exact"/>
        <w:rPr>
          <w:sz w:val="20"/>
          <w:szCs w:val="20"/>
          <w:color w:val="auto"/>
        </w:rPr>
      </w:pPr>
    </w:p>
    <w:p>
      <w:pPr>
        <w:ind w:right="140" w:firstLine="637"/>
        <w:spacing w:after="0"/>
        <w:rPr>
          <w:sz w:val="20"/>
          <w:szCs w:val="20"/>
          <w:color w:val="auto"/>
        </w:rPr>
      </w:pPr>
      <w:r>
        <w:rPr>
          <w:rFonts w:ascii="Arial" w:cs="Arial" w:eastAsia="Arial" w:hAnsi="Arial"/>
          <w:sz w:val="18"/>
          <w:szCs w:val="18"/>
          <w:color w:val="auto"/>
        </w:rPr>
        <w:t>In addition, we operate the TDA dealership outside Houston, Texas, consisting of approximately 58,000 square feet under a lease that expires in September 2024. This space includes our Vroom VRC, and supports reconditioning and sales operations for our Ecommerce segment.</w:t>
      </w:r>
    </w:p>
    <w:p>
      <w:pPr>
        <w:spacing w:after="0" w:line="188"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UACC leases office space in Newport Beach, California, consisting of approximately 20,058 square feet of space under a lease that expires in March 2024. UACC uses this space as its corporate headquarters and to support UACC's retail indirect financing, including risk management, dealer compliance, finance and accounting, human resources, information technology, sales and marketing, credit underwriting and funding, all of which support our Retail Financing segment.</w:t>
      </w:r>
    </w:p>
    <w:p>
      <w:pPr>
        <w:spacing w:after="0" w:line="190" w:lineRule="exact"/>
        <w:rPr>
          <w:sz w:val="20"/>
          <w:szCs w:val="20"/>
          <w:color w:val="auto"/>
        </w:rPr>
      </w:pPr>
    </w:p>
    <w:p>
      <w:pPr>
        <w:ind w:right="120" w:firstLine="637"/>
        <w:spacing w:after="0" w:line="237" w:lineRule="auto"/>
        <w:rPr>
          <w:sz w:val="20"/>
          <w:szCs w:val="20"/>
          <w:color w:val="auto"/>
        </w:rPr>
      </w:pPr>
      <w:r>
        <w:rPr>
          <w:rFonts w:ascii="Arial" w:cs="Arial" w:eastAsia="Arial" w:hAnsi="Arial"/>
          <w:sz w:val="18"/>
          <w:szCs w:val="18"/>
          <w:color w:val="auto"/>
        </w:rPr>
        <w:t>In addition, UACC leases office space in Fort Worth, Texas, consisting of approximately 106,500 square feet of space under a lease that expires in September 2031. UACC uses this space as its servicing center and to support UACC's retail indirect financing, including servicing, collections, remarketing and recovery operations. UACC also leases office space outside of Buffalo, NY, consisting of approximately 12,000 square feet of space under a lease that expires in December 2027. UACC uses this space as its buyer center and to conduct credit underwriting operations in support of its indirect retail financing. The Fort Worth and Buffalo spaces support our Retail Financing segment.</w:t>
      </w:r>
    </w:p>
    <w:p>
      <w:pPr>
        <w:spacing w:after="0" w:line="189" w:lineRule="exact"/>
        <w:rPr>
          <w:sz w:val="20"/>
          <w:szCs w:val="20"/>
          <w:color w:val="auto"/>
        </w:rPr>
      </w:pPr>
    </w:p>
    <w:p>
      <w:pPr>
        <w:ind w:right="100" w:firstLine="637"/>
        <w:spacing w:after="0" w:line="245" w:lineRule="auto"/>
        <w:rPr>
          <w:sz w:val="20"/>
          <w:szCs w:val="20"/>
          <w:color w:val="auto"/>
        </w:rPr>
      </w:pPr>
      <w:r>
        <w:rPr>
          <w:rFonts w:ascii="Arial" w:cs="Arial" w:eastAsia="Arial" w:hAnsi="Arial"/>
          <w:sz w:val="18"/>
          <w:szCs w:val="18"/>
          <w:color w:val="auto"/>
        </w:rPr>
        <w:t>We believe our existing and planned facilities are sufficient for our current needs and that, should it be needed, suitable additional or alternative space will be available to accommodate our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0" w:lineRule="exact"/>
        <w:rPr>
          <w:sz w:val="20"/>
          <w:szCs w:val="20"/>
          <w:color w:val="auto"/>
        </w:rPr>
      </w:pPr>
    </w:p>
    <w:p>
      <w:pPr>
        <w:ind w:right="20" w:firstLine="749"/>
        <w:spacing w:after="0" w:line="235" w:lineRule="auto"/>
        <w:rPr>
          <w:sz w:val="20"/>
          <w:szCs w:val="20"/>
          <w:color w:val="auto"/>
        </w:rPr>
      </w:pPr>
      <w:r>
        <w:rPr>
          <w:rFonts w:ascii="Arial" w:cs="Arial" w:eastAsia="Arial" w:hAnsi="Arial"/>
          <w:sz w:val="18"/>
          <w:szCs w:val="18"/>
          <w:color w:val="auto"/>
        </w:rPr>
        <w:t>From time to time, we are subject to legal proceedings in the normal course of operating our business. The outcome of litigation, regardless of the merits, is inherently uncertain. 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195" w:lineRule="exact"/>
        <w:rPr>
          <w:sz w:val="20"/>
          <w:szCs w:val="20"/>
          <w:color w:val="auto"/>
        </w:rPr>
      </w:pPr>
    </w:p>
    <w:p>
      <w:pPr>
        <w:ind w:right="60" w:firstLine="749"/>
        <w:spacing w:after="0" w:line="253" w:lineRule="auto"/>
        <w:rPr>
          <w:sz w:val="20"/>
          <w:szCs w:val="20"/>
          <w:color w:val="auto"/>
        </w:rPr>
      </w:pPr>
      <w:r>
        <w:rPr>
          <w:rFonts w:ascii="Arial" w:cs="Arial" w:eastAsia="Arial" w:hAnsi="Arial"/>
          <w:sz w:val="17"/>
          <w:szCs w:val="17"/>
          <w:color w:val="auto"/>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520"/>
        <w:spacing w:after="0" w:line="245" w:lineRule="auto"/>
        <w:rPr>
          <w:sz w:val="20"/>
          <w:szCs w:val="20"/>
          <w:color w:val="auto"/>
        </w:rPr>
      </w:pPr>
      <w:r>
        <w:rPr>
          <w:rFonts w:ascii="Arial" w:cs="Arial" w:eastAsia="Arial" w:hAnsi="Arial"/>
          <w:sz w:val="18"/>
          <w:szCs w:val="18"/>
          <w:color w:val="auto"/>
        </w:rPr>
        <w:t>Inc. Securities Litigation. All four derivative suits remain in preliminary stages and there have been no substantive developments in any matter.</w:t>
      </w:r>
    </w:p>
    <w:p>
      <w:pPr>
        <w:spacing w:after="0" w:line="184" w:lineRule="exact"/>
        <w:rPr>
          <w:sz w:val="20"/>
          <w:szCs w:val="20"/>
          <w:color w:val="auto"/>
        </w:rPr>
      </w:pPr>
    </w:p>
    <w:p>
      <w:pPr>
        <w:ind w:right="120" w:firstLine="749"/>
        <w:spacing w:after="0" w:line="237" w:lineRule="auto"/>
        <w:rPr>
          <w:sz w:val="20"/>
          <w:szCs w:val="20"/>
          <w:color w:val="auto"/>
        </w:rPr>
      </w:pPr>
      <w:r>
        <w:rPr>
          <w:rFonts w:ascii="Arial" w:cs="Arial" w:eastAsia="Arial" w:hAnsi="Arial"/>
          <w:sz w:val="18"/>
          <w:szCs w:val="18"/>
          <w:color w:val="auto"/>
        </w:rPr>
        <w:t>In April 2022, one of the Company’s stockholders filed a purported shareholder derivative lawsuit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is captioned Godlu v. Hennessy et al., Case No. 22-cv-569, and the court has approved the parties’ stipulation that the case would remain stayed pending final resolution of In re: Vroom, Inc. Securities Litigation. This lawsuit remains in preliminary stages and there have been no substantive developments.</w:t>
      </w:r>
    </w:p>
    <w:p>
      <w:pPr>
        <w:spacing w:after="0" w:line="18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Vroom Automotive, LLC and the Attorney General of the State of Texas have agreed to a temporary injunction in which Vroom Automotive, LLC agrees to adhere to its existing practice of possessing title for all vehicles it sells or advertises as available for sale on its ecommerce platform. Vroom continues to work cooperatively with the office of the Attorney General of the State of Texas towards a resolution. Because the case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88"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In July 2022 and August 2022, respectively, certain plaintiffs filed two putative class action lawsuits in the District Court of Cleveland County, Oklahoma and the New York State Supreme Court, respectively, against Vroom, Inc., and Vroom Automotive LLC as defendants, alleging, among other things, deficiencies in Vroom’s titling and registration of sold vehicles: Blake Sonne, individually and on behalf of all others similar situated, v. Vroom Automotive, LLC and Vroom, Inc., No. CJ-2022-822 and Emely Reyes Martinez, on behalf of all others similarly situated, v. Vroom Automotive, LLC and Vroom Inc</w:t>
      </w:r>
      <w:r>
        <w:rPr>
          <w:rFonts w:ascii="Arial" w:cs="Arial" w:eastAsia="Arial" w:hAnsi="Arial"/>
          <w:sz w:val="18"/>
          <w:szCs w:val="18"/>
          <w:i w:val="1"/>
          <w:iCs w:val="1"/>
          <w:color w:val="auto"/>
        </w:rPr>
        <w:t>.</w:t>
      </w:r>
      <w:r>
        <w:rPr>
          <w:rFonts w:ascii="Arial" w:cs="Arial" w:eastAsia="Arial" w:hAnsi="Arial"/>
          <w:sz w:val="18"/>
          <w:szCs w:val="18"/>
          <w:color w:val="auto"/>
        </w:rPr>
        <w:t>, No. 652684/2022. The Company removed the cases to the U.S. District Court for the Western District of Oklahoma (Case No. 22-cv-761) and the U.S. District Court for the Southern District of New York (Case No. 22-cv-7631), respectively, and has filed motions to compel arbitration of all claims in both cases. Because these cases are at early stages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90" w:lineRule="exact"/>
        <w:rPr>
          <w:sz w:val="20"/>
          <w:szCs w:val="20"/>
          <w:color w:val="auto"/>
        </w:rPr>
      </w:pPr>
    </w:p>
    <w:p>
      <w:pPr>
        <w:ind w:right="60" w:firstLine="749"/>
        <w:spacing w:after="0" w:line="237" w:lineRule="auto"/>
        <w:rPr>
          <w:sz w:val="20"/>
          <w:szCs w:val="20"/>
          <w:color w:val="auto"/>
        </w:rPr>
      </w:pPr>
      <w:r>
        <w:rPr>
          <w:rFonts w:ascii="Arial" w:cs="Arial" w:eastAsia="Arial" w:hAnsi="Arial"/>
          <w:sz w:val="18"/>
          <w:szCs w:val="18"/>
          <w:color w:val="auto"/>
        </w:rPr>
        <w:t>As previously disclosed, we have been subject to audits, requests for information, investigations and other inquiries from our regulators relating to increased customer complaints concerning the same or similar matters alleged in the State of Texas petition. These regulatory matters could continue to progress into legal proceedings as well as enforcement actions. We have incurred fines in certain states and could continue to incur fines, penalties, restitution, or alterations in our business practices, which in turn, could lead to increased business expenses, additional limitations on our business activities and further reputational damage, although to date such expenses have not had a material adverse effect on the Company’s financial condition, cash flows, or results of operations.</w:t>
      </w:r>
    </w:p>
    <w:p>
      <w:pPr>
        <w:spacing w:after="0" w:line="167" w:lineRule="exact"/>
        <w:rPr>
          <w:sz w:val="20"/>
          <w:szCs w:val="20"/>
          <w:color w:val="auto"/>
        </w:rPr>
      </w:pPr>
    </w:p>
    <w:p>
      <w:pPr>
        <w:jc w:val="center"/>
        <w:ind w:right="8520"/>
        <w:spacing w:after="0"/>
        <w:rPr>
          <w:sz w:val="20"/>
          <w:szCs w:val="20"/>
          <w:color w:val="auto"/>
        </w:rPr>
      </w:pPr>
      <w:r>
        <w:rPr>
          <w:rFonts w:ascii="Arial" w:cs="Arial" w:eastAsia="Arial" w:hAnsi="Arial"/>
          <w:sz w:val="18"/>
          <w:szCs w:val="18"/>
          <w:b w:val="1"/>
          <w:bCs w:val="1"/>
          <w:color w:val="auto"/>
        </w:rPr>
        <w:t>Item 4. Mine Safety Disclosures</w:t>
      </w:r>
    </w:p>
    <w:p>
      <w:pPr>
        <w:spacing w:after="0" w:line="220" w:lineRule="exact"/>
        <w:rPr>
          <w:sz w:val="20"/>
          <w:szCs w:val="20"/>
          <w:color w:val="auto"/>
        </w:rPr>
      </w:pPr>
    </w:p>
    <w:p>
      <w:pPr>
        <w:jc w:val="center"/>
        <w:ind w:right="8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INFORMATION ABOUT OUR EXECUTIVE OFFICERS AND DIRECTORS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Annual Report on Form</w:t>
      </w:r>
    </w:p>
    <w:p>
      <w:pPr>
        <w:spacing w:after="0"/>
        <w:rPr>
          <w:sz w:val="20"/>
          <w:szCs w:val="20"/>
          <w:color w:val="auto"/>
        </w:rPr>
      </w:pPr>
      <w:r>
        <w:rPr>
          <w:rFonts w:ascii="Arial" w:cs="Arial" w:eastAsia="Arial" w:hAnsi="Arial"/>
          <w:sz w:val="18"/>
          <w:szCs w:val="18"/>
          <w:color w:val="auto"/>
        </w:rPr>
        <w:t>10-K.</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Age</w:t>
            </w:r>
          </w:p>
        </w:tc>
        <w:tc>
          <w:tcPr>
            <w:tcW w:w="6660" w:type="dxa"/>
            <w:vAlign w:val="bottom"/>
            <w:gridSpan w:val="3"/>
          </w:tcPr>
          <w:p>
            <w:pPr>
              <w:ind w:left="240"/>
              <w:spacing w:after="0"/>
              <w:rPr>
                <w:sz w:val="20"/>
                <w:szCs w:val="20"/>
                <w:color w:val="auto"/>
              </w:rPr>
            </w:pPr>
            <w:r>
              <w:rPr>
                <w:rFonts w:ascii="Arial" w:cs="Arial" w:eastAsia="Arial" w:hAnsi="Arial"/>
                <w:sz w:val="18"/>
                <w:szCs w:val="18"/>
                <w:b w:val="1"/>
                <w:bCs w:val="1"/>
                <w:color w:val="auto"/>
              </w:rPr>
              <w:t>Position(s)</w:t>
            </w:r>
          </w:p>
        </w:tc>
        <w:tc>
          <w:tcPr>
            <w:tcW w:w="0" w:type="dxa"/>
            <w:vAlign w:val="bottom"/>
          </w:tcPr>
          <w:p>
            <w:pPr>
              <w:spacing w:after="0"/>
              <w:rPr>
                <w:sz w:val="1"/>
                <w:szCs w:val="1"/>
                <w:color w:val="auto"/>
              </w:rPr>
            </w:pPr>
          </w:p>
        </w:tc>
      </w:tr>
      <w:tr>
        <w:trPr>
          <w:trHeight w:val="169"/>
        </w:trPr>
        <w:tc>
          <w:tcPr>
            <w:tcW w:w="500" w:type="dxa"/>
            <w:vAlign w:val="bottom"/>
            <w:tcBorders>
              <w:top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Mylod, Jr.</w:t>
            </w:r>
          </w:p>
        </w:tc>
        <w:tc>
          <w:tcPr>
            <w:tcW w:w="15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6660" w:type="dxa"/>
            <w:vAlign w:val="bottom"/>
            <w:gridSpan w:val="3"/>
            <w:vMerge w:val="restart"/>
            <w:shd w:val="clear" w:color="auto" w:fill="CCEEFF"/>
          </w:tcPr>
          <w:p>
            <w:pPr>
              <w:ind w:left="240"/>
              <w:spacing w:after="0"/>
              <w:rPr>
                <w:sz w:val="20"/>
                <w:szCs w:val="20"/>
                <w:color w:val="auto"/>
              </w:rPr>
            </w:pPr>
            <w:r>
              <w:rPr>
                <w:rFonts w:ascii="Arial" w:cs="Arial" w:eastAsia="Arial" w:hAnsi="Arial"/>
                <w:sz w:val="18"/>
                <w:szCs w:val="18"/>
                <w:color w:val="auto"/>
              </w:rPr>
              <w:t>Chairperson of the Board</w:t>
            </w:r>
          </w:p>
        </w:tc>
        <w:tc>
          <w:tcPr>
            <w:tcW w:w="0" w:type="dxa"/>
            <w:vAlign w:val="bottom"/>
          </w:tcPr>
          <w:p>
            <w:pPr>
              <w:spacing w:after="0"/>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520" w:type="dxa"/>
            <w:vAlign w:val="bottom"/>
            <w:gridSpan w:val="3"/>
            <w:vMerge w:val="continue"/>
            <w:shd w:val="clear" w:color="auto" w:fill="CCEEFF"/>
          </w:tcPr>
          <w:p>
            <w:pPr>
              <w:spacing w:after="0"/>
              <w:rPr>
                <w:sz w:val="17"/>
                <w:szCs w:val="17"/>
                <w:color w:val="auto"/>
              </w:rPr>
            </w:pPr>
          </w:p>
        </w:tc>
        <w:tc>
          <w:tcPr>
            <w:tcW w:w="66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920" w:type="dxa"/>
            <w:vAlign w:val="bottom"/>
            <w:gridSpan w:val="2"/>
          </w:tcPr>
          <w:p>
            <w:pPr>
              <w:spacing w:after="0"/>
              <w:rPr>
                <w:sz w:val="20"/>
                <w:szCs w:val="20"/>
                <w:color w:val="auto"/>
              </w:rPr>
            </w:pPr>
            <w:r>
              <w:rPr>
                <w:rFonts w:ascii="Arial" w:cs="Arial" w:eastAsia="Arial" w:hAnsi="Arial"/>
                <w:sz w:val="18"/>
                <w:szCs w:val="18"/>
                <w:color w:val="auto"/>
              </w:rPr>
              <w:t>Timothy M. Crow</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67</w:t>
            </w:r>
          </w:p>
        </w:tc>
        <w:tc>
          <w:tcPr>
            <w:tcW w:w="6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Farello</w:t>
            </w:r>
          </w:p>
        </w:tc>
        <w:tc>
          <w:tcPr>
            <w:tcW w:w="15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6660" w:type="dxa"/>
            <w:vAlign w:val="bottom"/>
            <w:gridSpan w:val="3"/>
            <w:vMerge w:val="restart"/>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520" w:type="dxa"/>
            <w:vAlign w:val="bottom"/>
            <w:gridSpan w:val="3"/>
            <w:vMerge w:val="continue"/>
            <w:shd w:val="clear" w:color="auto" w:fill="CCEEFF"/>
          </w:tcPr>
          <w:p>
            <w:pPr>
              <w:spacing w:after="0"/>
              <w:rPr>
                <w:sz w:val="17"/>
                <w:szCs w:val="17"/>
                <w:color w:val="auto"/>
              </w:rPr>
            </w:pPr>
          </w:p>
        </w:tc>
        <w:tc>
          <w:tcPr>
            <w:tcW w:w="66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920" w:type="dxa"/>
            <w:vAlign w:val="bottom"/>
            <w:gridSpan w:val="2"/>
          </w:tcPr>
          <w:p>
            <w:pPr>
              <w:spacing w:after="0"/>
              <w:rPr>
                <w:sz w:val="20"/>
                <w:szCs w:val="20"/>
                <w:color w:val="auto"/>
              </w:rPr>
            </w:pPr>
            <w:r>
              <w:rPr>
                <w:rFonts w:ascii="Arial" w:cs="Arial" w:eastAsia="Arial" w:hAnsi="Arial"/>
                <w:sz w:val="18"/>
                <w:szCs w:val="18"/>
                <w:color w:val="auto"/>
              </w:rPr>
              <w:t>Laura W. Lang</w:t>
            </w:r>
          </w:p>
        </w:tc>
        <w:tc>
          <w:tcPr>
            <w:tcW w:w="15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67</w:t>
            </w:r>
          </w:p>
        </w:tc>
        <w:tc>
          <w:tcPr>
            <w:tcW w:w="6660" w:type="dxa"/>
            <w:vAlign w:val="bottom"/>
            <w:gridSpan w:val="3"/>
            <w:vMerge w:val="restart"/>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66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G. O’Shaughnessy</w:t>
            </w:r>
          </w:p>
        </w:tc>
        <w:tc>
          <w:tcPr>
            <w:tcW w:w="15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6660" w:type="dxa"/>
            <w:vAlign w:val="bottom"/>
            <w:gridSpan w:val="3"/>
            <w:vMerge w:val="restart"/>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2"/>
        </w:trPr>
        <w:tc>
          <w:tcPr>
            <w:tcW w:w="5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520" w:type="dxa"/>
            <w:vAlign w:val="bottom"/>
            <w:gridSpan w:val="3"/>
            <w:vMerge w:val="continue"/>
            <w:shd w:val="clear" w:color="auto" w:fill="CCEEFF"/>
          </w:tcPr>
          <w:p>
            <w:pPr>
              <w:spacing w:after="0"/>
              <w:rPr>
                <w:sz w:val="17"/>
                <w:szCs w:val="17"/>
                <w:color w:val="auto"/>
              </w:rPr>
            </w:pPr>
          </w:p>
        </w:tc>
        <w:tc>
          <w:tcPr>
            <w:tcW w:w="66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920" w:type="dxa"/>
            <w:vAlign w:val="bottom"/>
            <w:gridSpan w:val="2"/>
          </w:tcPr>
          <w:p>
            <w:pPr>
              <w:spacing w:after="0"/>
              <w:rPr>
                <w:sz w:val="20"/>
                <w:szCs w:val="20"/>
                <w:color w:val="auto"/>
              </w:rPr>
            </w:pPr>
            <w:r>
              <w:rPr>
                <w:rFonts w:ascii="Arial" w:cs="Arial" w:eastAsia="Arial" w:hAnsi="Arial"/>
                <w:sz w:val="18"/>
                <w:szCs w:val="18"/>
                <w:color w:val="auto"/>
              </w:rPr>
              <w:t>Paula B. Pretlow</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67</w:t>
            </w:r>
          </w:p>
        </w:tc>
        <w:tc>
          <w:tcPr>
            <w:tcW w:w="6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D0EEFF"/>
          </w:tcPr>
          <w:p>
            <w:pPr>
              <w:spacing w:after="0"/>
              <w:rPr>
                <w:sz w:val="20"/>
                <w:szCs w:val="20"/>
                <w:color w:val="auto"/>
              </w:rPr>
            </w:pPr>
            <w:r>
              <w:rPr>
                <w:rFonts w:ascii="Arial" w:cs="Arial" w:eastAsia="Arial" w:hAnsi="Arial"/>
                <w:sz w:val="18"/>
                <w:szCs w:val="18"/>
                <w:color w:val="auto"/>
              </w:rPr>
              <w:t>Thomas H. Shortt</w:t>
            </w:r>
          </w:p>
        </w:tc>
        <w:tc>
          <w:tcPr>
            <w:tcW w:w="1520" w:type="dxa"/>
            <w:vAlign w:val="bottom"/>
            <w:gridSpan w:val="3"/>
            <w:shd w:val="clear" w:color="auto" w:fill="D0EEFF"/>
          </w:tcPr>
          <w:p>
            <w:pPr>
              <w:jc w:val="right"/>
              <w:ind w:right="260"/>
              <w:spacing w:after="0"/>
              <w:rPr>
                <w:sz w:val="20"/>
                <w:szCs w:val="20"/>
                <w:color w:val="auto"/>
              </w:rPr>
            </w:pPr>
            <w:r>
              <w:rPr>
                <w:rFonts w:ascii="Arial" w:cs="Arial" w:eastAsia="Arial" w:hAnsi="Arial"/>
                <w:sz w:val="18"/>
                <w:szCs w:val="18"/>
                <w:color w:val="auto"/>
              </w:rPr>
              <w:t>54</w:t>
            </w:r>
          </w:p>
        </w:tc>
        <w:tc>
          <w:tcPr>
            <w:tcW w:w="6660" w:type="dxa"/>
            <w:vAlign w:val="bottom"/>
            <w:gridSpan w:val="3"/>
            <w:shd w:val="clear" w:color="auto" w:fill="D0EEFF"/>
          </w:tcPr>
          <w:p>
            <w:pPr>
              <w:ind w:left="240"/>
              <w:spacing w:after="0"/>
              <w:rPr>
                <w:sz w:val="20"/>
                <w:szCs w:val="20"/>
                <w:color w:val="auto"/>
              </w:rPr>
            </w:pPr>
            <w:r>
              <w:rPr>
                <w:rFonts w:ascii="Arial" w:cs="Arial" w:eastAsia="Arial" w:hAnsi="Arial"/>
                <w:sz w:val="18"/>
                <w:szCs w:val="18"/>
                <w:color w:val="auto"/>
              </w:rPr>
              <w:t>Chief Executive Officer, Director</w:t>
            </w:r>
          </w:p>
        </w:tc>
        <w:tc>
          <w:tcPr>
            <w:tcW w:w="0" w:type="dxa"/>
            <w:vAlign w:val="bottom"/>
          </w:tcPr>
          <w:p>
            <w:pPr>
              <w:spacing w:after="0"/>
              <w:rPr>
                <w:sz w:val="1"/>
                <w:szCs w:val="1"/>
                <w:color w:val="auto"/>
              </w:rPr>
            </w:pPr>
          </w:p>
        </w:tc>
      </w:tr>
      <w:tr>
        <w:trPr>
          <w:trHeight w:val="351"/>
        </w:trPr>
        <w:tc>
          <w:tcPr>
            <w:tcW w:w="500" w:type="dxa"/>
            <w:vAlign w:val="bottom"/>
            <w:shd w:val="clear" w:color="auto" w:fill="D0EEFF"/>
          </w:tcPr>
          <w:p>
            <w:pPr>
              <w:spacing w:after="0"/>
              <w:rPr>
                <w:sz w:val="24"/>
                <w:szCs w:val="24"/>
                <w:color w:val="auto"/>
              </w:rPr>
            </w:pPr>
          </w:p>
        </w:tc>
        <w:tc>
          <w:tcPr>
            <w:tcW w:w="2420" w:type="dxa"/>
            <w:vAlign w:val="bottom"/>
            <w:shd w:val="clear" w:color="auto" w:fill="D0EEFF"/>
          </w:tcPr>
          <w:p>
            <w:pPr>
              <w:spacing w:after="0"/>
              <w:rPr>
                <w:sz w:val="24"/>
                <w:szCs w:val="24"/>
                <w:color w:val="auto"/>
              </w:rPr>
            </w:pPr>
          </w:p>
        </w:tc>
        <w:tc>
          <w:tcPr>
            <w:tcW w:w="900" w:type="dxa"/>
            <w:vAlign w:val="bottom"/>
            <w:shd w:val="clear" w:color="auto" w:fill="D0EEFF"/>
          </w:tcPr>
          <w:p>
            <w:pPr>
              <w:spacing w:after="0"/>
              <w:rPr>
                <w:sz w:val="24"/>
                <w:szCs w:val="24"/>
                <w:color w:val="auto"/>
              </w:rPr>
            </w:pPr>
          </w:p>
        </w:tc>
        <w:tc>
          <w:tcPr>
            <w:tcW w:w="340" w:type="dxa"/>
            <w:vAlign w:val="bottom"/>
            <w:shd w:val="clear" w:color="auto" w:fill="D0EEFF"/>
          </w:tcPr>
          <w:p>
            <w:pPr>
              <w:spacing w:after="0"/>
              <w:rPr>
                <w:sz w:val="24"/>
                <w:szCs w:val="24"/>
                <w:color w:val="auto"/>
              </w:rPr>
            </w:pPr>
          </w:p>
        </w:tc>
        <w:tc>
          <w:tcPr>
            <w:tcW w:w="280" w:type="dxa"/>
            <w:vAlign w:val="bottom"/>
            <w:shd w:val="clear" w:color="auto" w:fill="D0EEFF"/>
          </w:tcPr>
          <w:p>
            <w:pPr>
              <w:spacing w:after="0"/>
              <w:rPr>
                <w:sz w:val="24"/>
                <w:szCs w:val="24"/>
                <w:color w:val="auto"/>
              </w:rPr>
            </w:pPr>
          </w:p>
        </w:tc>
        <w:tc>
          <w:tcPr>
            <w:tcW w:w="240" w:type="dxa"/>
            <w:vAlign w:val="bottom"/>
            <w:shd w:val="clear" w:color="auto" w:fill="D0EEFF"/>
          </w:tcPr>
          <w:p>
            <w:pPr>
              <w:spacing w:after="0"/>
              <w:rPr>
                <w:sz w:val="24"/>
                <w:szCs w:val="24"/>
                <w:color w:val="auto"/>
              </w:rPr>
            </w:pPr>
          </w:p>
        </w:tc>
        <w:tc>
          <w:tcPr>
            <w:tcW w:w="920" w:type="dxa"/>
            <w:vAlign w:val="bottom"/>
            <w:shd w:val="clear" w:color="auto" w:fill="D0EEFF"/>
          </w:tcPr>
          <w:p>
            <w:pPr>
              <w:spacing w:after="0"/>
              <w:rPr>
                <w:sz w:val="24"/>
                <w:szCs w:val="24"/>
                <w:color w:val="auto"/>
              </w:rPr>
            </w:pPr>
          </w:p>
        </w:tc>
        <w:tc>
          <w:tcPr>
            <w:tcW w:w="5500" w:type="dxa"/>
            <w:vAlign w:val="bottom"/>
            <w:shd w:val="clear" w:color="auto" w:fill="D0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20" w:type="dxa"/>
            <w:vAlign w:val="bottom"/>
            <w:gridSpan w:val="2"/>
          </w:tcPr>
          <w:p>
            <w:pPr>
              <w:spacing w:after="0"/>
              <w:rPr>
                <w:sz w:val="20"/>
                <w:szCs w:val="20"/>
                <w:color w:val="auto"/>
              </w:rPr>
            </w:pPr>
            <w:r>
              <w:rPr>
                <w:rFonts w:ascii="Arial" w:cs="Arial" w:eastAsia="Arial" w:hAnsi="Arial"/>
                <w:sz w:val="18"/>
                <w:szCs w:val="18"/>
                <w:color w:val="auto"/>
              </w:rPr>
              <w:t>Robert R. Krakowiak</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52</w:t>
            </w:r>
          </w:p>
        </w:tc>
        <w:tc>
          <w:tcPr>
            <w:tcW w:w="666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D0EEFF"/>
          </w:tcPr>
          <w:p>
            <w:pPr>
              <w:spacing w:after="0"/>
              <w:rPr>
                <w:sz w:val="20"/>
                <w:szCs w:val="20"/>
                <w:color w:val="auto"/>
              </w:rPr>
            </w:pPr>
            <w:r>
              <w:rPr>
                <w:rFonts w:ascii="Arial" w:cs="Arial" w:eastAsia="Arial" w:hAnsi="Arial"/>
                <w:sz w:val="18"/>
                <w:szCs w:val="18"/>
                <w:color w:val="auto"/>
              </w:rPr>
              <w:t>Patricia Moran</w:t>
            </w:r>
          </w:p>
        </w:tc>
        <w:tc>
          <w:tcPr>
            <w:tcW w:w="1520" w:type="dxa"/>
            <w:vAlign w:val="bottom"/>
            <w:gridSpan w:val="3"/>
            <w:shd w:val="clear" w:color="auto" w:fill="D0EEFF"/>
          </w:tcPr>
          <w:p>
            <w:pPr>
              <w:jc w:val="right"/>
              <w:ind w:right="260"/>
              <w:spacing w:after="0"/>
              <w:rPr>
                <w:sz w:val="20"/>
                <w:szCs w:val="20"/>
                <w:color w:val="auto"/>
              </w:rPr>
            </w:pPr>
            <w:r>
              <w:rPr>
                <w:rFonts w:ascii="Arial" w:cs="Arial" w:eastAsia="Arial" w:hAnsi="Arial"/>
                <w:sz w:val="18"/>
                <w:szCs w:val="18"/>
                <w:color w:val="auto"/>
              </w:rPr>
              <w:t>63</w:t>
            </w:r>
          </w:p>
        </w:tc>
        <w:tc>
          <w:tcPr>
            <w:tcW w:w="6660" w:type="dxa"/>
            <w:vAlign w:val="bottom"/>
            <w:gridSpan w:val="3"/>
            <w:shd w:val="clear" w:color="auto" w:fill="D0EEFF"/>
          </w:tcPr>
          <w:p>
            <w:pPr>
              <w:ind w:left="240"/>
              <w:spacing w:after="0"/>
              <w:rPr>
                <w:sz w:val="20"/>
                <w:szCs w:val="20"/>
                <w:color w:val="auto"/>
              </w:rPr>
            </w:pPr>
            <w:r>
              <w:rPr>
                <w:rFonts w:ascii="Arial" w:cs="Arial" w:eastAsia="Arial" w:hAnsi="Arial"/>
                <w:sz w:val="18"/>
                <w:szCs w:val="18"/>
                <w:color w:val="auto"/>
              </w:rPr>
              <w:t>Chief Legal Officer and Secretary</w:t>
            </w:r>
          </w:p>
        </w:tc>
        <w:tc>
          <w:tcPr>
            <w:tcW w:w="0" w:type="dxa"/>
            <w:vAlign w:val="bottom"/>
          </w:tcPr>
          <w:p>
            <w:pPr>
              <w:spacing w:after="0"/>
              <w:rPr>
                <w:sz w:val="1"/>
                <w:szCs w:val="1"/>
                <w:color w:val="auto"/>
              </w:rPr>
            </w:pPr>
          </w:p>
        </w:tc>
      </w:tr>
      <w:tr>
        <w:trPr>
          <w:trHeight w:val="351"/>
        </w:trPr>
        <w:tc>
          <w:tcPr>
            <w:tcW w:w="500" w:type="dxa"/>
            <w:vAlign w:val="bottom"/>
            <w:shd w:val="clear" w:color="auto" w:fill="D0EEFF"/>
          </w:tcPr>
          <w:p>
            <w:pPr>
              <w:spacing w:after="0"/>
              <w:rPr>
                <w:sz w:val="24"/>
                <w:szCs w:val="24"/>
                <w:color w:val="auto"/>
              </w:rPr>
            </w:pPr>
          </w:p>
        </w:tc>
        <w:tc>
          <w:tcPr>
            <w:tcW w:w="2420" w:type="dxa"/>
            <w:vAlign w:val="bottom"/>
            <w:shd w:val="clear" w:color="auto" w:fill="D0EEFF"/>
          </w:tcPr>
          <w:p>
            <w:pPr>
              <w:spacing w:after="0"/>
              <w:rPr>
                <w:sz w:val="24"/>
                <w:szCs w:val="24"/>
                <w:color w:val="auto"/>
              </w:rPr>
            </w:pPr>
          </w:p>
        </w:tc>
        <w:tc>
          <w:tcPr>
            <w:tcW w:w="900" w:type="dxa"/>
            <w:vAlign w:val="bottom"/>
            <w:shd w:val="clear" w:color="auto" w:fill="D0EEFF"/>
          </w:tcPr>
          <w:p>
            <w:pPr>
              <w:spacing w:after="0"/>
              <w:rPr>
                <w:sz w:val="24"/>
                <w:szCs w:val="24"/>
                <w:color w:val="auto"/>
              </w:rPr>
            </w:pPr>
          </w:p>
        </w:tc>
        <w:tc>
          <w:tcPr>
            <w:tcW w:w="340" w:type="dxa"/>
            <w:vAlign w:val="bottom"/>
            <w:shd w:val="clear" w:color="auto" w:fill="D0EEFF"/>
          </w:tcPr>
          <w:p>
            <w:pPr>
              <w:spacing w:after="0"/>
              <w:rPr>
                <w:sz w:val="24"/>
                <w:szCs w:val="24"/>
                <w:color w:val="auto"/>
              </w:rPr>
            </w:pPr>
          </w:p>
        </w:tc>
        <w:tc>
          <w:tcPr>
            <w:tcW w:w="280" w:type="dxa"/>
            <w:vAlign w:val="bottom"/>
            <w:shd w:val="clear" w:color="auto" w:fill="D0EEFF"/>
          </w:tcPr>
          <w:p>
            <w:pPr>
              <w:spacing w:after="0"/>
              <w:rPr>
                <w:sz w:val="24"/>
                <w:szCs w:val="24"/>
                <w:color w:val="auto"/>
              </w:rPr>
            </w:pPr>
          </w:p>
        </w:tc>
        <w:tc>
          <w:tcPr>
            <w:tcW w:w="240" w:type="dxa"/>
            <w:vAlign w:val="bottom"/>
            <w:shd w:val="clear" w:color="auto" w:fill="D0EEFF"/>
          </w:tcPr>
          <w:p>
            <w:pPr>
              <w:spacing w:after="0"/>
              <w:rPr>
                <w:sz w:val="24"/>
                <w:szCs w:val="24"/>
                <w:color w:val="auto"/>
              </w:rPr>
            </w:pPr>
          </w:p>
        </w:tc>
        <w:tc>
          <w:tcPr>
            <w:tcW w:w="920" w:type="dxa"/>
            <w:vAlign w:val="bottom"/>
            <w:shd w:val="clear" w:color="auto" w:fill="D0EEFF"/>
          </w:tcPr>
          <w:p>
            <w:pPr>
              <w:spacing w:after="0"/>
              <w:rPr>
                <w:sz w:val="24"/>
                <w:szCs w:val="24"/>
                <w:color w:val="auto"/>
              </w:rPr>
            </w:pPr>
          </w:p>
        </w:tc>
        <w:tc>
          <w:tcPr>
            <w:tcW w:w="5500" w:type="dxa"/>
            <w:vAlign w:val="bottom"/>
            <w:shd w:val="clear" w:color="auto" w:fill="D0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20" w:type="dxa"/>
            <w:vAlign w:val="bottom"/>
            <w:gridSpan w:val="2"/>
          </w:tcPr>
          <w:p>
            <w:pPr>
              <w:spacing w:after="0"/>
              <w:rPr>
                <w:sz w:val="20"/>
                <w:szCs w:val="20"/>
                <w:color w:val="auto"/>
              </w:rPr>
            </w:pPr>
            <w:r>
              <w:rPr>
                <w:rFonts w:ascii="Arial" w:cs="Arial" w:eastAsia="Arial" w:hAnsi="Arial"/>
                <w:sz w:val="18"/>
                <w:szCs w:val="18"/>
                <w:color w:val="auto"/>
              </w:rPr>
              <w:t>C. Denise Stott</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55</w:t>
            </w:r>
          </w:p>
        </w:tc>
        <w:tc>
          <w:tcPr>
            <w:tcW w:w="6660" w:type="dxa"/>
            <w:vAlign w:val="bottom"/>
            <w:gridSpan w:val="3"/>
          </w:tcPr>
          <w:p>
            <w:pPr>
              <w:ind w:left="240"/>
              <w:spacing w:after="0"/>
              <w:rPr>
                <w:sz w:val="20"/>
                <w:szCs w:val="20"/>
                <w:color w:val="auto"/>
              </w:rPr>
            </w:pPr>
            <w:r>
              <w:rPr>
                <w:rFonts w:ascii="Arial" w:cs="Arial" w:eastAsia="Arial" w:hAnsi="Arial"/>
                <w:sz w:val="18"/>
                <w:szCs w:val="18"/>
                <w:color w:val="auto"/>
              </w:rPr>
              <w:t>Chief People and Culture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i w:val="1"/>
          <w:iCs w:val="1"/>
          <w:color w:val="auto"/>
        </w:rPr>
        <w:t xml:space="preserve">Robert J. Mylod, Jr. </w:t>
      </w:r>
      <w:r>
        <w:rPr>
          <w:rFonts w:ascii="Arial" w:cs="Arial" w:eastAsia="Arial" w:hAnsi="Arial"/>
          <w:sz w:val="18"/>
          <w:szCs w:val="18"/>
          <w:color w:val="auto"/>
        </w:rPr>
        <w:t>has served as a member of our board of directors since September 2015. Mr. Mylod is the Managing Partner of Annox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Management, a private investment firm that he founded in 2013. Previously, Mr. Mylod served as Head of Worldwide Strategy &amp; Planning and Vice Chair for Bookings Holdings, Inc., an online travel services provider, from January 2009 to March 2011 and as its Chief Financial Officer and Vice Chairman from November 2000 to January 2009. He currently serves as the Chair of the board of directors and a member of the compensation committee of Booking Holdings, Inc. Mr. Mylod also currently serves as a member of the board of directors and of the audit committee of Redfin Corporation, an online real estate company. He is also a member of the board of directors of several private companies. Mr. Mylod holds a Bachelor of Arts in English from the University of Michigan and a Master of Business Administration from the University of Chicago Booth School. We believe that Mr. Mylod’s experience as a venture capital investor and a senior finance executive, including having served as the chief financial officer and vice chairman of a large publicly traded online services provider, qualifies him to serve on our board of directors.</w:t>
      </w:r>
    </w:p>
    <w:p>
      <w:pPr>
        <w:spacing w:after="0" w:line="172"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Timothy M. Crow </w:t>
      </w:r>
      <w:r>
        <w:rPr>
          <w:rFonts w:ascii="Arial" w:cs="Arial" w:eastAsia="Arial" w:hAnsi="Arial"/>
          <w:sz w:val="18"/>
          <w:szCs w:val="18"/>
          <w:color w:val="auto"/>
        </w:rPr>
        <w:t>has served on our board of directors since October 2022.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2222"/>
        </w:rPr>
        <w:t>Crow is the Chief Executive Officer and Managing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2222"/>
        </w:rPr>
        <w:t xml:space="preserve">Fernwood Holdings, a venture capital investment firm focused on hyper-growth innovators. Mr. Crow has led an accomplished career spanning more than 20 years in human capital management for leading consumer retail companies. From May 2002, Mr. Crow served in roles of increasing responsibility at The Home Depot, Inc., the world's largest home improvement specialty retailer, culminating in his role as Executive Vice President, Chief Human Resources Officer from February 2007 to July 2017. Prior to that, Mr. Crow served as Senior Vice President, Human Resources of Kmart Corporation, a leading general merchandise retailer, from May 1999 through May 2002. Mr. Crow previously served as a director of Milacron Holdings, Corp., a global leader in the plastic technology and processing industry, where he chaired its Leadership Development and Compensation Committee, and currently serves on a director of a number of private companies. Mr. Crow earned a Bachelor of Arts degree from California State University at Northridge. </w:t>
      </w:r>
      <w:r>
        <w:rPr>
          <w:rFonts w:ascii="Arial" w:cs="Arial" w:eastAsia="Arial" w:hAnsi="Arial"/>
          <w:sz w:val="18"/>
          <w:szCs w:val="18"/>
          <w:color w:val="000000"/>
        </w:rPr>
        <w:t>We believe that Mr. Crow’s extensive leadership</w:t>
      </w:r>
      <w:r>
        <w:rPr>
          <w:rFonts w:ascii="Arial" w:cs="Arial" w:eastAsia="Arial" w:hAnsi="Arial"/>
          <w:sz w:val="18"/>
          <w:szCs w:val="18"/>
          <w:color w:val="222222"/>
        </w:rPr>
        <w:t xml:space="preserve"> </w:t>
      </w:r>
      <w:r>
        <w:rPr>
          <w:rFonts w:ascii="Arial" w:cs="Arial" w:eastAsia="Arial" w:hAnsi="Arial"/>
          <w:sz w:val="18"/>
          <w:szCs w:val="18"/>
          <w:color w:val="000000"/>
        </w:rPr>
        <w:t>experience, human capital management expertise, and investment experience qualifies him to serve on our board of directors.</w:t>
      </w:r>
    </w:p>
    <w:p>
      <w:pPr>
        <w:spacing w:after="0" w:line="17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b w:val="1"/>
          <w:bCs w:val="1"/>
          <w:i w:val="1"/>
          <w:iCs w:val="1"/>
          <w:color w:val="auto"/>
        </w:rPr>
        <w:t xml:space="preserve">Michael Farello </w:t>
      </w:r>
      <w:r>
        <w:rPr>
          <w:rFonts w:ascii="Arial" w:cs="Arial" w:eastAsia="Arial" w:hAnsi="Arial"/>
          <w:sz w:val="18"/>
          <w:szCs w:val="18"/>
          <w:color w:val="auto"/>
        </w:rPr>
        <w:t>has served on our board of directors since July 2015. Since 2006, Mr. Farello has served as Managing Partner 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Catterton, a consumer-focused private equity firm. Prior to this, he served as an executive at Dell Technologies, Inc., a global end-to-end technology provider, from 2002 to 2005, and spent twelve years at McKinsey &amp; Company, a management consulting firm. Mr. Farello currently serves as a member of the board of directors of several private companies including FlashParking, Inc. and Hydrow Inc. Mr. Farello holds a Bachelor of Science from Stanford University and a Master of Business Administration from Harvard Business School. We believe Mr. Farello’s experience in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private equity investments and expertise in the consumer sector, along with his service as a director at numerous companies, qualifies him to serve on our board of directors.</w:t>
      </w:r>
    </w:p>
    <w:p>
      <w:pPr>
        <w:spacing w:after="0" w:line="16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i w:val="1"/>
          <w:iCs w:val="1"/>
          <w:color w:val="auto"/>
        </w:rPr>
        <w:t xml:space="preserve">Laura W. Lang </w:t>
      </w:r>
      <w:r>
        <w:rPr>
          <w:rFonts w:ascii="Arial" w:cs="Arial" w:eastAsia="Arial" w:hAnsi="Arial"/>
          <w:sz w:val="18"/>
          <w:szCs w:val="18"/>
          <w:color w:val="auto"/>
        </w:rPr>
        <w:t>has served on our board of directors since May 2020. Ms. Lang has served as the Managing Director of Narragansett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Ventures, LLC, a strategic advisory firm focused on digital business transformation and growth investing, since January 2014. Since November 2018, Ms. Lang has also served as an adviser to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Ms. Lang was the Chief Executive Officer of Time Inc., one of the largest branded media companies in the world, until 2013. From 2008 until she joined Time Inc. in 2012, Ms. Lang was Chief Executive Officer of Digitas Inc., a marketing and technology agency and unit of Publicis Groupe S.A. In addition, she headed the company’s pure-play digital agencies, including Razorfish, Big Fuel, Denuo and Phonevalley. Ms. Lang currently serves as a member of the board of directors and the talent and compensation and finance committees of V. F. Corporation, an international apparel and footwear company, and a member of the board of directors and chair of the compensation committee of Oscar Health Inc., a health insurance company built on a technology platform. She previously served as a member of the board of directors of Care.com Inc. from August 2014 to June 2016, Nutrisystem, Inc. from 2010 to 2012 and Benchmark Electronics, Inc. from 2005 to 2011. Ms. Lang holds a Bachelor of Arts from Tufts University and a Master of Business Administration from the Wharton School of the University of Pennsylvania. We believe Ms. Lang’s extensive leadership experience, digital and media expertise and service on the board of directors of other public companies qualifies her to serve on our board of directors.</w:t>
      </w:r>
    </w:p>
    <w:p>
      <w:pPr>
        <w:spacing w:after="0" w:line="175"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Laura G. O’Shaughnessy </w:t>
      </w:r>
      <w:r>
        <w:rPr>
          <w:rFonts w:ascii="Arial" w:cs="Arial" w:eastAsia="Arial" w:hAnsi="Arial"/>
          <w:sz w:val="18"/>
          <w:szCs w:val="18"/>
          <w:color w:val="auto"/>
        </w:rPr>
        <w:t>has served on our board of directors since May 2020. Ms. O'Shaughnessy is currently the Chief Marketing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Co-Founder of Picnic Group, a data -driven consumer packaged goods company where she oversees the scaling of founder-created consumer packaged goods brands. Ms. O’Shaughnessy is a strategic growth and operations consultant for a number of direct to consumer brands. Previously she was the Chief Executive Officer of SocialCode, LLC, a technology company that manages digital and social advertising for leading consumer brands, which she co-founded in 2009. In addition, Ms. O’Shaughnessy oversaw business development and product strategy for the Slate Group, an online publisher, where she specialized in advertising product development and strategic partnerships. Ms. O’Shaughnessy currently serves as a member of the board of directors and of the audit committee and governance committee of Acuity Brands, and on the board of directors of a nonprofit in Washington, D.C. Ms. O’Shaughnessy holds a Bachelor of Arts in Economics from the University of Chicago and a Master of Business Administration from the MIT Sloan School of Management. We believe Ms. O’Shaughnessy’s leadership experience, including serving in a chief executive officer role, and digital and technology expertise, qualifies her to serve on our board of directors.</w:t>
      </w:r>
    </w:p>
    <w:p>
      <w:pPr>
        <w:spacing w:after="0" w:line="16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Paula B. Pretlow </w:t>
      </w:r>
      <w:r>
        <w:rPr>
          <w:rFonts w:ascii="Arial" w:cs="Arial" w:eastAsia="Arial" w:hAnsi="Arial"/>
          <w:sz w:val="18"/>
          <w:szCs w:val="18"/>
          <w:color w:val="auto"/>
        </w:rPr>
        <w:t>has served on our board of directors since April 2021. Ms. Pretlow is a former Senior Vice President of The Capital Group,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investment management firm, where she led the public fund business development and client relationship group and was also responsible for large client relationships from 1999 until 2011. Prior to joining The Capital Group, she worked for Montgomery Asset Management and Blackrock (formerly Barclays Global Investors). She is a member of the board of directors and is the audit and finance committee chair of Williams-Sonoma, Inc. She is also a member of the board of directors of Bitwise Industries and a member of the board of directors of Greenlight Financial Technology, Inc., where she serves on the audit committee. In addition, she currently serves as a member of the Board of Trustees of The Kresge Foundation, The Harry and Jeannette Weinberg Foundation and Northwestern University. Ms. Pretlow holds a Bachelor of Arts in Political Science and a Master of Business Administration, both from Northwestern University, and is a 2017 Fellow of Stanford’s Distinguished Careers Institute. We believe Ms. Pretlow’s leadership experience, including roles in finance and business development, along with her experience as a director, qualify her to serve on our board of directors.</w:t>
      </w:r>
    </w:p>
    <w:p>
      <w:pPr>
        <w:spacing w:after="0" w:line="17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b w:val="1"/>
          <w:bCs w:val="1"/>
          <w:i w:val="1"/>
          <w:iCs w:val="1"/>
          <w:color w:val="auto"/>
        </w:rPr>
        <w:t xml:space="preserve">Thomas H. Shortt </w:t>
      </w:r>
      <w:r>
        <w:rPr>
          <w:rFonts w:ascii="Arial" w:cs="Arial" w:eastAsia="Arial" w:hAnsi="Arial"/>
          <w:sz w:val="18"/>
          <w:szCs w:val="18"/>
          <w:color w:val="auto"/>
        </w:rPr>
        <w:t>has served as the Company's Chief Executive Officer since May 2022 and previously served as the Company's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Officer from January 2022. Prior to joining Vroom, Mr. Shortt served as Senior Vice President at Walmart Inc. ("Walmart") starting in 2018, where he developed a comprehensive ecommerce supply chain strategy and led improvements through advanced analytics, processes, and systems. Prior to his time at Walmart, Mr. Shortt served as Senior Vice President of Supply Chain at The Home Depot, Inc. starting in 2013, and previously held senior leadership roles overseeing supply chain, fulfillment and logistics, with an emphasis on change management and business transformation, at ACCO Brands Corporation, Unisource Worldwide, Inc., Fisher Scientific International, Inc. and Office Depot, Inc. Mr. Shortt holds a Bachelor’s degree in Accounting from the University of Akron. We believe that Mr. Shortt’s expertise in supply chain, logistics, data analytics and change management qualifies him to serve on our Board of Directors.</w:t>
      </w:r>
    </w:p>
    <w:p>
      <w:pPr>
        <w:spacing w:after="0" w:line="17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b w:val="1"/>
          <w:bCs w:val="1"/>
          <w:i w:val="1"/>
          <w:iCs w:val="1"/>
          <w:color w:val="auto"/>
        </w:rPr>
        <w:t xml:space="preserve">Robert R. Krakowiak </w:t>
      </w:r>
      <w:r>
        <w:rPr>
          <w:rFonts w:ascii="Arial" w:cs="Arial" w:eastAsia="Arial" w:hAnsi="Arial"/>
          <w:sz w:val="18"/>
          <w:szCs w:val="18"/>
          <w:color w:val="auto"/>
        </w:rPr>
        <w:t>has served as Chief Financial Officer and Treasurer of Vroom since September 2021. Prior to that he served as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and Treasurer of Stoneridge Corporation since August 2016 and was appointed as Executive Vice President in October 2018. Prior to joining Stoneridge, Mr. Krakowiak served as Vice President, Treasurer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and Investor Relations at Visteon Corporation from 2012 until August 2016. Prior to that, Mr. Krakowiak held various financial positions at Owens Corning from 2005 to 2012. Mr. Krakowiak holds Bachelor of Science and Master of Science degrees in Electrical Engineering from the University of Michigan and a Master of Business Administration from the University of Chicago Booth School of Business.</w:t>
      </w:r>
    </w:p>
    <w:p>
      <w:pPr>
        <w:spacing w:after="0" w:line="166" w:lineRule="exact"/>
        <w:rPr>
          <w:sz w:val="20"/>
          <w:szCs w:val="20"/>
          <w:color w:val="auto"/>
        </w:rPr>
      </w:pPr>
    </w:p>
    <w:p>
      <w:pPr>
        <w:jc w:val="both"/>
        <w:ind w:right="60"/>
        <w:spacing w:after="0" w:line="255" w:lineRule="auto"/>
        <w:rPr>
          <w:sz w:val="20"/>
          <w:szCs w:val="20"/>
          <w:color w:val="auto"/>
        </w:rPr>
      </w:pPr>
      <w:r>
        <w:rPr>
          <w:rFonts w:ascii="Arial" w:cs="Arial" w:eastAsia="Arial" w:hAnsi="Arial"/>
          <w:sz w:val="17"/>
          <w:szCs w:val="17"/>
          <w:b w:val="1"/>
          <w:bCs w:val="1"/>
          <w:i w:val="1"/>
          <w:iCs w:val="1"/>
          <w:color w:val="auto"/>
        </w:rPr>
        <w:t xml:space="preserve">Patricia Moran </w:t>
      </w:r>
      <w:r>
        <w:rPr>
          <w:rFonts w:ascii="Arial" w:cs="Arial" w:eastAsia="Arial" w:hAnsi="Arial"/>
          <w:sz w:val="17"/>
          <w:szCs w:val="17"/>
          <w:color w:val="auto"/>
        </w:rPr>
        <w:t>has served as our Chief Legal Officer and Secretary since January 2019. Previously, Ms. Moran was a Managing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Legal Officer and Secretary of Greenhill &amp; Co. Inc., a publicly traded, global independent investment bank, from April 2014 to October 2016, and a Senior Advisor from November 2016 to April 2017. Prior to joining Greenhill, Ms. Moran was a Partner at Skadden, Arps, Slate, Meagher &amp; Flom LLP, a leading global law firm where she had a 30-year career and chaired the New York office Diversity Committee. Ms.</w:t>
      </w:r>
    </w:p>
    <w:p>
      <w:pPr>
        <w:ind w:right="80"/>
        <w:spacing w:after="0"/>
        <w:rPr>
          <w:sz w:val="20"/>
          <w:szCs w:val="20"/>
          <w:color w:val="auto"/>
        </w:rPr>
      </w:pPr>
      <w:r>
        <w:rPr>
          <w:rFonts w:ascii="Arial" w:cs="Arial" w:eastAsia="Arial" w:hAnsi="Arial"/>
          <w:sz w:val="18"/>
          <w:szCs w:val="18"/>
          <w:color w:val="auto"/>
        </w:rPr>
        <w:t>Moran has broad experience in corporate governance and corporate transactions, including mergers and acquisitions, private equity, joint ventures, restructurings and corporation finance. Ms. Moran holds a Bachelor of Science from the University of Scranton and a Juris Doctor from the Villanova University School of Law.</w:t>
      </w:r>
    </w:p>
    <w:p>
      <w:pPr>
        <w:spacing w:after="0" w:line="166"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b w:val="1"/>
          <w:bCs w:val="1"/>
          <w:i w:val="1"/>
          <w:iCs w:val="1"/>
          <w:color w:val="auto"/>
        </w:rPr>
        <w:t xml:space="preserve">C. Denise Stott </w:t>
      </w:r>
      <w:r>
        <w:rPr>
          <w:rFonts w:ascii="Arial" w:cs="Arial" w:eastAsia="Arial" w:hAnsi="Arial"/>
          <w:sz w:val="17"/>
          <w:szCs w:val="17"/>
          <w:color w:val="auto"/>
        </w:rPr>
        <w:t>has served as our Chief People and Culture Officer since November 2016. Previously, Ms. Stott was Senior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Human Resources at Undertone, a digital advertising company, from May 2013 to October 2016. Ms. Stott’s tenure at Undertone included leading the human resources function through multiple transformations including acquisitions and the eventual sale to a public company.</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From February 2010 until she joined Undertone, Ms. Stott was Vice President of Human Resources at Yodle, a leader in local online marketing, where she led people development through a focus on talent acquisition, employee engagement, employee training and compensation and benefits. Ms. Stott also served as Senior Vice President of Human Resources for ZenithOptimedia, a media and advertising services provider, from August 2007 to July 2009. Ms. Stott holds a Bachelor of Science in Mathematical Economics from Tulane University and a Master of Business Administration from Vanderbilt University.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0" w:lineRule="exact"/>
        <w:rPr>
          <w:sz w:val="20"/>
          <w:szCs w:val="20"/>
          <w:color w:val="auto"/>
        </w:rPr>
      </w:pPr>
    </w:p>
    <w:p>
      <w:pPr>
        <w:ind w:firstLine="637"/>
        <w:spacing w:after="0" w:line="245" w:lineRule="auto"/>
        <w:rPr>
          <w:sz w:val="20"/>
          <w:szCs w:val="20"/>
          <w:color w:val="auto"/>
        </w:rPr>
      </w:pPr>
      <w:r>
        <w:rPr>
          <w:rFonts w:ascii="Arial" w:cs="Arial" w:eastAsia="Arial" w:hAnsi="Arial"/>
          <w:sz w:val="18"/>
          <w:szCs w:val="18"/>
          <w:color w:val="auto"/>
        </w:rPr>
        <w:t>On June 9, 2020, our common stock began trading on the Nasdaq Global Select Market under the ticker symbol "VRM." Prior to that date, there was no public trading market for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0" w:lineRule="exact"/>
        <w:rPr>
          <w:sz w:val="20"/>
          <w:szCs w:val="20"/>
          <w:color w:val="auto"/>
        </w:rPr>
      </w:pPr>
    </w:p>
    <w:p>
      <w:pPr>
        <w:ind w:right="200" w:firstLine="637"/>
        <w:spacing w:after="0" w:line="257" w:lineRule="auto"/>
        <w:rPr>
          <w:sz w:val="20"/>
          <w:szCs w:val="20"/>
          <w:color w:val="auto"/>
        </w:rPr>
      </w:pPr>
      <w:r>
        <w:rPr>
          <w:rFonts w:ascii="Arial" w:cs="Arial" w:eastAsia="Arial" w:hAnsi="Arial"/>
          <w:sz w:val="17"/>
          <w:szCs w:val="17"/>
          <w:color w:val="auto"/>
        </w:rPr>
        <w:t>We are authorized to issue up to 500,000,000 shares of common stock and up to 10,000,000 shares of preferred stock. As of February 28, 2023, there were 25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0" w:lineRule="exact"/>
        <w:rPr>
          <w:sz w:val="20"/>
          <w:szCs w:val="20"/>
          <w:color w:val="auto"/>
        </w:rPr>
      </w:pPr>
    </w:p>
    <w:p>
      <w:pPr>
        <w:ind w:right="60" w:firstLine="637"/>
        <w:spacing w:after="0" w:line="245" w:lineRule="auto"/>
        <w:rPr>
          <w:sz w:val="20"/>
          <w:szCs w:val="20"/>
          <w:color w:val="auto"/>
        </w:rPr>
      </w:pPr>
      <w:r>
        <w:rPr>
          <w:rFonts w:ascii="Arial" w:cs="Arial" w:eastAsia="Arial" w:hAnsi="Arial"/>
          <w:sz w:val="18"/>
          <w:szCs w:val="18"/>
          <w:color w:val="auto"/>
        </w:rPr>
        <w:t>We have not declared or paid any cash dividends on our common stock during the fiscal year and do not currently anticipate paying cash dividends in the foreseeable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220"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On June 11, 2020, we completed our IPO. The offer and sale of all of the shares in the IPO were registered under the Securities Act pursuant to a registration statement on Form S-1 (File No. 333-238482), as amended, which was declared effective by the SEC on June 8, 2020. There has been no material change in the planned use of proceeds from our IPO as described in our final prospectus filed with the SEC on June 9, 2020 pursuant to Rule 424(b)(4).</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incorporated by reference into the section titled "Risk Factors" in Part I Item 1A of this Annual Report on Form 10-K. Additionally, our historical results are not necessarily indicative of the results that may be expected for any period in the future.</w:t>
      </w:r>
    </w:p>
    <w:p>
      <w:pPr>
        <w:spacing w:after="0" w:line="171" w:lineRule="exact"/>
        <w:rPr>
          <w:sz w:val="20"/>
          <w:szCs w:val="20"/>
          <w:color w:val="auto"/>
        </w:rPr>
      </w:pPr>
    </w:p>
    <w:p>
      <w:pPr>
        <w:spacing w:after="0" w:line="245" w:lineRule="auto"/>
        <w:rPr>
          <w:sz w:val="20"/>
          <w:szCs w:val="20"/>
          <w:color w:val="auto"/>
        </w:rPr>
      </w:pPr>
      <w:r>
        <w:rPr>
          <w:rFonts w:ascii="Arial" w:cs="Arial" w:eastAsia="Arial" w:hAnsi="Arial"/>
          <w:sz w:val="18"/>
          <w:szCs w:val="18"/>
          <w:i w:val="1"/>
          <w:iCs w:val="1"/>
          <w:color w:val="auto"/>
        </w:rPr>
        <w:t>A discussion regarding our financial condition and results of operation for the year ended December 31, 2022 compared to the year ended December 31, 2021 is presented below. A discussion regarding our financial condition and results of operations for the year ended December 31, 2021 compared to the year ended December 31, 2020 is included under “Management’s Discussion and Analysis of Financial Condition and Results of Operations” in our Annual Report on Form 10-K for the year ended December 31, 2021.</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jc w:val="both"/>
        <w:ind w:right="280" w:firstLine="761"/>
        <w:spacing w:after="0" w:line="238"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Our scalable, data-driven technology brings all phases of the car buying and selling process to consumers wherever they are, and offers an extensive selection of used vehicles, transparent pricing, competitive financing, and at-home pick-up and delivery. We are deeply committed to creating an exceptional experience for our customers.</w:t>
      </w:r>
    </w:p>
    <w:p>
      <w:pPr>
        <w:spacing w:after="0" w:line="190"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We take a vertically integrated, hybrid approach and leverage the benefits of national scale and local efficiency. We are driving enduring change in the industry by reinventing all phases of the vehicle buying and selling process, from discovery to delivery and everything in between. Our platform encompasses:</w:t>
      </w:r>
    </w:p>
    <w:p>
      <w:pPr>
        <w:spacing w:after="0" w:line="166" w:lineRule="exact"/>
        <w:rPr>
          <w:sz w:val="20"/>
          <w:szCs w:val="20"/>
          <w:color w:val="auto"/>
        </w:rPr>
      </w:pPr>
    </w:p>
    <w:p>
      <w:pPr>
        <w:ind w:left="1020" w:right="120" w:hanging="249"/>
        <w:spacing w:after="0" w:line="24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We provide consumers with a personalized and intuitive ecommerce interface to research and select from</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 of fully reconditioned vehicles, with specific sorting, searching and filtering functionality. Our platform is accessible at any time on any device and provides transparent haggle-free pricing, detailed vehicle information, real-time financing and nationwide contact-free delivery right to a buyer’s driveway. For consumers looking to sell or trade in their vehicles, we provide attractive market-based pricing, real-time price quotes and convenient, contact-free at-home vehicle pick-up.</w:t>
      </w:r>
    </w:p>
    <w:p>
      <w:pPr>
        <w:spacing w:after="0" w:line="165" w:lineRule="exact"/>
        <w:rPr>
          <w:rFonts w:ascii="Arial" w:cs="Arial" w:eastAsia="Arial" w:hAnsi="Arial"/>
          <w:sz w:val="18"/>
          <w:szCs w:val="18"/>
          <w:color w:val="auto"/>
        </w:rPr>
      </w:pPr>
    </w:p>
    <w:p>
      <w:pPr>
        <w:ind w:left="1020" w:right="160" w:hanging="249"/>
        <w:spacing w:after="0" w:line="257"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Vehicle Operations: </w:t>
      </w:r>
      <w:r>
        <w:rPr>
          <w:rFonts w:ascii="Arial" w:cs="Arial" w:eastAsia="Arial" w:hAnsi="Arial"/>
          <w:sz w:val="17"/>
          <w:szCs w:val="17"/>
          <w:color w:val="auto"/>
        </w:rPr>
        <w:t>Our scalable and vertically integrated operations underpin our business model. We strategically source</w:t>
      </w:r>
      <w:r>
        <w:rPr>
          <w:rFonts w:ascii="Arial" w:cs="Arial" w:eastAsia="Arial" w:hAnsi="Arial"/>
          <w:sz w:val="17"/>
          <w:szCs w:val="17"/>
          <w:b w:val="1"/>
          <w:bCs w:val="1"/>
          <w:color w:val="auto"/>
        </w:rPr>
        <w:t xml:space="preserve"> </w:t>
      </w:r>
      <w:r>
        <w:rPr>
          <w:rFonts w:ascii="Arial" w:cs="Arial" w:eastAsia="Arial" w:hAnsi="Arial"/>
          <w:sz w:val="17"/>
          <w:szCs w:val="17"/>
          <w:color w:val="auto"/>
        </w:rPr>
        <w:t>inventory from consumers, auctions, rental car companies, OEMs, and dealers. We improve our ability to acquire high-demand vehicles through enhanced supply science across all our sourcing channels and utilize national marketing efforts to drive consumer sourcing. In our reconditioning and logistics operations, we deploy a hybrid strategy that optimizes a combination of ownership and operation of assets by us with strategic third-party partnerships. We continue to leverage our last mile hub logistics operations and geographically dispersed network of reconditioning centers to further develop our regional operating model designed to improve our operating leverage, drive stronger unit economics and enhance our customer experience.</w:t>
      </w:r>
    </w:p>
    <w:p>
      <w:pPr>
        <w:spacing w:after="0" w:line="152" w:lineRule="exact"/>
        <w:rPr>
          <w:rFonts w:ascii="Arial" w:cs="Arial" w:eastAsia="Arial" w:hAnsi="Arial"/>
          <w:sz w:val="17"/>
          <w:szCs w:val="17"/>
          <w:color w:val="auto"/>
        </w:rPr>
      </w:pPr>
    </w:p>
    <w:p>
      <w:pPr>
        <w:ind w:left="1020" w:right="120" w:hanging="249"/>
        <w:spacing w:after="0" w:line="24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our customer experience, analyze market dynamics at scale, calibrate our vehicle pricing and optimize our overall inventory sales velocity. In our vehicle operations, data science and experimentation enables us to fine tune our supply, sourcing and logistics models and to streamline our reconditioning processes.</w:t>
      </w:r>
    </w:p>
    <w:p>
      <w:pPr>
        <w:spacing w:after="0" w:line="168" w:lineRule="exact"/>
        <w:rPr>
          <w:rFonts w:ascii="Arial" w:cs="Arial" w:eastAsia="Arial" w:hAnsi="Arial"/>
          <w:sz w:val="18"/>
          <w:szCs w:val="18"/>
          <w:color w:val="auto"/>
        </w:rPr>
      </w:pPr>
    </w:p>
    <w:p>
      <w:pPr>
        <w:ind w:left="1020" w:right="260" w:hanging="249"/>
        <w:spacing w:after="0" w:line="252"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Vehicle Financing: </w:t>
      </w:r>
      <w:r>
        <w:rPr>
          <w:rFonts w:ascii="Arial" w:cs="Arial" w:eastAsia="Arial" w:hAnsi="Arial"/>
          <w:sz w:val="18"/>
          <w:szCs w:val="18"/>
          <w:color w:val="auto"/>
        </w:rPr>
        <w:t>A critical component of our value proposition is offering vehicle financing to our customers as a seamless</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of the transaction process. We currently offer integrated, real-time, individualized financing solutions through strategic partnerships with trusted lenders in automotive finance and through our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left="1020" w:right="100"/>
        <w:spacing w:after="0"/>
        <w:rPr>
          <w:sz w:val="20"/>
          <w:szCs w:val="20"/>
          <w:color w:val="auto"/>
        </w:rPr>
      </w:pPr>
      <w:r>
        <w:rPr>
          <w:rFonts w:ascii="Arial" w:cs="Arial" w:eastAsia="Arial" w:hAnsi="Arial"/>
          <w:sz w:val="18"/>
          <w:szCs w:val="18"/>
          <w:color w:val="auto"/>
        </w:rPr>
        <w:t>subsidiary, UACC, which we acquired on February 1, 2022. The acquisition of UACC accelerated Vroom’s strategy to develop a captive financing arm and brought with it UACC’s financing expertise and extensive application processing, underwriting, securitization, and servicing capabilities.</w:t>
      </w:r>
    </w:p>
    <w:p>
      <w:pPr>
        <w:spacing w:after="0" w:line="188" w:lineRule="exact"/>
        <w:rPr>
          <w:sz w:val="20"/>
          <w:szCs w:val="20"/>
          <w:color w:val="auto"/>
        </w:rPr>
      </w:pPr>
    </w:p>
    <w:p>
      <w:pPr>
        <w:ind w:firstLine="764"/>
        <w:spacing w:after="0" w:line="236" w:lineRule="auto"/>
        <w:rPr>
          <w:sz w:val="20"/>
          <w:szCs w:val="20"/>
          <w:color w:val="auto"/>
        </w:rPr>
      </w:pPr>
      <w:r>
        <w:rPr>
          <w:rFonts w:ascii="Arial" w:cs="Arial" w:eastAsia="Arial" w:hAnsi="Arial"/>
          <w:sz w:val="18"/>
          <w:szCs w:val="18"/>
          <w:color w:val="auto"/>
        </w:rPr>
        <w:t>Based on data from Cox Automotive, there were an estimated 36.2 million used vehicle transactions in 2022. According to a 2022 NADA Auto Retailing market summary, the U.S. automotive industry generated approximately $1.2 trillion in sales in 2021. The U.S. used automotive market is highly fragmented and ripe for disruption as an industry that is notorious for consumer dissatisfaction and has one of the lowest levels of ecommerce penetration. Industry reports estimate that ecommerce penetration will grow to as much as half of all used vehicle sales by 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offer consumers what we offer.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Events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Realignment Plan</w:t>
      </w:r>
    </w:p>
    <w:p>
      <w:pPr>
        <w:spacing w:after="0" w:line="220"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In light of operational challenges in our business, the need to reduce our cash spend and changes in financial market sentiment, on May 5, 2022, our board of directors (the "Board") approved a business realignment plan designed to position the Company for long-term profitable growth by prioritizing unit economics, reducing our operating expenses and maximizing liquidity (the “Realignment Plan”). The Realignment Plan included a number of elements, such as reducing the rate of unit sales to focus on lowering SG&amp;A and expanding GPPU; reducing marketing expense by focusing on highest-ROI channels while aligning with volume trajectory; reducing the number of physical office locations; right sizing our organization through headcount reductions to align with unit volume; and further developing our regional operating model.</w:t>
      </w:r>
    </w:p>
    <w:p>
      <w:pPr>
        <w:spacing w:after="0" w:line="193" w:lineRule="exact"/>
        <w:rPr>
          <w:sz w:val="20"/>
          <w:szCs w:val="20"/>
          <w:color w:val="auto"/>
        </w:rPr>
      </w:pPr>
    </w:p>
    <w:p>
      <w:pPr>
        <w:ind w:right="360" w:firstLine="761"/>
        <w:spacing w:after="0" w:line="238" w:lineRule="auto"/>
        <w:rPr>
          <w:sz w:val="20"/>
          <w:szCs w:val="20"/>
          <w:color w:val="auto"/>
        </w:rPr>
      </w:pPr>
      <w:r>
        <w:rPr>
          <w:rFonts w:ascii="Arial" w:cs="Arial" w:eastAsia="Arial" w:hAnsi="Arial"/>
          <w:sz w:val="18"/>
          <w:szCs w:val="18"/>
          <w:color w:val="auto"/>
        </w:rPr>
        <w:t>In connection with the Realignment Plan, we incurred expenses of approximately $8.5 million for the year ended December 31, 2022, consisting primarily of severance costs across our organization. Additionally, we recognized approximately $6.5 million of lease impairment charges for the year ended December 31, 2022, related to closing physical office locations in New York, Detroit, Stafford, and Houston as well as Sell Us Your Car® centers.</w:t>
      </w:r>
    </w:p>
    <w:p>
      <w:pPr>
        <w:spacing w:after="0" w:line="190"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We continued our strategic analysis of the operations at the TDA store location and decided to further streamline those operations and close the TDA service center. We repurposed the service center to replace our reconditioning facility in Stafford, Texas, which we believe better aligns our proprietary reconditioning operations in the Houston market with our reduced unit sales volume, reduces our lease and operating expenses and provides an improved work environment for our employees.</w:t>
      </w:r>
    </w:p>
    <w:p>
      <w:pPr>
        <w:spacing w:after="0" w:line="190" w:lineRule="exact"/>
        <w:rPr>
          <w:sz w:val="20"/>
          <w:szCs w:val="20"/>
          <w:color w:val="auto"/>
        </w:rPr>
      </w:pPr>
    </w:p>
    <w:p>
      <w:pPr>
        <w:jc w:val="both"/>
        <w:ind w:right="380" w:firstLine="761"/>
        <w:spacing w:after="0"/>
        <w:rPr>
          <w:sz w:val="20"/>
          <w:szCs w:val="20"/>
          <w:color w:val="auto"/>
        </w:rPr>
      </w:pPr>
      <w:r>
        <w:rPr>
          <w:rFonts w:ascii="Arial" w:cs="Arial" w:eastAsia="Arial" w:hAnsi="Arial"/>
          <w:sz w:val="18"/>
          <w:szCs w:val="18"/>
          <w:color w:val="auto"/>
        </w:rPr>
        <w:t>The restructuring activities associated with the Realignment Plan were substantially completed during 2022. We will continue to reevaluate the optimization of our operations in the future in order to prioritize unit economics, reduce operating expenses, and maximize liquidity.</w:t>
      </w:r>
    </w:p>
    <w:p>
      <w:pPr>
        <w:spacing w:after="0" w:line="188" w:lineRule="exact"/>
        <w:rPr>
          <w:sz w:val="20"/>
          <w:szCs w:val="20"/>
          <w:color w:val="auto"/>
        </w:rPr>
      </w:pPr>
    </w:p>
    <w:p>
      <w:pPr>
        <w:ind w:right="300" w:firstLine="761"/>
        <w:spacing w:after="0" w:line="245" w:lineRule="auto"/>
        <w:rPr>
          <w:sz w:val="20"/>
          <w:szCs w:val="20"/>
          <w:color w:val="auto"/>
        </w:rPr>
      </w:pPr>
      <w:r>
        <w:rPr>
          <w:rFonts w:ascii="Arial" w:cs="Arial" w:eastAsia="Arial" w:hAnsi="Arial"/>
          <w:sz w:val="18"/>
          <w:szCs w:val="18"/>
          <w:color w:val="auto"/>
        </w:rPr>
        <w:t>We achieved approximately $187.0 million of cost reductions and operating improvements across our operations for 2022, when compared to the first quarter annualized, primarily as a result of the Realignment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Roadmap</w:t>
      </w:r>
    </w:p>
    <w:p>
      <w:pPr>
        <w:spacing w:after="0" w:line="220" w:lineRule="exact"/>
        <w:rPr>
          <w:sz w:val="20"/>
          <w:szCs w:val="20"/>
          <w:color w:val="auto"/>
        </w:rPr>
      </w:pPr>
    </w:p>
    <w:p>
      <w:pPr>
        <w:jc w:val="both"/>
        <w:ind w:right="400" w:firstLine="761"/>
        <w:spacing w:after="0"/>
        <w:rPr>
          <w:sz w:val="20"/>
          <w:szCs w:val="20"/>
          <w:color w:val="auto"/>
        </w:rPr>
      </w:pPr>
      <w:r>
        <w:rPr>
          <w:rFonts w:ascii="Arial" w:cs="Arial" w:eastAsia="Arial" w:hAnsi="Arial"/>
          <w:sz w:val="18"/>
          <w:szCs w:val="18"/>
          <w:color w:val="auto"/>
        </w:rPr>
        <w:t xml:space="preserve">In 2022, we developed a long-term road map designed to achieve three key objectives: prioritizing unit economics over growth, significantly reducing operating expenses, and maximizing liquidity. In 2023, we have refined these three key objectives to prioritize unit economics </w:t>
      </w:r>
      <w:r>
        <w:rPr>
          <w:rFonts w:ascii="Arial" w:cs="Arial" w:eastAsia="Arial" w:hAnsi="Arial"/>
          <w:sz w:val="18"/>
          <w:szCs w:val="18"/>
          <w:i w:val="1"/>
          <w:iCs w:val="1"/>
          <w:color w:val="auto"/>
        </w:rPr>
        <w:t>and growth</w:t>
      </w:r>
      <w:r>
        <w:rPr>
          <w:rFonts w:ascii="Arial" w:cs="Arial" w:eastAsia="Arial" w:hAnsi="Arial"/>
          <w:sz w:val="18"/>
          <w:szCs w:val="18"/>
          <w:color w:val="auto"/>
        </w:rPr>
        <w:t xml:space="preserve">, improve costs </w:t>
      </w:r>
      <w:r>
        <w:rPr>
          <w:rFonts w:ascii="Arial" w:cs="Arial" w:eastAsia="Arial" w:hAnsi="Arial"/>
          <w:sz w:val="18"/>
          <w:szCs w:val="18"/>
          <w:i w:val="1"/>
          <w:iCs w:val="1"/>
          <w:color w:val="auto"/>
        </w:rPr>
        <w:t>per unit</w:t>
      </w:r>
      <w:r>
        <w:rPr>
          <w:rFonts w:ascii="Arial" w:cs="Arial" w:eastAsia="Arial" w:hAnsi="Arial"/>
          <w:sz w:val="18"/>
          <w:szCs w:val="18"/>
          <w:color w:val="auto"/>
        </w:rPr>
        <w:t xml:space="preserve"> and maximize liquidity.</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order to achieve these objectives, we are focused on four strategic initiatives:</w:t>
      </w:r>
    </w:p>
    <w:p>
      <w:pPr>
        <w:spacing w:after="0" w:line="176" w:lineRule="exact"/>
        <w:rPr>
          <w:sz w:val="20"/>
          <w:szCs w:val="20"/>
          <w:color w:val="auto"/>
        </w:rPr>
      </w:pPr>
    </w:p>
    <w:p>
      <w:pPr>
        <w:ind w:left="1020" w:right="200" w:hanging="249"/>
        <w:spacing w:after="0" w:line="274"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Building a well-oiled transaction machine: </w:t>
      </w:r>
      <w:r>
        <w:rPr>
          <w:rFonts w:ascii="Arial" w:cs="Arial" w:eastAsia="Arial" w:hAnsi="Arial"/>
          <w:sz w:val="17"/>
          <w:szCs w:val="17"/>
          <w:color w:val="auto"/>
        </w:rPr>
        <w:t>Optimize our sales channels using internal and outsourced resources and</w:t>
      </w:r>
      <w:r>
        <w:rPr>
          <w:rFonts w:ascii="Arial" w:cs="Arial" w:eastAsia="Arial" w:hAnsi="Arial"/>
          <w:sz w:val="17"/>
          <w:szCs w:val="17"/>
          <w:b w:val="1"/>
          <w:bCs w:val="1"/>
          <w:color w:val="auto"/>
        </w:rPr>
        <w:t xml:space="preserve"> </w:t>
      </w:r>
      <w:r>
        <w:rPr>
          <w:rFonts w:ascii="Arial" w:cs="Arial" w:eastAsia="Arial" w:hAnsi="Arial"/>
          <w:sz w:val="17"/>
          <w:szCs w:val="17"/>
          <w:color w:val="auto"/>
        </w:rPr>
        <w:t>digitization; streamline and digitize the title and registration process; and optimize our marketing strategies by building brand awareness, growing organic search traffic and fine-tuning paid media campaigns to improve direct traffic and drive conversion.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ind w:left="1020" w:right="160" w:hanging="249"/>
        <w:spacing w:after="0" w:line="27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Building a well-oiled metal machine: </w:t>
      </w:r>
      <w:r>
        <w:rPr>
          <w:rFonts w:ascii="Arial" w:cs="Arial" w:eastAsia="Arial" w:hAnsi="Arial"/>
          <w:sz w:val="18"/>
          <w:szCs w:val="18"/>
          <w:color w:val="auto"/>
        </w:rPr>
        <w:t>Optimize pricing and assortment of vehicles through predictive data and analytics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regionalization, as well as synchronize end-to-end supply chain to increase velocity and improve flow.</w:t>
      </w:r>
    </w:p>
    <w:p>
      <w:pPr>
        <w:spacing w:after="0" w:line="139" w:lineRule="exact"/>
        <w:rPr>
          <w:rFonts w:ascii="Arial" w:cs="Arial" w:eastAsia="Arial" w:hAnsi="Arial"/>
          <w:sz w:val="18"/>
          <w:szCs w:val="18"/>
          <w:color w:val="auto"/>
        </w:rPr>
      </w:pPr>
    </w:p>
    <w:p>
      <w:pPr>
        <w:ind w:left="1020" w:right="380" w:hanging="249"/>
        <w:spacing w:after="0" w:line="27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Building a regional operating model: </w:t>
      </w:r>
      <w:r>
        <w:rPr>
          <w:rFonts w:ascii="Arial" w:cs="Arial" w:eastAsia="Arial" w:hAnsi="Arial"/>
          <w:sz w:val="18"/>
          <w:szCs w:val="18"/>
          <w:color w:val="auto"/>
        </w:rPr>
        <w:t>Build a regional operating model to improve the customer experience; increase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speed of the supply chain; lower logistics costs; and reduce markdowns.</w:t>
      </w:r>
    </w:p>
    <w:p>
      <w:pPr>
        <w:spacing w:after="0" w:line="139" w:lineRule="exact"/>
        <w:rPr>
          <w:rFonts w:ascii="Arial" w:cs="Arial" w:eastAsia="Arial" w:hAnsi="Arial"/>
          <w:sz w:val="18"/>
          <w:szCs w:val="18"/>
          <w:color w:val="auto"/>
        </w:rPr>
      </w:pPr>
    </w:p>
    <w:p>
      <w:pPr>
        <w:ind w:left="1020" w:right="400" w:hanging="249"/>
        <w:spacing w:after="0" w:line="252"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Building a captive finance offering: </w:t>
      </w:r>
      <w:r>
        <w:rPr>
          <w:rFonts w:ascii="Arial" w:cs="Arial" w:eastAsia="Arial" w:hAnsi="Arial"/>
          <w:sz w:val="18"/>
          <w:szCs w:val="18"/>
          <w:color w:val="auto"/>
        </w:rPr>
        <w:t>Accelerate the development of UACC as a captive financing operation, giving us the</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better serve our customers across the credit spectrum, drive enhanced unit economics and improve our overall customer experience.</w:t>
      </w:r>
    </w:p>
    <w:p>
      <w:pPr>
        <w:spacing w:after="0" w:line="179" w:lineRule="exact"/>
        <w:rPr>
          <w:sz w:val="20"/>
          <w:szCs w:val="20"/>
          <w:color w:val="auto"/>
        </w:rPr>
      </w:pPr>
    </w:p>
    <w:p>
      <w:pPr>
        <w:ind w:right="260" w:firstLine="761"/>
        <w:spacing w:after="0" w:line="245" w:lineRule="auto"/>
        <w:rPr>
          <w:sz w:val="20"/>
          <w:szCs w:val="20"/>
          <w:color w:val="auto"/>
        </w:rPr>
      </w:pPr>
      <w:r>
        <w:rPr>
          <w:rFonts w:ascii="Arial" w:cs="Arial" w:eastAsia="Arial" w:hAnsi="Arial"/>
          <w:sz w:val="18"/>
          <w:szCs w:val="18"/>
          <w:color w:val="auto"/>
        </w:rPr>
        <w:t>These four initiatives are designed to further our progress in building a profitable business model, enable us to build a well-oiled machine across our operations and position us to resume growth.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 in Force</w:t>
      </w:r>
    </w:p>
    <w:p>
      <w:pPr>
        <w:spacing w:after="0" w:line="220"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On January 18, 2023, we executed a reduction in force as part of our continued focus on reducing variable and fixed costs as we pursue our long-term roadmap. We reduced Vroom’s headcount by approximately 275 employees based on our assessment of business needs, the efficiencies obtained by our key initiatives, and our pursuit of long-term success and profitable growth. In 2022, we significantly improved our operations, specifically in our titling, registration and transaction processes, allowing us to now run these processes more cost effectively. We expect to incur expenses of approximately $4.0 million, primarily consisting of severance, and expect to achieve approximately $27.0 million of annualized cost reductions as a result of the reduction in force.</w:t>
      </w:r>
    </w:p>
    <w:p>
      <w:pPr>
        <w:spacing w:after="0" w:line="189" w:lineRule="exact"/>
        <w:rPr>
          <w:sz w:val="20"/>
          <w:szCs w:val="20"/>
          <w:color w:val="auto"/>
        </w:rPr>
      </w:pPr>
    </w:p>
    <w:p>
      <w:pPr>
        <w:ind w:right="180" w:firstLine="761"/>
        <w:spacing w:after="0" w:line="245" w:lineRule="auto"/>
        <w:rPr>
          <w:sz w:val="20"/>
          <w:szCs w:val="20"/>
          <w:color w:val="auto"/>
        </w:rPr>
      </w:pPr>
      <w:r>
        <w:rPr>
          <w:rFonts w:ascii="Arial" w:cs="Arial" w:eastAsia="Arial" w:hAnsi="Arial"/>
          <w:sz w:val="18"/>
          <w:szCs w:val="18"/>
          <w:color w:val="auto"/>
        </w:rPr>
        <w:t>The foregoing estimates are based upon current assumptions and expectations but are subject to known and unknown risks and uncertainties. Accordingly, we may not be able to fully realize the cost savings and benefits initially anticipated.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Repurchases</w:t>
      </w:r>
    </w:p>
    <w:p>
      <w:pPr>
        <w:spacing w:after="0" w:line="220" w:lineRule="exact"/>
        <w:rPr>
          <w:sz w:val="20"/>
          <w:szCs w:val="20"/>
          <w:color w:val="auto"/>
        </w:rPr>
      </w:pPr>
    </w:p>
    <w:p>
      <w:pPr>
        <w:ind w:right="20" w:firstLine="764"/>
        <w:spacing w:after="0" w:line="238" w:lineRule="auto"/>
        <w:rPr>
          <w:sz w:val="20"/>
          <w:szCs w:val="20"/>
          <w:color w:val="auto"/>
        </w:rPr>
      </w:pPr>
      <w:r>
        <w:rPr>
          <w:rFonts w:ascii="Arial" w:cs="Arial" w:eastAsia="Arial" w:hAnsi="Arial"/>
          <w:sz w:val="18"/>
          <w:szCs w:val="18"/>
          <w:color w:val="auto"/>
        </w:rPr>
        <w:t>In 2022, we repurchased $ 254.3 million in aggregate principal amount of our outstanding 0.75% unsecured Convertible Senior Notes due 2026 (the "Notes"), net of deferred issuance costs of $4.9 million, in open market transactions for $90.2 million. Subject to market conditions and availability, we may continue to opportunistically repurchase the Notes from time to time to reduce our outstanding indebtedness at a discount.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Sales Support</w:t>
      </w:r>
    </w:p>
    <w:p>
      <w:pPr>
        <w:spacing w:after="0" w:line="220" w:lineRule="exact"/>
        <w:rPr>
          <w:sz w:val="20"/>
          <w:szCs w:val="20"/>
          <w:color w:val="auto"/>
        </w:rPr>
      </w:pPr>
    </w:p>
    <w:p>
      <w:pPr>
        <w:ind w:firstLine="764"/>
        <w:spacing w:after="0" w:line="238" w:lineRule="auto"/>
        <w:rPr>
          <w:sz w:val="20"/>
          <w:szCs w:val="20"/>
          <w:color w:val="auto"/>
        </w:rPr>
      </w:pPr>
      <w:r>
        <w:rPr>
          <w:rFonts w:ascii="Arial" w:cs="Arial" w:eastAsia="Arial" w:hAnsi="Arial"/>
          <w:sz w:val="18"/>
          <w:szCs w:val="18"/>
          <w:color w:val="auto"/>
        </w:rPr>
        <w:t>As part of our long-term roadmap and in response to a significant staff reduction by our primary third-party telephone sales support provider, we have been building our in-house sales team, have ceased using such third-party telephone sales provider and have meaningfully increased the level of sales supported internally, which we believe will improve our customer experience, and lower our selling costs. The ability to successfully grow an effective internal sales team will be critical to our ability to achieve profitable growth.</w:t>
      </w:r>
    </w:p>
    <w:p>
      <w:pPr>
        <w:spacing w:after="0" w:line="190" w:lineRule="exact"/>
        <w:rPr>
          <w:sz w:val="20"/>
          <w:szCs w:val="20"/>
          <w:color w:val="auto"/>
        </w:rPr>
      </w:pPr>
    </w:p>
    <w:p>
      <w:pPr>
        <w:ind w:right="60" w:firstLine="764"/>
        <w:spacing w:after="0" w:line="237" w:lineRule="auto"/>
        <w:rPr>
          <w:sz w:val="20"/>
          <w:szCs w:val="20"/>
          <w:color w:val="auto"/>
        </w:rPr>
      </w:pPr>
      <w:r>
        <w:rPr>
          <w:rFonts w:ascii="Arial" w:cs="Arial" w:eastAsia="Arial" w:hAnsi="Arial"/>
          <w:sz w:val="18"/>
          <w:szCs w:val="18"/>
          <w:color w:val="auto"/>
        </w:rPr>
        <w:t>The reduced staffing in our outsourced sales operations had an impact on our unit sales volume in the second half of 2022 and is expected to have an impact on our unit sales volume in the first quarter of 2023 as we transition away from the third-party provider. Nevertheless, we do not expect this transition to have a long-term impact on our sales volume, financial condition and results of operations as we reduce costs by expanding our internal sales force and leveraging our existing relationships with other sales partners, consistent with our long-term strategy to optimize our cost structure.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UACC Acquisition</w:t>
      </w:r>
    </w:p>
    <w:p>
      <w:pPr>
        <w:spacing w:after="0" w:line="220"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On February 1, 2022 (the "Acquisition Date"), we completed the acquisition (the "UACC Acquisition") of 100% of Unitas Holdings Corp., including its wholly owned subsidiaries United PanAm Financial Corp. and United Auto Credit Corporation ("UACC"). Unitas Holdings Corp. (now known as Vroom Finance Corporation), United PanAm Financial Corp. (now known as Vroom Automotive Financial Corporation) and UACC, as well as their other subsidiaries, are now our wholly owned subsidiaries. This acquisition accelerates our strategy of establishing a captive financing arm and</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underwriting vehicle financing for our customers, the results of which are included within the Ecommerce reporting segment. UACC will also continue its operations with its network of third-party dealership customers, which we intend to continue growing, including the purchases and servicing of vehicle installment contracts, which constitutes a separate reporting segment — Retail Financing. The cash consideration paid was approximately $315.4 million.</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Model</w:t>
      </w:r>
    </w:p>
    <w:p>
      <w:pPr>
        <w:spacing w:after="0" w:line="220" w:lineRule="exact"/>
        <w:rPr>
          <w:sz w:val="20"/>
          <w:szCs w:val="20"/>
          <w:color w:val="auto"/>
        </w:rPr>
      </w:pPr>
    </w:p>
    <w:p>
      <w:pPr>
        <w:ind w:right="280" w:firstLine="761"/>
        <w:spacing w:after="0" w:line="245" w:lineRule="auto"/>
        <w:rPr>
          <w:sz w:val="20"/>
          <w:szCs w:val="20"/>
          <w:color w:val="auto"/>
        </w:rPr>
      </w:pPr>
      <w:r>
        <w:rPr>
          <w:rFonts w:ascii="Arial" w:cs="Arial" w:eastAsia="Arial" w:hAnsi="Arial"/>
          <w:sz w:val="18"/>
          <w:szCs w:val="18"/>
          <w:color w:val="auto"/>
        </w:rPr>
        <w:t>We generate revenue through the sale of used vehicles, vehicle financing and value-added products. We sell vehicles directly to consumers primarily through our Ecommerce segment as a licensed dealer.</w:t>
      </w:r>
    </w:p>
    <w:p>
      <w:pPr>
        <w:spacing w:after="0" w:line="184"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As a result of the UACC Acquisition on February 1, 2022, we are developing a captive financing operation for Vroom customers, which will enable us to provide our customers with expanded financing solutions across the credit spectrum and an enhanced customer experience, while generating improved unit economics. We also expect to generate ecommerce product revenue through interest income on UACC's finance receivables generated by loans provided to Vroom customers and UACC’s sale of such finance receivables in securitization transactions or forward flow arrangements. Additionally, we expect UACC to continue to purchase and service finance receivables originated by its network of third-party dealership customers and generate finance revenue, including interest income as well as gain on sale related to these finance receivables. Over time, we intend to grow the third-party dealership network and business.</w:t>
      </w:r>
    </w:p>
    <w:p>
      <w:pPr>
        <w:spacing w:after="0" w:line="193" w:lineRule="exact"/>
        <w:rPr>
          <w:sz w:val="20"/>
          <w:szCs w:val="20"/>
          <w:color w:val="auto"/>
        </w:rPr>
      </w:pPr>
    </w:p>
    <w:p>
      <w:pPr>
        <w:ind w:right="240" w:firstLine="761"/>
        <w:spacing w:after="0" w:line="245" w:lineRule="auto"/>
        <w:rPr>
          <w:sz w:val="20"/>
          <w:szCs w:val="20"/>
          <w:color w:val="auto"/>
        </w:rPr>
      </w:pPr>
      <w:r>
        <w:rPr>
          <w:rFonts w:ascii="Arial" w:cs="Arial" w:eastAsia="Arial" w:hAnsi="Arial"/>
          <w:sz w:val="18"/>
          <w:szCs w:val="18"/>
          <w:color w:val="auto"/>
        </w:rPr>
        <w:t>We also sell vehicles through wholesale channels, which provide a revenue source for vehicles that do not meet our Vroom retail sales criteria.</w:t>
      </w:r>
    </w:p>
    <w:p>
      <w:pPr>
        <w:spacing w:after="0" w:line="184" w:lineRule="exact"/>
        <w:rPr>
          <w:sz w:val="20"/>
          <w:szCs w:val="20"/>
          <w:color w:val="auto"/>
        </w:rPr>
      </w:pPr>
    </w:p>
    <w:p>
      <w:pPr>
        <w:ind w:right="200" w:firstLine="761"/>
        <w:spacing w:after="0" w:line="245" w:lineRule="auto"/>
        <w:rPr>
          <w:sz w:val="20"/>
          <w:szCs w:val="20"/>
          <w:color w:val="auto"/>
        </w:rPr>
      </w:pPr>
      <w:r>
        <w:rPr>
          <w:rFonts w:ascii="Arial" w:cs="Arial" w:eastAsia="Arial" w:hAnsi="Arial"/>
          <w:sz w:val="18"/>
          <w:szCs w:val="18"/>
          <w:color w:val="auto"/>
        </w:rPr>
        <w:t>For the year ended December 31, 2022, our Ecommerce, Wholesale, and Retail Financing segments represented 70.0%, 15.1%, and 7.8% of our total revenue, respectively.</w:t>
      </w:r>
    </w:p>
    <w:p>
      <w:pPr>
        <w:spacing w:after="0" w:line="184"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Our retail gross profit consists of two components: Vehicle Gross Profit and Product Gross Profit. Vehicle Gross Profit is calculated as the aggregate retail sales price for all vehicles sold to customers along with delivery fee revenue and document fees received from customers, less the aggregate cost to acquire such vehicles, the aggregate cost of inbound transportation for such vehicles to our vehicle reconditioning centers, which we refer to as VRCs, and the aggregate cost of reconditioning such vehicles for sale. Product Gross Profit consists of fees earned on vehicle financing originated by our third-party financing sources and any third-party value-added products sold as part of a vehicle sale. Because we are paid fees on the third-party financing and other value-added products we sell, our gross profit on such products is equal to the revenue we generate. Starting in 2022, Product Gross Profit also includes interest income earned on finance receivables from Vroom customers that we originate through UACC to finance the vehicles we sell. It also includes gain on sales of those finance receivables once sold in a securitization transaction or forward flow arrangement that qualify for sales accounting treatment. See “— Key Operating and Financial Metrics.”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is an explanation of how we calculate vehicle gross profit per unit and product gross profit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125730</wp:posOffset>
            </wp:positionV>
            <wp:extent cx="5274310" cy="2174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74310" cy="217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Our profitability depends primarily on improving unit economics and achieving operating leverage. We deploy a hybrid strategy that optimizes a combination of ownership and operation of assets by us with strategic third-party partnerships. Our hybrid approach also applies to the third-party value-added products we sell to customers. Historically, we generated additional revenue streams without directly underwriting vehicle financing or protection products; however, the UACC Acquisition enables us to underwrite vehicle financing for our customers. As we resume growth, we expect to benefit from efficiencies and operating leverage across our business, including our marketing and technology investments, and our inventory procurement, logistics, reconditioning and sales processes.</w:t>
      </w:r>
    </w:p>
    <w:p>
      <w:pPr>
        <w:spacing w:after="0" w:line="16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Our Segments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76" w:lineRule="exact"/>
        <w:rPr>
          <w:sz w:val="20"/>
          <w:szCs w:val="20"/>
          <w:color w:val="auto"/>
        </w:rPr>
      </w:pPr>
    </w:p>
    <w:p>
      <w:pPr>
        <w:ind w:left="1020" w:right="180" w:hanging="249"/>
        <w:spacing w:after="0" w:line="24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(70.0% of 2022 revenue; 76.7% of 2021 revenue): The Ecommerce segment represents retail sales of used</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through our ecommerce platform and fees earned on sales of value-added products associated with those vehicle sales. Starting in 2022, the Ecommerce segment also includes interest income earned on finance receivables from Vroom customers that we originate through UACC to finance the vehicles we sell and gain on sales of those finance receivables once sold in a securitization transaction or forward flow arrangement that qualify for sales accounting treatment.</w:t>
      </w:r>
    </w:p>
    <w:p>
      <w:pPr>
        <w:spacing w:after="0" w:line="165" w:lineRule="exact"/>
        <w:rPr>
          <w:rFonts w:ascii="Arial" w:cs="Arial" w:eastAsia="Arial" w:hAnsi="Arial"/>
          <w:sz w:val="18"/>
          <w:szCs w:val="18"/>
          <w:color w:val="auto"/>
        </w:rPr>
      </w:pPr>
    </w:p>
    <w:p>
      <w:pPr>
        <w:ind w:left="1020" w:right="580" w:hanging="249"/>
        <w:spacing w:after="0" w:line="27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(15.1% of 2022 revenue; 15.7% of 2021 revenue): The Wholesale segment represents sales of used vehicles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wholesale channels.</w:t>
      </w:r>
    </w:p>
    <w:p>
      <w:pPr>
        <w:spacing w:after="0" w:line="139" w:lineRule="exact"/>
        <w:rPr>
          <w:rFonts w:ascii="Arial" w:cs="Arial" w:eastAsia="Arial" w:hAnsi="Arial"/>
          <w:sz w:val="18"/>
          <w:szCs w:val="18"/>
          <w:color w:val="auto"/>
        </w:rPr>
      </w:pPr>
    </w:p>
    <w:p>
      <w:pPr>
        <w:ind w:left="1020" w:right="440" w:hanging="249"/>
        <w:spacing w:after="0" w:line="27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Retail Financing </w:t>
      </w:r>
      <w:r>
        <w:rPr>
          <w:rFonts w:ascii="Arial" w:cs="Arial" w:eastAsia="Arial" w:hAnsi="Arial"/>
          <w:sz w:val="18"/>
          <w:szCs w:val="18"/>
          <w:color w:val="auto"/>
        </w:rPr>
        <w:t>(7.8% of 2022 revenue): The Retail Financing segment represents UACC’s operations with its network of</w:t>
      </w:r>
      <w:r>
        <w:rPr>
          <w:rFonts w:ascii="Arial" w:cs="Arial" w:eastAsia="Arial" w:hAnsi="Arial"/>
          <w:sz w:val="18"/>
          <w:szCs w:val="18"/>
          <w:b w:val="1"/>
          <w:bCs w:val="1"/>
          <w:color w:val="auto"/>
        </w:rPr>
        <w:t xml:space="preserve"> </w:t>
      </w:r>
      <w:r>
        <w:rPr>
          <w:rFonts w:ascii="Arial" w:cs="Arial" w:eastAsia="Arial" w:hAnsi="Arial"/>
          <w:sz w:val="18"/>
          <w:szCs w:val="18"/>
          <w:color w:val="auto"/>
        </w:rPr>
        <w:t>third-party dealership customers.</w:t>
      </w:r>
    </w:p>
    <w:p>
      <w:pPr>
        <w:spacing w:after="0" w:line="161"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As part of the Realignment Plan, we streamlined TDA's operations and closed our service center. We also reevaluated our reporting segments based on relative revenue and gross profit and significance in our long term strategy. As a result of the quantitative analysis, we determined TDA should not be reported as a separate segment as it was presented prior to the second quarter of 2022.</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440" w:firstLine="764"/>
        <w:spacing w:after="0" w:line="245" w:lineRule="auto"/>
        <w:rPr>
          <w:sz w:val="20"/>
          <w:szCs w:val="20"/>
          <w:color w:val="auto"/>
        </w:rPr>
      </w:pPr>
      <w:r>
        <w:rPr>
          <w:rFonts w:ascii="Arial" w:cs="Arial" w:eastAsia="Arial" w:hAnsi="Arial"/>
          <w:sz w:val="18"/>
          <w:szCs w:val="18"/>
          <w:color w:val="auto"/>
        </w:rPr>
        <w:t>Gross profit is defined as revenue less cost of sales for each segment. Reflected below is a summary of segment revenue and segment gross profit for the years ended December 31, 2022, 2021, and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8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line="183"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9"/>
                <w:szCs w:val="19"/>
                <w:b w:val="1"/>
                <w:bCs w:val="1"/>
                <w:color w:val="auto"/>
                <w:vertAlign w:val="superscript"/>
              </w:rPr>
              <w:t>(1)</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2"/>
              <w:spacing w:after="0" w:line="183"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9"/>
                <w:szCs w:val="19"/>
                <w:b w:val="1"/>
                <w:bCs w:val="1"/>
                <w:color w:val="auto"/>
                <w:vertAlign w:val="superscript"/>
              </w:rPr>
              <w:t>(1)</w:t>
            </w:r>
          </w:p>
        </w:tc>
        <w:tc>
          <w:tcPr>
            <w:tcW w:w="100" w:type="dxa"/>
            <w:vAlign w:val="bottom"/>
          </w:tcPr>
          <w:p>
            <w:pPr>
              <w:spacing w:after="0"/>
              <w:rPr>
                <w:sz w:val="15"/>
                <w:szCs w:val="15"/>
                <w:color w:val="auto"/>
              </w:rPr>
            </w:pPr>
          </w:p>
        </w:tc>
      </w:tr>
      <w:tr>
        <w:trPr>
          <w:trHeight w:val="223"/>
        </w:trPr>
        <w:tc>
          <w:tcPr>
            <w:tcW w:w="6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Ecommerce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1,364,195</w:t>
            </w:r>
          </w:p>
        </w:tc>
        <w:tc>
          <w:tcPr>
            <w:tcW w:w="28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2,442,369</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915,451</w:t>
            </w:r>
          </w:p>
        </w:tc>
        <w:tc>
          <w:tcPr>
            <w:tcW w:w="100" w:type="dxa"/>
            <w:vAlign w:val="bottom"/>
          </w:tcPr>
          <w:p>
            <w:pPr>
              <w:spacing w:after="0"/>
              <w:rPr>
                <w:sz w:val="19"/>
                <w:szCs w:val="19"/>
                <w:color w:val="auto"/>
              </w:rPr>
            </w:pPr>
          </w:p>
        </w:tc>
      </w:tr>
      <w:tr>
        <w:trPr>
          <w:trHeight w:val="229"/>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293,528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498,981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245,580</w:t>
            </w:r>
          </w:p>
        </w:tc>
        <w:tc>
          <w:tcPr>
            <w:tcW w:w="100" w:type="dxa"/>
            <w:vAlign w:val="bottom"/>
            <w:shd w:val="clear" w:color="auto" w:fill="CFF0FC"/>
          </w:tcPr>
          <w:p>
            <w:pPr>
              <w:spacing w:after="0"/>
              <w:rPr>
                <w:sz w:val="19"/>
                <w:szCs w:val="19"/>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Retail Financing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152,542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138,636</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242,905</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1,948,901</w:t>
            </w:r>
          </w:p>
        </w:tc>
        <w:tc>
          <w:tcPr>
            <w:tcW w:w="28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3,184,255</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1,357,700</w:t>
            </w:r>
          </w:p>
        </w:tc>
        <w:tc>
          <w:tcPr>
            <w:tcW w:w="10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 (loss):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Ecommerce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99,973</w:t>
            </w:r>
          </w:p>
        </w:tc>
        <w:tc>
          <w:tcPr>
            <w:tcW w:w="28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164,746</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60,861</w:t>
            </w:r>
          </w:p>
        </w:tc>
        <w:tc>
          <w:tcPr>
            <w:tcW w:w="100" w:type="dxa"/>
            <w:vAlign w:val="bottom"/>
          </w:tcPr>
          <w:p>
            <w:pPr>
              <w:spacing w:after="0"/>
              <w:rPr>
                <w:sz w:val="19"/>
                <w:szCs w:val="19"/>
                <w:color w:val="auto"/>
              </w:rPr>
            </w:pPr>
          </w:p>
        </w:tc>
      </w:tr>
      <w:tr>
        <w:trPr>
          <w:trHeight w:val="229"/>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(10,620 )</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(1,432 )</w:t>
            </w:r>
          </w:p>
        </w:tc>
      </w:tr>
      <w:tr>
        <w:trPr>
          <w:trHeight w:val="229"/>
        </w:trPr>
        <w:tc>
          <w:tcPr>
            <w:tcW w:w="6840" w:type="dxa"/>
            <w:vAlign w:val="bottom"/>
          </w:tcPr>
          <w:p>
            <w:pPr>
              <w:ind w:left="20"/>
              <w:spacing w:after="0"/>
              <w:rPr>
                <w:sz w:val="20"/>
                <w:szCs w:val="20"/>
                <w:color w:val="auto"/>
              </w:rPr>
            </w:pPr>
            <w:r>
              <w:rPr>
                <w:rFonts w:ascii="Arial" w:cs="Arial" w:eastAsia="Arial" w:hAnsi="Arial"/>
                <w:sz w:val="18"/>
                <w:szCs w:val="18"/>
                <w:color w:val="auto"/>
              </w:rPr>
              <w:t>Retail Financing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138,381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17,053</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19,233</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244,787</w:t>
            </w:r>
          </w:p>
        </w:tc>
        <w:tc>
          <w:tcPr>
            <w:tcW w:w="28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202,099</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71,545</w:t>
            </w:r>
          </w:p>
        </w:tc>
        <w:tc>
          <w:tcPr>
            <w:tcW w:w="10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-1086485</wp:posOffset>
            </wp:positionV>
            <wp:extent cx="76835"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-1086485</wp:posOffset>
            </wp:positionV>
            <wp:extent cx="6858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-179070</wp:posOffset>
            </wp:positionV>
            <wp:extent cx="76835"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-179070</wp:posOffset>
            </wp:positionV>
            <wp:extent cx="6858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 We reclassified TDA revenue and TDA gross profit from the TDA reportable segment to the “All Other” category to conform to current year presentation.</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Operating and Financial Metrics</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We regularly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 Generally Accepted Accounting Principles, or U.S. GAAP. You should read the key operating and financial metrics in conjunction with the following discussion of our results of operations and together with our consolidated financial statements and related notes included elsewhere in this Annual Report on Form 10-K. We focus heavily on metrics related to unit economics as improved gross profit per unit is a key element of our growth and profitability strategies.</w:t>
      </w:r>
    </w:p>
    <w:p>
      <w:pPr>
        <w:spacing w:after="0" w:line="193"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The calculation of our key operating and financial metrics is straightforward and does not rely on significant projections, estimates or assumptions. Nevertheless, each of our key operating and financial metrics has limitations because each focuses specifically on only one standard by which to evaluate our business, without taking into account other applicable standards, performance measures or operating trends by which our business could be evaluated. Accordingly, no single metric should be viewed as the bellwether by which our business should be measured. Rather, each key operating and financial metric should be considered in conjunction with other metrics and components of our results of operations, such as each of the other key operating and financial metrics and our revenues, inventory, loss from operations and segment results.</w:t>
      </w:r>
    </w:p>
    <w:p>
      <w:pPr>
        <w:spacing w:after="0" w:line="235"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23"/>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Ecommerce units sold</w:t>
            </w:r>
          </w:p>
        </w:tc>
        <w:tc>
          <w:tcPr>
            <w:tcW w:w="2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39,278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74,698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34,488</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Vehicle Gross Profit per ecommerce unit</w:t>
            </w: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1,033</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1,108</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869</w:t>
            </w:r>
          </w:p>
        </w:tc>
      </w:tr>
      <w:tr>
        <w:trPr>
          <w:trHeight w:val="229"/>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Product Gross Profit per ecommerce unit</w:t>
            </w:r>
          </w:p>
        </w:tc>
        <w:tc>
          <w:tcPr>
            <w:tcW w:w="2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1,512</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1,098</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896</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 Gross Profit per ecommerce unit</w:t>
            </w:r>
          </w:p>
        </w:tc>
        <w:tc>
          <w:tcPr>
            <w:tcW w:w="2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2,545</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2,206</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1,765</w:t>
            </w:r>
          </w:p>
        </w:tc>
      </w:tr>
      <w:tr>
        <w:trPr>
          <w:trHeight w:val="20"/>
        </w:trPr>
        <w:tc>
          <w:tcPr>
            <w:tcW w:w="4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monthly unique visitors</w:t>
            </w:r>
          </w:p>
        </w:tc>
        <w:tc>
          <w:tcPr>
            <w:tcW w:w="2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1,866,197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1,968,656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969,890</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Ecommerce average days to sale</w:t>
            </w:r>
          </w:p>
        </w:tc>
        <w:tc>
          <w:tcPr>
            <w:tcW w:w="2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66</w:t>
            </w:r>
          </w:p>
        </w:tc>
      </w:tr>
      <w:tr>
        <w:trPr>
          <w:trHeight w:val="634"/>
        </w:trPr>
        <w:tc>
          <w:tcPr>
            <w:tcW w:w="4400" w:type="dxa"/>
            <w:vAlign w:val="bottom"/>
          </w:tcPr>
          <w:p>
            <w:pPr>
              <w:spacing w:after="0"/>
              <w:rPr>
                <w:sz w:val="24"/>
                <w:szCs w:val="24"/>
                <w:color w:val="auto"/>
              </w:rPr>
            </w:pPr>
          </w:p>
        </w:tc>
        <w:tc>
          <w:tcPr>
            <w:tcW w:w="2260" w:type="dxa"/>
            <w:vAlign w:val="bottom"/>
          </w:tcPr>
          <w:p>
            <w:pPr>
              <w:jc w:val="right"/>
              <w:ind w:right="85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440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-949960</wp:posOffset>
            </wp:positionV>
            <wp:extent cx="10287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-949960</wp:posOffset>
            </wp:positionV>
            <wp:extent cx="9398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 Sold</w:t>
      </w:r>
    </w:p>
    <w:p>
      <w:pPr>
        <w:spacing w:after="0" w:line="220"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Ecommerce units sold is defined as the number of vehicles sold and shipped to customers through our ecommerce platform, net of returns under our Vroom 7-Day Return Program. Ecommerce units sold excludes sales of vehicles at TDA and through the Wholesale segment. Each vehicle sale through our ecommerce platform also creates the opportunity to leverage such sale to provide vehicle financing, sell value-added products and acquire trade-in vehicles from our customers, which we can either recondition and add to our inventory or sell through wholesale channels.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 per Ecommerce Unit</w:t>
      </w:r>
    </w:p>
    <w:p>
      <w:pPr>
        <w:spacing w:after="0" w:line="220"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Vehicle Gross Profit per ecommerce unit, which we refer to as Vehicle GPPU, for a given period is defined as the aggregate retail sales price and delivery charges for all vehicles sold through our Ecommerce segment less the aggregate costs to acquire those vehicles, the aggregate costs of inbound transportation to the VRCs and the aggregate costs of reconditioning those vehicles in that period, divided by the number of ecommerce units sold in that period. We believe Vehicle GPPU is a key driver of our long-term profitability.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 per Ecommerce Unit</w:t>
      </w:r>
    </w:p>
    <w:p>
      <w:pPr>
        <w:spacing w:after="0" w:line="220" w:lineRule="exact"/>
        <w:rPr>
          <w:sz w:val="20"/>
          <w:szCs w:val="20"/>
          <w:color w:val="auto"/>
        </w:rPr>
      </w:pPr>
    </w:p>
    <w:p>
      <w:pPr>
        <w:ind w:right="200" w:firstLine="761"/>
        <w:spacing w:after="0" w:line="236" w:lineRule="auto"/>
        <w:rPr>
          <w:sz w:val="20"/>
          <w:szCs w:val="20"/>
          <w:color w:val="auto"/>
        </w:rPr>
      </w:pPr>
      <w:r>
        <w:rPr>
          <w:rFonts w:ascii="Arial" w:cs="Arial" w:eastAsia="Arial" w:hAnsi="Arial"/>
          <w:sz w:val="18"/>
          <w:szCs w:val="18"/>
          <w:color w:val="auto"/>
        </w:rPr>
        <w:t>Product Gross Profit per ecommerce unit, which we refer to as Product GPPU, for a given period is defined as the aggregate fees earned on sales of value-added products in that period, net of the reserves for chargebacks on such products in that period, divided by the number of ecommerce units sold in that period. Because we are paid fees on the vehicle financing and value-added products we sell, our gross profit is equal to the revenue we generate from the sale of such products. Starting in 2022, Product GPPU also includes interest income earned on finance receivables from Vroom customers that we originate through UACC to finance the vehicles we sell and gain on sales of those finance receivables once sold in a securitization transaction or forward flow arrangement that qualify for sales accounting treatment, divided by the number of ecommerce units sold in that period.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 per Ecommerce Unit</w:t>
      </w:r>
    </w:p>
    <w:p>
      <w:pPr>
        <w:spacing w:after="0" w:line="220" w:lineRule="exact"/>
        <w:rPr>
          <w:sz w:val="20"/>
          <w:szCs w:val="20"/>
          <w:color w:val="auto"/>
        </w:rPr>
      </w:pPr>
    </w:p>
    <w:p>
      <w:pPr>
        <w:ind w:right="480" w:firstLine="761"/>
        <w:spacing w:after="0" w:line="245" w:lineRule="auto"/>
        <w:rPr>
          <w:sz w:val="20"/>
          <w:szCs w:val="20"/>
          <w:color w:val="auto"/>
        </w:rPr>
      </w:pPr>
      <w:r>
        <w:rPr>
          <w:rFonts w:ascii="Arial" w:cs="Arial" w:eastAsia="Arial" w:hAnsi="Arial"/>
          <w:sz w:val="18"/>
          <w:szCs w:val="18"/>
          <w:color w:val="auto"/>
        </w:rPr>
        <w:t>Total Gross Profit per ecommerce unit, which we refer to as Total GPPU, for a given period is calculated as the sum of Vehicle GPPU and Product GPPU. We view Total GPPU as a key metric of the profitability of our Ecommerce segment.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Unique Visitors</w:t>
      </w:r>
    </w:p>
    <w:p>
      <w:pPr>
        <w:spacing w:after="0" w:line="220" w:lineRule="exact"/>
        <w:rPr>
          <w:sz w:val="20"/>
          <w:szCs w:val="20"/>
          <w:color w:val="auto"/>
        </w:rPr>
      </w:pPr>
    </w:p>
    <w:p>
      <w:pPr>
        <w:ind w:right="220" w:firstLine="761"/>
        <w:spacing w:after="0" w:line="237" w:lineRule="auto"/>
        <w:rPr>
          <w:sz w:val="20"/>
          <w:szCs w:val="20"/>
          <w:color w:val="auto"/>
        </w:rPr>
      </w:pPr>
      <w:r>
        <w:rPr>
          <w:rFonts w:ascii="Arial" w:cs="Arial" w:eastAsia="Arial" w:hAnsi="Arial"/>
          <w:sz w:val="18"/>
          <w:szCs w:val="18"/>
          <w:color w:val="auto"/>
        </w:rPr>
        <w:t>Average monthly unique visitors is defined as the average number of individuals who access our ecommerce platform within a calendar month. We calculate the average monthly unique visitors over any period by dividing the aggregate monthly unique visitors during such period by the number of months in that period. We use average monthly unique visitors to measure the quality of our customer experience, the effectiveness of our marketing campaigns and customer acquisition as well as the strength of our brand and market penetration.</w:t>
      </w:r>
    </w:p>
    <w:p>
      <w:pPr>
        <w:spacing w:after="0" w:line="192"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Average monthly unique visitors is calculated using data provided by Google Analytics. The computation of average monthly unique visitors excludes individuals who access our platform multiple times within a calendar month, counting such individuals only one time for purposes of the calculation. If an individual accesses our ecommerce platform using different devices or different browsers on the same device within a given month, the first access through each such device or browser is counted as a separate monthly unique visitor.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Average Days to Sale</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We define ecommerce average days to sale as the average number of days between our acquisition of vehicles and the final delivery of such vehicles to customers through our ecommerce platform. We calculate average days to sale for a given period by dividing the aggregate number of days between the acquisition of all vehicles sold through our ecommerce platform during such period and final delivery of such vehicles to customers by the number of ecommerce units sold in that period. Ecommerce average days to sale excludes vehicles sold at TDA and through the Wholesale segment. Ecommerce average days to sale is an important metric because a reduction in the number of days between the acquisition of a vehicle and the delivery of such vehicle typically results in a higher gross profit per unit.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ind w:firstLine="764"/>
        <w:spacing w:after="0" w:line="236" w:lineRule="auto"/>
        <w:rPr>
          <w:sz w:val="20"/>
          <w:szCs w:val="20"/>
          <w:color w:val="auto"/>
        </w:rPr>
      </w:pPr>
      <w:r>
        <w:rPr>
          <w:rFonts w:ascii="Arial" w:cs="Arial" w:eastAsia="Arial" w:hAnsi="Arial"/>
          <w:sz w:val="18"/>
          <w:szCs w:val="18"/>
          <w:color w:val="auto"/>
        </w:rPr>
        <w:t>In addition to our results determined in accordance with U.S. GAAP, we believe the following non-GAAP financial measures are useful in evaluating our operating performance: EBITDA, Adjusted EBITDA, and Adjusted EBITDA excluding securitization gain.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p>
    <w:p>
      <w:pPr>
        <w:spacing w:after="0" w:line="192" w:lineRule="exact"/>
        <w:rPr>
          <w:sz w:val="20"/>
          <w:szCs w:val="20"/>
          <w:color w:val="auto"/>
        </w:rPr>
      </w:pPr>
    </w:p>
    <w:p>
      <w:pPr>
        <w:ind w:right="60" w:firstLine="764"/>
        <w:spacing w:after="0" w:line="238" w:lineRule="auto"/>
        <w:rPr>
          <w:sz w:val="20"/>
          <w:szCs w:val="20"/>
          <w:color w:val="auto"/>
        </w:rPr>
      </w:pPr>
      <w:r>
        <w:rPr>
          <w:rFonts w:ascii="Arial" w:cs="Arial" w:eastAsia="Arial" w:hAnsi="Arial"/>
          <w:sz w:val="18"/>
          <w:szCs w:val="18"/>
          <w:color w:val="auto"/>
        </w:rPr>
        <w:t>EBITDA, Adjusted EBITDA, and Adjusted EBITDA excluding securitization gain are supplemental performance measures that our management uses to assess our operating performance and the operating leverage in our business. Because EBITDA, Adjusted EBITDA, and Adjusted EBITDA excluding securitization gain facilitate internal comparisons of our historical operating performance on a more consistent basis, we use these measures for business planning purposes.</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and Adjusted EBITDA excluding securitization gain</w:t>
      </w:r>
    </w:p>
    <w:p>
      <w:pPr>
        <w:spacing w:after="0" w:line="220" w:lineRule="exact"/>
        <w:rPr>
          <w:sz w:val="20"/>
          <w:szCs w:val="20"/>
          <w:color w:val="auto"/>
        </w:rPr>
      </w:pPr>
    </w:p>
    <w:p>
      <w:pPr>
        <w:ind w:firstLine="764"/>
        <w:spacing w:after="0" w:line="235" w:lineRule="auto"/>
        <w:rPr>
          <w:sz w:val="20"/>
          <w:szCs w:val="20"/>
          <w:color w:val="auto"/>
        </w:rPr>
      </w:pPr>
      <w:r>
        <w:rPr>
          <w:rFonts w:ascii="Arial" w:cs="Arial" w:eastAsia="Arial" w:hAnsi="Arial"/>
          <w:sz w:val="18"/>
          <w:szCs w:val="18"/>
          <w:color w:val="auto"/>
        </w:rPr>
        <w:t>We calculate EBITDA as net loss before interest expense, interest income, income tax expense and depreciation and amortization expense and we calculate Adjusted EBITDA as EBITDA adjusted to exclude realignment costs, acquisition related costs, change in fair value of finance receivables, goodwill impairment charge, gain on debt extinguishment, acceleration of non-cash stock-based compensation, one-time IPO related non-cash revaluation of preferred stock warrant and other costs, which primarily relate to the impairment of long-lived assets. Changes in fair value of finance receivables can fluctuate significantly from period to period and relate primarily to historical loans and debt which have been securitized, and acquired on February 1, 2022 from UACC. Our ongoing business model is to originate or purchase finance receivables with the intent to sell which we recognize at the lower of cost or fair value. Therefore, these historical finance receivables acquired, which are accounted for under the fair value option, will experience fluctuations in value from period to period. We believe it is appropriate to remove this temporary volatility from our Adjusted EBITDA results to better reflect our ongoing business model. Additionally, these historical finance receivables acquired from UACC are expected to run-off within approximately 12 months. We calculate Adjusted EBITDA excluding securitization gain as Adjusted EBITDA adjusted to exclude the securitization gain from the sale of UACC's finance receivables as it provides a useful perspective on the underlying operating results and trends as well as a means to compare our period-over-period results. The following table presents a reconciliation of EBITDA, Adjusted EBITDA, and Adjusted EBITDA excluding securitization gain to net loss, which is the most directly comparable U.S. GAAP measure: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4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6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(451,910 )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(370,911 )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(202,799 )</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9,656</w:t>
            </w:r>
          </w:p>
        </w:tc>
        <w:tc>
          <w:tcPr>
            <w:tcW w:w="100" w:type="dxa"/>
            <w:vAlign w:val="bottom"/>
            <w:shd w:val="clear" w:color="auto" w:fill="CFF0FC"/>
          </w:tcPr>
          <w:p>
            <w:pPr>
              <w:spacing w:after="0"/>
              <w:rPr>
                <w:sz w:val="19"/>
                <w:szCs w:val="19"/>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(19,363 )</w:t>
            </w:r>
          </w:p>
        </w:tc>
        <w:tc>
          <w:tcPr>
            <w:tcW w:w="1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(10,341 )</w:t>
            </w: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(5,896 )</w:t>
            </w:r>
          </w:p>
        </w:tc>
      </w:tr>
      <w:tr>
        <w:trPr>
          <w:trHeight w:val="22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 provision for income taxes</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(19,680 )</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9"/>
                <w:szCs w:val="19"/>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38,707</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13,215</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w:t>
            </w:r>
          </w:p>
        </w:tc>
        <w:tc>
          <w:tcPr>
            <w:tcW w:w="100" w:type="dxa"/>
            <w:vAlign w:val="bottom"/>
          </w:tcPr>
          <w:p>
            <w:pPr>
              <w:spacing w:after="0"/>
              <w:rPr>
                <w:sz w:val="19"/>
                <w:szCs w:val="19"/>
                <w:color w:val="auto"/>
              </w:rPr>
            </w:pPr>
          </w:p>
        </w:tc>
      </w:tr>
      <w:tr>
        <w:trPr>
          <w:trHeight w:val="263"/>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(411,553 )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(345,335 )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(194,301 )</w:t>
            </w:r>
          </w:p>
        </w:tc>
      </w:tr>
      <w:tr>
        <w:trPr>
          <w:trHeight w:val="210"/>
        </w:trPr>
        <w:tc>
          <w:tcPr>
            <w:tcW w:w="64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Realignment costs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15,025</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2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related costs</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CFF0FC"/>
          </w:tcPr>
          <w:p>
            <w:pPr>
              <w:spacing w:after="0"/>
              <w:rPr>
                <w:sz w:val="19"/>
                <w:szCs w:val="19"/>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Change in fair value of finance receivables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8,372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impairment charge</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201,703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Gain on debt extinguishment</w:t>
            </w:r>
          </w:p>
        </w:tc>
        <w:tc>
          <w:tcPr>
            <w:tcW w:w="3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(164,684 )</w:t>
            </w:r>
          </w:p>
        </w:tc>
        <w:tc>
          <w:tcPr>
            <w:tcW w:w="12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Acceleration of non-cash stock-based compensation</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FF0FC"/>
          </w:tcPr>
          <w:p>
            <w:pPr>
              <w:spacing w:after="0"/>
              <w:rPr>
                <w:sz w:val="19"/>
                <w:szCs w:val="19"/>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One-time IPO related non-cash revaluation of preferred stock warrant</w:t>
            </w:r>
          </w:p>
        </w:tc>
        <w:tc>
          <w:tcPr>
            <w:tcW w:w="3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20,470</w:t>
            </w:r>
          </w:p>
        </w:tc>
        <w:tc>
          <w:tcPr>
            <w:tcW w:w="100" w:type="dxa"/>
            <w:vAlign w:val="bottom"/>
          </w:tcPr>
          <w:p>
            <w:pPr>
              <w:spacing w:after="0"/>
              <w:rPr>
                <w:sz w:val="19"/>
                <w:szCs w:val="19"/>
                <w:color w:val="auto"/>
              </w:rPr>
            </w:pPr>
          </w:p>
        </w:tc>
      </w:tr>
      <w:tr>
        <w:trPr>
          <w:trHeight w:val="229"/>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5,806</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(337,239 )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(340,245 )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(170,489 )</w:t>
            </w:r>
          </w:p>
        </w:tc>
      </w:tr>
      <w:tr>
        <w:trPr>
          <w:trHeight w:val="20"/>
        </w:trPr>
        <w:tc>
          <w:tcPr>
            <w:tcW w:w="6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Securitization gain</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(45,589 )</w:t>
            </w: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4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Adjusted EBITDA excluding securitization gain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(382,828 )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(340,245 )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(170,489 )</w:t>
            </w:r>
          </w:p>
        </w:tc>
      </w:tr>
      <w:tr>
        <w:trPr>
          <w:trHeight w:val="20"/>
        </w:trPr>
        <w:tc>
          <w:tcPr>
            <w:tcW w:w="6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-1694815</wp:posOffset>
            </wp:positionV>
            <wp:extent cx="212344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23440" cy="17145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-504825</wp:posOffset>
            </wp:positionV>
            <wp:extent cx="76835"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-504825</wp:posOffset>
            </wp:positionV>
            <wp:extent cx="68580" cy="17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79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-179070</wp:posOffset>
            </wp:positionV>
            <wp:extent cx="76835"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-179070</wp:posOffset>
            </wp:positionV>
            <wp:extent cx="68580"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220" w:lineRule="exact"/>
        <w:rPr>
          <w:sz w:val="20"/>
          <w:szCs w:val="20"/>
          <w:color w:val="auto"/>
        </w:rPr>
      </w:pPr>
    </w:p>
    <w:p>
      <w:pPr>
        <w:ind w:right="380" w:firstLine="761"/>
        <w:spacing w:after="0" w:line="245"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convert visitors to our platform into customers and source vehicles from consumers</w:t>
      </w:r>
    </w:p>
    <w:p>
      <w:pPr>
        <w:spacing w:after="0" w:line="220" w:lineRule="exact"/>
        <w:rPr>
          <w:sz w:val="20"/>
          <w:szCs w:val="20"/>
          <w:color w:val="auto"/>
        </w:rPr>
      </w:pPr>
    </w:p>
    <w:p>
      <w:pPr>
        <w:ind w:right="260" w:firstLine="761"/>
        <w:spacing w:after="0" w:line="238" w:lineRule="auto"/>
        <w:rPr>
          <w:sz w:val="20"/>
          <w:szCs w:val="20"/>
          <w:color w:val="auto"/>
        </w:rPr>
      </w:pPr>
      <w:r>
        <w:rPr>
          <w:rFonts w:ascii="Arial" w:cs="Arial" w:eastAsia="Arial" w:hAnsi="Arial"/>
          <w:sz w:val="18"/>
          <w:szCs w:val="18"/>
          <w:color w:val="auto"/>
        </w:rPr>
        <w:t>The quality of the customer experience on our ecommerce platform is critical to our ability to attract new visitors to our platform, convert such visitors into customers and increase repeat customers, as well as our ability to acquire vehicles directly from consumers. Our ability to drive higher customer conversion and increased consumer sourcing depends on our ability to make our platform a compelling choice for consumers based on our functionalities and consumer offerings.</w:t>
      </w:r>
    </w:p>
    <w:p>
      <w:pPr>
        <w:spacing w:after="0" w:line="190" w:lineRule="exact"/>
        <w:rPr>
          <w:sz w:val="20"/>
          <w:szCs w:val="20"/>
          <w:color w:val="auto"/>
        </w:rPr>
      </w:pPr>
    </w:p>
    <w:p>
      <w:pPr>
        <w:ind w:right="300" w:firstLine="761"/>
        <w:spacing w:after="0"/>
        <w:rPr>
          <w:sz w:val="20"/>
          <w:szCs w:val="20"/>
          <w:color w:val="auto"/>
        </w:rPr>
      </w:pPr>
      <w:r>
        <w:rPr>
          <w:rFonts w:ascii="Arial" w:cs="Arial" w:eastAsia="Arial" w:hAnsi="Arial"/>
          <w:sz w:val="18"/>
          <w:szCs w:val="18"/>
          <w:color w:val="auto"/>
        </w:rPr>
        <w:t>Data science and experimentation drive decision making across all of our conversion and sourcing efforts. By analyzing the data generated by the millions of visitors and tens of thousands of transactions on our platform, and continually testing strategies to maximize conversion rates, we form a better understanding of consumer preferences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try to create a more tailored ecommerce experience for consumers looking to purchase vehicles. Similarly, for consumers looking to sell vehicles to us, we use a vast set of data and data science, to provide an automated pricing platform that delivers real time, market-driven appraisals, and continually experiment and test in order to further refine our approach to enhance the customer experience and drive increased vehicle purchases.</w:t>
      </w:r>
    </w:p>
    <w:p>
      <w:pPr>
        <w:spacing w:after="0" w:line="190"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Increased conversion and consumer sourcing also depends on our ability to provide the necessary customer support and sales support. Our ongoing investment in our customer experience operations includes investments in processes, technology, and data science. We are continuing to invest in our processes, including optimizing our sales channels using internal and outsourced resources, in order to remove friction and increase transaction flow, and in technology and data science to automate and improve our customer experience, reduce costs per transaction and to drive conversion and consumer sourcing.</w:t>
      </w:r>
    </w:p>
    <w:p>
      <w:pPr>
        <w:spacing w:after="0" w:line="192"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As part of our long-term roadmap and in response to a significant staff reduction by our primary third-party telephone sales support provider, we have been building our in-house sales team, have ceased using such third-party telephone sales provider and have meaningfully increased the level of sales supported internally, which we believe will improve our customer experience, and lower our selling costs. However, these reductions negatively impacted our sales volume in the second half of 2022 and is expected to have an impact on our unit sales volume in the first quarter of 2023 as we transition away from the third-party provider. Nevertheless, we do not expect this transition to have a long-term impact on our sales volume, or financial condition and results of operations as we reduce costs by expanding our internal sales force and leveraging our existing relationships with other sales partners, consistent with our long-term strategy to optimize our cost structure.</w:t>
      </w:r>
    </w:p>
    <w:p>
      <w:pPr>
        <w:spacing w:after="0" w:line="192" w:lineRule="exact"/>
        <w:rPr>
          <w:sz w:val="20"/>
          <w:szCs w:val="20"/>
          <w:color w:val="auto"/>
        </w:rPr>
      </w:pPr>
    </w:p>
    <w:p>
      <w:pPr>
        <w:ind w:right="20" w:firstLine="761"/>
        <w:spacing w:after="0" w:line="250" w:lineRule="auto"/>
        <w:rPr>
          <w:sz w:val="20"/>
          <w:szCs w:val="20"/>
          <w:color w:val="auto"/>
        </w:rPr>
      </w:pPr>
      <w:r>
        <w:rPr>
          <w:rFonts w:ascii="Arial" w:cs="Arial" w:eastAsia="Arial" w:hAnsi="Arial"/>
          <w:sz w:val="17"/>
          <w:szCs w:val="17"/>
          <w:color w:val="auto"/>
        </w:rPr>
        <w:t>In order to address the operational challenges created by our prior rapid growth from 2020 through the first quarter of 2022, including delays in titling and registering vehicles purchased by our customers, we have undertaken various initiatives. These initiatives include increased digitization and electronic transmission of transaction documents and implementation of our digital title vault to ensure that titles are quality checked and vaulted in Vroom's name prior to listing of vehicles on our website. While these initiatives are designed to improve our transaction processing, enhance our customer experience, and reduce our regulatory risk, they have resulted in delays in listing vehicles for sale, which increased the number of days between our acquisition of vehicles and the final delivery of such vehicles to customers. As we improve the customer experience and drive efficiency in transaction processing, we expect that we will attract more visitors, improve conversion, drive greater sales and continue to source vehicles from consumers. If we cannot manage our growth effectively to maintain the quality and efficiency of our customers’ experience, our business, financial condition and results of operations could be materially and adversely affected. See “</w:t>
      </w:r>
      <w:r>
        <w:rPr>
          <w:rFonts w:ascii="Arial" w:cs="Arial" w:eastAsia="Arial" w:hAnsi="Arial"/>
          <w:sz w:val="17"/>
          <w:szCs w:val="17"/>
          <w:i w:val="1"/>
          <w:iCs w:val="1"/>
          <w:color w:val="auto"/>
        </w:rPr>
        <w:t>Risks Related to Our Growth and Strategy—Our prior rapid growth is not indicative of our short-term</w:t>
      </w:r>
      <w:r>
        <w:rPr>
          <w:rFonts w:ascii="Arial" w:cs="Arial" w:eastAsia="Arial" w:hAnsi="Arial"/>
          <w:sz w:val="17"/>
          <w:szCs w:val="17"/>
          <w:color w:val="auto"/>
        </w:rPr>
        <w:t xml:space="preserve"> </w:t>
      </w:r>
      <w:r>
        <w:rPr>
          <w:rFonts w:ascii="Arial" w:cs="Arial" w:eastAsia="Arial" w:hAnsi="Arial"/>
          <w:sz w:val="17"/>
          <w:szCs w:val="17"/>
          <w:i w:val="1"/>
          <w:iCs w:val="1"/>
          <w:color w:val="auto"/>
        </w:rPr>
        <w:t>strategy under our long-term roadmap and, if and when we return to rapid growth, we may not be able to manage our growth effectively.</w:t>
      </w:r>
      <w:r>
        <w:rPr>
          <w:rFonts w:ascii="Arial" w:cs="Arial" w:eastAsia="Arial" w:hAnsi="Arial"/>
          <w:sz w:val="17"/>
          <w:szCs w:val="17"/>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the mix of inventory sources to drive increased gross profit and improvements to our unit economics</w:t>
      </w:r>
    </w:p>
    <w:p>
      <w:pPr>
        <w:spacing w:after="0" w:line="220" w:lineRule="exact"/>
        <w:rPr>
          <w:sz w:val="20"/>
          <w:szCs w:val="20"/>
          <w:color w:val="auto"/>
        </w:rPr>
      </w:pPr>
    </w:p>
    <w:p>
      <w:pPr>
        <w:ind w:right="20" w:firstLine="761"/>
        <w:spacing w:after="0" w:line="251" w:lineRule="auto"/>
        <w:rPr>
          <w:sz w:val="20"/>
          <w:szCs w:val="20"/>
          <w:color w:val="auto"/>
        </w:rPr>
      </w:pPr>
      <w:r>
        <w:rPr>
          <w:rFonts w:ascii="Arial" w:cs="Arial" w:eastAsia="Arial" w:hAnsi="Arial"/>
          <w:sz w:val="17"/>
          <w:szCs w:val="17"/>
          <w:color w:val="auto"/>
        </w:rPr>
        <w:t>Improving unit economics and driving increased gross profit requires a number of important capabilities, including the ability to finance the acquisition of inventory at competitive rates, source high quality vehicles across various acquisition channels nationwide, secure adequate reconditioning capacity and execute effective marketing strategies to increase consumer sourcing. In addition, our ability to accurately forecast pricing and consumer demand for specific types of vehicles is critical to sourcing high quality, high-demand vehicles, as well as lower-price-point vehicles to take advantage of the expanded sales opportunities to customers across the credit spectrum enabled by the UACC Acquisition. The ability to source the optimal mix of quality inventory will be a key driver as we believe the availability of lower price point used vehicles will continue to be constrained. This ability is enabled by our data science capabilities that leverage the growing amount of data at our disposal and generate predictive data analytics that fine-tune our supply and sourcing models. As we continue to invest in our operational efficiency and data science, we expect that we will improve our unit economics and in turn drive increased gross profit.</w:t>
      </w:r>
    </w:p>
    <w:p>
      <w:pPr>
        <w:spacing w:after="0" w:line="183"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While lower new vehicle prices generally reduce the price of used vehicles, and therefore, reduce our cost of acquiring new inventory, in 2022 lower prices negatively impacted the value of our inventory. This dynamic has had, and may in the future have, a negative impact on gross profit. For example, while overall inventory reserve decreased from 2021 to 2022 as a result of lower inventory levels, the decrease was partially offset by higher reserves related to our aged inventory and a $3.7 million additional reserve for recent electric vehicle OEM price decreases.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80" w:firstLine="761"/>
        <w:spacing w:after="0" w:line="236" w:lineRule="auto"/>
        <w:rPr>
          <w:sz w:val="20"/>
          <w:szCs w:val="20"/>
          <w:color w:val="auto"/>
        </w:rPr>
      </w:pPr>
      <w:r>
        <w:rPr>
          <w:rFonts w:ascii="Arial" w:cs="Arial" w:eastAsia="Arial" w:hAnsi="Arial"/>
          <w:sz w:val="18"/>
          <w:szCs w:val="18"/>
          <w:color w:val="auto"/>
        </w:rPr>
        <w:t>We strategically source inventory from consumers, auctions, rental car companies, OEMs and dealers. For the years ended December 31, 2022 and 2021, vehicles sourced from consumers represent approximately 80% and 69% of our retail inventory sold, respectively. Because the quality of vehicles and associated gross margin profile vary across each channel, the mix of inventory sources has an impact on our profitability. We continually evaluate the optimal mix of sourcing channels and strive to source vehicles in a way that generates the highest sales margins and shortest inventory turns in order to maximize our average gross profit per unit and improve our unit economics. For example, purchasing vehicles at third-party auctions is competitive and, consequently, vehicle prices at third-party auctions tend to be higher than vehicle prices for vehicles sourced directly from consumers. Accordingly, as part of our sourcing strategy, we have strategically increased the percentage of vehicle sales that we source from consumers.</w:t>
      </w:r>
    </w:p>
    <w:p>
      <w:pPr>
        <w:spacing w:after="0" w:line="192"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As we continue to make progress on our initiatives to address the operational challenges created by our prior rapid growth from 2020 through the first quarter of 2022, a higher portion of our unit sales in the fourth quarter of 2022 was from aged inventory as we obtained titles for vehicles not previously listed for sale, which negatively impacted our sales margin (sales price less purchase price of vehicles sold) and GPPU. These aged units impacted our sales margin by approximately $4.0 million and vehicle GPPU decreased to a loss of $1,346 in the fourth quarter of 2022. We expect to sell through our aged inventory in the first half of 2023 and, coupled with the industry-wide decline in used vehicle prices, we expect this to continue to negatively impact our sales margin and GPPU.</w:t>
      </w:r>
    </w:p>
    <w:p>
      <w:pPr>
        <w:spacing w:after="0" w:line="189" w:lineRule="exact"/>
        <w:rPr>
          <w:sz w:val="20"/>
          <w:szCs w:val="20"/>
          <w:color w:val="auto"/>
        </w:rPr>
      </w:pPr>
    </w:p>
    <w:p>
      <w:pPr>
        <w:jc w:val="both"/>
        <w:ind w:right="200" w:firstLine="761"/>
        <w:spacing w:after="0"/>
        <w:rPr>
          <w:sz w:val="20"/>
          <w:szCs w:val="20"/>
          <w:color w:val="auto"/>
        </w:rPr>
      </w:pPr>
      <w:r>
        <w:rPr>
          <w:rFonts w:ascii="Arial" w:cs="Arial" w:eastAsia="Arial" w:hAnsi="Arial"/>
          <w:sz w:val="18"/>
          <w:szCs w:val="18"/>
          <w:color w:val="auto"/>
        </w:rPr>
        <w:t>In the latter half of 2022, we began inspecting consumer sourced vehicles and making real time adjustments to acquisition pricing as a result of our scaling proprietary logistics operation, which we expect will provide improvements to our overall gross profit per unit over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our reconditioning capacity</w:t>
      </w:r>
    </w:p>
    <w:p>
      <w:pPr>
        <w:spacing w:after="0" w:line="220" w:lineRule="exact"/>
        <w:rPr>
          <w:sz w:val="20"/>
          <w:szCs w:val="20"/>
          <w:color w:val="auto"/>
        </w:rPr>
      </w:pPr>
    </w:p>
    <w:p>
      <w:pPr>
        <w:ind w:right="160" w:firstLine="761"/>
        <w:spacing w:after="0" w:line="237" w:lineRule="auto"/>
        <w:rPr>
          <w:sz w:val="20"/>
          <w:szCs w:val="20"/>
          <w:color w:val="auto"/>
        </w:rPr>
      </w:pPr>
      <w:r>
        <w:rPr>
          <w:rFonts w:ascii="Arial" w:cs="Arial" w:eastAsia="Arial" w:hAnsi="Arial"/>
          <w:sz w:val="18"/>
          <w:szCs w:val="18"/>
          <w:color w:val="auto"/>
        </w:rPr>
        <w:t>Before a vehicle is listed for retail sale on our platform, it undergoes a thorough reconditioning process in order to meet our Vroom retail sales criteria. The efficiency of this reconditioning process is a key element in our ability to grow profitably. Our ability to recondition purchased vehicles to our quality standards is a critical component of our business. Historically, we have successfully increased our reconditioning capacity as our business has grown, and our future success will depend on our ability to continue to optimize our reconditioning capacity to satisfy customer demand, maximize profitability, and enhance the customer experience.</w:t>
      </w:r>
    </w:p>
    <w:p>
      <w:pPr>
        <w:spacing w:after="0" w:line="192" w:lineRule="exact"/>
        <w:rPr>
          <w:sz w:val="20"/>
          <w:szCs w:val="20"/>
          <w:color w:val="auto"/>
        </w:rPr>
      </w:pPr>
    </w:p>
    <w:p>
      <w:pPr>
        <w:ind w:firstLine="761"/>
        <w:spacing w:after="0" w:line="235" w:lineRule="auto"/>
        <w:rPr>
          <w:sz w:val="20"/>
          <w:szCs w:val="20"/>
          <w:color w:val="auto"/>
        </w:rPr>
      </w:pPr>
      <w:r>
        <w:rPr>
          <w:rFonts w:ascii="Arial" w:cs="Arial" w:eastAsia="Arial" w:hAnsi="Arial"/>
          <w:sz w:val="18"/>
          <w:szCs w:val="18"/>
          <w:color w:val="auto"/>
        </w:rPr>
        <w:t>We employ a hybrid approach that combines the use of our proprietary vehicle reconditioning center ("VRC") and VRCs primarily operated by a single third-party provider to best meet our reconditioning needs. We intend to optimize reconditioning capacity and operational efficiency through third-party VRC locations and additional proprietary VRCs. Our use of third-party VRCs to recondition vehicles allows us to avoid additional capital expenditures, quickly adjust capacity, maintain greater operational flexibility and broaden our geographic footprint to drive lower logistics costs. Proprietary VRCs will enable us to have increased control over our reconditioning operations, ensure adequate capacity, optimize our end-to-end supply chain and support our regional operating model. In February 2022, Adesa, one of our third-party VRC providers and host of a number of our last-mile hubs, communicated its intent to discontinue its third-party reconditioning services with us as it was being acquired by a competitor. We replaced Adesa's capacity with capacity at our other existing provider. During 2022, we took action to right-size the staffing of our proprietary reconditioning operations as well as optimize the number of third-party reconditioning partner locations to align with our reduced unit sales volume, resulting in a reduction in headcount. We also relocated our reconditioning facility from Stafford, Texas to the former service center at the TDA store location which we believe better aligns our proprietary reconditioning operations in the Houston market with our reduced unit sales volume, reduces our lease and operating expenses and provides an improved work environment for our employees.</w:t>
      </w:r>
    </w:p>
    <w:p>
      <w:pPr>
        <w:spacing w:after="0" w:line="197" w:lineRule="exact"/>
        <w:rPr>
          <w:sz w:val="20"/>
          <w:szCs w:val="20"/>
          <w:color w:val="auto"/>
        </w:rPr>
      </w:pPr>
    </w:p>
    <w:p>
      <w:pPr>
        <w:ind w:right="220" w:firstLine="761"/>
        <w:spacing w:after="0" w:line="237" w:lineRule="auto"/>
        <w:rPr>
          <w:sz w:val="20"/>
          <w:szCs w:val="20"/>
          <w:color w:val="auto"/>
        </w:rPr>
      </w:pPr>
      <w:r>
        <w:rPr>
          <w:rFonts w:ascii="Arial" w:cs="Arial" w:eastAsia="Arial" w:hAnsi="Arial"/>
          <w:sz w:val="18"/>
          <w:szCs w:val="18"/>
          <w:color w:val="auto"/>
        </w:rPr>
        <w:t>Our existing facilities in the Atlanta area provide us with the space and opportunity to develop a secondary proprietary VRC in the future, depending on our future reconditioning needs. Going forward, we will continue to seek to optimize the combination of strategic and geographically dispersed proprietary and third-party VRCs. We will continue to leverage our data science and deep industry experience to strategically select VRC locations where we believe there is the highest supply and demand for our vehicles and enable us to leverage a regional operating model.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our logistics network</w:t>
      </w:r>
    </w:p>
    <w:p>
      <w:pPr>
        <w:spacing w:after="0" w:line="220" w:lineRule="exact"/>
        <w:rPr>
          <w:sz w:val="20"/>
          <w:szCs w:val="20"/>
          <w:color w:val="auto"/>
        </w:rPr>
      </w:pPr>
    </w:p>
    <w:p>
      <w:pPr>
        <w:ind w:right="260" w:firstLine="761"/>
        <w:spacing w:after="0"/>
        <w:rPr>
          <w:sz w:val="20"/>
          <w:szCs w:val="20"/>
          <w:color w:val="auto"/>
        </w:rPr>
      </w:pPr>
      <w:r>
        <w:rPr>
          <w:rFonts w:ascii="Arial" w:cs="Arial" w:eastAsia="Arial" w:hAnsi="Arial"/>
          <w:sz w:val="18"/>
          <w:szCs w:val="18"/>
          <w:color w:val="auto"/>
        </w:rPr>
        <w:t>As we scaled our business, we not only added proprietary line-haul capability, but also built our third-party logistics network nationwide through the development of strategic carrier arrangements with national haulers and the consolidation of our carrier base into a smaller number of carriers in dedicated operating regions. We expect that these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enhanced logistics operations, combined with the expansion of strategically located VRCs, will drive efficiency in our logistics operations. We have been accelerating our strategy to optimize our hybrid approach by focusing on improving the quality and reliability of our logistics operations. Specifically, we have prioritized investment in our last mile hub delivery operations, where we can have the greatest impact on the customer experience, including by investing in short-haul vehicles to make regional deliveries from our last mile hubs, and line-haul vehicles for hub-to-hub shipments on high-volume routes. We are also continuing to invest in our processes and technology to remove inefficiencies and increase automation. We took action to optimize our proprietary logistics operations in order to align with reduced unit sales volume, which resulted in a reduction in headcount, as well as the restructuring of our network of logistics operations. Consistent with our long-term roadmap and the continued development of our regional operating model, we intend to continue to strategically combine the operation of our proprietary fleet with the use of third-party carriers, as well as synchronize our end-to -end supply chain to increase sales velocity and optimize flow of our inventory. We plan to reduce the number of miles our vehicles travel and lower our inbound and outbound transportation costs using our regional operating model. We believe these initiatives will enable us to reduce logistics costs per mile, improve our inventory turnover and provide the highest level of customer service. We expect that optimizing our logistics network through this hybrid approach will result in improved unit economics, increased profitability and an enhanced customer experience.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leverage a regional operating model</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As we scaled our business, we achieved a national presence and brand that provides a significant competitive advantage versus local and regional dealers, and has enabled us to take advantage of efficiencies and lower costs of national brand advertising. Our national vehicle operations enable us to leverage a regional operating model, which is designed to reduce our operating expenses, increase our operating leverage and improve our unit economics, while also enhancing our customer experience. The regional operating model will increasingly enhance our approach to each component of our vehicle operations. We believe the efficiencies and cost savings expected to be achieved through the regional operating model will be important components of our path to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develop and manage our financing capabilities</w:t>
      </w:r>
    </w:p>
    <w:p>
      <w:pPr>
        <w:spacing w:after="0" w:line="220" w:lineRule="exact"/>
        <w:rPr>
          <w:sz w:val="20"/>
          <w:szCs w:val="20"/>
          <w:color w:val="auto"/>
        </w:rPr>
      </w:pPr>
    </w:p>
    <w:p>
      <w:pPr>
        <w:ind w:right="40" w:firstLine="761"/>
        <w:spacing w:after="0" w:line="236" w:lineRule="auto"/>
        <w:rPr>
          <w:sz w:val="20"/>
          <w:szCs w:val="20"/>
          <w:color w:val="auto"/>
        </w:rPr>
      </w:pPr>
      <w:r>
        <w:rPr>
          <w:rFonts w:ascii="Arial" w:cs="Arial" w:eastAsia="Arial" w:hAnsi="Arial"/>
          <w:sz w:val="18"/>
          <w:szCs w:val="18"/>
          <w:color w:val="auto"/>
        </w:rPr>
        <w:t>Revenue earned on vehicle financing, both through our continued partnerships with third-party lenders and the development of our captive financing capabilities, present an opportunity to grow our business and drive profitability. Strategic partnerships with lenders such as Chase, Ally Financial and Capital One provide enhanced revenue streams for us, as well as offering convenience, assurance and efficiency for our customers and have contributed to improvements in Product GPPU. In addition, the acquisition of UACC in February 2022 has enabled us to expand our offerings across the credit spectrum and accelerate the development of our captive financing operation, which is one of the key strategic initiatives under our long-term roadmap. We expect to develop UACC into a full captive financing arm with disciplined lending expertise, which would enable us to increase our ecommerce unit sales, expand our penetration into sales to customers across the credit spectrum and improve our unit economics.</w:t>
      </w:r>
    </w:p>
    <w:p>
      <w:pPr>
        <w:spacing w:after="0" w:line="192"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While credit losses are inherent in the automotive finance receivables business, several variables have affected UACC’s recent loss and delinquency rates, including rising interest rates, the current inflationary environment and vehicle depreciation. UACC is currently experiencing higher loss severity on its finance receivables, which has negatively impacted the fair value of our finance receivables and the losses recognized during 2022. Higher than anticipated credit losses may continue to negatively impact our business during 2023, especially due to the fact that UACC primarily operates in the sub-prime sector of the market which is expected to have more volatility.</w:t>
      </w:r>
    </w:p>
    <w:p>
      <w:pPr>
        <w:spacing w:after="0" w:line="192" w:lineRule="exact"/>
        <w:rPr>
          <w:sz w:val="20"/>
          <w:szCs w:val="20"/>
          <w:color w:val="auto"/>
        </w:rPr>
      </w:pPr>
    </w:p>
    <w:p>
      <w:pPr>
        <w:ind w:right="40" w:firstLine="761"/>
        <w:spacing w:after="0" w:line="245" w:lineRule="auto"/>
        <w:rPr>
          <w:sz w:val="20"/>
          <w:szCs w:val="20"/>
          <w:color w:val="auto"/>
        </w:rPr>
      </w:pPr>
      <w:r>
        <w:rPr>
          <w:rFonts w:ascii="Arial" w:cs="Arial" w:eastAsia="Arial" w:hAnsi="Arial"/>
          <w:sz w:val="18"/>
          <w:szCs w:val="18"/>
          <w:color w:val="auto"/>
        </w:rPr>
        <w:t>Furthermore, advance rates available to UACC on borrowings from the Warehouse Credit Facilities may decrease as a result of the increasing credit losses in UACC's portfolio and overall rising interest rates, which may in turn have adverse impact on our liquidity.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securitize UACC's loan portfolio</w:t>
      </w:r>
    </w:p>
    <w:p>
      <w:pPr>
        <w:spacing w:after="0" w:line="220"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The success of UACC's business is highly dependent on the ability to securitize and sell the automotive finance receivables that it underwrites. As a result of increasing interest rates, the current inflationary environment and vehicle depreciation in the used automotive industry, UACC is experiencing higher loss severity in a soft securitization market. As a result, UACC may not be able to sell the subordinate notes or residual certificates issued in the securitizations at a favorable price or at all.</w:t>
      </w:r>
    </w:p>
    <w:p>
      <w:pPr>
        <w:spacing w:after="0" w:line="190"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We intend to structure UACC's securitizations to achieve off-balance sheet treatment. However, if UACC fails to sell the residual interests, it will preclude us from recognizing the sale and result in the securitization trust being consolidated and remaining on balance sheet. In addition, the increased loss severity could lead to reduced servicing income if UACC elects to waive monthly servicing fees going forward as it did in January. The waiver of servicing fees on prior off-balance sheet securitizations could result in consolidation of the related finance receivables and securitization debt on Vroom’s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increase and better monetize value-added products</w:t>
      </w:r>
    </w:p>
    <w:p>
      <w:pPr>
        <w:spacing w:after="0" w:line="220"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We generate revenue by earning fees for selling value-added products to customers in connection with vehicle sales. Currently, our other third-party value-added product offerings consist of protection products, such as vehicle service contracts, GAP protection and tire and wheel coverage. Our offering of value-added products in addition to vehicle financing is an integral part of providing a seamless vehicle-buying experience to our customers. We sell our protection products through our strategic relationships with third parties who bear the incremental risks associated with the underwriting of such protection products. Because we are paid fees on value-added products we sell, our gross profit is equal to the revenue we generate on such sales. As a result, such sales help drive total gross profit per unit.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While 2021 and the first half of 2022 did not follow typical market depreciation trends, with continued appreciation in used vehicle pricing throughout that period, there was a shift in the third quarter of 2022 to above average depreciation as compared to pre-pandemic levels. While there remains continued uncertainty surrounding market trends, the current economic outlook forecasts a return to historical seasonal trends in 2023. See “Risk Factors—Risks Related to Our Financial Condition and Results of Operations—We may experience seasonal and other fluctuations in our quarterly results of operations, which may not fully reflect the underlying performance of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Factors</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Both the United States and global economies are experiencing a sustained inflationary environment and the Federal Reserve’s efforts to tame inflation have led to, and may continue to lead to, increased interest rates, which affects automotive finance rates, reducing discretionary spending and making vehicle financing more costly and less accessible to many consumers. In addition, many economists believe the global economy will experience a recessionary environment in 2023. Moreover, Russia’s invasion of Ukraine and resulting sanctions by the United States, European Union and other countries has increased global economic and political uncertainty, which has caused dramatic fluctuations in global financial markets and uncertainty about world-wide oil supply and demand, which in turn has increased the volatility of oil and natural gas prices. A significant escalation or expansion of economic disruption could continue to impact consumer spending, disrupt our supply chain, broaden inflationary costs, and could have a material adverse effect on our results of operations. We will continue to actively monitor and develop responses to these disruptions, but depending on duration and severity, these trends could continue to negatively impact our business in 2023.</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vehicle revenue</w:t>
      </w:r>
    </w:p>
    <w:p>
      <w:pPr>
        <w:spacing w:after="0" w:line="216" w:lineRule="exact"/>
        <w:rPr>
          <w:sz w:val="20"/>
          <w:szCs w:val="20"/>
          <w:color w:val="auto"/>
        </w:rPr>
      </w:pPr>
    </w:p>
    <w:p>
      <w:pPr>
        <w:jc w:val="both"/>
        <w:ind w:firstLine="761"/>
        <w:spacing w:after="0"/>
        <w:rPr>
          <w:sz w:val="20"/>
          <w:szCs w:val="20"/>
          <w:color w:val="auto"/>
        </w:rPr>
      </w:pPr>
      <w:r>
        <w:rPr>
          <w:rFonts w:ascii="Arial" w:cs="Arial" w:eastAsia="Arial" w:hAnsi="Arial"/>
          <w:sz w:val="18"/>
          <w:szCs w:val="18"/>
          <w:color w:val="auto"/>
        </w:rPr>
        <w:t>We sell retail vehicles through both our ecommerce platform and TDA. Revenue from vehicle sales, including any delivery charges, is recognized when vehicles are delivered to the customers or picked up at our TDA retail location, net of a reserve for estimated returns. The number of units sold and the average selling price (“ASP”) per unit are the primary factors impacting our retail revenue stream.</w:t>
      </w:r>
    </w:p>
    <w:p>
      <w:pPr>
        <w:spacing w:after="0" w:line="188" w:lineRule="exact"/>
        <w:rPr>
          <w:sz w:val="20"/>
          <w:szCs w:val="20"/>
          <w:color w:val="auto"/>
        </w:rPr>
      </w:pPr>
    </w:p>
    <w:p>
      <w:pPr>
        <w:ind w:right="200" w:firstLine="761"/>
        <w:spacing w:after="0"/>
        <w:rPr>
          <w:sz w:val="20"/>
          <w:szCs w:val="20"/>
          <w:color w:val="auto"/>
        </w:rPr>
      </w:pPr>
      <w:r>
        <w:rPr>
          <w:rFonts w:ascii="Arial" w:cs="Arial" w:eastAsia="Arial" w:hAnsi="Arial"/>
          <w:sz w:val="18"/>
          <w:szCs w:val="18"/>
          <w:color w:val="auto"/>
        </w:rPr>
        <w:t>The number of units sold depends on the volume of inventory and the selection of vehicles listed on our ecommerce platform, our ability to attract new customers, our brand awareness, our ability to expand our reconditioning operations and logistics network, and our ability to provide adequate sales and sales support to service our demand.</w:t>
      </w:r>
    </w:p>
    <w:p>
      <w:pPr>
        <w:spacing w:after="0" w:line="188" w:lineRule="exact"/>
        <w:rPr>
          <w:sz w:val="20"/>
          <w:szCs w:val="20"/>
          <w:color w:val="auto"/>
        </w:rPr>
      </w:pPr>
    </w:p>
    <w:p>
      <w:pPr>
        <w:ind w:right="20" w:firstLine="761"/>
        <w:spacing w:after="0" w:line="245" w:lineRule="auto"/>
        <w:rPr>
          <w:sz w:val="20"/>
          <w:szCs w:val="20"/>
          <w:color w:val="auto"/>
        </w:rPr>
      </w:pPr>
      <w:r>
        <w:rPr>
          <w:rFonts w:ascii="Arial" w:cs="Arial" w:eastAsia="Arial" w:hAnsi="Arial"/>
          <w:sz w:val="18"/>
          <w:szCs w:val="18"/>
          <w:color w:val="auto"/>
        </w:rPr>
        <w:t>ASP depends primarily on our acquisition and pricing strategies, retail used vehicle market prices, our average days to sale and our reconditioning and logistics costs.</w:t>
      </w:r>
    </w:p>
    <w:p>
      <w:pPr>
        <w:spacing w:after="0" w:line="184"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As a data-driven company, we acquire inventory based upon demand predicted by our data analytics. While we expect ASP to fluctuate in the short-term as a result of market conditions, our long-term plan is to move towards lower-priced inventory, which we expect will result in a lower ASP. The UACC Acquisition will enable us to expand our automotive financing solutions across the credit spectrum and we expect to increase our offering of lower-price-point vehicles to take advantage of those capabilities.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vehicle revenue</w:t>
      </w:r>
    </w:p>
    <w:p>
      <w:pPr>
        <w:spacing w:after="0" w:line="216" w:lineRule="exact"/>
        <w:rPr>
          <w:sz w:val="20"/>
          <w:szCs w:val="20"/>
          <w:color w:val="auto"/>
        </w:rPr>
      </w:pPr>
    </w:p>
    <w:p>
      <w:pPr>
        <w:ind w:right="80" w:firstLine="761"/>
        <w:spacing w:after="0" w:line="237" w:lineRule="auto"/>
        <w:rPr>
          <w:sz w:val="20"/>
          <w:szCs w:val="20"/>
          <w:color w:val="auto"/>
        </w:rPr>
      </w:pPr>
      <w:r>
        <w:rPr>
          <w:rFonts w:ascii="Arial" w:cs="Arial" w:eastAsia="Arial" w:hAnsi="Arial"/>
          <w:sz w:val="18"/>
          <w:szCs w:val="18"/>
          <w:color w:val="auto"/>
        </w:rPr>
        <w:t>We sell vehicles that do not meet our Vroom retail sales criteria through wholesale channels. Vehicles sold through wholesale channels are acquired from customers who trade-in their vehicles when making a purchase from us, from customers who sell their vehicle to us in direct-buy transactions, and from liquidation of vehicles previously listed for retail sale. The number of wholesale vehicles sold and the ASP per unit are the primary drivers of wholesale revenue. The ASP per unit is affected by the mix of the vehicles we acquire and general supply and demand conditions in the wholesale market.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16" w:lineRule="exact"/>
        <w:rPr>
          <w:sz w:val="20"/>
          <w:szCs w:val="20"/>
          <w:color w:val="auto"/>
        </w:rPr>
      </w:pPr>
    </w:p>
    <w:p>
      <w:pPr>
        <w:ind w:right="180" w:firstLine="761"/>
        <w:spacing w:after="0"/>
        <w:rPr>
          <w:sz w:val="20"/>
          <w:szCs w:val="20"/>
          <w:color w:val="auto"/>
        </w:rPr>
      </w:pPr>
      <w:r>
        <w:rPr>
          <w:rFonts w:ascii="Arial" w:cs="Arial" w:eastAsia="Arial" w:hAnsi="Arial"/>
          <w:sz w:val="18"/>
          <w:szCs w:val="18"/>
          <w:color w:val="auto"/>
        </w:rPr>
        <w:t>We generate revenue by earning fees on sales of third-party financing, financing vehicle sales through UACC, and sales of value-added products to our customers in connection with vehicle sales, such as vehicle service contracts, GAP protection and tire and wheel coverage.</w:t>
      </w:r>
    </w:p>
    <w:p>
      <w:pPr>
        <w:spacing w:after="0" w:line="188"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We earn fees on third-party financing and value-added products pursuant to arrangements with the third parties that sell and administer these products. For accounting purposes, we are an agent for these transactions and, as a result, we recognize fees on a net basis when the customer enters into an arrangement to purchase these products or obtain third-party financing, which is typically at the time of a vehicle sale. Our gross profit on product revenue is equal to the revenue we generate. Product revenue is affected by the number of vehicles sold, the attachment rate of value-added products and the amount of fees we receive on each product. Product revenue also consists of estimated profit-sharing amounts to which we are entitled based on the performance of third-party protection products once a required claims period has passed. A portion of the fees we receive is subject to chargeback in the event of early termination, default, or prepayment of the contracts by our customers. We recognize product revenue net of reserves for estimated chargebacks.</w:t>
      </w:r>
    </w:p>
    <w:p>
      <w:pPr>
        <w:spacing w:after="0" w:line="192"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 xml:space="preserve">As a result of the UACC Acquisition, we also generate ecommerce product revenue from receivables generated by financing provided to Vroom customers through our captive financing operation. We earn interest income on such finance receivables and receive proceeds from the sale of such finance receivables in securitization transactions or forward flow arrangements. We account for sales of these finance receivables in accordance with ASC Topic 860, </w:t>
      </w:r>
      <w:r>
        <w:rPr>
          <w:rFonts w:ascii="Arial" w:cs="Arial" w:eastAsia="Arial" w:hAnsi="Arial"/>
          <w:sz w:val="18"/>
          <w:szCs w:val="18"/>
          <w:i w:val="1"/>
          <w:iCs w:val="1"/>
          <w:color w:val="auto"/>
        </w:rPr>
        <w:t>Transfers and Servicing of Financial Assets ("ASC 860")</w:t>
      </w:r>
      <w:r>
        <w:rPr>
          <w:rFonts w:ascii="Arial" w:cs="Arial" w:eastAsia="Arial" w:hAnsi="Arial"/>
          <w:sz w:val="18"/>
          <w:szCs w:val="18"/>
          <w:color w:val="auto"/>
        </w:rPr>
        <w:t>. In order for transfers of the finance receivables to qualify as sales, the finance receivables being transferred must be legally isolated, may not be constrained by restrictions from further transfer, and must be deemed to be beyond our control. Although our long-term plan is to structure future securitization transactions to qualify for sale accounting, similar to the 2022 securitization transactions, for which the gain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sale was recorded in “Finance revenue”, as discussed below, current market conditions may impact our ability to achieve sales accounting treatment. In January 2023, we completed the 2023-1 securitization. As a result of current market conditions, which led to unfavorable pricing, we retained the non-investment grade securities and residual interests, which will require us to account for the 2023-1 securitization as secured borrowings and remain on balance sheet pending the sale of such retained interests. Depending on market conditions, future 2023 securitizations may be accounted for as secured borrowings and remain on balance sheet. The gain on sales recorded in "Product revenue" for the year ended December 31, 2022 were immaterial. The revenue we are able to generate from these sales will be dependent on the current market conditions, the number of finance receivables UACC originates with our customers, the average principal balance of the finance receivables, the credit quality of the portfolio, and the price at which they are sold in securitization transactions or through forward flow arrangements.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revenue</w:t>
      </w:r>
    </w:p>
    <w:p>
      <w:pPr>
        <w:spacing w:after="0" w:line="216" w:lineRule="exact"/>
        <w:rPr>
          <w:sz w:val="20"/>
          <w:szCs w:val="20"/>
          <w:color w:val="auto"/>
        </w:rPr>
      </w:pPr>
    </w:p>
    <w:p>
      <w:pPr>
        <w:ind w:right="560" w:firstLine="764"/>
        <w:spacing w:after="0"/>
        <w:rPr>
          <w:sz w:val="20"/>
          <w:szCs w:val="20"/>
          <w:color w:val="auto"/>
        </w:rPr>
      </w:pPr>
      <w:r>
        <w:rPr>
          <w:rFonts w:ascii="Arial" w:cs="Arial" w:eastAsia="Arial" w:hAnsi="Arial"/>
          <w:sz w:val="18"/>
          <w:szCs w:val="18"/>
          <w:color w:val="auto"/>
        </w:rPr>
        <w:t>Our finance revenue consists of gain on the sales of finance receivables acquired by UACC from its network of third-party dealership customers, interest income earned on finance receivables, as well as interest income earned on finance receivables held in consolidated VIEs related to UACC securitization transactions consummated prior to the Acquisition Date.</w:t>
      </w:r>
    </w:p>
    <w:p>
      <w:pPr>
        <w:spacing w:after="0" w:line="188" w:lineRule="exact"/>
        <w:rPr>
          <w:sz w:val="20"/>
          <w:szCs w:val="20"/>
          <w:color w:val="auto"/>
        </w:rPr>
      </w:pPr>
    </w:p>
    <w:p>
      <w:pPr>
        <w:ind w:right="520" w:firstLine="764"/>
        <w:spacing w:after="0" w:line="245" w:lineRule="auto"/>
        <w:rPr>
          <w:sz w:val="20"/>
          <w:szCs w:val="20"/>
          <w:color w:val="auto"/>
        </w:rPr>
      </w:pPr>
      <w:r>
        <w:rPr>
          <w:rFonts w:ascii="Arial" w:cs="Arial" w:eastAsia="Arial" w:hAnsi="Arial"/>
          <w:sz w:val="18"/>
          <w:szCs w:val="18"/>
          <w:color w:val="auto"/>
        </w:rPr>
        <w:t>UACC acquires and services finance receivables from its network of third-party dealership customers and generates revenue through the sales of these financing receivables. We account for sales of finance receivables in accordance with ASC 860.</w:t>
      </w:r>
    </w:p>
    <w:p>
      <w:pPr>
        <w:spacing w:after="0" w:line="184" w:lineRule="exact"/>
        <w:rPr>
          <w:sz w:val="20"/>
          <w:szCs w:val="20"/>
          <w:color w:val="auto"/>
        </w:rPr>
      </w:pPr>
    </w:p>
    <w:p>
      <w:pPr>
        <w:jc w:val="both"/>
        <w:ind w:right="620" w:firstLine="764"/>
        <w:spacing w:after="0"/>
        <w:rPr>
          <w:sz w:val="20"/>
          <w:szCs w:val="20"/>
          <w:color w:val="auto"/>
        </w:rPr>
      </w:pPr>
      <w:r>
        <w:rPr>
          <w:rFonts w:ascii="Arial" w:cs="Arial" w:eastAsia="Arial" w:hAnsi="Arial"/>
          <w:sz w:val="18"/>
          <w:szCs w:val="18"/>
          <w:color w:val="auto"/>
        </w:rPr>
        <w:t>All securitization transactions consummated prior to the Acquisition Date were accounted for as secured borrowings and we recognize interest income, which includes finance charges and service charges in accordance with the terms of the related customer agreements.</w:t>
      </w:r>
    </w:p>
    <w:p>
      <w:pPr>
        <w:spacing w:after="0" w:line="188" w:lineRule="exact"/>
        <w:rPr>
          <w:sz w:val="20"/>
          <w:szCs w:val="20"/>
          <w:color w:val="auto"/>
        </w:rPr>
      </w:pPr>
    </w:p>
    <w:p>
      <w:pPr>
        <w:ind w:right="80" w:firstLine="764"/>
        <w:spacing w:after="0" w:line="236" w:lineRule="auto"/>
        <w:rPr>
          <w:sz w:val="20"/>
          <w:szCs w:val="20"/>
          <w:color w:val="auto"/>
        </w:rPr>
      </w:pPr>
      <w:r>
        <w:rPr>
          <w:rFonts w:ascii="Arial" w:cs="Arial" w:eastAsia="Arial" w:hAnsi="Arial"/>
          <w:sz w:val="18"/>
          <w:szCs w:val="18"/>
          <w:color w:val="auto"/>
        </w:rPr>
        <w:t>In February and July 2022, UACC completed the 2022-1 and 2022-2 securitization transactions, which qualified as sales, therefore we recorded a gain on the sale of the finance receivables. The amount of the gain is equal to the fair value of the net proceeds received less the carrying amount of the finance receivables. Although our long-term plan is to structure future securitization transactions similar to the 2022-1 and 2022-2 securitizations and account for them as sales, market conditions may impact our ability to achieve sales accounting treatment. In January 2023, we completed the 2023-1 securitization. As a result of current market conditions, which led to unfavorable pricing, we retained the non-investment grade securities and residual interests, which will require us to account for the 2023-1 securitization as secured borrowings and remain on balance sheet pending the sale of such retained interests. Depending on market conditions, future 2023 securitizations may be accounted for as secured borrowings and remain on balance sheet.</w:t>
      </w:r>
    </w:p>
    <w:p>
      <w:pPr>
        <w:spacing w:after="0" w:line="192" w:lineRule="exact"/>
        <w:rPr>
          <w:sz w:val="20"/>
          <w:szCs w:val="20"/>
          <w:color w:val="auto"/>
        </w:rPr>
      </w:pPr>
    </w:p>
    <w:p>
      <w:pPr>
        <w:ind w:right="60" w:firstLine="764"/>
        <w:spacing w:after="0"/>
        <w:rPr>
          <w:sz w:val="20"/>
          <w:szCs w:val="20"/>
          <w:color w:val="auto"/>
        </w:rPr>
      </w:pPr>
      <w:r>
        <w:rPr>
          <w:rFonts w:ascii="Arial" w:cs="Arial" w:eastAsia="Arial" w:hAnsi="Arial"/>
          <w:sz w:val="18"/>
          <w:szCs w:val="18"/>
          <w:color w:val="auto"/>
        </w:rPr>
        <w:t>Servicing income represents the annual fees earned on the outstanding principal balance of the finance receivables serviced. Fees are earned monthly at an annual rate of approximately 4% for the 2022-1 securitization and 3.25% for the 2022-2 securitization of the outstanding principal balance of the finance receivables serviced.</w:t>
      </w:r>
    </w:p>
    <w:p>
      <w:pPr>
        <w:spacing w:after="0" w:line="188" w:lineRule="exact"/>
        <w:rPr>
          <w:sz w:val="20"/>
          <w:szCs w:val="20"/>
          <w:color w:val="auto"/>
        </w:rPr>
      </w:pPr>
    </w:p>
    <w:p>
      <w:pPr>
        <w:ind w:right="160" w:firstLine="764"/>
        <w:spacing w:after="0" w:line="237" w:lineRule="auto"/>
        <w:rPr>
          <w:sz w:val="20"/>
          <w:szCs w:val="20"/>
          <w:color w:val="auto"/>
        </w:rPr>
      </w:pPr>
      <w:r>
        <w:rPr>
          <w:rFonts w:ascii="Arial" w:cs="Arial" w:eastAsia="Arial" w:hAnsi="Arial"/>
          <w:sz w:val="18"/>
          <w:szCs w:val="18"/>
          <w:color w:val="auto"/>
        </w:rPr>
        <w:t>As a result of increasing interest rates, the current inflationary environment and vehicle depreciation in the used automotive industry, UACC is experiencing higher loss severity in a soft securitization market. The increased loss severity could lead to reduced servicing income if UACC elects to waive monthly servicing fees going forward as it did in January. The waiver of servicing fees on prior off-balance sheet securitizations could result in consolidation of the related finance receivables and securitization debt on Vroom’s financial statements.</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See “Note 3—Revenue Recognition” to our consolidated financial statements included elsewhere in this Annual Report on Form 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cost of sales</w:t>
      </w:r>
    </w:p>
    <w:p>
      <w:pPr>
        <w:spacing w:after="0" w:line="216"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Retail cost of sales primarily includes the costs to acquire vehicles, inbound transportation costs and direct and indirect reconditioning costs associated with preparing vehicles for sale. Costs to acquire vehicles are primarily driven by the inventory source, vehicle mix and general supply and demand conditions of the used vehicle market. Inbound transportation costs include costs to transport the vehicle to our VRCs. Reconditioning costs include parts, labor and third-party reconditioning costs directly attributable to the vehicle and allocated overhead costs. Cost of sales also includes any accounting adjustments to reflect vehicle inventory at the lower of cost or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cost of sales</w:t>
      </w:r>
    </w:p>
    <w:p>
      <w:pPr>
        <w:spacing w:after="0" w:line="216" w:lineRule="exact"/>
        <w:rPr>
          <w:sz w:val="20"/>
          <w:szCs w:val="20"/>
          <w:color w:val="auto"/>
        </w:rPr>
      </w:pPr>
    </w:p>
    <w:p>
      <w:pPr>
        <w:ind w:right="380" w:firstLine="761"/>
        <w:spacing w:after="0" w:line="245" w:lineRule="auto"/>
        <w:rPr>
          <w:sz w:val="20"/>
          <w:szCs w:val="20"/>
          <w:color w:val="auto"/>
        </w:rPr>
      </w:pPr>
      <w:r>
        <w:rPr>
          <w:rFonts w:ascii="Arial" w:cs="Arial" w:eastAsia="Arial" w:hAnsi="Arial"/>
          <w:sz w:val="18"/>
          <w:szCs w:val="18"/>
          <w:color w:val="auto"/>
        </w:rPr>
        <w:t>Wholesale cost of sales primarily includes costs to acquire vehicles sold through wholesale channels as well as any accounting adjustments to reflect vehicle inventory at the lower of cost or net realizable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cost of sales</w:t>
      </w:r>
    </w:p>
    <w:p>
      <w:pPr>
        <w:spacing w:after="0" w:line="216" w:lineRule="exact"/>
        <w:rPr>
          <w:sz w:val="20"/>
          <w:szCs w:val="20"/>
          <w:color w:val="auto"/>
        </w:rPr>
      </w:pPr>
    </w:p>
    <w:p>
      <w:pPr>
        <w:ind w:right="540" w:firstLine="761"/>
        <w:spacing w:after="0" w:line="245" w:lineRule="auto"/>
        <w:rPr>
          <w:sz w:val="20"/>
          <w:szCs w:val="20"/>
          <w:color w:val="auto"/>
        </w:rPr>
      </w:pPr>
      <w:r>
        <w:rPr>
          <w:rFonts w:ascii="Arial" w:cs="Arial" w:eastAsia="Arial" w:hAnsi="Arial"/>
          <w:sz w:val="18"/>
          <w:szCs w:val="18"/>
          <w:color w:val="auto"/>
        </w:rPr>
        <w:t>Finance cost of sales consists of interest expense incurred on securitization debt and collection expenses related to servicing finance receivables originated by UACC.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 of sales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cost of sales consists of cost of sales from CarStory's third-party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gross profit is defined as total revenue less costs associated with such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0" w:lineRule="exact"/>
        <w:rPr>
          <w:sz w:val="20"/>
          <w:szCs w:val="20"/>
          <w:color w:val="auto"/>
        </w:rPr>
      </w:pPr>
    </w:p>
    <w:p>
      <w:pPr>
        <w:ind w:right="620" w:firstLine="761"/>
        <w:spacing w:after="0"/>
        <w:rPr>
          <w:sz w:val="20"/>
          <w:szCs w:val="20"/>
          <w:color w:val="auto"/>
        </w:rPr>
      </w:pPr>
      <w:r>
        <w:rPr>
          <w:rFonts w:ascii="Arial" w:cs="Arial" w:eastAsia="Arial" w:hAnsi="Arial"/>
          <w:sz w:val="18"/>
          <w:szCs w:val="18"/>
          <w:color w:val="auto"/>
        </w:rPr>
        <w:t>Our selling, general, and administrative expenses, which we refer to as SG&amp;A expenses, consist primarily of advertising and marketing expenses, outbound transportation costs, employee compensation, occupancy costs of our facilities, professional fees for accounting, auditing, tax, legal and consulting services and software and IT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firstLine="761"/>
        <w:spacing w:after="0" w:line="257" w:lineRule="auto"/>
        <w:rPr>
          <w:sz w:val="20"/>
          <w:szCs w:val="20"/>
          <w:color w:val="auto"/>
        </w:rPr>
      </w:pPr>
      <w:r>
        <w:rPr>
          <w:rFonts w:ascii="Arial" w:cs="Arial" w:eastAsia="Arial" w:hAnsi="Arial"/>
          <w:sz w:val="17"/>
          <w:szCs w:val="17"/>
          <w:color w:val="auto"/>
        </w:rPr>
        <w:t>Our depreciation and amortization expense primarily includes: depreciation related to our leasehold improvements and logistics fleet; amortization related to intangible assets in acquired businesses; and capitalized internal use software costs incurred in the development of our platform and website applications. Depreciation expense related to our Vroom VRC and the portion of depreciation expense for our proprietary logistics fleet related to inbound transportation is included in cost of sales in the consolidated statements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0" w:lineRule="exact"/>
        <w:rPr>
          <w:sz w:val="20"/>
          <w:szCs w:val="20"/>
          <w:color w:val="auto"/>
        </w:rPr>
      </w:pPr>
    </w:p>
    <w:p>
      <w:pPr>
        <w:ind w:right="200" w:firstLine="761"/>
        <w:spacing w:after="0" w:line="274" w:lineRule="auto"/>
        <w:rPr>
          <w:sz w:val="20"/>
          <w:szCs w:val="20"/>
          <w:color w:val="auto"/>
        </w:rPr>
      </w:pPr>
      <w:r>
        <w:rPr>
          <w:rFonts w:ascii="Arial" w:cs="Arial" w:eastAsia="Arial" w:hAnsi="Arial"/>
          <w:sz w:val="17"/>
          <w:szCs w:val="17"/>
          <w:color w:val="auto"/>
        </w:rPr>
        <w:t>Impairment charges represent an impairment charge to write down the carrying amount of goodwill to fair value, lease impairment charges, related to closing physical office locations and Sell Us Your Car® centers, and impairment of long-lived assets no longer in use.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debt extinguishment</w:t>
      </w:r>
    </w:p>
    <w:p>
      <w:pPr>
        <w:spacing w:after="0" w:line="220" w:lineRule="exact"/>
        <w:rPr>
          <w:sz w:val="20"/>
          <w:szCs w:val="20"/>
          <w:color w:val="auto"/>
        </w:rPr>
      </w:pPr>
    </w:p>
    <w:p>
      <w:pPr>
        <w:ind w:right="60" w:firstLine="749"/>
        <w:spacing w:after="0" w:line="245" w:lineRule="auto"/>
        <w:rPr>
          <w:sz w:val="20"/>
          <w:szCs w:val="20"/>
          <w:color w:val="auto"/>
        </w:rPr>
      </w:pPr>
      <w:r>
        <w:rPr>
          <w:rFonts w:ascii="Arial" w:cs="Arial" w:eastAsia="Arial" w:hAnsi="Arial"/>
          <w:sz w:val="18"/>
          <w:szCs w:val="18"/>
          <w:color w:val="auto"/>
        </w:rPr>
        <w:t>Gain on debt extinguishment represents the gain recognized from the repurchase of a portion of our outstanding Convertible Senior Notes due 2026 (the "Notes") in open-market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Our interest expense primarily includes (i) interest expense related to our vehicle floorplan facility with Ally Bank and Ally Financial (the "2020 Vehicle Floorplan Facility"), as discussed below, which is used to finance our inventory, (ii)</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980"/>
        <w:spacing w:after="0" w:line="245" w:lineRule="auto"/>
        <w:rPr>
          <w:sz w:val="20"/>
          <w:szCs w:val="20"/>
          <w:color w:val="auto"/>
        </w:rPr>
      </w:pPr>
      <w:r>
        <w:rPr>
          <w:rFonts w:ascii="Arial" w:cs="Arial" w:eastAsia="Arial" w:hAnsi="Arial"/>
          <w:sz w:val="18"/>
          <w:szCs w:val="18"/>
          <w:color w:val="auto"/>
        </w:rPr>
        <w:t>interest expense on our Notes, and (iii) interest expense on UACC's Warehouse Credit Facilities, which is used to fund our finance receivables.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p>
      <w:pPr>
        <w:ind w:right="340" w:firstLine="761"/>
        <w:spacing w:after="0" w:line="245" w:lineRule="auto"/>
        <w:rPr>
          <w:sz w:val="20"/>
          <w:szCs w:val="20"/>
          <w:color w:val="auto"/>
        </w:rPr>
      </w:pPr>
      <w:r>
        <w:rPr>
          <w:rFonts w:ascii="Arial" w:cs="Arial" w:eastAsia="Arial" w:hAnsi="Arial"/>
          <w:sz w:val="18"/>
          <w:szCs w:val="18"/>
          <w:color w:val="auto"/>
        </w:rPr>
        <w:t>Interest income primarily represents interest credits earned on cash deposits maintained in relation to our 2022 Vehicle Floorplan Facility as well as interest earned on cash and cash equivalents.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(Income)</w:t>
      </w:r>
    </w:p>
    <w:p>
      <w:pPr>
        <w:spacing w:after="0" w:line="220" w:lineRule="exact"/>
        <w:rPr>
          <w:sz w:val="20"/>
          <w:szCs w:val="20"/>
          <w:color w:val="auto"/>
        </w:rPr>
      </w:pPr>
    </w:p>
    <w:p>
      <w:pPr>
        <w:ind w:right="440" w:firstLine="761"/>
        <w:spacing w:after="0" w:line="245" w:lineRule="auto"/>
        <w:rPr>
          <w:sz w:val="20"/>
          <w:szCs w:val="20"/>
          <w:color w:val="auto"/>
        </w:rPr>
      </w:pPr>
      <w:r>
        <w:rPr>
          <w:rFonts w:ascii="Arial" w:cs="Arial" w:eastAsia="Arial" w:hAnsi="Arial"/>
          <w:sz w:val="18"/>
          <w:szCs w:val="18"/>
          <w:color w:val="auto"/>
        </w:rPr>
        <w:t>Other loss (income) primarily represents unrealized losses (gains) on finance receivables at fair value and beneficial interests in securitizations.</w:t>
      </w:r>
    </w:p>
    <w:p>
      <w:pPr>
        <w:spacing w:after="0" w:line="162"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consolidated results of operations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5"/>
          </w:tcPr>
          <w:p>
            <w:pPr>
              <w:jc w:val="center"/>
              <w:ind w:right="111"/>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3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31"/>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111"/>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3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5"/>
                <w:szCs w:val="15"/>
                <w:color w:val="auto"/>
              </w:rPr>
            </w:pPr>
          </w:p>
        </w:tc>
        <w:tc>
          <w:tcPr>
            <w:tcW w:w="180" w:type="dxa"/>
            <w:vAlign w:val="bottom"/>
            <w:tcBorders>
              <w:bottom w:val="single" w:sz="8" w:color="auto"/>
            </w:tcBorders>
            <w:gridSpan w:val="2"/>
          </w:tcPr>
          <w:p>
            <w:pPr>
              <w:spacing w:after="0"/>
              <w:rPr>
                <w:sz w:val="15"/>
                <w:szCs w:val="15"/>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r>
      <w:tr>
        <w:trPr>
          <w:trHeight w:val="182"/>
        </w:trPr>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5"/>
          </w:tcPr>
          <w:p>
            <w:pPr>
              <w:jc w:val="center"/>
              <w:ind w:right="91"/>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Retail vehicle, net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1,425,842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2,583,417</w:t>
            </w:r>
          </w:p>
        </w:tc>
        <w:tc>
          <w:tcPr>
            <w:tcW w:w="1560" w:type="dxa"/>
            <w:vAlign w:val="bottom"/>
            <w:gridSpan w:val="5"/>
          </w:tcPr>
          <w:p>
            <w:pPr>
              <w:jc w:val="right"/>
              <w:ind w:right="80"/>
              <w:spacing w:after="0"/>
              <w:rPr>
                <w:sz w:val="20"/>
                <w:szCs w:val="20"/>
                <w:color w:val="auto"/>
              </w:rPr>
            </w:pPr>
            <w:r>
              <w:rPr>
                <w:rFonts w:ascii="Arial" w:cs="Arial" w:eastAsia="Arial" w:hAnsi="Arial"/>
                <w:sz w:val="18"/>
                <w:szCs w:val="18"/>
                <w:color w:val="auto"/>
              </w:rPr>
              <w:t>(44.8 )%$</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2,583,417</w:t>
            </w: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1,072,551</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140.9 %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Wholesale vehicle</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293,528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498,981</w:t>
            </w: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(41.2 )%</w:t>
            </w: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498,981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245,580</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103.2 %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Product, net</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62,747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88,824</w:t>
            </w: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(29.4 )%</w:t>
            </w: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88,824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38,195</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132.6 %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Finance</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152,542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0.0 %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14,242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13,033</w:t>
            </w:r>
          </w:p>
        </w:tc>
        <w:tc>
          <w:tcPr>
            <w:tcW w:w="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13,033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1,374</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848.</w:t>
            </w:r>
            <w:r>
              <w:rPr>
                <w:rFonts w:ascii="Arial" w:cs="Arial" w:eastAsia="Arial" w:hAnsi="Arial"/>
                <w:sz w:val="18"/>
                <w:szCs w:val="18"/>
                <w:u w:val="single" w:color="auto"/>
                <w:color w:val="auto"/>
              </w:rPr>
              <w:t>5</w:t>
            </w:r>
            <w:r>
              <w:rPr>
                <w:rFonts w:ascii="Arial" w:cs="Arial" w:eastAsia="Arial" w:hAnsi="Arial"/>
                <w:sz w:val="18"/>
                <w:szCs w:val="18"/>
                <w:color w:val="auto"/>
              </w:rPr>
              <w:t xml:space="preserve"> %</w:t>
            </w:r>
          </w:p>
        </w:tc>
      </w:tr>
      <w:tr>
        <w:trPr>
          <w:trHeight w:val="20"/>
        </w:trPr>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1,948,901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3,184,255</w:t>
            </w:r>
          </w:p>
        </w:tc>
        <w:tc>
          <w:tcPr>
            <w:tcW w:w="6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(38.8 )%</w:t>
            </w: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3,184,255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1,357,700</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134.5 %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Retail vehicle</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1,382,005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2,495,587</w:t>
            </w: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(44.6 )%</w:t>
            </w: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2,495,587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1,038,209</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140.4 %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Wholesale vehicle</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304,148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480,861</w:t>
            </w: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(36.7 )%</w:t>
            </w: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480,861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247,012</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Finance</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14,161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0.0 %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3,800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5,708</w:t>
            </w:r>
          </w:p>
        </w:tc>
        <w:tc>
          <w:tcPr>
            <w:tcW w:w="6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(33.4 )%</w:t>
            </w: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5,708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934</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 xml:space="preserve"> %</w:t>
            </w:r>
          </w:p>
        </w:tc>
      </w:tr>
      <w:tr>
        <w:trPr>
          <w:trHeight w:val="20"/>
        </w:trPr>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Total cost of sales</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1,704,114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2,982,156</w:t>
            </w:r>
          </w:p>
        </w:tc>
        <w:tc>
          <w:tcPr>
            <w:tcW w:w="6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(42.9 )%</w:t>
            </w: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2,982,156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1,286,155</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131.9 %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244,787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202,099</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21.1 %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202,099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71,545</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182.5 %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566,387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547,823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547,823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245,546</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123.1 %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38,290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12,891</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197.0 %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12,891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4,598</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180.4 %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211,873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 xml:space="preserve"> %</w:t>
            </w: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(571,763 )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(358,615 )</w:t>
            </w:r>
          </w:p>
        </w:tc>
        <w:tc>
          <w:tcPr>
            <w:tcW w:w="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59.4 %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(358,615 )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(178,599 )</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100.8 %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Gain on debt extinguishment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(164,684 )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0.0 %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40,693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21,948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85.4 %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21,948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9,656</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127.3 %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(19,363 )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(10,341 )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87.2 %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(10,341 )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(5,896 )</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75.4 %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Revaluation of stock warrant</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20,470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Other loss (income), net</w:t>
            </w:r>
          </w:p>
        </w:tc>
        <w:tc>
          <w:tcPr>
            <w:tcW w:w="1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43,181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(65 )</w:t>
            </w:r>
          </w:p>
        </w:tc>
        <w:tc>
          <w:tcPr>
            <w:tcW w:w="6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(66,532.</w:t>
            </w: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(114 )</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(43.0 )%</w:t>
            </w:r>
          </w:p>
        </w:tc>
      </w:tr>
      <w:tr>
        <w:trPr>
          <w:trHeight w:val="20"/>
        </w:trPr>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(471,590 )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(370,157 )</w:t>
            </w:r>
          </w:p>
        </w:tc>
        <w:tc>
          <w:tcPr>
            <w:tcW w:w="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27.4 %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(370,157 )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(202,715 )</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82.6 %</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(19,680 )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754</w:t>
            </w:r>
          </w:p>
        </w:tc>
        <w:tc>
          <w:tcPr>
            <w:tcW w:w="6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(2,710.1 )%</w:t>
            </w:r>
          </w:p>
        </w:tc>
        <w:tc>
          <w:tcPr>
            <w:tcW w:w="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797.</w:t>
            </w:r>
            <w:r>
              <w:rPr>
                <w:rFonts w:ascii="Arial" w:cs="Arial" w:eastAsia="Arial" w:hAnsi="Arial"/>
                <w:sz w:val="18"/>
                <w:szCs w:val="18"/>
                <w:u w:val="single" w:color="auto"/>
                <w:color w:val="auto"/>
              </w:rPr>
              <w:t>6</w:t>
            </w:r>
            <w:r>
              <w:rPr>
                <w:rFonts w:ascii="Arial" w:cs="Arial" w:eastAsia="Arial" w:hAnsi="Arial"/>
                <w:sz w:val="18"/>
                <w:szCs w:val="18"/>
                <w:color w:val="auto"/>
              </w:rPr>
              <w:t xml:space="preserve"> %</w:t>
            </w:r>
          </w:p>
        </w:tc>
      </w:tr>
      <w:tr>
        <w:trPr>
          <w:trHeight w:val="20"/>
        </w:trPr>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(451,910 )</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(370,911 )</w:t>
            </w:r>
          </w:p>
        </w:tc>
        <w:tc>
          <w:tcPr>
            <w:tcW w:w="60" w:type="dxa"/>
            <w:vAlign w:val="bottom"/>
          </w:tcPr>
          <w:p>
            <w:pPr>
              <w:spacing w:after="0"/>
              <w:rPr>
                <w:sz w:val="19"/>
                <w:szCs w:val="19"/>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8"/>
                <w:szCs w:val="18"/>
                <w:color w:val="auto"/>
              </w:rPr>
              <w:t>21.8 %$</w:t>
            </w:r>
          </w:p>
        </w:tc>
        <w:tc>
          <w:tcPr>
            <w:tcW w:w="980" w:type="dxa"/>
            <w:vAlign w:val="bottom"/>
          </w:tcPr>
          <w:p>
            <w:pPr>
              <w:jc w:val="right"/>
              <w:spacing w:after="0"/>
              <w:rPr>
                <w:sz w:val="20"/>
                <w:szCs w:val="20"/>
                <w:color w:val="auto"/>
              </w:rPr>
            </w:pPr>
            <w:r>
              <w:rPr>
                <w:rFonts w:ascii="Arial" w:cs="Arial" w:eastAsia="Arial" w:hAnsi="Arial"/>
                <w:sz w:val="18"/>
                <w:szCs w:val="18"/>
                <w:color w:val="auto"/>
              </w:rPr>
              <w:t>(370,911 )</w:t>
            </w: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(202,799 )</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82.9 %</w:t>
            </w:r>
          </w:p>
        </w:tc>
      </w:tr>
      <w:tr>
        <w:trPr>
          <w:trHeight w:val="20"/>
        </w:trPr>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-3561080</wp:posOffset>
            </wp:positionV>
            <wp:extent cx="7132320"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-3270250</wp:posOffset>
            </wp:positionV>
            <wp:extent cx="7132320"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-2970530</wp:posOffset>
            </wp:positionV>
            <wp:extent cx="7132320"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-2679700</wp:posOffset>
            </wp:positionV>
            <wp:extent cx="7132320"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-2388235</wp:posOffset>
            </wp:positionV>
            <wp:extent cx="7132320"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-2088515</wp:posOffset>
            </wp:positionV>
            <wp:extent cx="7132320" cy="145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-1797685</wp:posOffset>
            </wp:positionV>
            <wp:extent cx="7132320"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-1506220</wp:posOffset>
            </wp:positionV>
            <wp:extent cx="7132320" cy="4451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445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-915670</wp:posOffset>
            </wp:positionV>
            <wp:extent cx="7132320" cy="145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6248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62484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76" w:lineRule="exact"/>
        <w:rPr>
          <w:sz w:val="20"/>
          <w:szCs w:val="20"/>
          <w:color w:val="auto"/>
        </w:rPr>
      </w:pPr>
    </w:p>
    <w:p>
      <w:pPr>
        <w:ind w:left="1020" w:right="580" w:hanging="251"/>
        <w:spacing w:after="0" w:line="246"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(70.0% of 2022 revenue; 76.7% of 2021 revenue): The Ecommerce segment represents retail sales of used</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through our ecommerce platform and fees earned on sales of value-added products associated with those vehicle sales. Starting in 2022, the Ecommerce segment also includes interest income earned on finance receivables from Vroom customers that we originate through UACC to finance the vehicles</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left="1020" w:right="200"/>
        <w:spacing w:after="0" w:line="245" w:lineRule="auto"/>
        <w:rPr>
          <w:sz w:val="20"/>
          <w:szCs w:val="20"/>
          <w:color w:val="auto"/>
        </w:rPr>
      </w:pPr>
      <w:r>
        <w:rPr>
          <w:rFonts w:ascii="Arial" w:cs="Arial" w:eastAsia="Arial" w:hAnsi="Arial"/>
          <w:sz w:val="18"/>
          <w:szCs w:val="18"/>
          <w:color w:val="auto"/>
        </w:rPr>
        <w:t>we sell and gain on sales of those finance receivables once sold in a securitization transaction or forward flow arrangement that qualify for sales accounting treatment.</w:t>
      </w:r>
    </w:p>
    <w:p>
      <w:pPr>
        <w:spacing w:after="0" w:line="162" w:lineRule="exact"/>
        <w:rPr>
          <w:sz w:val="20"/>
          <w:szCs w:val="20"/>
          <w:color w:val="auto"/>
        </w:rPr>
      </w:pPr>
    </w:p>
    <w:p>
      <w:pPr>
        <w:ind w:left="1020" w:right="700" w:hanging="251"/>
        <w:spacing w:after="0" w:line="27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(15.1% of 2022 revenue; 15.7% of 2021 revenue): The Wholesale segment represents sales of used vehicles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wholesale channels.</w:t>
      </w:r>
    </w:p>
    <w:p>
      <w:pPr>
        <w:spacing w:after="0" w:line="139" w:lineRule="exact"/>
        <w:rPr>
          <w:rFonts w:ascii="Arial" w:cs="Arial" w:eastAsia="Arial" w:hAnsi="Arial"/>
          <w:sz w:val="18"/>
          <w:szCs w:val="18"/>
          <w:color w:val="auto"/>
        </w:rPr>
      </w:pPr>
    </w:p>
    <w:p>
      <w:pPr>
        <w:ind w:left="1020" w:right="560" w:hanging="249"/>
        <w:spacing w:after="0" w:line="27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Retail Financing </w:t>
      </w:r>
      <w:r>
        <w:rPr>
          <w:rFonts w:ascii="Arial" w:cs="Arial" w:eastAsia="Arial" w:hAnsi="Arial"/>
          <w:sz w:val="18"/>
          <w:szCs w:val="18"/>
          <w:color w:val="auto"/>
        </w:rPr>
        <w:t>(7.8% of 2022 revenue): The Retail Financing segment represents UACC’s operations with its network of</w:t>
      </w:r>
      <w:r>
        <w:rPr>
          <w:rFonts w:ascii="Arial" w:cs="Arial" w:eastAsia="Arial" w:hAnsi="Arial"/>
          <w:sz w:val="18"/>
          <w:szCs w:val="18"/>
          <w:b w:val="1"/>
          <w:bCs w:val="1"/>
          <w:color w:val="auto"/>
        </w:rPr>
        <w:t xml:space="preserve"> </w:t>
      </w:r>
      <w:r>
        <w:rPr>
          <w:rFonts w:ascii="Arial" w:cs="Arial" w:eastAsia="Arial" w:hAnsi="Arial"/>
          <w:sz w:val="18"/>
          <w:szCs w:val="18"/>
          <w:color w:val="auto"/>
        </w:rPr>
        <w:t>third-party dealership customers.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60" w:type="dxa"/>
            <w:vAlign w:val="bottom"/>
            <w:gridSpan w:val="4"/>
          </w:tcPr>
          <w:p>
            <w:pPr>
              <w:jc w:val="center"/>
              <w:ind w:right="112"/>
              <w:spacing w:after="0" w:line="155" w:lineRule="exact"/>
              <w:rPr>
                <w:sz w:val="20"/>
                <w:szCs w:val="20"/>
                <w:color w:val="auto"/>
              </w:rPr>
            </w:pPr>
            <w:r>
              <w:rPr>
                <w:rFonts w:ascii="Arial" w:cs="Arial" w:eastAsia="Arial" w:hAnsi="Arial"/>
                <w:sz w:val="14"/>
                <w:szCs w:val="14"/>
                <w:b w:val="1"/>
                <w:bCs w:val="1"/>
                <w:color w:val="auto"/>
              </w:rPr>
              <w:t>(in thousands, except unit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rPr>
              <w:t>data and average days to sale)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Ecommerce units sold</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39,278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74,698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(35,420 )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(47.4 )%</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Ecommerce revenue:</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Vehicle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1,304,797</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2,360,368</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(1,055,571 )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(44.7 )%</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59,398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82,001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(22,603 )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Total ecommerce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1,364,195</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2,442,369</w:t>
            </w: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(1,078,174 )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(44.1 )%</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20"/>
              <w:spacing w:after="0"/>
              <w:rPr>
                <w:sz w:val="20"/>
                <w:szCs w:val="20"/>
                <w:color w:val="auto"/>
              </w:rPr>
            </w:pPr>
            <w:r>
              <w:rPr>
                <w:rFonts w:ascii="Arial" w:cs="Arial" w:eastAsia="Arial" w:hAnsi="Arial"/>
                <w:sz w:val="18"/>
                <w:szCs w:val="18"/>
                <w:color w:val="auto"/>
              </w:rPr>
              <w:t>Ecommerce gross profit: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Vehicle gross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40,575</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82,745</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(42,170 )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(51.0 )%</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Product gross profit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59,398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82,001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(22,603 )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Total ecommerce gross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99,973</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164,746</w:t>
            </w: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(64,773 )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color w:val="auto"/>
              </w:rPr>
              <w:t>Average vehicle selling price per ecommerce unit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33,220</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31,599</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1,621</w:t>
            </w:r>
          </w:p>
        </w:tc>
        <w:tc>
          <w:tcPr>
            <w:tcW w:w="20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 per ecommerce unit: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Vehicle gross profit per ecommerce unit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1,033</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1,108</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(75 )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Product gross profit per ecommerce unit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37.7 %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Total gross profit per ecommerce unit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2,545</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2,206</w:t>
            </w: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color w:val="auto"/>
              </w:rPr>
              <w:t>Ecommerce average days to sale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77.2 %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-2285365</wp:posOffset>
            </wp:positionV>
            <wp:extent cx="713232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-1994535</wp:posOffset>
            </wp:positionV>
            <wp:extent cx="7132320"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-1694815</wp:posOffset>
            </wp:positionV>
            <wp:extent cx="7132320" cy="4622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4622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-1078230</wp:posOffset>
            </wp:positionV>
            <wp:extent cx="7132320" cy="316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4711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47117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220" w:lineRule="exact"/>
        <w:rPr>
          <w:sz w:val="20"/>
          <w:szCs w:val="20"/>
          <w:color w:val="auto"/>
        </w:rPr>
      </w:pPr>
    </w:p>
    <w:p>
      <w:pPr>
        <w:ind w:right="540" w:firstLine="761"/>
        <w:spacing w:after="0"/>
        <w:rPr>
          <w:sz w:val="20"/>
          <w:szCs w:val="20"/>
          <w:color w:val="auto"/>
        </w:rPr>
      </w:pPr>
      <w:r>
        <w:rPr>
          <w:rFonts w:ascii="Arial" w:cs="Arial" w:eastAsia="Arial" w:hAnsi="Arial"/>
          <w:sz w:val="18"/>
          <w:szCs w:val="18"/>
          <w:color w:val="auto"/>
        </w:rPr>
        <w:t>Ecommerce units sold decreased 35,420, or 47.4%, from 74,698 for the year ended December 31, 2021 to 39,278 for the year ended December 31, 2022. This decrease was driven by our strategic decision to prioritize unit economics over unit sales volume, a reduction in third-party sales support staff, which put pressure on servicing our demand, as well as macroeconomic factors.</w:t>
      </w:r>
    </w:p>
    <w:p>
      <w:pPr>
        <w:spacing w:after="0" w:line="188" w:lineRule="exact"/>
        <w:rPr>
          <w:sz w:val="20"/>
          <w:szCs w:val="20"/>
          <w:color w:val="auto"/>
        </w:rPr>
      </w:pPr>
    </w:p>
    <w:p>
      <w:pPr>
        <w:ind w:right="220" w:firstLine="761"/>
        <w:spacing w:after="0" w:line="237" w:lineRule="auto"/>
        <w:rPr>
          <w:sz w:val="20"/>
          <w:szCs w:val="20"/>
          <w:color w:val="auto"/>
        </w:rPr>
      </w:pPr>
      <w:r>
        <w:rPr>
          <w:rFonts w:ascii="Arial" w:cs="Arial" w:eastAsia="Arial" w:hAnsi="Arial"/>
          <w:sz w:val="18"/>
          <w:szCs w:val="18"/>
          <w:color w:val="auto"/>
        </w:rPr>
        <w:t>Ecommerce average days to sale increased from 74 days for the year ended December 31, 2021 to 131 days for the year ended December 31, 2022. We have undertaken various initiatives to address the operational challenges created by our prior rapid growth from 2020 through the first quarter of 2022, in particular with titling and registration processes. While these initiatives are designed to improve our transaction processing, enhance our customer experience, and reduce our regulatory risk, they resulted in delays in listing vehicles for sale, which increased the number of days between our acquisition of vehicles and the final delivery of such vehicles to customers. We expect ecommerce average days to sale to improve over time as we continue to improve our processes.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220"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Ecommerce vehicle revenue decreased $1,055.6 million, or 44.7%, from $2,360.4 million for the year ended December 31, 2021 to $1,304.8 million for the year ended December 31, 2022. The decrease in ecommerce vehicle revenue was primarily attributable to the 35,420 decrease in ecommerce units sold, which decreased vehicle revenue by $1,119.2 million, partially offset by an increase in ASP per unit, which increased from $31,599 for the year ended December 31, 2021 to $33,220 for the year ended December 31, 2022 and increased vehicle revenue by $63.6 million.</w:t>
      </w:r>
    </w:p>
    <w:p>
      <w:pPr>
        <w:spacing w:after="0" w:line="19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increase in ASP per unit was primarily due to significant market appreciation in the second half of 2021 and the first half of 2022. In the second half of 2022, there was a return to seasonal depreciation trends. Although we expect ASP to fluctuate in the short-term as a result of market conditions, our long-term plan is to move toward lower-priced inventory, which would result in a lower ASP. Furthermore, as the UACC Acquisition begins to enable us to expand our automotive financing solutions across the credit spectrum, and we expect to increase our offering of lower-price-point vehicles to take advantage of those capabilities.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Ecommerce product revenue decreased $22.6 million, or 27.6%, from $82.0 million for the year ended December 31, 2021 to $59.4 million for the year ended December 31, 2022. The decrease in ecommerce product revenue was primarily attributable to the 35,420 decrease in ecommerce units sold, which decreased product revenue by $38.9 million, partially offset by a $ 414 increase in product revenue per unit, which increased product revenue by $16.3 million. Product revenue per unit increased from $1,098 for the year ended December 31, 2021 to $1,512 for the year ended December 31, 2022, primarily due to interest income earned on finance receivables from Vroom customers originated or serviced by UACC.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Ecommerce vehicle gross profit decreased $42.1 million, or 51.0%, from $82.7 million for the year ended December 31, 2021 to</w:t>
      </w:r>
    </w:p>
    <w:p>
      <w:pPr>
        <w:spacing w:after="0" w:line="234" w:lineRule="auto"/>
        <w:rPr>
          <w:sz w:val="20"/>
          <w:szCs w:val="20"/>
          <w:color w:val="auto"/>
        </w:rPr>
      </w:pPr>
      <w:r>
        <w:rPr>
          <w:rFonts w:ascii="Arial" w:cs="Arial" w:eastAsia="Arial" w:hAnsi="Arial"/>
          <w:sz w:val="18"/>
          <w:szCs w:val="18"/>
          <w:color w:val="auto"/>
        </w:rPr>
        <w:t>$40.6 million for the year ended December 31, 2022. The decrease in vehicle gross profit was primarily attributable to the 35,420 decrease in</w:t>
      </w:r>
    </w:p>
    <w:p>
      <w:pPr>
        <w:spacing w:after="0" w:line="235" w:lineRule="auto"/>
        <w:rPr>
          <w:sz w:val="20"/>
          <w:szCs w:val="20"/>
          <w:color w:val="auto"/>
        </w:rPr>
      </w:pPr>
      <w:r>
        <w:rPr>
          <w:rFonts w:ascii="Arial" w:cs="Arial" w:eastAsia="Arial" w:hAnsi="Arial"/>
          <w:sz w:val="18"/>
          <w:szCs w:val="18"/>
          <w:color w:val="auto"/>
        </w:rPr>
        <w:t>ecommerce units sold, which decreased vehicle gross profit by $39.2 million. Vehicle gross profit per unit remained relatively flat for the year</w:t>
      </w:r>
    </w:p>
    <w:p>
      <w:pPr>
        <w:spacing w:after="0" w:line="234" w:lineRule="auto"/>
        <w:rPr>
          <w:sz w:val="20"/>
          <w:szCs w:val="20"/>
          <w:color w:val="auto"/>
        </w:rPr>
      </w:pPr>
      <w:r>
        <w:rPr>
          <w:rFonts w:ascii="Arial" w:cs="Arial" w:eastAsia="Arial" w:hAnsi="Arial"/>
          <w:sz w:val="18"/>
          <w:szCs w:val="18"/>
          <w:color w:val="auto"/>
        </w:rPr>
        <w:t>ended December 31, 2022 as compared to the year ended December 31, 2021. Higher reconditioning costs per unit related to an increased</w:t>
      </w:r>
    </w:p>
    <w:p>
      <w:pPr>
        <w:spacing w:after="0" w:line="235" w:lineRule="auto"/>
        <w:rPr>
          <w:sz w:val="20"/>
          <w:szCs w:val="20"/>
          <w:color w:val="auto"/>
        </w:rPr>
      </w:pPr>
      <w:r>
        <w:rPr>
          <w:rFonts w:ascii="Arial" w:cs="Arial" w:eastAsia="Arial" w:hAnsi="Arial"/>
          <w:sz w:val="18"/>
          <w:szCs w:val="18"/>
          <w:color w:val="auto"/>
        </w:rPr>
        <w:t>mix of higher mileage and aged vehicles along with significant parts inflation, were offset by a lower inventory reserve. While overall inventory</w:t>
      </w:r>
    </w:p>
    <w:p>
      <w:pPr>
        <w:spacing w:after="0" w:line="234" w:lineRule="auto"/>
        <w:rPr>
          <w:sz w:val="20"/>
          <w:szCs w:val="20"/>
          <w:color w:val="auto"/>
        </w:rPr>
      </w:pPr>
      <w:r>
        <w:rPr>
          <w:rFonts w:ascii="Arial" w:cs="Arial" w:eastAsia="Arial" w:hAnsi="Arial"/>
          <w:sz w:val="18"/>
          <w:szCs w:val="18"/>
          <w:color w:val="auto"/>
        </w:rPr>
        <w:t>reserve incurred within cost of sales decreased from 2021 to 2022 as a result of lower inventory levels, the decrease was partially offset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higher reserves related to our aged inventory and a $3.7 million additional reserve for recent electric vehicle OEM price decreases.</w:t>
      </w:r>
    </w:p>
    <w:p>
      <w:pPr>
        <w:spacing w:after="0" w:line="198" w:lineRule="exact"/>
        <w:rPr>
          <w:sz w:val="20"/>
          <w:szCs w:val="20"/>
          <w:color w:val="auto"/>
        </w:rPr>
      </w:pPr>
    </w:p>
    <w:p>
      <w:pPr>
        <w:ind w:right="20" w:firstLine="761"/>
        <w:spacing w:after="0" w:line="254" w:lineRule="auto"/>
        <w:rPr>
          <w:sz w:val="20"/>
          <w:szCs w:val="20"/>
          <w:color w:val="auto"/>
        </w:rPr>
      </w:pPr>
      <w:r>
        <w:rPr>
          <w:rFonts w:ascii="Arial" w:cs="Arial" w:eastAsia="Arial" w:hAnsi="Arial"/>
          <w:sz w:val="17"/>
          <w:szCs w:val="17"/>
          <w:color w:val="auto"/>
        </w:rPr>
        <w:t>As we continue to make progress on our initiatives to address the operational challenges created by our prior rapid growth from 2020 through the first quarter of 2022, a higher portion of our unit sales in the fourth quarter of 2022 was from aged inventory as we obtained titles for vehicles not previously listed for sale, which negatively impacted our sales margin and GPPU. These aged units impacted our sales margin by approximately $4.0 million and decreased vehicle GPPU. We expect to sell through our aged inventory in the first half of 2023 and, coupled with the industry-wide decline in used vehicle prices, we expect this to continue to negatively impact our sales margin and GPPU.</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220"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Ecommerce product gross profit decreased $22.6 million, or 27.6%, from $82.0 million for the year ended December 31, 2021 to $59.4 million for the year ended December 31, 2022. The decrease in ecommerce product gross profit was primarily attributable to the 35,420 decrease in ecommerce units sold, which decreased product gross profit by $38.9 million, partially offset by a $414 increase in product gross profit per unit, which increased product gross profit by $16.3 million. Product gross profit per unit increased from $1,098 for the year ended December 31, 2021 to $1,512 for the year ended December 31, 2022, primarily due to interest income earned on finance receivables from Vroom customers originated or serviced by UACC.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9"/>
        </w:trPr>
        <w:tc>
          <w:tcPr>
            <w:tcW w:w="5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2"/>
        </w:trPr>
        <w:tc>
          <w:tcPr>
            <w:tcW w:w="5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5"/>
                <w:szCs w:val="15"/>
                <w:color w:val="auto"/>
              </w:rPr>
            </w:pPr>
          </w:p>
        </w:tc>
      </w:tr>
      <w:tr>
        <w:trPr>
          <w:trHeight w:val="182"/>
        </w:trPr>
        <w:tc>
          <w:tcPr>
            <w:tcW w:w="5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(in thousands, except unit data)</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Wholesale units sold</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20,876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37,163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(16,287 )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(43.8 )%</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Wholesale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293,528</w:t>
            </w:r>
          </w:p>
        </w:tc>
        <w:tc>
          <w:tcPr>
            <w:tcW w:w="24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498,981</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(205,453 )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(41.2 )%</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Wholesale gross (loss)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(10,620 )</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18,120</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(28,740 )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(158.6 )%</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Average selling price per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14,061</w:t>
            </w:r>
          </w:p>
        </w:tc>
        <w:tc>
          <w:tcPr>
            <w:tcW w:w="24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13,427</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634</w:t>
            </w:r>
          </w:p>
        </w:tc>
        <w:tc>
          <w:tcPr>
            <w:tcW w:w="2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4.7 %</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Wholesale gross (loss) profit per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(509 )</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488</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(997 )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(204.3 )%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-727075</wp:posOffset>
            </wp:positionV>
            <wp:extent cx="7132320" cy="145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220" w:lineRule="exact"/>
        <w:rPr>
          <w:sz w:val="20"/>
          <w:szCs w:val="20"/>
          <w:color w:val="auto"/>
        </w:rPr>
      </w:pPr>
    </w:p>
    <w:p>
      <w:pPr>
        <w:ind w:right="120" w:firstLine="761"/>
        <w:spacing w:after="0"/>
        <w:rPr>
          <w:sz w:val="20"/>
          <w:szCs w:val="20"/>
          <w:color w:val="auto"/>
        </w:rPr>
      </w:pPr>
      <w:r>
        <w:rPr>
          <w:rFonts w:ascii="Arial" w:cs="Arial" w:eastAsia="Arial" w:hAnsi="Arial"/>
          <w:sz w:val="18"/>
          <w:szCs w:val="18"/>
          <w:color w:val="auto"/>
        </w:rPr>
        <w:t>Wholesale units sold decreased 16,287, or 43.8%, from 37,163 for the year ended December 31, 2021 to 20,876 for the year ended December 31, 2022, primarily driven by a decrease in wholesale units purchased from consumers and a lower number of trade-in vehicles associated with the decrease in the number of ecommerce units sold.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220" w:lineRule="exact"/>
        <w:rPr>
          <w:sz w:val="20"/>
          <w:szCs w:val="20"/>
          <w:color w:val="auto"/>
        </w:rPr>
      </w:pPr>
    </w:p>
    <w:p>
      <w:pPr>
        <w:ind w:right="160" w:firstLine="761"/>
        <w:spacing w:after="0" w:line="238" w:lineRule="auto"/>
        <w:rPr>
          <w:sz w:val="20"/>
          <w:szCs w:val="20"/>
          <w:color w:val="auto"/>
        </w:rPr>
      </w:pPr>
      <w:r>
        <w:rPr>
          <w:rFonts w:ascii="Arial" w:cs="Arial" w:eastAsia="Arial" w:hAnsi="Arial"/>
          <w:sz w:val="18"/>
          <w:szCs w:val="18"/>
          <w:color w:val="auto"/>
        </w:rPr>
        <w:t>Wholesale revenue decreased $205.5 million, or 41.2%, from $499.0 million for the year ended December 31, 2021 to $ 293.5 million for the year ended December 31, 2022. The decrease was primarily attributable to the 16,287 decrease in wholesale units sold, which decreased wholesale revenue by $218.7 million, partially offset by a higher ASP per wholesale unit, which increased wholesale revenue by $13.2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(Loss) Profit</w:t>
      </w:r>
    </w:p>
    <w:p>
      <w:pPr>
        <w:spacing w:after="0" w:line="220" w:lineRule="exact"/>
        <w:rPr>
          <w:sz w:val="20"/>
          <w:szCs w:val="20"/>
          <w:color w:val="auto"/>
        </w:rPr>
      </w:pPr>
    </w:p>
    <w:p>
      <w:pPr>
        <w:ind w:right="140" w:firstLine="761"/>
        <w:spacing w:after="0" w:line="236" w:lineRule="auto"/>
        <w:rPr>
          <w:sz w:val="20"/>
          <w:szCs w:val="20"/>
          <w:color w:val="auto"/>
        </w:rPr>
      </w:pPr>
      <w:r>
        <w:rPr>
          <w:rFonts w:ascii="Arial" w:cs="Arial" w:eastAsia="Arial" w:hAnsi="Arial"/>
          <w:sz w:val="18"/>
          <w:szCs w:val="18"/>
          <w:color w:val="auto"/>
        </w:rPr>
        <w:t>Wholesale gross profit of $18.1 million for the year ended December 31, 2021 decreased by $28.7 million to a gross loss of $10.6 million for the year ended December 31, 2022. The decrease was primarily attributable to a $997 change in wholesale gross loss per unit from gross profit per unit of $488 for the year ended December 31, 2021 to wholesale gross loss per unit of $509 for the year ended December 31, 2022, which increased wholesale gross loss by $20.8 million and was primarily driven by lower sales margins. Additionally, the decrease was attributable to the 16,287 decrease in wholesale units sold, which increased wholesale gross loss by $7.9 million. In 2021 there was significant appreciation in the wholesale market, which positively impacted sales margins. Furthermore, due to our prior rapid growth and the operational challenges related to our titling and registration processes, our wholesale vehicle sales included a larger number of vehicles from our aged inventory, which negatively impacted our sales margin in 2022 and GPPU. Coupled with the industry-wide decline in used vehicle prices, we expect this to continue to negatively impact our sales margin and GPPU in the first half of 2023.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Retail Financing segment results of operations for the periods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9"/>
        </w:trPr>
        <w:tc>
          <w:tcPr>
            <w:tcW w:w="5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56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5"/>
                <w:szCs w:val="15"/>
                <w:color w:val="auto"/>
              </w:rPr>
            </w:pPr>
          </w:p>
        </w:tc>
      </w:tr>
      <w:tr>
        <w:trPr>
          <w:trHeight w:val="182"/>
        </w:trPr>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Retail Financing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152,542</w:t>
            </w:r>
          </w:p>
        </w:tc>
        <w:tc>
          <w:tcPr>
            <w:tcW w:w="114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152,542</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Retail Financing gross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138,381</w:t>
            </w:r>
          </w:p>
        </w:tc>
        <w:tc>
          <w:tcPr>
            <w:tcW w:w="114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138,381</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Revenue</w:t>
      </w:r>
    </w:p>
    <w:p>
      <w:pPr>
        <w:spacing w:after="0" w:line="220" w:lineRule="exact"/>
        <w:rPr>
          <w:sz w:val="20"/>
          <w:szCs w:val="20"/>
          <w:color w:val="auto"/>
        </w:rPr>
      </w:pPr>
    </w:p>
    <w:p>
      <w:pPr>
        <w:ind w:right="320" w:firstLine="764"/>
        <w:spacing w:after="0" w:line="245" w:lineRule="auto"/>
        <w:rPr>
          <w:sz w:val="20"/>
          <w:szCs w:val="20"/>
          <w:color w:val="auto"/>
        </w:rPr>
      </w:pPr>
      <w:r>
        <w:rPr>
          <w:rFonts w:ascii="Arial" w:cs="Arial" w:eastAsia="Arial" w:hAnsi="Arial"/>
          <w:sz w:val="18"/>
          <w:szCs w:val="18"/>
          <w:color w:val="auto"/>
        </w:rPr>
        <w:t>Retail Financing revenue was $152.5 million for the year ended December 31, 2022 and included interest income of $78.6 million earned on finance receivables with third-party dealership customers, a gain on sale of $45.6 million on the</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United Auto Credit 2022-1 and 2022-2 securitization transactions, servicing income of $13.9 million, and vehicle protection product income net of chargeback reserves.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Gross Profit</w:t>
      </w:r>
    </w:p>
    <w:p>
      <w:pPr>
        <w:spacing w:after="0" w:line="220" w:lineRule="exact"/>
        <w:rPr>
          <w:sz w:val="20"/>
          <w:szCs w:val="20"/>
          <w:color w:val="auto"/>
        </w:rPr>
      </w:pPr>
    </w:p>
    <w:p>
      <w:pPr>
        <w:ind w:right="220" w:firstLine="764"/>
        <w:spacing w:after="0" w:line="257" w:lineRule="auto"/>
        <w:rPr>
          <w:sz w:val="20"/>
          <w:szCs w:val="20"/>
          <w:color w:val="auto"/>
        </w:rPr>
      </w:pPr>
      <w:r>
        <w:rPr>
          <w:rFonts w:ascii="Arial" w:cs="Arial" w:eastAsia="Arial" w:hAnsi="Arial"/>
          <w:sz w:val="17"/>
          <w:szCs w:val="17"/>
          <w:color w:val="auto"/>
        </w:rPr>
        <w:t>Retail Financing gross profit was $138.4 million for the year ended December 31, 2022 and included interest income of $78.6 million earned on finance receivables with third-party dealership customers, a gain on sale of $45.6 million on the United Auto Credit 2022-1 and 2022-2 securitization transactions, servicing income of $13.9 million, and vehicle protection product income net of chargeback reserves, less collection expenses related to servicing finance receivables originated by UACC and interest expense incurred on securitization debt.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9"/>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2"/>
        </w:trPr>
        <w:tc>
          <w:tcPr>
            <w:tcW w:w="58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5"/>
                <w:szCs w:val="15"/>
                <w:color w:val="auto"/>
              </w:rPr>
            </w:pPr>
          </w:p>
        </w:tc>
      </w:tr>
      <w:tr>
        <w:trPr>
          <w:trHeight w:val="223"/>
        </w:trPr>
        <w:tc>
          <w:tcPr>
            <w:tcW w:w="5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Compensation &amp; benefits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251,153</w:t>
            </w:r>
          </w:p>
        </w:tc>
        <w:tc>
          <w:tcPr>
            <w:tcW w:w="7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204,913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46,240</w:t>
            </w:r>
          </w:p>
        </w:tc>
        <w:tc>
          <w:tcPr>
            <w:tcW w:w="2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22.6 %</w:t>
            </w:r>
          </w:p>
        </w:tc>
      </w:tr>
      <w:tr>
        <w:trPr>
          <w:trHeight w:val="215"/>
        </w:trPr>
        <w:tc>
          <w:tcPr>
            <w:tcW w:w="5860" w:type="dxa"/>
            <w:vAlign w:val="bottom"/>
          </w:tcPr>
          <w:p>
            <w:pPr>
              <w:ind w:left="20"/>
              <w:spacing w:after="0"/>
              <w:rPr>
                <w:sz w:val="20"/>
                <w:szCs w:val="20"/>
                <w:color w:val="auto"/>
              </w:rPr>
            </w:pPr>
            <w:r>
              <w:rPr>
                <w:rFonts w:ascii="Arial" w:cs="Arial" w:eastAsia="Arial" w:hAnsi="Arial"/>
                <w:sz w:val="18"/>
                <w:szCs w:val="18"/>
                <w:color w:val="auto"/>
              </w:rPr>
              <w:t>Marketing expense</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79,670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125,481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(45,811 )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(36.5 )%</w:t>
            </w:r>
          </w:p>
        </w:tc>
      </w:tr>
      <w:tr>
        <w:trPr>
          <w:trHeight w:val="244"/>
        </w:trPr>
        <w:tc>
          <w:tcPr>
            <w:tcW w:w="5860" w:type="dxa"/>
            <w:vAlign w:val="bottom"/>
          </w:tcPr>
          <w:p>
            <w:pPr>
              <w:ind w:left="20"/>
              <w:spacing w:after="0" w:line="244" w:lineRule="exact"/>
              <w:rPr>
                <w:sz w:val="20"/>
                <w:szCs w:val="20"/>
                <w:color w:val="auto"/>
              </w:rPr>
            </w:pPr>
            <w:r>
              <w:rPr>
                <w:rFonts w:ascii="Arial" w:cs="Arial" w:eastAsia="Arial" w:hAnsi="Arial"/>
                <w:sz w:val="18"/>
                <w:szCs w:val="18"/>
                <w:color w:val="auto"/>
              </w:rPr>
              <w:t xml:space="preserve">Outbound logistics </w:t>
            </w:r>
            <w:r>
              <w:rPr>
                <w:rFonts w:ascii="Arial" w:cs="Arial" w:eastAsia="Arial" w:hAnsi="Arial"/>
                <w:sz w:val="24"/>
                <w:szCs w:val="24"/>
                <w:color w:val="auto"/>
                <w:vertAlign w:val="superscript"/>
              </w:rPr>
              <w:t>(1)</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39,023</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85,788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(46,765 )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(54.5 )%</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Occupancy and related costs</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23,363</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17,448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5,915</w:t>
            </w:r>
          </w:p>
        </w:tc>
        <w:tc>
          <w:tcPr>
            <w:tcW w:w="2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33.9 %</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33,455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24,386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9,069</w:t>
            </w:r>
          </w:p>
        </w:tc>
        <w:tc>
          <w:tcPr>
            <w:tcW w:w="2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37.2 %</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Software and IT costs</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44,570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16,821</w:t>
            </w:r>
          </w:p>
        </w:tc>
        <w:tc>
          <w:tcPr>
            <w:tcW w:w="2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60.6 %</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95,153</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62,058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33,095</w:t>
            </w:r>
          </w:p>
        </w:tc>
        <w:tc>
          <w:tcPr>
            <w:tcW w:w="2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53.3 %</w:t>
            </w:r>
          </w:p>
        </w:tc>
      </w:tr>
      <w:tr>
        <w:trPr>
          <w:trHeight w:val="20"/>
        </w:trPr>
        <w:tc>
          <w:tcPr>
            <w:tcW w:w="5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Total selling, general &amp; administrative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566,387</w:t>
            </w:r>
          </w:p>
        </w:tc>
        <w:tc>
          <w:tcPr>
            <w:tcW w:w="24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547,823</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18,564</w:t>
            </w:r>
          </w:p>
        </w:tc>
        <w:tc>
          <w:tcPr>
            <w:tcW w:w="2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color w:val="auto"/>
                <w:highlight w:val="white"/>
              </w:rPr>
              <w:t>%</w:t>
            </w:r>
          </w:p>
        </w:tc>
      </w:tr>
      <w:tr>
        <w:trPr>
          <w:trHeight w:val="20"/>
        </w:trPr>
        <w:tc>
          <w:tcPr>
            <w:tcW w:w="5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-1198245</wp:posOffset>
            </wp:positionV>
            <wp:extent cx="7132320" cy="145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45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251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spacing w:after="0" w:line="93" w:lineRule="exact"/>
        <w:rPr>
          <w:sz w:val="20"/>
          <w:szCs w:val="20"/>
          <w:color w:val="auto"/>
        </w:rPr>
      </w:pPr>
    </w:p>
    <w:p>
      <w:pPr>
        <w:ind w:left="1020" w:right="180" w:hanging="504"/>
        <w:spacing w:after="0" w:line="249" w:lineRule="auto"/>
        <w:tabs>
          <w:tab w:leader="none" w:pos="10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Outbound logistics primarily includes third-party transportation fees as well as cost related to operating our proprietary logistics network, including fuel, tolls, and maintenance expenses associated with vehicle deliveries. Inbound transportation costs, from the point of acquisition to the relevant reconditioning facility, are included in cost of sales.</w:t>
      </w:r>
    </w:p>
    <w:p>
      <w:pPr>
        <w:spacing w:after="0" w:line="181" w:lineRule="exact"/>
        <w:rPr>
          <w:sz w:val="20"/>
          <w:szCs w:val="20"/>
          <w:color w:val="auto"/>
        </w:rPr>
      </w:pPr>
    </w:p>
    <w:p>
      <w:pPr>
        <w:jc w:val="both"/>
        <w:ind w:right="260" w:firstLine="764"/>
        <w:spacing w:after="0" w:line="261" w:lineRule="auto"/>
        <w:rPr>
          <w:sz w:val="20"/>
          <w:szCs w:val="20"/>
          <w:color w:val="auto"/>
        </w:rPr>
      </w:pPr>
      <w:r>
        <w:rPr>
          <w:rFonts w:ascii="Arial" w:cs="Arial" w:eastAsia="Arial" w:hAnsi="Arial"/>
          <w:sz w:val="17"/>
          <w:szCs w:val="17"/>
          <w:color w:val="auto"/>
        </w:rPr>
        <w:t>SG&amp;A expenses increased $18.6 million, or 3.4%, from $547.8 million for the year ended December 31, 2021 to $566.4 million for the year ended December 31, 2022. The increase was primarily due to incremental SG&amp;A expenses of $64.1 million related to the inclusion of UACC SG&amp;A expenses in 2022, as UACC was acquired on February 1, 2022. The total increase can be further broken out as follows:</w:t>
      </w:r>
    </w:p>
    <w:p>
      <w:pPr>
        <w:spacing w:after="0" w:line="171" w:lineRule="exact"/>
        <w:rPr>
          <w:sz w:val="20"/>
          <w:szCs w:val="20"/>
          <w:color w:val="auto"/>
        </w:rPr>
      </w:pPr>
    </w:p>
    <w:p>
      <w:pPr>
        <w:ind w:left="1140" w:right="280" w:hanging="371"/>
        <w:spacing w:after="0" w:line="238"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$46.2 million increase in compensation and benefits primarily as a result of an increase in salaries related to an increase in overall headcount and severance costs associated with reductions in force at Vroom. Despite the workforce reduction as part of our Realignment Plan and subsequent measures, overall headcount increased compared to the same period of the prior year, primarily related to the inclusion of UACC's headcount, which was acquired on February 1, 2022;</w:t>
      </w:r>
    </w:p>
    <w:p>
      <w:pPr>
        <w:spacing w:after="0" w:line="190" w:lineRule="exact"/>
        <w:rPr>
          <w:rFonts w:ascii="Arial" w:cs="Arial" w:eastAsia="Arial" w:hAnsi="Arial"/>
          <w:sz w:val="18"/>
          <w:szCs w:val="18"/>
          <w:color w:val="auto"/>
        </w:rPr>
      </w:pPr>
    </w:p>
    <w:p>
      <w:pPr>
        <w:ind w:left="1140" w:right="120" w:hanging="371"/>
        <w:spacing w:after="0" w:line="245"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$16.8 million increase in software and IT costs primarily related to volume-based fees as a result of increased headcount and software and IT costs for UACC, which was acquired on February 1, 2022;</w:t>
      </w:r>
    </w:p>
    <w:p>
      <w:pPr>
        <w:spacing w:after="0" w:line="184" w:lineRule="exact"/>
        <w:rPr>
          <w:rFonts w:ascii="Arial" w:cs="Arial" w:eastAsia="Arial" w:hAnsi="Arial"/>
          <w:sz w:val="18"/>
          <w:szCs w:val="18"/>
          <w:color w:val="auto"/>
        </w:rPr>
      </w:pPr>
    </w:p>
    <w:p>
      <w:pPr>
        <w:ind w:left="1140" w:right="260" w:hanging="371"/>
        <w:spacing w:after="0" w:line="245"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$9.1 million increase in professional fees primarily related to costs incurred in connection with the UACC Acquisition as well as increased legal fees related to ongoing legal and regulatory matters;</w:t>
      </w:r>
    </w:p>
    <w:p>
      <w:pPr>
        <w:spacing w:after="0" w:line="184" w:lineRule="exact"/>
        <w:rPr>
          <w:rFonts w:ascii="Arial" w:cs="Arial" w:eastAsia="Arial" w:hAnsi="Arial"/>
          <w:sz w:val="18"/>
          <w:szCs w:val="18"/>
          <w:color w:val="auto"/>
        </w:rPr>
      </w:pPr>
    </w:p>
    <w:p>
      <w:pPr>
        <w:ind w:left="1140" w:right="580" w:hanging="371"/>
        <w:spacing w:after="0" w:line="245"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$5.9 million increase in occupancy and related costs primarily a result of rent expense related to additional logistics and reconditioning hubs and rent expense for UACC offices; and</w:t>
      </w:r>
    </w:p>
    <w:p>
      <w:pPr>
        <w:spacing w:after="0" w:line="184" w:lineRule="exact"/>
        <w:rPr>
          <w:rFonts w:ascii="Arial" w:cs="Arial" w:eastAsia="Arial" w:hAnsi="Arial"/>
          <w:sz w:val="18"/>
          <w:szCs w:val="18"/>
          <w:color w:val="auto"/>
        </w:rPr>
      </w:pPr>
    </w:p>
    <w:p>
      <w:pPr>
        <w:ind w:left="1140" w:right="100" w:hanging="371"/>
        <w:spacing w:after="0" w:line="237"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$33.1 million increase in other SG&amp;A expenses primarily due to operational challenges created by our prior rapid growth from 2020 through the first quarter of 2022, which resulted in approximately $25.4 million of additional costs incurred, including legal settlements and rental car expenses for rental vehicles that we provided to customers whose vehicle registrations were delayed. We regard these situational costs as non-recurring and expect them to decline significantly as we resolve the challenges that arose prior to the implementation of our digital title vault, continue to streamline and automate our titling and registration process, and implement other improvements to our transaction processing.</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above increases were partially offset by:</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140" w:hanging="371"/>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$45.8 million decrease in marketing expense as a result of our Realignment Plan and long-term roadmap; and</w:t>
      </w:r>
    </w:p>
    <w:p>
      <w:pPr>
        <w:spacing w:after="0" w:line="211" w:lineRule="exact"/>
        <w:rPr>
          <w:rFonts w:ascii="Arial" w:cs="Arial" w:eastAsia="Arial" w:hAnsi="Arial"/>
          <w:sz w:val="18"/>
          <w:szCs w:val="18"/>
          <w:color w:val="auto"/>
        </w:rPr>
      </w:pPr>
    </w:p>
    <w:p>
      <w:pPr>
        <w:ind w:left="1140" w:hanging="371"/>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$46.8 million decrease in outbound logistics costs attributable to the decrease in ecommerce units sold.</w:t>
      </w:r>
    </w:p>
    <w:p>
      <w:pPr>
        <w:spacing w:after="0" w:line="211" w:lineRule="exact"/>
        <w:rPr>
          <w:sz w:val="20"/>
          <w:szCs w:val="20"/>
          <w:color w:val="auto"/>
        </w:rPr>
      </w:pPr>
    </w:p>
    <w:p>
      <w:pPr>
        <w:jc w:val="both"/>
        <w:ind w:right="500" w:firstLine="761"/>
        <w:spacing w:after="0"/>
        <w:rPr>
          <w:sz w:val="20"/>
          <w:szCs w:val="20"/>
          <w:color w:val="auto"/>
        </w:rPr>
      </w:pPr>
      <w:r>
        <w:rPr>
          <w:rFonts w:ascii="Arial" w:cs="Arial" w:eastAsia="Arial" w:hAnsi="Arial"/>
          <w:sz w:val="18"/>
          <w:szCs w:val="18"/>
          <w:color w:val="auto"/>
        </w:rPr>
        <w:t>We expect SG&amp;A expenses to decrease in the future driven by reductions in both fixed and variable cost components as we continue to reevaluate the optimization of our operations. We may not be able to fully realize further cost savings and benefits initially anticipated from the long-term roadmap, and the future costs may be greater than expected.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jc w:val="both"/>
        <w:ind w:right="100" w:firstLine="761"/>
        <w:spacing w:after="0" w:line="257" w:lineRule="auto"/>
        <w:rPr>
          <w:sz w:val="20"/>
          <w:szCs w:val="20"/>
          <w:color w:val="auto"/>
        </w:rPr>
      </w:pPr>
      <w:r>
        <w:rPr>
          <w:rFonts w:ascii="Arial" w:cs="Arial" w:eastAsia="Arial" w:hAnsi="Arial"/>
          <w:sz w:val="17"/>
          <w:szCs w:val="17"/>
          <w:color w:val="auto"/>
        </w:rPr>
        <w:t>Depreciation and amortization expenses increased $25.4 million, or 197.0%, from $ 12.9 million for the year ended December 31, 2021 to $38.3 million for the year ended December 31, 2022. The increase was primarily due to amortization expense of intangible assets acquired as part of the UACC Acquisition, amortization related to our capitalized internal use software costs incurred in the development of our platform and website applications, and depreciation of short-haul and line-haul vehicles acquired for our proprietary logistics network.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0"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Impairment charges represent an impairment charge in 2022 of $201.7 million to write down the carrying amount of the goodwill to fair value, lease impairment charges of $6.5 million, related to closing physical office locations, Stafford reconditioning facility and Sell Us Your Car® centers, and impairment of long-lived assets no longer in use of $3.7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debt extinguishment</w:t>
      </w:r>
    </w:p>
    <w:p>
      <w:pPr>
        <w:spacing w:after="0" w:line="220" w:lineRule="exact"/>
        <w:rPr>
          <w:sz w:val="20"/>
          <w:szCs w:val="20"/>
          <w:color w:val="auto"/>
        </w:rPr>
      </w:pPr>
    </w:p>
    <w:p>
      <w:pPr>
        <w:ind w:right="40" w:firstLine="749"/>
        <w:spacing w:after="0" w:line="245" w:lineRule="auto"/>
        <w:rPr>
          <w:sz w:val="20"/>
          <w:szCs w:val="20"/>
          <w:color w:val="auto"/>
        </w:rPr>
      </w:pPr>
      <w:r>
        <w:rPr>
          <w:rFonts w:ascii="Arial" w:cs="Arial" w:eastAsia="Arial" w:hAnsi="Arial"/>
          <w:sz w:val="18"/>
          <w:szCs w:val="18"/>
          <w:color w:val="auto"/>
        </w:rPr>
        <w:t>Gain on debt extinguishment represents a gain of $164.7 million recognized in 2022, related to the repurchase of $254.3 million in aggregate principal balance of the Notes, net of deferred issuance costs of $4.9 million, for $90.2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p>
      <w:pPr>
        <w:ind w:firstLine="761"/>
        <w:spacing w:after="0" w:line="257" w:lineRule="auto"/>
        <w:rPr>
          <w:sz w:val="20"/>
          <w:szCs w:val="20"/>
          <w:color w:val="auto"/>
        </w:rPr>
      </w:pPr>
      <w:r>
        <w:rPr>
          <w:rFonts w:ascii="Arial" w:cs="Arial" w:eastAsia="Arial" w:hAnsi="Arial"/>
          <w:sz w:val="17"/>
          <w:szCs w:val="17"/>
          <w:color w:val="auto"/>
        </w:rPr>
        <w:t>Interest expense increased $18.8 million, or 85.4%, from $21.9 million for the year ended December 31, 2021 to $40.7 million for the year ended December 31, 2022. The increase was primarily attributable to higher interest rates in the second half of 2022, which increased interest expense $9.1 million; a full year of interest expense on the Notes that were issued in June 2021, which increased interest expense $3.0 million; and interest expense incurred on UACC's Warehouse Credit Facilities, which increased interest expense $6.1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Interest income increased $ 9.1 million, or 87.2%, from $10.3 million for the year ended December 31, 2021 to $19.4 million for the year ended December 31, 2022. The increase in interest income was primarily driven by higher interest credits earned by the Company related to the 2022 Vehicle Floorplan Facilities and higher interest rates earned on cash and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(income)</w:t>
      </w:r>
    </w:p>
    <w:p>
      <w:pPr>
        <w:spacing w:after="0" w:line="220" w:lineRule="exact"/>
        <w:rPr>
          <w:sz w:val="20"/>
          <w:szCs w:val="20"/>
          <w:color w:val="auto"/>
        </w:rPr>
      </w:pPr>
    </w:p>
    <w:p>
      <w:pPr>
        <w:ind w:right="260" w:firstLine="764"/>
        <w:spacing w:after="0" w:line="245" w:lineRule="auto"/>
        <w:rPr>
          <w:sz w:val="20"/>
          <w:szCs w:val="20"/>
          <w:color w:val="auto"/>
        </w:rPr>
      </w:pPr>
      <w:r>
        <w:rPr>
          <w:rFonts w:ascii="Arial" w:cs="Arial" w:eastAsia="Arial" w:hAnsi="Arial"/>
          <w:sz w:val="18"/>
          <w:szCs w:val="18"/>
          <w:color w:val="auto"/>
        </w:rPr>
        <w:t>Other loss (income) increased to $43.2 million for the year ended December 31, 2022. The increase in other loss (income) was primarily driven by realized and unrealized gains and losses on the fair value of finance receivables.</w:t>
      </w:r>
    </w:p>
    <w:p>
      <w:pPr>
        <w:spacing w:after="0" w:line="184" w:lineRule="exact"/>
        <w:rPr>
          <w:sz w:val="20"/>
          <w:szCs w:val="20"/>
          <w:color w:val="auto"/>
        </w:rPr>
      </w:pPr>
    </w:p>
    <w:p>
      <w:pPr>
        <w:ind w:right="20" w:firstLine="764"/>
        <w:spacing w:after="0"/>
        <w:rPr>
          <w:sz w:val="20"/>
          <w:szCs w:val="20"/>
          <w:color w:val="auto"/>
        </w:rPr>
      </w:pPr>
      <w:r>
        <w:rPr>
          <w:rFonts w:ascii="Arial" w:cs="Arial" w:eastAsia="Arial" w:hAnsi="Arial"/>
          <w:sz w:val="18"/>
          <w:szCs w:val="18"/>
          <w:color w:val="auto"/>
        </w:rPr>
        <w:t>UACC is currently experiencing increasing credit losses on its finance receivables, which has negatively impacted the fair value of our financial receivables and the losses recognized during 2022. Increasing credit losses may continue to negatively impact our business during 2023, especially due to the fact that UACC primarily operates in the sub-prime sector of the market.</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0" w:right="47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9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Quarterly Results of Operations Supplemental data</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tables set forth our quarterly financial information for the fourth and third quarter of 2022:</w:t>
      </w:r>
    </w:p>
    <w:tbl>
      <w:tblPr>
        <w:tblLayout w:type="fixed"/>
        <w:tblInd w:w="0" w:type="dxa"/>
        <w:tblCellMar>
          <w:top w:w="0" w:type="dxa"/>
          <w:left w:w="0" w:type="dxa"/>
          <w:bottom w:w="0" w:type="dxa"/>
          <w:right w:w="0" w:type="dxa"/>
        </w:tblCellMar>
      </w:tblPr>
      <w:tr>
        <w:trPr>
          <w:trHeight w:val="141"/>
        </w:trPr>
        <w:tc>
          <w:tcPr>
            <w:tcW w:w="5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center"/>
              <w:ind w:left="11"/>
              <w:spacing w:after="0" w:line="141" w:lineRule="exact"/>
              <w:rPr>
                <w:sz w:val="20"/>
                <w:szCs w:val="20"/>
                <w:color w:val="auto"/>
              </w:rPr>
            </w:pPr>
            <w:r>
              <w:rPr>
                <w:rFonts w:ascii="Arial" w:cs="Arial" w:eastAsia="Arial" w:hAnsi="Arial"/>
                <w:sz w:val="13"/>
                <w:szCs w:val="13"/>
                <w:b w:val="1"/>
                <w:bCs w:val="1"/>
                <w:color w:val="auto"/>
              </w:rPr>
              <w:t>Three 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5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center"/>
              <w:ind w:left="51"/>
              <w:spacing w:after="0" w:line="149" w:lineRule="exact"/>
              <w:rPr>
                <w:sz w:val="20"/>
                <w:szCs w:val="20"/>
                <w:color w:val="auto"/>
              </w:rPr>
            </w:pPr>
            <w:r>
              <w:rPr>
                <w:rFonts w:ascii="Arial" w:cs="Arial" w:eastAsia="Arial" w:hAnsi="Arial"/>
                <w:sz w:val="13"/>
                <w:szCs w:val="13"/>
                <w:b w:val="1"/>
                <w:bCs w:val="1"/>
                <w:color w:val="auto"/>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8"/>
        </w:trPr>
        <w:tc>
          <w:tcPr>
            <w:tcW w:w="5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Borders>
              <w:bottom w:val="single" w:sz="8" w:color="auto"/>
            </w:tcBorders>
            <w:gridSpan w:val="3"/>
          </w:tcPr>
          <w:p>
            <w:pPr>
              <w:jc w:val="center"/>
              <w:ind w:left="31"/>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69"/>
        </w:trPr>
        <w:tc>
          <w:tcPr>
            <w:tcW w:w="5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left="6"/>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left="151"/>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Change</w:t>
            </w:r>
          </w:p>
        </w:tc>
        <w:tc>
          <w:tcPr>
            <w:tcW w:w="100" w:type="dxa"/>
            <w:vAlign w:val="bottom"/>
            <w:gridSpan w:val="2"/>
          </w:tcPr>
          <w:p>
            <w:pPr>
              <w:spacing w:after="0"/>
              <w:rPr>
                <w:sz w:val="14"/>
                <w:szCs w:val="14"/>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 Change</w:t>
            </w:r>
          </w:p>
        </w:tc>
        <w:tc>
          <w:tcPr>
            <w:tcW w:w="200" w:type="dxa"/>
            <w:vAlign w:val="bottom"/>
          </w:tcPr>
          <w:p>
            <w:pPr>
              <w:spacing w:after="0"/>
              <w:rPr>
                <w:sz w:val="14"/>
                <w:szCs w:val="14"/>
                <w:color w:val="auto"/>
              </w:rPr>
            </w:pPr>
          </w:p>
        </w:tc>
      </w:tr>
      <w:tr>
        <w:trPr>
          <w:trHeight w:val="182"/>
        </w:trPr>
        <w:tc>
          <w:tcPr>
            <w:tcW w:w="5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8"/>
          </w:tcPr>
          <w:p>
            <w:pPr>
              <w:jc w:val="right"/>
              <w:ind w:right="260"/>
              <w:spacing w:after="0"/>
              <w:rPr>
                <w:sz w:val="20"/>
                <w:szCs w:val="20"/>
                <w:color w:val="auto"/>
              </w:rPr>
            </w:pPr>
            <w:r>
              <w:rPr>
                <w:rFonts w:ascii="Arial" w:cs="Arial" w:eastAsia="Arial" w:hAnsi="Arial"/>
                <w:sz w:val="13"/>
                <w:szCs w:val="13"/>
                <w:b w:val="1"/>
                <w:bCs w:val="1"/>
                <w:color w:val="auto"/>
              </w:rPr>
              <w:t>(in thousands, except unit data)</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9"/>
        </w:trPr>
        <w:tc>
          <w:tcPr>
            <w:tcW w:w="5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6"/>
          </w:tcPr>
          <w:p>
            <w:pPr>
              <w:jc w:val="right"/>
              <w:ind w:right="191"/>
              <w:spacing w:after="0"/>
              <w:rPr>
                <w:sz w:val="20"/>
                <w:szCs w:val="20"/>
                <w:color w:val="auto"/>
              </w:rPr>
            </w:pPr>
            <w:r>
              <w:rPr>
                <w:rFonts w:ascii="Arial" w:cs="Arial" w:eastAsia="Arial" w:hAnsi="Arial"/>
                <w:sz w:val="13"/>
                <w:szCs w:val="13"/>
                <w:b w:val="1"/>
                <w:bCs w:val="1"/>
                <w:color w:val="auto"/>
              </w:rPr>
              <w:t>(unaudited)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209,349</w:t>
            </w:r>
          </w:p>
        </w:tc>
        <w:tc>
          <w:tcPr>
            <w:tcW w:w="80" w:type="dxa"/>
            <w:vAlign w:val="bottom"/>
          </w:tcPr>
          <w:p>
            <w:pPr>
              <w:spacing w:after="0"/>
              <w:rPr>
                <w:sz w:val="16"/>
                <w:szCs w:val="16"/>
                <w:color w:val="auto"/>
              </w:rPr>
            </w:pPr>
          </w:p>
        </w:tc>
        <w:tc>
          <w:tcPr>
            <w:tcW w:w="680" w:type="dxa"/>
            <w:vAlign w:val="bottom"/>
            <w:gridSpan w:val="2"/>
          </w:tcPr>
          <w:p>
            <w:pPr>
              <w:jc w:val="right"/>
              <w:ind w:right="451"/>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340,797</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5"/>
                <w:szCs w:val="15"/>
                <w:color w:val="auto"/>
              </w:rPr>
              <w:t>(131,448 )</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(38.6 )%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Total gross profit</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29,459</w:t>
            </w:r>
          </w:p>
        </w:tc>
        <w:tc>
          <w:tcPr>
            <w:tcW w:w="80" w:type="dxa"/>
            <w:vAlign w:val="bottom"/>
          </w:tcPr>
          <w:p>
            <w:pPr>
              <w:spacing w:after="0"/>
              <w:rPr>
                <w:sz w:val="16"/>
                <w:szCs w:val="16"/>
                <w:color w:val="auto"/>
              </w:rPr>
            </w:pPr>
          </w:p>
        </w:tc>
        <w:tc>
          <w:tcPr>
            <w:tcW w:w="680" w:type="dxa"/>
            <w:vAlign w:val="bottom"/>
            <w:gridSpan w:val="2"/>
          </w:tcPr>
          <w:p>
            <w:pPr>
              <w:jc w:val="right"/>
              <w:ind w:right="451"/>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67,331</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5"/>
                <w:szCs w:val="15"/>
                <w:color w:val="auto"/>
              </w:rPr>
              <w:t>(37,872 )</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(56.2 )%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Ecommerce units sold</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4,144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6,428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5"/>
                <w:szCs w:val="15"/>
                <w:color w:val="auto"/>
              </w:rPr>
              <w:t>(2,284 )</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(35.5 )%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Ecommerce revenue</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141,758</w:t>
            </w:r>
          </w:p>
        </w:tc>
        <w:tc>
          <w:tcPr>
            <w:tcW w:w="80" w:type="dxa"/>
            <w:vAlign w:val="bottom"/>
          </w:tcPr>
          <w:p>
            <w:pPr>
              <w:spacing w:after="0"/>
              <w:rPr>
                <w:sz w:val="16"/>
                <w:szCs w:val="16"/>
                <w:color w:val="auto"/>
              </w:rPr>
            </w:pPr>
          </w:p>
        </w:tc>
        <w:tc>
          <w:tcPr>
            <w:tcW w:w="680" w:type="dxa"/>
            <w:vAlign w:val="bottom"/>
            <w:gridSpan w:val="2"/>
          </w:tcPr>
          <w:p>
            <w:pPr>
              <w:jc w:val="right"/>
              <w:ind w:right="451"/>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225,441</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5"/>
                <w:szCs w:val="15"/>
                <w:color w:val="auto"/>
              </w:rPr>
              <w:t>(83,683 )</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(37.1 )%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Ecommerce gross profit</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5,110</w:t>
            </w:r>
          </w:p>
        </w:tc>
        <w:tc>
          <w:tcPr>
            <w:tcW w:w="80" w:type="dxa"/>
            <w:vAlign w:val="bottom"/>
          </w:tcPr>
          <w:p>
            <w:pPr>
              <w:spacing w:after="0"/>
              <w:rPr>
                <w:sz w:val="16"/>
                <w:szCs w:val="16"/>
                <w:color w:val="auto"/>
              </w:rPr>
            </w:pPr>
          </w:p>
        </w:tc>
        <w:tc>
          <w:tcPr>
            <w:tcW w:w="680" w:type="dxa"/>
            <w:vAlign w:val="bottom"/>
            <w:gridSpan w:val="2"/>
          </w:tcPr>
          <w:p>
            <w:pPr>
              <w:jc w:val="right"/>
              <w:ind w:right="451"/>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27,034</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5"/>
                <w:szCs w:val="15"/>
                <w:color w:val="auto"/>
              </w:rPr>
              <w:t>(21,924 )</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(81.1 )%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Vehicle gross (loss) profit per ecommerce unit</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4"/>
          </w:tcPr>
          <w:p>
            <w:pPr>
              <w:jc w:val="right"/>
              <w:ind w:right="20"/>
              <w:spacing w:after="0"/>
              <w:rPr>
                <w:sz w:val="20"/>
                <w:szCs w:val="20"/>
                <w:color w:val="auto"/>
              </w:rPr>
            </w:pPr>
            <w:r>
              <w:rPr>
                <w:rFonts w:ascii="Arial" w:cs="Arial" w:eastAsia="Arial" w:hAnsi="Arial"/>
                <w:sz w:val="15"/>
                <w:szCs w:val="15"/>
                <w:color w:val="auto"/>
              </w:rPr>
              <w:t>(1,346 )</w:t>
            </w:r>
          </w:p>
        </w:tc>
        <w:tc>
          <w:tcPr>
            <w:tcW w:w="680" w:type="dxa"/>
            <w:vAlign w:val="bottom"/>
            <w:gridSpan w:val="2"/>
          </w:tcPr>
          <w:p>
            <w:pPr>
              <w:jc w:val="right"/>
              <w:ind w:right="451"/>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2,267</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5"/>
                <w:szCs w:val="15"/>
                <w:color w:val="auto"/>
              </w:rPr>
              <w:t>(3,613 )</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(159.4 )%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Product gross profit per ecommerce unit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2,579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1,939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640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33.0 %</w:t>
            </w:r>
          </w:p>
        </w:tc>
      </w:tr>
      <w:tr>
        <w:trPr>
          <w:trHeight w:val="20"/>
        </w:trPr>
        <w:tc>
          <w:tcPr>
            <w:tcW w:w="5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2"/>
        </w:trPr>
        <w:tc>
          <w:tcPr>
            <w:tcW w:w="5900" w:type="dxa"/>
            <w:vAlign w:val="bottom"/>
          </w:tcPr>
          <w:p>
            <w:pPr>
              <w:ind w:left="20"/>
              <w:spacing w:after="0"/>
              <w:rPr>
                <w:sz w:val="20"/>
                <w:szCs w:val="20"/>
                <w:color w:val="auto"/>
              </w:rPr>
            </w:pPr>
            <w:r>
              <w:rPr>
                <w:rFonts w:ascii="Arial" w:cs="Arial" w:eastAsia="Arial" w:hAnsi="Arial"/>
                <w:sz w:val="15"/>
                <w:szCs w:val="15"/>
                <w:color w:val="auto"/>
              </w:rPr>
              <w:t>Total gross profit per ecommerce unit</w:t>
            </w:r>
          </w:p>
        </w:tc>
        <w:tc>
          <w:tcPr>
            <w:tcW w:w="3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1,233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ind w:right="451"/>
              <w:spacing w:after="0"/>
              <w:rPr>
                <w:sz w:val="20"/>
                <w:szCs w:val="20"/>
                <w:color w:val="auto"/>
              </w:rPr>
            </w:pPr>
            <w:r>
              <w:rPr>
                <w:rFonts w:ascii="Arial" w:cs="Arial" w:eastAsia="Arial" w:hAnsi="Arial"/>
                <w:sz w:val="15"/>
                <w:szCs w:val="15"/>
                <w:color w:val="auto"/>
                <w:w w:val="95"/>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4,206</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4"/>
          </w:tcPr>
          <w:p>
            <w:pPr>
              <w:jc w:val="right"/>
              <w:ind w:right="40"/>
              <w:spacing w:after="0"/>
              <w:rPr>
                <w:sz w:val="20"/>
                <w:szCs w:val="20"/>
                <w:color w:val="auto"/>
              </w:rPr>
            </w:pPr>
            <w:r>
              <w:rPr>
                <w:rFonts w:ascii="Arial" w:cs="Arial" w:eastAsia="Arial" w:hAnsi="Arial"/>
                <w:sz w:val="15"/>
                <w:szCs w:val="15"/>
                <w:color w:val="auto"/>
              </w:rPr>
              <w:t>(2,973 )</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 xml:space="preserve">(70.7 </w:t>
            </w:r>
            <w:r>
              <w:rPr>
                <w:rFonts w:ascii="Arial" w:cs="Arial" w:eastAsia="Arial" w:hAnsi="Arial"/>
                <w:sz w:val="15"/>
                <w:szCs w:val="15"/>
                <w:color w:val="auto"/>
                <w:highlight w:val="white"/>
              </w:rPr>
              <w:t>)</w:t>
            </w:r>
            <w:r>
              <w:rPr>
                <w:rFonts w:ascii="Arial" w:cs="Arial" w:eastAsia="Arial" w:hAnsi="Arial"/>
                <w:sz w:val="15"/>
                <w:szCs w:val="15"/>
                <w:color w:val="auto"/>
              </w:rPr>
              <w:t>%</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Wholesale units sold</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1,768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3,128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5"/>
                <w:szCs w:val="15"/>
                <w:color w:val="auto"/>
              </w:rPr>
              <w:t>(1,360 )</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(43.5 )%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Wholesale revenue</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23,039</w:t>
            </w:r>
          </w:p>
        </w:tc>
        <w:tc>
          <w:tcPr>
            <w:tcW w:w="80" w:type="dxa"/>
            <w:vAlign w:val="bottom"/>
          </w:tcPr>
          <w:p>
            <w:pPr>
              <w:spacing w:after="0"/>
              <w:rPr>
                <w:sz w:val="16"/>
                <w:szCs w:val="16"/>
                <w:color w:val="auto"/>
              </w:rPr>
            </w:pPr>
          </w:p>
        </w:tc>
        <w:tc>
          <w:tcPr>
            <w:tcW w:w="680" w:type="dxa"/>
            <w:vAlign w:val="bottom"/>
            <w:gridSpan w:val="2"/>
          </w:tcPr>
          <w:p>
            <w:pPr>
              <w:jc w:val="right"/>
              <w:ind w:right="451"/>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47,604</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5"/>
                <w:szCs w:val="15"/>
                <w:color w:val="auto"/>
              </w:rPr>
              <w:t>(24,565 )</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(51.6 )%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Wholesale gross loss</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4"/>
          </w:tcPr>
          <w:p>
            <w:pPr>
              <w:jc w:val="right"/>
              <w:ind w:right="20"/>
              <w:spacing w:after="0"/>
              <w:rPr>
                <w:sz w:val="20"/>
                <w:szCs w:val="20"/>
                <w:color w:val="auto"/>
              </w:rPr>
            </w:pPr>
            <w:r>
              <w:rPr>
                <w:rFonts w:ascii="Arial" w:cs="Arial" w:eastAsia="Arial" w:hAnsi="Arial"/>
                <w:sz w:val="15"/>
                <w:szCs w:val="15"/>
                <w:color w:val="auto"/>
              </w:rPr>
              <w:t>(4,359 )</w:t>
            </w:r>
          </w:p>
        </w:tc>
        <w:tc>
          <w:tcPr>
            <w:tcW w:w="680" w:type="dxa"/>
            <w:vAlign w:val="bottom"/>
            <w:gridSpan w:val="2"/>
          </w:tcPr>
          <w:p>
            <w:pPr>
              <w:jc w:val="right"/>
              <w:ind w:right="451"/>
              <w:spacing w:after="0"/>
              <w:rPr>
                <w:sz w:val="20"/>
                <w:szCs w:val="20"/>
                <w:color w:val="auto"/>
              </w:rPr>
            </w:pPr>
            <w:r>
              <w:rPr>
                <w:rFonts w:ascii="Arial" w:cs="Arial" w:eastAsia="Arial" w:hAnsi="Arial"/>
                <w:sz w:val="15"/>
                <w:szCs w:val="15"/>
                <w:color w:val="auto"/>
              </w:rPr>
              <w:t>$</w:t>
            </w:r>
          </w:p>
        </w:tc>
        <w:tc>
          <w:tcPr>
            <w:tcW w:w="940" w:type="dxa"/>
            <w:vAlign w:val="bottom"/>
            <w:gridSpan w:val="5"/>
          </w:tcPr>
          <w:p>
            <w:pPr>
              <w:jc w:val="right"/>
              <w:spacing w:after="0"/>
              <w:rPr>
                <w:sz w:val="20"/>
                <w:szCs w:val="20"/>
                <w:color w:val="auto"/>
              </w:rPr>
            </w:pPr>
            <w:r>
              <w:rPr>
                <w:rFonts w:ascii="Arial" w:cs="Arial" w:eastAsia="Arial" w:hAnsi="Arial"/>
                <w:sz w:val="15"/>
                <w:szCs w:val="15"/>
                <w:color w:val="auto"/>
              </w:rPr>
              <w:t>(1,574 ) $</w:t>
            </w:r>
          </w:p>
        </w:tc>
        <w:tc>
          <w:tcPr>
            <w:tcW w:w="900" w:type="dxa"/>
            <w:vAlign w:val="bottom"/>
            <w:gridSpan w:val="4"/>
          </w:tcPr>
          <w:p>
            <w:pPr>
              <w:jc w:val="right"/>
              <w:ind w:right="40"/>
              <w:spacing w:after="0"/>
              <w:rPr>
                <w:sz w:val="20"/>
                <w:szCs w:val="20"/>
                <w:color w:val="auto"/>
              </w:rPr>
            </w:pPr>
            <w:r>
              <w:rPr>
                <w:rFonts w:ascii="Arial" w:cs="Arial" w:eastAsia="Arial" w:hAnsi="Arial"/>
                <w:sz w:val="15"/>
                <w:szCs w:val="15"/>
                <w:color w:val="auto"/>
              </w:rPr>
              <w:t>(2,785 )</w:t>
            </w: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176.9 %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Wholesale gross loss per unit</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4"/>
          </w:tcPr>
          <w:p>
            <w:pPr>
              <w:jc w:val="right"/>
              <w:ind w:right="20"/>
              <w:spacing w:after="0"/>
              <w:rPr>
                <w:sz w:val="20"/>
                <w:szCs w:val="20"/>
                <w:color w:val="auto"/>
              </w:rPr>
            </w:pPr>
            <w:r>
              <w:rPr>
                <w:rFonts w:ascii="Arial" w:cs="Arial" w:eastAsia="Arial" w:hAnsi="Arial"/>
                <w:sz w:val="15"/>
                <w:szCs w:val="15"/>
                <w:color w:val="auto"/>
              </w:rPr>
              <w:t>(2,465 )</w:t>
            </w:r>
          </w:p>
        </w:tc>
        <w:tc>
          <w:tcPr>
            <w:tcW w:w="680" w:type="dxa"/>
            <w:vAlign w:val="bottom"/>
            <w:gridSpan w:val="2"/>
          </w:tcPr>
          <w:p>
            <w:pPr>
              <w:jc w:val="right"/>
              <w:ind w:right="451"/>
              <w:spacing w:after="0"/>
              <w:rPr>
                <w:sz w:val="20"/>
                <w:szCs w:val="20"/>
                <w:color w:val="auto"/>
              </w:rPr>
            </w:pPr>
            <w:r>
              <w:rPr>
                <w:rFonts w:ascii="Arial" w:cs="Arial" w:eastAsia="Arial" w:hAnsi="Arial"/>
                <w:sz w:val="15"/>
                <w:szCs w:val="15"/>
                <w:color w:val="auto"/>
              </w:rPr>
              <w:t>$</w:t>
            </w:r>
          </w:p>
        </w:tc>
        <w:tc>
          <w:tcPr>
            <w:tcW w:w="940" w:type="dxa"/>
            <w:vAlign w:val="bottom"/>
            <w:gridSpan w:val="5"/>
          </w:tcPr>
          <w:p>
            <w:pPr>
              <w:jc w:val="right"/>
              <w:spacing w:after="0"/>
              <w:rPr>
                <w:sz w:val="20"/>
                <w:szCs w:val="20"/>
                <w:color w:val="auto"/>
              </w:rPr>
            </w:pPr>
            <w:r>
              <w:rPr>
                <w:rFonts w:ascii="Arial" w:cs="Arial" w:eastAsia="Arial" w:hAnsi="Arial"/>
                <w:sz w:val="15"/>
                <w:szCs w:val="15"/>
                <w:color w:val="auto"/>
              </w:rPr>
              <w:t>(503 ) $</w:t>
            </w:r>
          </w:p>
        </w:tc>
        <w:tc>
          <w:tcPr>
            <w:tcW w:w="900" w:type="dxa"/>
            <w:vAlign w:val="bottom"/>
            <w:gridSpan w:val="4"/>
          </w:tcPr>
          <w:p>
            <w:pPr>
              <w:jc w:val="right"/>
              <w:ind w:right="40"/>
              <w:spacing w:after="0"/>
              <w:rPr>
                <w:sz w:val="20"/>
                <w:szCs w:val="20"/>
                <w:color w:val="auto"/>
              </w:rPr>
            </w:pPr>
            <w:r>
              <w:rPr>
                <w:rFonts w:ascii="Arial" w:cs="Arial" w:eastAsia="Arial" w:hAnsi="Arial"/>
                <w:sz w:val="15"/>
                <w:szCs w:val="15"/>
                <w:color w:val="auto"/>
              </w:rPr>
              <w:t>(1,962 )</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(390.1 )%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Retail Financing revenue</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32,537</w:t>
            </w:r>
          </w:p>
        </w:tc>
        <w:tc>
          <w:tcPr>
            <w:tcW w:w="80" w:type="dxa"/>
            <w:vAlign w:val="bottom"/>
          </w:tcPr>
          <w:p>
            <w:pPr>
              <w:spacing w:after="0"/>
              <w:rPr>
                <w:sz w:val="16"/>
                <w:szCs w:val="16"/>
                <w:color w:val="auto"/>
              </w:rPr>
            </w:pPr>
          </w:p>
        </w:tc>
        <w:tc>
          <w:tcPr>
            <w:tcW w:w="680" w:type="dxa"/>
            <w:vAlign w:val="bottom"/>
            <w:gridSpan w:val="2"/>
          </w:tcPr>
          <w:p>
            <w:pPr>
              <w:jc w:val="right"/>
              <w:ind w:right="451"/>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40,654</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5"/>
                <w:szCs w:val="15"/>
                <w:color w:val="auto"/>
              </w:rPr>
              <w:t>(8,117 )</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(20.0 )%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Retail Financing gross profit</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28,744</w:t>
            </w:r>
          </w:p>
        </w:tc>
        <w:tc>
          <w:tcPr>
            <w:tcW w:w="80" w:type="dxa"/>
            <w:vAlign w:val="bottom"/>
          </w:tcPr>
          <w:p>
            <w:pPr>
              <w:spacing w:after="0"/>
              <w:rPr>
                <w:sz w:val="16"/>
                <w:szCs w:val="16"/>
                <w:color w:val="auto"/>
              </w:rPr>
            </w:pPr>
          </w:p>
        </w:tc>
        <w:tc>
          <w:tcPr>
            <w:tcW w:w="680" w:type="dxa"/>
            <w:vAlign w:val="bottom"/>
            <w:gridSpan w:val="2"/>
          </w:tcPr>
          <w:p>
            <w:pPr>
              <w:jc w:val="right"/>
              <w:ind w:right="451"/>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35,954</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5"/>
                <w:szCs w:val="15"/>
                <w:color w:val="auto"/>
              </w:rPr>
              <w:t>(7,210 )</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(20.1 )%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Total selling, general, and administrative expenses</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90,760</w:t>
            </w:r>
          </w:p>
        </w:tc>
        <w:tc>
          <w:tcPr>
            <w:tcW w:w="80" w:type="dxa"/>
            <w:vAlign w:val="bottom"/>
          </w:tcPr>
          <w:p>
            <w:pPr>
              <w:spacing w:after="0"/>
              <w:rPr>
                <w:sz w:val="16"/>
                <w:szCs w:val="16"/>
                <w:color w:val="auto"/>
              </w:rPr>
            </w:pPr>
          </w:p>
        </w:tc>
        <w:tc>
          <w:tcPr>
            <w:tcW w:w="680" w:type="dxa"/>
            <w:vAlign w:val="bottom"/>
            <w:gridSpan w:val="2"/>
          </w:tcPr>
          <w:p>
            <w:pPr>
              <w:jc w:val="right"/>
              <w:ind w:right="451"/>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134,643</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5"/>
                <w:szCs w:val="15"/>
                <w:color w:val="auto"/>
              </w:rPr>
              <w:t>(43,883 )</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(32.6 )%</w:t>
            </w:r>
          </w:p>
        </w:tc>
      </w:tr>
      <w:tr>
        <w:trPr>
          <w:trHeight w:val="347"/>
        </w:trPr>
        <w:tc>
          <w:tcPr>
            <w:tcW w:w="5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rPr>
              <w:t>Three Months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8"/>
        </w:trPr>
        <w:tc>
          <w:tcPr>
            <w:tcW w:w="5900" w:type="dxa"/>
            <w:vAlign w:val="bottom"/>
          </w:tcPr>
          <w:p>
            <w:pPr>
              <w:spacing w:after="0"/>
              <w:rPr>
                <w:sz w:val="12"/>
                <w:szCs w:val="12"/>
                <w:color w:val="auto"/>
              </w:rPr>
            </w:pPr>
          </w:p>
        </w:tc>
        <w:tc>
          <w:tcPr>
            <w:tcW w:w="1500" w:type="dxa"/>
            <w:vAlign w:val="bottom"/>
            <w:gridSpan w:val="4"/>
          </w:tcPr>
          <w:p>
            <w:pPr>
              <w:ind w:left="20"/>
              <w:spacing w:after="0" w:line="149" w:lineRule="exact"/>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left="151"/>
              <w:spacing w:after="0" w:line="149" w:lineRule="exact"/>
              <w:rPr>
                <w:sz w:val="20"/>
                <w:szCs w:val="20"/>
                <w:color w:val="auto"/>
              </w:rPr>
            </w:pPr>
            <w:r>
              <w:rPr>
                <w:rFonts w:ascii="Arial" w:cs="Arial" w:eastAsia="Arial" w:hAnsi="Arial"/>
                <w:sz w:val="13"/>
                <w:szCs w:val="13"/>
                <w:b w:val="1"/>
                <w:bCs w:val="1"/>
                <w:color w:val="auto"/>
              </w:rPr>
              <w:t>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8"/>
        </w:trPr>
        <w:tc>
          <w:tcPr>
            <w:tcW w:w="5900" w:type="dxa"/>
            <w:vAlign w:val="bottom"/>
          </w:tcPr>
          <w:p>
            <w:pPr>
              <w:spacing w:after="0"/>
              <w:rPr>
                <w:sz w:val="15"/>
                <w:szCs w:val="15"/>
                <w:color w:val="auto"/>
              </w:rPr>
            </w:pPr>
          </w:p>
        </w:tc>
        <w:tc>
          <w:tcPr>
            <w:tcW w:w="1500" w:type="dxa"/>
            <w:vAlign w:val="bottom"/>
            <w:gridSpan w:val="4"/>
          </w:tcPr>
          <w:p>
            <w:pPr>
              <w:ind w:left="24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69"/>
        </w:trPr>
        <w:tc>
          <w:tcPr>
            <w:tcW w:w="59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2"/>
          </w:tcPr>
          <w:p>
            <w:pPr>
              <w:jc w:val="center"/>
              <w:ind w:left="185"/>
              <w:spacing w:after="0"/>
              <w:rPr>
                <w:sz w:val="20"/>
                <w:szCs w:val="20"/>
                <w:color w:val="auto"/>
              </w:rPr>
            </w:pPr>
            <w:r>
              <w:rPr>
                <w:rFonts w:ascii="Arial" w:cs="Arial" w:eastAsia="Arial" w:hAnsi="Arial"/>
                <w:sz w:val="13"/>
                <w:szCs w:val="13"/>
                <w:b w:val="1"/>
                <w:bCs w:val="1"/>
                <w:color w:val="auto"/>
              </w:rPr>
              <w:t>2022</w:t>
            </w:r>
          </w:p>
        </w:tc>
        <w:tc>
          <w:tcPr>
            <w:tcW w:w="4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24"/>
              <w:spacing w:after="0"/>
              <w:rPr>
                <w:sz w:val="20"/>
                <w:szCs w:val="20"/>
                <w:color w:val="auto"/>
              </w:rPr>
            </w:pPr>
            <w:r>
              <w:rPr>
                <w:rFonts w:ascii="Arial" w:cs="Arial" w:eastAsia="Arial" w:hAnsi="Arial"/>
                <w:sz w:val="13"/>
                <w:szCs w:val="13"/>
                <w:b w:val="1"/>
                <w:bCs w:val="1"/>
                <w:color w:val="auto"/>
              </w:rPr>
              <w:t>Change</w:t>
            </w:r>
          </w:p>
        </w:tc>
        <w:tc>
          <w:tcPr>
            <w:tcW w:w="10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 Change</w:t>
            </w:r>
          </w:p>
        </w:tc>
        <w:tc>
          <w:tcPr>
            <w:tcW w:w="200" w:type="dxa"/>
            <w:vAlign w:val="bottom"/>
          </w:tcPr>
          <w:p>
            <w:pPr>
              <w:spacing w:after="0"/>
              <w:rPr>
                <w:sz w:val="14"/>
                <w:szCs w:val="14"/>
                <w:color w:val="auto"/>
              </w:rPr>
            </w:pPr>
          </w:p>
        </w:tc>
      </w:tr>
      <w:tr>
        <w:trPr>
          <w:trHeight w:val="182"/>
        </w:trPr>
        <w:tc>
          <w:tcPr>
            <w:tcW w:w="5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6"/>
          </w:tcPr>
          <w:p>
            <w:pPr>
              <w:jc w:val="right"/>
              <w:ind w:right="411"/>
              <w:spacing w:after="0"/>
              <w:rPr>
                <w:sz w:val="20"/>
                <w:szCs w:val="20"/>
                <w:color w:val="auto"/>
              </w:rPr>
            </w:pPr>
            <w:r>
              <w:rPr>
                <w:rFonts w:ascii="Arial" w:cs="Arial" w:eastAsia="Arial" w:hAnsi="Arial"/>
                <w:sz w:val="13"/>
                <w:szCs w:val="13"/>
                <w:b w:val="1"/>
                <w:bCs w:val="1"/>
                <w:color w:val="auto"/>
              </w:rPr>
              <w:t>(in thousands)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9"/>
        </w:trPr>
        <w:tc>
          <w:tcPr>
            <w:tcW w:w="5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6"/>
          </w:tcPr>
          <w:p>
            <w:pPr>
              <w:jc w:val="right"/>
              <w:ind w:right="511"/>
              <w:spacing w:after="0"/>
              <w:rPr>
                <w:sz w:val="20"/>
                <w:szCs w:val="20"/>
                <w:color w:val="auto"/>
              </w:rPr>
            </w:pPr>
            <w:r>
              <w:rPr>
                <w:rFonts w:ascii="Arial" w:cs="Arial" w:eastAsia="Arial" w:hAnsi="Arial"/>
                <w:sz w:val="13"/>
                <w:szCs w:val="13"/>
                <w:b w:val="1"/>
                <w:bCs w:val="1"/>
                <w:color w:val="auto"/>
              </w:rPr>
              <w:t>(unaudited)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320" w:type="dxa"/>
            <w:vAlign w:val="bottom"/>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24,765</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6"/>
                <w:szCs w:val="16"/>
                <w:color w:val="auto"/>
              </w:rPr>
            </w:pPr>
          </w:p>
        </w:tc>
        <w:tc>
          <w:tcPr>
            <w:tcW w:w="1360" w:type="dxa"/>
            <w:vAlign w:val="bottom"/>
            <w:gridSpan w:val="5"/>
          </w:tcPr>
          <w:p>
            <w:pPr>
              <w:jc w:val="right"/>
              <w:spacing w:after="0"/>
              <w:rPr>
                <w:sz w:val="20"/>
                <w:szCs w:val="20"/>
                <w:color w:val="auto"/>
              </w:rPr>
            </w:pPr>
            <w:r>
              <w:rPr>
                <w:rFonts w:ascii="Arial" w:cs="Arial" w:eastAsia="Arial" w:hAnsi="Arial"/>
                <w:sz w:val="15"/>
                <w:szCs w:val="15"/>
                <w:color w:val="auto"/>
              </w:rPr>
              <w:t>(51,127 )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75,892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148.4 %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Adjusted to exclude the following:</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12,076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9,704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2,372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24.4 %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(6,372 )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(5,104 )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(1,268 )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24.8 %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2,405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167.5 %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10,702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9,995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7.1 %</w:t>
            </w:r>
          </w:p>
        </w:tc>
      </w:tr>
      <w:tr>
        <w:trPr>
          <w:trHeight w:val="20"/>
        </w:trPr>
        <w:tc>
          <w:tcPr>
            <w:tcW w:w="5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2"/>
        </w:trPr>
        <w:tc>
          <w:tcPr>
            <w:tcW w:w="5900" w:type="dxa"/>
            <w:vAlign w:val="bottom"/>
          </w:tcPr>
          <w:p>
            <w:pPr>
              <w:ind w:left="20"/>
              <w:spacing w:after="0"/>
              <w:rPr>
                <w:sz w:val="20"/>
                <w:szCs w:val="20"/>
                <w:color w:val="auto"/>
              </w:rPr>
            </w:pPr>
            <w:r>
              <w:rPr>
                <w:rFonts w:ascii="Arial" w:cs="Arial" w:eastAsia="Arial" w:hAnsi="Arial"/>
                <w:sz w:val="15"/>
                <w:szCs w:val="15"/>
                <w:color w:val="auto"/>
              </w:rPr>
              <w:t>EBITDA</w:t>
            </w:r>
          </w:p>
        </w:tc>
        <w:tc>
          <w:tcPr>
            <w:tcW w:w="320" w:type="dxa"/>
            <w:vAlign w:val="bottom"/>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43,576</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5"/>
                <w:szCs w:val="15"/>
                <w:color w:val="auto"/>
              </w:rPr>
            </w:pPr>
          </w:p>
        </w:tc>
        <w:tc>
          <w:tcPr>
            <w:tcW w:w="1360" w:type="dxa"/>
            <w:vAlign w:val="bottom"/>
            <w:gridSpan w:val="5"/>
          </w:tcPr>
          <w:p>
            <w:pPr>
              <w:jc w:val="right"/>
              <w:spacing w:after="0"/>
              <w:rPr>
                <w:sz w:val="20"/>
                <w:szCs w:val="20"/>
                <w:color w:val="auto"/>
              </w:rPr>
            </w:pPr>
            <w:r>
              <w:rPr>
                <w:rFonts w:ascii="Arial" w:cs="Arial" w:eastAsia="Arial" w:hAnsi="Arial"/>
                <w:sz w:val="15"/>
                <w:szCs w:val="15"/>
                <w:color w:val="auto"/>
              </w:rPr>
              <w:t>(35,633 )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79,209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222.3 %</w:t>
            </w:r>
          </w:p>
        </w:tc>
      </w:tr>
      <w:tr>
        <w:trPr>
          <w:trHeight w:val="20"/>
        </w:trPr>
        <w:tc>
          <w:tcPr>
            <w:tcW w:w="5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9"/>
        </w:trPr>
        <w:tc>
          <w:tcPr>
            <w:tcW w:w="5900" w:type="dxa"/>
            <w:vAlign w:val="bottom"/>
          </w:tcPr>
          <w:p>
            <w:pPr>
              <w:ind w:left="20"/>
              <w:spacing w:after="0" w:line="169" w:lineRule="exact"/>
              <w:rPr>
                <w:sz w:val="20"/>
                <w:szCs w:val="20"/>
                <w:color w:val="auto"/>
              </w:rPr>
            </w:pPr>
            <w:r>
              <w:rPr>
                <w:rFonts w:ascii="Arial" w:cs="Arial" w:eastAsia="Arial" w:hAnsi="Arial"/>
                <w:sz w:val="15"/>
                <w:szCs w:val="15"/>
                <w:color w:val="auto"/>
              </w:rPr>
              <w:t>Realignment costs</w:t>
            </w:r>
          </w:p>
        </w:tc>
        <w:tc>
          <w:tcPr>
            <w:tcW w:w="320" w:type="dxa"/>
            <w:vAlign w:val="bottom"/>
          </w:tcPr>
          <w:p>
            <w:pPr>
              <w:ind w:left="2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2,253</w:t>
            </w:r>
          </w:p>
        </w:tc>
        <w:tc>
          <w:tcPr>
            <w:tcW w:w="1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3,243</w:t>
            </w:r>
          </w:p>
        </w:tc>
        <w:tc>
          <w:tcPr>
            <w:tcW w:w="10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(990 )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 xml:space="preserve">(30.5 </w:t>
            </w:r>
            <w:r>
              <w:rPr>
                <w:rFonts w:ascii="Arial" w:cs="Arial" w:eastAsia="Arial" w:hAnsi="Arial"/>
                <w:sz w:val="15"/>
                <w:szCs w:val="15"/>
                <w:color w:val="auto"/>
                <w:highlight w:val="white"/>
              </w:rPr>
              <w:t>)</w:t>
            </w:r>
            <w:r>
              <w:rPr>
                <w:rFonts w:ascii="Arial" w:cs="Arial" w:eastAsia="Arial" w:hAnsi="Arial"/>
                <w:sz w:val="15"/>
                <w:szCs w:val="15"/>
                <w:color w:val="auto"/>
              </w:rPr>
              <w:t>%</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Change in fair value of finance receivables</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3,917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(3,012 )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6,929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230.0 %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Gain on debt extinguishment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(126,767 )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5"/>
                <w:szCs w:val="15"/>
                <w:color w:val="auto"/>
              </w:rPr>
              <w:t>(37,917 )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(88,850 )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234.3 %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Acceleration of non-cash stock-based compensation</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2,439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2,439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100.0 %</w:t>
            </w:r>
          </w:p>
        </w:tc>
      </w:tr>
      <w:tr>
        <w:trPr>
          <w:trHeight w:val="189"/>
        </w:trPr>
        <w:tc>
          <w:tcPr>
            <w:tcW w:w="5900" w:type="dxa"/>
            <w:vAlign w:val="bottom"/>
          </w:tcPr>
          <w:p>
            <w:pPr>
              <w:ind w:left="20"/>
              <w:spacing w:after="0"/>
              <w:rPr>
                <w:sz w:val="20"/>
                <w:szCs w:val="20"/>
                <w:color w:val="auto"/>
              </w:rPr>
            </w:pPr>
            <w:r>
              <w:rPr>
                <w:rFonts w:ascii="Arial" w:cs="Arial" w:eastAsia="Arial" w:hAnsi="Arial"/>
                <w:sz w:val="15"/>
                <w:szCs w:val="15"/>
                <w:color w:val="auto"/>
              </w:rPr>
              <w:t>Other</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3,679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3,679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100.0 %</w:t>
            </w:r>
          </w:p>
        </w:tc>
      </w:tr>
      <w:tr>
        <w:trPr>
          <w:trHeight w:val="20"/>
        </w:trPr>
        <w:tc>
          <w:tcPr>
            <w:tcW w:w="5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2"/>
        </w:trPr>
        <w:tc>
          <w:tcPr>
            <w:tcW w:w="590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320" w:type="dxa"/>
            <w:vAlign w:val="bottom"/>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5"/>
                <w:szCs w:val="15"/>
                <w:color w:val="auto"/>
              </w:rPr>
              <w:t>(70,903 ) $</w:t>
            </w:r>
          </w:p>
        </w:tc>
        <w:tc>
          <w:tcPr>
            <w:tcW w:w="80" w:type="dxa"/>
            <w:vAlign w:val="bottom"/>
          </w:tcPr>
          <w:p>
            <w:pPr>
              <w:spacing w:after="0"/>
              <w:rPr>
                <w:sz w:val="15"/>
                <w:szCs w:val="15"/>
                <w:color w:val="auto"/>
              </w:rPr>
            </w:pPr>
          </w:p>
        </w:tc>
        <w:tc>
          <w:tcPr>
            <w:tcW w:w="1360" w:type="dxa"/>
            <w:vAlign w:val="bottom"/>
            <w:gridSpan w:val="5"/>
          </w:tcPr>
          <w:p>
            <w:pPr>
              <w:jc w:val="right"/>
              <w:spacing w:after="0"/>
              <w:rPr>
                <w:sz w:val="20"/>
                <w:szCs w:val="20"/>
                <w:color w:val="auto"/>
              </w:rPr>
            </w:pPr>
            <w:r>
              <w:rPr>
                <w:rFonts w:ascii="Arial" w:cs="Arial" w:eastAsia="Arial" w:hAnsi="Arial"/>
                <w:sz w:val="15"/>
                <w:szCs w:val="15"/>
                <w:color w:val="auto"/>
              </w:rPr>
              <w:t>(73,319 )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2,416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3.3 %</w:t>
            </w:r>
          </w:p>
        </w:tc>
      </w:tr>
      <w:tr>
        <w:trPr>
          <w:trHeight w:val="20"/>
        </w:trPr>
        <w:tc>
          <w:tcPr>
            <w:tcW w:w="5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9"/>
        </w:trPr>
        <w:tc>
          <w:tcPr>
            <w:tcW w:w="5900" w:type="dxa"/>
            <w:vAlign w:val="bottom"/>
          </w:tcPr>
          <w:p>
            <w:pPr>
              <w:ind w:left="20"/>
              <w:spacing w:after="0" w:line="169" w:lineRule="exact"/>
              <w:rPr>
                <w:sz w:val="20"/>
                <w:szCs w:val="20"/>
                <w:color w:val="auto"/>
              </w:rPr>
            </w:pPr>
            <w:r>
              <w:rPr>
                <w:rFonts w:ascii="Arial" w:cs="Arial" w:eastAsia="Arial" w:hAnsi="Arial"/>
                <w:sz w:val="15"/>
                <w:szCs w:val="15"/>
                <w:color w:val="auto"/>
              </w:rPr>
              <w:t>Securitization gain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tcPr>
          <w:p>
            <w:pPr>
              <w:jc w:val="right"/>
              <w:ind w:right="40"/>
              <w:spacing w:after="0" w:line="169" w:lineRule="exact"/>
              <w:rPr>
                <w:sz w:val="20"/>
                <w:szCs w:val="20"/>
                <w:color w:val="auto"/>
              </w:rPr>
            </w:pPr>
            <w:r>
              <w:rPr>
                <w:rFonts w:ascii="Arial" w:cs="Arial" w:eastAsia="Arial" w:hAnsi="Arial"/>
                <w:sz w:val="15"/>
                <w:szCs w:val="15"/>
                <w:color w:val="auto"/>
              </w:rPr>
              <w:t>(15,972 )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15,972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 xml:space="preserve">100.0 </w:t>
            </w:r>
            <w:r>
              <w:rPr>
                <w:rFonts w:ascii="Arial" w:cs="Arial" w:eastAsia="Arial" w:hAnsi="Arial"/>
                <w:sz w:val="15"/>
                <w:szCs w:val="15"/>
                <w:color w:val="auto"/>
                <w:highlight w:val="white"/>
              </w:rPr>
              <w:t>%</w:t>
            </w:r>
          </w:p>
        </w:tc>
      </w:tr>
      <w:tr>
        <w:trPr>
          <w:trHeight w:val="20"/>
        </w:trPr>
        <w:tc>
          <w:tcPr>
            <w:tcW w:w="5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2"/>
        </w:trPr>
        <w:tc>
          <w:tcPr>
            <w:tcW w:w="5900" w:type="dxa"/>
            <w:vAlign w:val="bottom"/>
          </w:tcPr>
          <w:p>
            <w:pPr>
              <w:ind w:left="20"/>
              <w:spacing w:after="0"/>
              <w:rPr>
                <w:sz w:val="20"/>
                <w:szCs w:val="20"/>
                <w:color w:val="auto"/>
              </w:rPr>
            </w:pPr>
            <w:r>
              <w:rPr>
                <w:rFonts w:ascii="Arial" w:cs="Arial" w:eastAsia="Arial" w:hAnsi="Arial"/>
                <w:sz w:val="15"/>
                <w:szCs w:val="15"/>
                <w:color w:val="auto"/>
              </w:rPr>
              <w:t>Adjusted EBITDA excluding securitization gain</w:t>
            </w:r>
          </w:p>
        </w:tc>
        <w:tc>
          <w:tcPr>
            <w:tcW w:w="320" w:type="dxa"/>
            <w:vAlign w:val="bottom"/>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(70,903 )</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5"/>
                <w:szCs w:val="15"/>
                <w:color w:val="auto"/>
              </w:rPr>
            </w:pPr>
          </w:p>
        </w:tc>
        <w:tc>
          <w:tcPr>
            <w:tcW w:w="1360" w:type="dxa"/>
            <w:vAlign w:val="bottom"/>
            <w:gridSpan w:val="5"/>
          </w:tcPr>
          <w:p>
            <w:pPr>
              <w:jc w:val="right"/>
              <w:spacing w:after="0"/>
              <w:rPr>
                <w:sz w:val="20"/>
                <w:szCs w:val="20"/>
                <w:color w:val="auto"/>
              </w:rPr>
            </w:pPr>
            <w:r>
              <w:rPr>
                <w:rFonts w:ascii="Arial" w:cs="Arial" w:eastAsia="Arial" w:hAnsi="Arial"/>
                <w:sz w:val="15"/>
                <w:szCs w:val="15"/>
                <w:color w:val="auto"/>
              </w:rPr>
              <w:t>(89,291 )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18,388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5"/>
                <w:szCs w:val="15"/>
                <w:color w:val="auto"/>
              </w:rPr>
              <w:t>20.6 %</w:t>
            </w:r>
          </w:p>
        </w:tc>
      </w:tr>
      <w:tr>
        <w:trPr>
          <w:trHeight w:val="20"/>
        </w:trPr>
        <w:tc>
          <w:tcPr>
            <w:tcW w:w="5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-4503420</wp:posOffset>
            </wp:positionV>
            <wp:extent cx="7132320" cy="1200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-4263390</wp:posOffset>
            </wp:positionV>
            <wp:extent cx="7132320" cy="1200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-4023995</wp:posOffset>
            </wp:positionV>
            <wp:extent cx="7132320" cy="1200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-3783965</wp:posOffset>
            </wp:positionV>
            <wp:extent cx="7132320" cy="3683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-3295650</wp:posOffset>
            </wp:positionV>
            <wp:extent cx="7132320" cy="1200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-3056255</wp:posOffset>
            </wp:positionV>
            <wp:extent cx="7132320" cy="1200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-2816225</wp:posOffset>
            </wp:positionV>
            <wp:extent cx="7132320" cy="1200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-1899920</wp:posOffset>
            </wp:positionV>
            <wp:extent cx="7132320" cy="1200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-1660525</wp:posOffset>
            </wp:positionV>
            <wp:extent cx="7132320" cy="1200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-1420495</wp:posOffset>
            </wp:positionV>
            <wp:extent cx="7132320" cy="1200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132320" cy="3854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3854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-667385</wp:posOffset>
            </wp:positionV>
            <wp:extent cx="7132320" cy="1200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419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15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Liquidity and Capital Resources</w:t>
      </w:r>
    </w:p>
    <w:p>
      <w:pPr>
        <w:spacing w:after="0" w:line="220"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As of December 31, 2022, we had cash and cash equivalents of $398.9 million and restricted cash of $73.1 million. Restricted cash primarily includes cash deposits required under our 2022 Vehicle Floorplan Facility of $34.6 million; cash deposits of $12.5 million required under cash collateral agreements with certain of our lenders; and restricted cash for UACC under the securitizations and Warehouse Credit Facilities of $24.7 million. Our primary source of liquidity is cash generated through financing activities. Additionally, we had excess borrowing capacity of $105.8 million on UACC's Warehouse Credit Facilities as of December 31, 2022.</w:t>
      </w:r>
    </w:p>
    <w:p>
      <w:pPr>
        <w:spacing w:after="0" w:line="192" w:lineRule="exact"/>
        <w:rPr>
          <w:sz w:val="20"/>
          <w:szCs w:val="20"/>
          <w:color w:val="auto"/>
        </w:rPr>
      </w:pPr>
    </w:p>
    <w:p>
      <w:pPr>
        <w:ind w:right="360" w:firstLine="811"/>
        <w:spacing w:after="0" w:line="245" w:lineRule="auto"/>
        <w:rPr>
          <w:sz w:val="20"/>
          <w:szCs w:val="20"/>
          <w:color w:val="auto"/>
        </w:rPr>
      </w:pPr>
      <w:r>
        <w:rPr>
          <w:rFonts w:ascii="Arial" w:cs="Arial" w:eastAsia="Arial" w:hAnsi="Arial"/>
          <w:sz w:val="18"/>
          <w:szCs w:val="18"/>
          <w:color w:val="auto"/>
        </w:rPr>
        <w:t>We have no significant debt maturities due until 2026 and the payments on our securitization debt is funded by cashflows on the finance receivables within the securitization trusts.</w:t>
      </w:r>
    </w:p>
    <w:p>
      <w:pPr>
        <w:spacing w:after="0" w:line="184"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We anticipate that our existing cash and cash equivalents, 2022 Vehicle Floorplan Facility, and UACC's Warehouse Credit Facilities will be sufficient to support our operations for at least the next twelve months from the date of this Annual Report on Form 10-K.</w:t>
      </w:r>
    </w:p>
    <w:p>
      <w:pPr>
        <w:spacing w:after="0" w:line="184" w:lineRule="exact"/>
        <w:rPr>
          <w:sz w:val="20"/>
          <w:szCs w:val="20"/>
          <w:color w:val="auto"/>
        </w:rPr>
      </w:pPr>
    </w:p>
    <w:p>
      <w:pPr>
        <w:ind w:right="520" w:firstLine="761"/>
        <w:spacing w:after="0" w:line="245" w:lineRule="auto"/>
        <w:rPr>
          <w:sz w:val="20"/>
          <w:szCs w:val="20"/>
          <w:color w:val="auto"/>
        </w:rPr>
      </w:pPr>
      <w:r>
        <w:rPr>
          <w:rFonts w:ascii="Arial" w:cs="Arial" w:eastAsia="Arial" w:hAnsi="Arial"/>
          <w:sz w:val="18"/>
          <w:szCs w:val="18"/>
          <w:color w:val="auto"/>
        </w:rPr>
        <w:t>Since inception, we experienced a continued increase in our cash usage as we scaled our business. Our long-term roadmap is designed to reduce our use of cash and position us for long-term profitable growth by prioritizing unit</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760"/>
        <w:spacing w:after="0"/>
        <w:rPr>
          <w:sz w:val="20"/>
          <w:szCs w:val="20"/>
          <w:color w:val="auto"/>
        </w:rPr>
      </w:pPr>
      <w:r>
        <w:rPr>
          <w:rFonts w:ascii="Arial" w:cs="Arial" w:eastAsia="Arial" w:hAnsi="Arial"/>
          <w:sz w:val="18"/>
          <w:szCs w:val="18"/>
          <w:color w:val="auto"/>
        </w:rPr>
        <w:t>economics, reducing operating expenses and maximizing liquidity. We achieved approximately $187.0 million of cost reductions and operating improvements across our operations for 2022, when compared to the first quarter annualized, primarily as a result of the Realignment Plan.</w:t>
      </w:r>
    </w:p>
    <w:p>
      <w:pPr>
        <w:spacing w:after="0" w:line="188" w:lineRule="exact"/>
        <w:rPr>
          <w:sz w:val="20"/>
          <w:szCs w:val="20"/>
          <w:color w:val="auto"/>
        </w:rPr>
      </w:pPr>
    </w:p>
    <w:p>
      <w:pPr>
        <w:ind w:right="280" w:firstLine="761"/>
        <w:spacing w:after="0" w:line="238" w:lineRule="auto"/>
        <w:rPr>
          <w:sz w:val="20"/>
          <w:szCs w:val="20"/>
          <w:color w:val="auto"/>
        </w:rPr>
      </w:pPr>
      <w:r>
        <w:rPr>
          <w:rFonts w:ascii="Arial" w:cs="Arial" w:eastAsia="Arial" w:hAnsi="Arial"/>
          <w:sz w:val="18"/>
          <w:szCs w:val="18"/>
          <w:color w:val="auto"/>
        </w:rPr>
        <w:t>Additionally, on January 18, 2023, we executed a reduction in force as part of our continued focus on reducing variable and fixed costs. We expect to incur expenses of approximately $4.0 million, primarily consisting of severance, and expect to achieve approximately $27.0 million of annualized cost reductions as a result of the reduction in force. We may not be able to fully realize the cost savings and benefits initially anticipated.</w:t>
      </w:r>
    </w:p>
    <w:p>
      <w:pPr>
        <w:spacing w:after="0" w:line="19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Our future capital requirements will depend on many factors, including our efforts to reduce fixed and variable expenses, investment in our internal sales force, investment in our website and mobile applications, continued automation of the selling experience, optimization of our assortment of vehicles, and increase inventory when we resume growth. We expect to use our cash and cash equivalents to finance our future capital requirements, borrowings under our 2022 Vehicle Floorplan Facility to finance our inventory, and UACC’s Warehouse Credit Facilities to fund our finance receivables. We may be required to seek additional equity or debt financing in the future to fund our operations or to fund our needs for capital expenditures. Our ability to obtain additional equity or debt financing will depend on the success of our efforts to reduce fixed and variable expenses and demonstrate we are on a path toward long-term profitable growth, as well as market conditions. There can be no assurance that such financing will be available in amounts or on terms acceptable to us, if at all. Failure to raise additional capital through debt or equity financings, and/or reduce operating costs could have a material adverse effect on our ability to meet our short and long-term liquidity needs and achieve our intended long-term business objectives.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0"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On June 18, 2021, we issued $625.0 million aggregate principal amount of the Notes pursuant to an indenture between us and U.S.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as trustee (the “Indenture”).</w:t>
      </w:r>
    </w:p>
    <w:p>
      <w:pPr>
        <w:spacing w:after="0" w:line="198" w:lineRule="exact"/>
        <w:rPr>
          <w:sz w:val="20"/>
          <w:szCs w:val="20"/>
          <w:color w:val="auto"/>
        </w:rPr>
      </w:pPr>
    </w:p>
    <w:p>
      <w:pPr>
        <w:ind w:right="160" w:firstLine="761"/>
        <w:spacing w:after="0" w:line="238"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were approximately $608.9 million. During the year ended December 31, 2022, the conditions allowing holders of the Notes to convert were not met.</w:t>
      </w:r>
    </w:p>
    <w:p>
      <w:pPr>
        <w:spacing w:after="0" w:line="190" w:lineRule="exact"/>
        <w:rPr>
          <w:sz w:val="20"/>
          <w:szCs w:val="20"/>
          <w:color w:val="auto"/>
        </w:rPr>
      </w:pPr>
    </w:p>
    <w:p>
      <w:pPr>
        <w:ind w:right="140" w:firstLine="749"/>
        <w:spacing w:after="0" w:line="237" w:lineRule="auto"/>
        <w:rPr>
          <w:sz w:val="20"/>
          <w:szCs w:val="20"/>
          <w:color w:val="auto"/>
        </w:rPr>
      </w:pPr>
      <w:r>
        <w:rPr>
          <w:rFonts w:ascii="Arial" w:cs="Arial" w:eastAsia="Arial" w:hAnsi="Arial"/>
          <w:sz w:val="18"/>
          <w:szCs w:val="18"/>
          <w:color w:val="auto"/>
        </w:rPr>
        <w:t>In 2022, we repurchased $254.3 million in aggregate principal amount of the Notes, net of deferred issuance costs of $4.9 million, for $90.2 million, in open-market transactions. We recognized a gain on extinguishment of debt of $164.7 million for the year ended December 31, 2022. As a result of these repurchases, $359.3 million aggregate principal amount of the Notes remain outstanding, net of deferred issuance costs of $6.5 million. Subject to market conditions and availability, we may continue to opportunistically repurchase Notes from time to time to reduce our outstanding indebtedness at a discount. Refer to Note 13 — Long Term Debt to our consolidated financial statements included elsewhere in this Annual Report on Form 10-K, for further discussion.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Financing</w:t>
      </w:r>
    </w:p>
    <w:p>
      <w:pPr>
        <w:spacing w:after="0" w:line="220" w:lineRule="exact"/>
        <w:rPr>
          <w:sz w:val="20"/>
          <w:szCs w:val="20"/>
          <w:color w:val="auto"/>
        </w:rPr>
      </w:pPr>
    </w:p>
    <w:p>
      <w:pPr>
        <w:ind w:right="80" w:firstLine="761"/>
        <w:spacing w:after="0" w:line="245" w:lineRule="auto"/>
        <w:rPr>
          <w:sz w:val="20"/>
          <w:szCs w:val="20"/>
          <w:color w:val="auto"/>
        </w:rPr>
      </w:pPr>
      <w:r>
        <w:rPr>
          <w:rFonts w:ascii="Arial" w:cs="Arial" w:eastAsia="Arial" w:hAnsi="Arial"/>
          <w:sz w:val="18"/>
          <w:szCs w:val="18"/>
          <w:color w:val="auto"/>
        </w:rPr>
        <w:t>In November 2022, we amended the 2020 Vehicle Floorplan Facility to, among other things, decrease the line of credit from $700.0 million to $500.0 million and extend the maturity date to March 31, 2024 (as amended, the "2022 Vehicle Floorplan Facility").</w:t>
      </w:r>
    </w:p>
    <w:p>
      <w:pPr>
        <w:spacing w:after="0" w:line="184" w:lineRule="exact"/>
        <w:rPr>
          <w:sz w:val="20"/>
          <w:szCs w:val="20"/>
          <w:color w:val="auto"/>
        </w:rPr>
      </w:pPr>
    </w:p>
    <w:p>
      <w:pPr>
        <w:ind w:right="40" w:firstLine="761"/>
        <w:spacing w:after="0" w:line="236" w:lineRule="auto"/>
        <w:rPr>
          <w:sz w:val="20"/>
          <w:szCs w:val="20"/>
          <w:color w:val="auto"/>
        </w:rPr>
      </w:pPr>
      <w:r>
        <w:rPr>
          <w:rFonts w:ascii="Arial" w:cs="Arial" w:eastAsia="Arial" w:hAnsi="Arial"/>
          <w:sz w:val="18"/>
          <w:szCs w:val="18"/>
          <w:color w:val="auto"/>
        </w:rPr>
        <w:t>In addition, the amendment modifies the amount of credit available to us on a monthly basis to the product of (1) the greater of five times the aggregate number of retail units sold during the most recent month for which information is available or the aggregate number of retail units sold during the five most recent months for which information is available and (2) the greater of the average outstanding floorplan balance of all vehicles on the floorplan as of the immediately preceding month-end or the average monthly outstanding floorplan balance of all vehicles on the floorplan as of month-end for the immediately preceding five months. The amendment also provides that we may elect to increase our monthly credit line availability by an additional $25.0 million during any four months in the period from November 1, 2022 through March 31, 2024, subject to the maximum $500.0 million credit limit. Consistent with the terms of the 2020 Vehicle Floorplan Facility, we have provided Ally with a guaranty of payment of all amounts owed under the 2022 Vehicle Floorplan Facility as well as a security interest in all or substantially all tangible, intangible, and other personal property of Vroom, Inc., to secure obligations under the 2022 Vehicle Floorplan Facility.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2022 Vehicle Floorplan Facility bears interest at a rate equal the Prime Rate, announced per annum by Ally Bank, plus 175 basis points. Additionally, we are subject to amended covenants and events of default. We are required to maintain a certain level of equity in the vehicles that are financed, to maintain at least 20.0% of the credit line in cash and cash equivalents, and to maintain a minimum required balance with Ally of at least 12.5% of the daily floorplan principal balance outstanding through December 31, 2022 and 15.0% effective January 1, 2023. We were required to pay a commitment fee upon execution of the 2022 Vehicle Floorplan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220" w:lineRule="exact"/>
        <w:rPr>
          <w:sz w:val="20"/>
          <w:szCs w:val="20"/>
          <w:color w:val="auto"/>
        </w:rPr>
      </w:pPr>
    </w:p>
    <w:p>
      <w:pPr>
        <w:ind w:right="200" w:firstLine="764"/>
        <w:spacing w:after="0" w:line="237" w:lineRule="auto"/>
        <w:rPr>
          <w:sz w:val="20"/>
          <w:szCs w:val="20"/>
          <w:color w:val="auto"/>
        </w:rPr>
      </w:pPr>
      <w:r>
        <w:rPr>
          <w:rFonts w:ascii="Arial" w:cs="Arial" w:eastAsia="Arial" w:hAnsi="Arial"/>
          <w:sz w:val="18"/>
          <w:szCs w:val="18"/>
          <w:color w:val="auto"/>
        </w:rPr>
        <w:t>Subject to market conditions, we plan to sell finance receivables originated by UACC through asset-backed securitization transactions and forward flow arrangements. In February and July 2022, UACC sold an aggregate of $523.7 million of rated asset-backed securities and $49.6 million of residual certificates in auto loan securitization transactions from securitization trusts, established and sponsored by UACC, for aggregate proceeds of $582.9 million. The trusts are collateralized by finance receivables with an aggregate principal balance of $603.5 million and had a carrying value of $ 534.6 million at the time of sale. These finance receivables are serviced by UACC. UACC retained 5% of the notes and residual certificates sold as required by applicable risk retention rules.</w:t>
      </w:r>
    </w:p>
    <w:p>
      <w:pPr>
        <w:spacing w:after="0" w:line="189" w:lineRule="exact"/>
        <w:rPr>
          <w:sz w:val="20"/>
          <w:szCs w:val="20"/>
          <w:color w:val="auto"/>
        </w:rPr>
      </w:pPr>
    </w:p>
    <w:p>
      <w:pPr>
        <w:ind w:firstLine="764"/>
        <w:spacing w:after="0" w:line="254" w:lineRule="auto"/>
        <w:rPr>
          <w:sz w:val="20"/>
          <w:szCs w:val="20"/>
          <w:color w:val="auto"/>
        </w:rPr>
      </w:pPr>
      <w:r>
        <w:rPr>
          <w:rFonts w:ascii="Arial" w:cs="Arial" w:eastAsia="Arial" w:hAnsi="Arial"/>
          <w:sz w:val="17"/>
          <w:szCs w:val="17"/>
          <w:color w:val="auto"/>
        </w:rPr>
        <w:t>In January 2023, UACC sold approximately $238.7 million of rated asset-backed securities in an auto loan securitization transaction from a securitization trust, established and sponsored by UACC for proceeds of $237.8 million. The trust is collateralized by finance receivables with an aggregate principal balance of $326.4 million. These finance receivables are serviced by UACC. As a result of current market conditions, which led to unfavorable pricing, we retained the non-investment grade securities and residual interests, which will require us to account for the 2023-1 securitization as secured borrowings and remain on balance sheet pending the sale of such retained interests.</w:t>
      </w:r>
    </w:p>
    <w:p>
      <w:pPr>
        <w:spacing w:after="0" w:line="179" w:lineRule="exact"/>
        <w:rPr>
          <w:sz w:val="20"/>
          <w:szCs w:val="20"/>
          <w:color w:val="auto"/>
        </w:rPr>
      </w:pPr>
    </w:p>
    <w:p>
      <w:pPr>
        <w:ind w:right="220" w:firstLine="764"/>
        <w:spacing w:after="0"/>
        <w:rPr>
          <w:sz w:val="20"/>
          <w:szCs w:val="20"/>
          <w:color w:val="auto"/>
        </w:rPr>
      </w:pPr>
      <w:r>
        <w:rPr>
          <w:rFonts w:ascii="Arial" w:cs="Arial" w:eastAsia="Arial" w:hAnsi="Arial"/>
          <w:sz w:val="18"/>
          <w:szCs w:val="18"/>
          <w:color w:val="auto"/>
        </w:rPr>
        <w:t>Although our long-term strategy is to structure future securitization transactions similar to the 2022-1 and 2022-2 securitization transactions and account for them as sales, market conditions may impact our ability to achieve sales accounting treatment. Depending on market conditions, future 2023 securitizations may be accounted for as secured borrowings and remain on balance sheet.</w:t>
      </w:r>
    </w:p>
    <w:p>
      <w:pPr>
        <w:spacing w:after="0" w:line="188" w:lineRule="exact"/>
        <w:rPr>
          <w:sz w:val="20"/>
          <w:szCs w:val="20"/>
          <w:color w:val="auto"/>
        </w:rPr>
      </w:pPr>
    </w:p>
    <w:p>
      <w:pPr>
        <w:ind w:right="160" w:firstLine="764"/>
        <w:spacing w:after="0" w:line="237" w:lineRule="auto"/>
        <w:rPr>
          <w:sz w:val="20"/>
          <w:szCs w:val="20"/>
          <w:color w:val="auto"/>
        </w:rPr>
      </w:pPr>
      <w:r>
        <w:rPr>
          <w:rFonts w:ascii="Arial" w:cs="Arial" w:eastAsia="Arial" w:hAnsi="Arial"/>
          <w:sz w:val="18"/>
          <w:szCs w:val="18"/>
          <w:color w:val="auto"/>
        </w:rPr>
        <w:t>As a result of increasing interest rates, the current inflationary environment and vehicle depreciation in the used automotive industry, UACC is experiencing higher loss severity in a soft securitization market. The increased loss severity could lead to reduced servicing income if UACC elects to waive monthly servicing fees going forward as it did in January. The waiver of servicing fees on prior off-balance sheet securitizations could result in consolidation of the related finance receivables and securitization debt on Vroom’s financial statements.</w:t>
      </w:r>
    </w:p>
    <w:p>
      <w:pPr>
        <w:spacing w:after="0" w:line="192" w:lineRule="exact"/>
        <w:rPr>
          <w:sz w:val="20"/>
          <w:szCs w:val="20"/>
          <w:color w:val="auto"/>
        </w:rPr>
      </w:pPr>
    </w:p>
    <w:p>
      <w:pPr>
        <w:ind w:right="140" w:firstLine="764"/>
        <w:spacing w:after="0" w:line="245" w:lineRule="auto"/>
        <w:rPr>
          <w:sz w:val="20"/>
          <w:szCs w:val="20"/>
          <w:color w:val="auto"/>
        </w:rPr>
      </w:pPr>
      <w:r>
        <w:rPr>
          <w:rFonts w:ascii="Arial" w:cs="Arial" w:eastAsia="Arial" w:hAnsi="Arial"/>
          <w:sz w:val="18"/>
          <w:szCs w:val="18"/>
          <w:color w:val="auto"/>
        </w:rPr>
        <w:t>Refer to Note 4 — Variable Interest Entities and Securitizations to our consolidated financial statements included elsewhere in this Annual Report on Form 10-K, for further discussion regarding our transactions with unconsolidated variable interest entities.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Facilities</w:t>
      </w:r>
    </w:p>
    <w:p>
      <w:pPr>
        <w:spacing w:after="0" w:line="220" w:lineRule="exact"/>
        <w:rPr>
          <w:sz w:val="20"/>
          <w:szCs w:val="20"/>
          <w:color w:val="auto"/>
        </w:rPr>
      </w:pPr>
    </w:p>
    <w:p>
      <w:pPr>
        <w:ind w:firstLine="764"/>
        <w:spacing w:after="0" w:line="236" w:lineRule="auto"/>
        <w:rPr>
          <w:sz w:val="20"/>
          <w:szCs w:val="20"/>
          <w:color w:val="auto"/>
        </w:rPr>
      </w:pPr>
      <w:r>
        <w:rPr>
          <w:rFonts w:ascii="Arial" w:cs="Arial" w:eastAsia="Arial" w:hAnsi="Arial"/>
          <w:sz w:val="18"/>
          <w:szCs w:val="18"/>
          <w:color w:val="auto"/>
        </w:rPr>
        <w:t>UACC has four senior secured warehouse facility agreements the (“Warehouse Credit Facilities”) with banking institutions, including the new senior secured warehouse facility agreement entered into in November 2022 to fund near-prime assets. The Warehouse Credit Facilities are collateralized by eligible finance receivables and available borrowings are computed based on a percentage of eligible finance receivables. The aggregate borrowing limit is $850.0 million with maturities between May 2024 and December 2024. As of December 31, 2022, outstanding borrowings related to the Warehouse Credit Facilities were $229.5 million and we were in compliance with all covenants related to the warehouse credit facilities. Failure to satisfy these and or any other requirements contained within the agreements would restrict access to the Warehouse Credit Facilities and could have a material adverse effect on our financial condition, results of operations and liquidity. Certain breaches of covenants may also result in acceleration of the repayment of borrowings prior to the scheduled maturity. Refer to Note 11 — Warehouse Credit Facilities of Consolidated VIEs to our consolidated financial statements included elsewhere in this Annual Report on Form 10-K, for further discussion.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0" w:lineRule="exact"/>
        <w:rPr>
          <w:sz w:val="20"/>
          <w:szCs w:val="20"/>
          <w:color w:val="auto"/>
        </w:rPr>
      </w:pPr>
    </w:p>
    <w:p>
      <w:pPr>
        <w:ind w:right="240" w:firstLine="761"/>
        <w:spacing w:after="0" w:line="245" w:lineRule="auto"/>
        <w:rPr>
          <w:sz w:val="20"/>
          <w:szCs w:val="20"/>
          <w:color w:val="auto"/>
        </w:rPr>
      </w:pPr>
      <w:r>
        <w:rPr>
          <w:rFonts w:ascii="Arial" w:cs="Arial" w:eastAsia="Arial" w:hAnsi="Arial"/>
          <w:sz w:val="18"/>
          <w:szCs w:val="18"/>
          <w:color w:val="auto"/>
        </w:rPr>
        <w:t>We enter into various noncancelable operating lease agreements for office space, the Company’s reconditioning facility, the TDA retail location, the Company’s Sell Us Your Car centers, parking lots, other facilities, and equipment used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the normal course of business. Operating lease obligations were $29.9 million, with $11.3 million payable within 12 months. As of December 31, 2022, we had additional operating leases that have not yet commenced with future lease payments of approximately $16.4 million. The leases are expected to commence over the next 12 months with initial lease terms of approximately 7 years. See "Note 12— Leases,” to our consolidated financial statements included elsewhere in this Annual Report on Form 10-K for further detail of our obligations and the timing of expected future payments.</w:t>
      </w:r>
    </w:p>
    <w:p>
      <w:pPr>
        <w:spacing w:after="0" w:line="17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years ended December 31, 2022, 2021 and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177"/>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3"/>
        </w:trPr>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177"/>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(109,065 )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(568,688 )</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(355,254 )</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(164,212 )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(104,288 )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(11,329 )</w:t>
            </w:r>
          </w:p>
        </w:tc>
      </w:tr>
      <w:tr>
        <w:trPr>
          <w:trHeight w:val="22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(469,488 )</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797,712</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1,237,035</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(742,765 )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124,736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870,452</w:t>
            </w:r>
          </w:p>
        </w:tc>
      </w:tr>
      <w:tr>
        <w:trPr>
          <w:trHeight w:val="22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1,214,775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1,090,039</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219,587</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472,010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1,214,775</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1,090,039</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-478790</wp:posOffset>
            </wp:positionV>
            <wp:extent cx="9398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-478790</wp:posOffset>
            </wp:positionV>
            <wp:extent cx="9398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-179070</wp:posOffset>
            </wp:positionV>
            <wp:extent cx="93980" cy="179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-179070</wp:posOffset>
            </wp:positionV>
            <wp:extent cx="93980" cy="1797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60"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Net cash flows used in operating activities decreased by $459.6 million, from $568.7 million for the year ended December 31, 2021 to $109.1 million for the year ended December 31, 2022. The decrease is primarily attributable to proceeds from the sale of finance receivables held for sale for the 2022-1 and 2022-2 securitization transactions of $ 509.6 million, a decrease in working capital of $548.6 million, primarily related to lower inventory levels, and principal payments received on finance receivables held for sale of $ 64.5 million, partially offset by originations of finance receivables held for sale of $625.6 million and $29.9 million in incremental net loss after reconciling adjustments for the year ended December 31, 2022 as compared to the year ended December 31, 2021.</w:t>
      </w:r>
    </w:p>
    <w:p>
      <w:pPr>
        <w:spacing w:after="0" w:line="230" w:lineRule="exact"/>
        <w:rPr>
          <w:sz w:val="20"/>
          <w:szCs w:val="20"/>
          <w:color w:val="auto"/>
        </w:rPr>
      </w:pPr>
    </w:p>
    <w:p>
      <w:pPr>
        <w:ind w:right="280" w:firstLine="761"/>
        <w:spacing w:after="0" w:line="274" w:lineRule="auto"/>
        <w:rPr>
          <w:sz w:val="20"/>
          <w:szCs w:val="20"/>
          <w:color w:val="auto"/>
        </w:rPr>
      </w:pPr>
      <w:r>
        <w:rPr>
          <w:rFonts w:ascii="Arial" w:cs="Arial" w:eastAsia="Arial" w:hAnsi="Arial"/>
          <w:sz w:val="17"/>
          <w:szCs w:val="17"/>
          <w:color w:val="auto"/>
        </w:rPr>
        <w:t>We finance a majority of our inventory with the 2022 Vehicle Floorplan Facility. In accordance with U.S. GAAP, we report all cash flows arising in connection with the 2022 Vehicle Floorplan Facility, as a financing activity in our consolidated statement of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cash flows used in investing activities increased $59.9 million, from $104.3 million for the year ended December 31, 2021 to</w:t>
      </w:r>
    </w:p>
    <w:p>
      <w:pPr>
        <w:spacing w:after="0" w:line="234" w:lineRule="auto"/>
        <w:rPr>
          <w:sz w:val="20"/>
          <w:szCs w:val="20"/>
          <w:color w:val="auto"/>
        </w:rPr>
      </w:pPr>
      <w:r>
        <w:rPr>
          <w:rFonts w:ascii="Arial" w:cs="Arial" w:eastAsia="Arial" w:hAnsi="Arial"/>
          <w:sz w:val="18"/>
          <w:szCs w:val="18"/>
          <w:color w:val="auto"/>
        </w:rPr>
        <w:t>$164.2 million for the year ended December 31, 2022, primarily as a result of the UACC Acquisition in February 2022 which resulted in cash</w:t>
      </w:r>
    </w:p>
    <w:p>
      <w:pPr>
        <w:spacing w:after="0" w:line="235" w:lineRule="auto"/>
        <w:rPr>
          <w:sz w:val="20"/>
          <w:szCs w:val="20"/>
          <w:color w:val="auto"/>
        </w:rPr>
      </w:pPr>
      <w:r>
        <w:rPr>
          <w:rFonts w:ascii="Arial" w:cs="Arial" w:eastAsia="Arial" w:hAnsi="Arial"/>
          <w:sz w:val="18"/>
          <w:szCs w:val="18"/>
          <w:color w:val="auto"/>
        </w:rPr>
        <w:t>outflow of $267.5 million and originations of finance receivables recorded at fair value of $56.5 million, partially offset by principal payments</w:t>
      </w:r>
    </w:p>
    <w:p>
      <w:pPr>
        <w:spacing w:after="0" w:line="234" w:lineRule="auto"/>
        <w:rPr>
          <w:sz w:val="20"/>
          <w:szCs w:val="20"/>
          <w:color w:val="auto"/>
        </w:rPr>
      </w:pPr>
      <w:r>
        <w:rPr>
          <w:rFonts w:ascii="Arial" w:cs="Arial" w:eastAsia="Arial" w:hAnsi="Arial"/>
          <w:sz w:val="18"/>
          <w:szCs w:val="18"/>
          <w:color w:val="auto"/>
        </w:rPr>
        <w:t>received on finance receivables held in consolidated VIEs of $132.4 million, proceeds from the sale of finance receivables of $43.3 million,</w:t>
      </w:r>
    </w:p>
    <w:p>
      <w:pPr>
        <w:spacing w:after="0" w:line="235" w:lineRule="auto"/>
        <w:rPr>
          <w:sz w:val="20"/>
          <w:szCs w:val="20"/>
          <w:color w:val="auto"/>
        </w:rPr>
      </w:pPr>
      <w:r>
        <w:rPr>
          <w:rFonts w:ascii="Arial" w:cs="Arial" w:eastAsia="Arial" w:hAnsi="Arial"/>
          <w:sz w:val="18"/>
          <w:szCs w:val="18"/>
          <w:color w:val="auto"/>
        </w:rPr>
        <w:t>the $75.9 million cash outflow for the year ended December 31, 2021 for the acquisition of the CarStory business, and principal payments</w:t>
      </w:r>
    </w:p>
    <w:p>
      <w:pPr>
        <w:spacing w:after="0"/>
        <w:rPr>
          <w:sz w:val="20"/>
          <w:szCs w:val="20"/>
          <w:color w:val="auto"/>
        </w:rPr>
      </w:pPr>
      <w:r>
        <w:rPr>
          <w:rFonts w:ascii="Arial" w:cs="Arial" w:eastAsia="Arial" w:hAnsi="Arial"/>
          <w:sz w:val="18"/>
          <w:szCs w:val="18"/>
          <w:color w:val="auto"/>
        </w:rPr>
        <w:t>received on beneficial interests of $8.3 million in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9" w:lineRule="exact"/>
        <w:rPr>
          <w:sz w:val="20"/>
          <w:szCs w:val="20"/>
          <w:color w:val="auto"/>
        </w:rPr>
      </w:pPr>
    </w:p>
    <w:p>
      <w:pPr>
        <w:ind w:right="180" w:firstLine="761"/>
        <w:spacing w:after="0" w:line="237" w:lineRule="auto"/>
        <w:rPr>
          <w:sz w:val="20"/>
          <w:szCs w:val="20"/>
          <w:color w:val="auto"/>
        </w:rPr>
      </w:pPr>
      <w:r>
        <w:rPr>
          <w:rFonts w:ascii="Arial" w:cs="Arial" w:eastAsia="Arial" w:hAnsi="Arial"/>
          <w:sz w:val="18"/>
          <w:szCs w:val="18"/>
          <w:color w:val="auto"/>
        </w:rPr>
        <w:t>Net cash flows from financing activities decreased $1,267.2 million from net cash provided by financing activities of $797.7 million for the year ended December 31, 2021 to net cash used in financing activities of $469.5 million for the year ended December 31, 2022. The decrease was primarily related to net proceeds of $608.9 million received upon issuance of the Notes in 2021, net repayments of $419.4 million related to our Vehicle Floorplan Facility, net repayments of $192.8 million related to our secured financing agreements and repurchases of the Notes of $90.2 million, partially offset by net proceeds of $53.6 million related to our Warehouse Credit Facilities.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0" w:lineRule="exact"/>
        <w:rPr>
          <w:sz w:val="20"/>
          <w:szCs w:val="20"/>
          <w:color w:val="auto"/>
        </w:rPr>
      </w:pPr>
    </w:p>
    <w:p>
      <w:pPr>
        <w:ind w:right="40" w:firstLine="637"/>
        <w:spacing w:after="0" w:line="237" w:lineRule="auto"/>
        <w:rPr>
          <w:sz w:val="20"/>
          <w:szCs w:val="20"/>
          <w:color w:val="auto"/>
        </w:rPr>
      </w:pPr>
      <w:r>
        <w:rPr>
          <w:rFonts w:ascii="Arial" w:cs="Arial" w:eastAsia="Arial" w:hAnsi="Arial"/>
          <w:sz w:val="18"/>
          <w:szCs w:val="18"/>
          <w:color w:val="auto"/>
        </w:rPr>
        <w:t>Our consolidated financial statements are prepared in accordance with GAAP. The preparation of consolidated financial statements requires us to make estimates, assumptions and judgments that affect the reported amounts of assets, liabilities, revenue, and expenses and related disclosures. On an ongoing basis, we evaluate our estimates, including, among others, those related to income taxes, the realizability of inventory, stock-based compensation, revenue-related reserves, as well as impairment of goodwill and long-lived assets. We base our estimates on historical experience, market conditions and on various other assumptions that are believed to be reasonable. Actual results may differ from these estimates.</w:t>
      </w:r>
    </w:p>
    <w:p>
      <w:pPr>
        <w:spacing w:after="0" w:line="189" w:lineRule="exact"/>
        <w:rPr>
          <w:sz w:val="20"/>
          <w:szCs w:val="20"/>
          <w:color w:val="auto"/>
        </w:rPr>
      </w:pPr>
    </w:p>
    <w:p>
      <w:pPr>
        <w:ind w:right="140" w:firstLine="637"/>
        <w:spacing w:after="0"/>
        <w:rPr>
          <w:sz w:val="20"/>
          <w:szCs w:val="20"/>
          <w:color w:val="auto"/>
        </w:rPr>
      </w:pPr>
      <w:r>
        <w:rPr>
          <w:rFonts w:ascii="Arial" w:cs="Arial" w:eastAsia="Arial" w:hAnsi="Arial"/>
          <w:sz w:val="18"/>
          <w:szCs w:val="18"/>
          <w:color w:val="auto"/>
        </w:rPr>
        <w:t>The critical accounting policies that reflect our more significant judgments and estimates used in the preparation of our consolidated financial statements include those described in Note 2—Summary of Significant Accounting Policies and Note 3—Revenue Recognition to our consolidated financial statements included elsewhere in this Annual Report on Form 10-K.</w:t>
      </w:r>
    </w:p>
    <w:p>
      <w:pPr>
        <w:spacing w:after="0" w:line="188" w:lineRule="exact"/>
        <w:rPr>
          <w:sz w:val="20"/>
          <w:szCs w:val="20"/>
          <w:color w:val="auto"/>
        </w:rPr>
      </w:pPr>
    </w:p>
    <w:p>
      <w:pPr>
        <w:ind w:firstLine="637"/>
        <w:spacing w:after="0" w:line="245" w:lineRule="auto"/>
        <w:rPr>
          <w:sz w:val="20"/>
          <w:szCs w:val="20"/>
          <w:color w:val="auto"/>
        </w:rPr>
      </w:pPr>
      <w:r>
        <w:rPr>
          <w:rFonts w:ascii="Arial" w:cs="Arial" w:eastAsia="Arial" w:hAnsi="Arial"/>
          <w:sz w:val="18"/>
          <w:szCs w:val="18"/>
          <w:color w:val="auto"/>
        </w:rPr>
        <w:t>Except as described below, there have been no material changes to our critical accounting policies and estimates as compared to the critical accounting policies and estimates disclosed in our Annual Report on Form 10-K for the year ended December 31,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0" w:lineRule="exact"/>
        <w:rPr>
          <w:sz w:val="20"/>
          <w:szCs w:val="20"/>
          <w:color w:val="auto"/>
        </w:rPr>
      </w:pPr>
    </w:p>
    <w:p>
      <w:pPr>
        <w:ind w:right="120" w:firstLine="637"/>
        <w:spacing w:after="0" w:line="235" w:lineRule="auto"/>
        <w:rPr>
          <w:sz w:val="20"/>
          <w:szCs w:val="20"/>
          <w:color w:val="auto"/>
        </w:rPr>
      </w:pPr>
      <w:r>
        <w:rPr>
          <w:rFonts w:ascii="Arial" w:cs="Arial" w:eastAsia="Arial" w:hAnsi="Arial"/>
          <w:sz w:val="18"/>
          <w:szCs w:val="18"/>
          <w:color w:val="auto"/>
        </w:rPr>
        <w:t>We account for business combinations using the acquisition method of accounting, which requires all assets acquired and liabilities assumed to be recorded at their respective fair values at the date of acquisition. Any excess consideration over the fair value of assets acquired and liabilities assumed is recognized as goodwill. The determination of the acquisition date fair value of the assets acquired and liabilities assumed requires significant estimates and assumptions, such as, if applicable, forecasted revenue growth rates, pre-tax income margins and operating cash flows, royalty rates, customer attrition rates, obsolescence rates of developed technology, and discount rates. These estimates are inherently uncertain and subject to refinement. We use a discounted cash flow ("DCF") method under the income approach to measure the fair value of these intangible assets. Under this approach, the Company estimates future cash flows and discounts these cash flows at a rate of return that reflects the Company’s relative risk. When estimating the significant assumptions to be used in the valuation we include consideration of current industry information, market and economic trends, historical results of the acquired business and other relevant factors. These significant assumptions are forward-looking and could be affected by future economic and market conditions. We engage the assistance of valuation specialists in connection with determining fair values of assets acquired and liabilities assumed in a business combination.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ind w:right="280" w:firstLine="637"/>
        <w:spacing w:after="0"/>
        <w:rPr>
          <w:sz w:val="20"/>
          <w:szCs w:val="20"/>
          <w:color w:val="auto"/>
        </w:rPr>
      </w:pPr>
      <w:r>
        <w:rPr>
          <w:rFonts w:ascii="Arial" w:cs="Arial" w:eastAsia="Arial" w:hAnsi="Arial"/>
          <w:sz w:val="18"/>
          <w:szCs w:val="18"/>
          <w:color w:val="auto"/>
        </w:rPr>
        <w:t>Goodwill represents the excess of the consideration transferred over the fair value of the identifiable assets acquired and liabilities assumed in business combinations. Goodwill is tested for impairment annually as of October 1, or whenever events or changes in circumstances indicate that an impairment may exist.</w:t>
      </w:r>
    </w:p>
    <w:p>
      <w:pPr>
        <w:spacing w:after="0" w:line="188"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We have four reporting units: Ecommerce, Wholesale, TDA and Retail Financing. In performing our annual goodwill impairment test, we first review qualitative factors to determine whether it is more likely than not that the fair value of a reporting unit is less than its carrying amount. If, after assessing qualitative factors, we determine that it is more likely than not that the fair value of a reporting unit is more than its carrying amount, then performing the quantitative test is unnecessary and our goodwill is not considered to be impaired. However, if based on the qualitative assessment we conclude that it is more likely than not that the fair value of the reporting unit is less than its carrying amount, or if we elect to bypass the optional qualitative assessment as provided for under GAAP, we proceed with performing the quantitative impairment test.</w:t>
      </w:r>
    </w:p>
    <w:p>
      <w:pPr>
        <w:spacing w:after="0" w:line="193" w:lineRule="exact"/>
        <w:rPr>
          <w:sz w:val="20"/>
          <w:szCs w:val="20"/>
          <w:color w:val="auto"/>
        </w:rPr>
      </w:pPr>
    </w:p>
    <w:p>
      <w:pPr>
        <w:ind w:right="80" w:firstLine="637"/>
        <w:spacing w:after="0" w:line="236" w:lineRule="auto"/>
        <w:rPr>
          <w:sz w:val="20"/>
          <w:szCs w:val="20"/>
          <w:color w:val="auto"/>
        </w:rPr>
      </w:pPr>
      <w:r>
        <w:rPr>
          <w:rFonts w:ascii="Arial" w:cs="Arial" w:eastAsia="Arial" w:hAnsi="Arial"/>
          <w:sz w:val="18"/>
          <w:szCs w:val="18"/>
          <w:color w:val="auto"/>
        </w:rPr>
        <w:t>When assessing goodwill for impairment, our decision to perform a qualitative impairment assessment for an individual reporting unit is influenced by a number of factors, inclusive of the carrying value of the reporting unit’s goodwill, the significance of the excess of the reporting unit’s estimated fair value over carrying value at the last quantitative assessment date, and the amount of time in between quantitative fair value assessments and the date of acquisition. If we perform a quantitative assessment of an individual reporting unit’s goodwill, our impairment calculations contain uncertainties because they require management to make assumptions and to apply judgment when estimating future cash flows and asset fair values. The quantitative goodwill impairment test requires a determination of whether the estimated fair value of a reporting unit is less than its carrying value. We estimate the fair value of our reporting units using 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income approach. The income approach is applied using the discounted cash flow method which requires (1) estimating future cash flows for a discrete projection period (2) estimating the terminal value, which reflects the remaining value that the reporting unit is expected to generate beyond the projection period and (3) discounting those amounts to present value at a discount rate which is based on a weighted average cost of capital that considers the relative risk of the cash flows. The income approach requires the use of significant estimates and assumptions, which include revenue growth rates, future gross profit margins and operating expenses used to calculate projected future cash flows, determination of the weighted average cost of capital, and future economic and market conditions. The terminal value is based on an exit revenue multiple which requires significant assumptions regarding the selection of appropriate multiples that consider relevant market trading data. We base our estimates and assumptions on our knowledge of the automotive and ecommerce industries, our recent performance, our expectations of future performance and other assumptions we believe to be reasonable. Actual future results may differ from those estimates. A material change in the underlying assumptions could result in an impairment of goodwill. We also make certain judgments and assumptions in allocating shared assets and liabilities to determine the carrying values for each of our reporting units.</w:t>
      </w:r>
    </w:p>
    <w:p>
      <w:pPr>
        <w:spacing w:after="0" w:line="188"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As of March 31, 2022 a quantitative interim goodwill impairment assessment was performed over the Company's reporting units due to further sustained declines in the Company's and comparable companies' stock prices during the three months ended March 31, 2022. The Company determined that the estimated fair value of the Ecommerce, Wholesale, and TDA reporting units was less than their carrying amounts. The Company recorded a goodwill impairment charge of $201.7 million in the consolidated statements of operations for the year ended December 31, 2022. No goodwill impairment charges were recorded for the years ended December 31, 2021 and 2020.</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0" w:lineRule="exact"/>
        <w:rPr>
          <w:sz w:val="20"/>
          <w:szCs w:val="20"/>
          <w:color w:val="auto"/>
        </w:rPr>
      </w:pPr>
    </w:p>
    <w:p>
      <w:pPr>
        <w:ind w:right="160" w:firstLine="761"/>
        <w:spacing w:after="0"/>
        <w:rPr>
          <w:sz w:val="20"/>
          <w:szCs w:val="20"/>
          <w:color w:val="auto"/>
        </w:rPr>
      </w:pPr>
      <w:r>
        <w:rPr>
          <w:rFonts w:ascii="Arial" w:cs="Arial" w:eastAsia="Arial" w:hAnsi="Arial"/>
          <w:sz w:val="18"/>
          <w:szCs w:val="18"/>
          <w:color w:val="auto"/>
        </w:rPr>
        <w:t>Refer to “Note 2—Summary of Significant Accounting Policies” to our consolidated financial statements included elsewhere in this Annual Report on Form 10-K for a discussion about new accounting pronouncements adopted and not yet adopted as of the date of this report.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25" w:lineRule="exact"/>
        <w:rPr>
          <w:sz w:val="20"/>
          <w:szCs w:val="20"/>
          <w:color w:val="auto"/>
        </w:rPr>
      </w:pPr>
    </w:p>
    <w:p>
      <w:pPr>
        <w:ind w:right="20" w:firstLine="761"/>
        <w:spacing w:after="0" w:line="245" w:lineRule="auto"/>
        <w:rPr>
          <w:sz w:val="20"/>
          <w:szCs w:val="20"/>
          <w:color w:val="auto"/>
        </w:rPr>
      </w:pPr>
      <w:r>
        <w:rPr>
          <w:rFonts w:ascii="Arial" w:cs="Arial" w:eastAsia="Arial" w:hAnsi="Arial"/>
          <w:sz w:val="18"/>
          <w:szCs w:val="18"/>
          <w:color w:val="auto"/>
        </w:rPr>
        <w:t>Market risk is the risk of economic losses due to adverse changes in financial market prices and rates. Our primary market risk has been interest rate risk. We do not have material exposure to commodity risk.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5"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As of December 31, 2022, we had an outstanding balance under the 2020 Vehicle Floorplan Facility of $277.0 million and an outstanding balance under our Warehouse Credit Facilities of $229.5 million. The 2020 Vehicle Floorplan Facility bears interest at a rate equal to the Prime Rate, announced per annum by Ally Bank, plus 105 basis points. The Warehouse Credit Facilities bear interest at a rate equal to LIBOR or SOFR plus a fixed percentage based on the agreement with the banking institution. A hypothetical 10% change in interest rates during the year ended December 31, 2022 would result in a change to interest expense of $2.7 million, respectively.</w:t>
      </w:r>
    </w:p>
    <w:p>
      <w:pPr>
        <w:spacing w:after="0" w:line="299" w:lineRule="exact"/>
        <w:rPr>
          <w:sz w:val="20"/>
          <w:szCs w:val="20"/>
          <w:color w:val="auto"/>
        </w:rPr>
      </w:pPr>
    </w:p>
    <w:p>
      <w:pPr>
        <w:ind w:right="800" w:firstLine="761"/>
        <w:spacing w:after="0" w:line="274" w:lineRule="auto"/>
        <w:rPr>
          <w:sz w:val="20"/>
          <w:szCs w:val="20"/>
          <w:color w:val="auto"/>
        </w:rPr>
      </w:pPr>
      <w:r>
        <w:rPr>
          <w:rFonts w:ascii="Arial" w:cs="Arial" w:eastAsia="Arial" w:hAnsi="Arial"/>
          <w:sz w:val="17"/>
          <w:szCs w:val="17"/>
          <w:color w:val="auto"/>
        </w:rPr>
        <w:t>As of December 31, 2022, we had $449.4 million of long-term debt including the current portion of securitization debt of consolidated VIEs of $47.2 million. As the interest rate on the long term debt is fixed, we do not have exposure to interest rate risk.</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0460" w:type="dxa"/>
            <w:vAlign w:val="bottom"/>
            <w:gridSpan w:val="11"/>
          </w:tcPr>
          <w:p>
            <w:pPr>
              <w:spacing w:after="0"/>
              <w:rPr>
                <w:sz w:val="20"/>
                <w:szCs w:val="20"/>
                <w:color w:val="auto"/>
              </w:rPr>
            </w:pPr>
            <w:r>
              <w:rPr>
                <w:rFonts w:ascii="Arial" w:cs="Arial" w:eastAsia="Arial" w:hAnsi="Arial"/>
                <w:sz w:val="18"/>
                <w:szCs w:val="18"/>
                <w:color w:val="0000FF"/>
              </w:rPr>
              <w:t>Table of Contents</w:t>
            </w:r>
          </w:p>
        </w:tc>
        <w:tc>
          <w:tcPr>
            <w:tcW w:w="78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65"/>
        </w:trPr>
        <w:tc>
          <w:tcPr>
            <w:tcW w:w="1046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8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40" w:type="dxa"/>
            <w:vAlign w:val="bottom"/>
            <w:gridSpan w:val="9"/>
          </w:tcPr>
          <w:p>
            <w:pPr>
              <w:jc w:val="center"/>
              <w:ind w:right="62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78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331"/>
        </w:trPr>
        <w:tc>
          <w:tcPr>
            <w:tcW w:w="20" w:type="dxa"/>
            <w:vAlign w:val="bottom"/>
          </w:tcPr>
          <w:p>
            <w:pPr>
              <w:spacing w:after="0"/>
              <w:rPr>
                <w:sz w:val="24"/>
                <w:szCs w:val="24"/>
                <w:color w:val="auto"/>
              </w:rPr>
            </w:pPr>
          </w:p>
        </w:tc>
        <w:tc>
          <w:tcPr>
            <w:tcW w:w="10440" w:type="dxa"/>
            <w:vAlign w:val="bottom"/>
            <w:gridSpan w:val="10"/>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238</w:t>
            </w: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20" w:type="dxa"/>
            <w:vAlign w:val="bottom"/>
          </w:tcPr>
          <w:p>
            <w:pPr>
              <w:spacing w:after="0" w:line="20" w:lineRule="exact"/>
              <w:rPr>
                <w:sz w:val="1"/>
                <w:szCs w:val="1"/>
                <w:color w:val="auto"/>
              </w:rPr>
            </w:pPr>
          </w:p>
        </w:tc>
        <w:tc>
          <w:tcPr>
            <w:tcW w:w="34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10"/>
          </w:tcPr>
          <w:p>
            <w:pPr>
              <w:spacing w:after="0"/>
              <w:rPr>
                <w:sz w:val="20"/>
                <w:szCs w:val="20"/>
                <w:color w:val="auto"/>
              </w:rPr>
            </w:pPr>
            <w:r>
              <w:rPr>
                <w:rFonts w:ascii="Arial" w:cs="Arial" w:eastAsia="Arial" w:hAnsi="Arial"/>
                <w:sz w:val="18"/>
                <w:szCs w:val="18"/>
                <w:color w:val="0000FF"/>
              </w:rPr>
              <w:t>Consolidated Balance Sheets as of December 31, 2022 and 2021</w:t>
            </w: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20" w:type="dxa"/>
            <w:vAlign w:val="bottom"/>
          </w:tcPr>
          <w:p>
            <w:pPr>
              <w:spacing w:after="0" w:line="20" w:lineRule="exact"/>
              <w:rPr>
                <w:sz w:val="1"/>
                <w:szCs w:val="1"/>
                <w:color w:val="auto"/>
              </w:rPr>
            </w:pPr>
          </w:p>
        </w:tc>
        <w:tc>
          <w:tcPr>
            <w:tcW w:w="34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40" w:type="dxa"/>
            <w:vAlign w:val="bottom"/>
            <w:tcBorders>
              <w:right w:val="single" w:sz="8" w:color="0000EE"/>
            </w:tcBorders>
            <w:gridSpan w:val="2"/>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Consolidated Statements of Operations for the Years Ended December 31, 2022, 2021 and 2020</w:t>
            </w:r>
          </w:p>
        </w:tc>
        <w:tc>
          <w:tcPr>
            <w:tcW w:w="20" w:type="dxa"/>
            <w:vAlign w:val="bottom"/>
            <w:tcBorders>
              <w:bottom w:val="single" w:sz="8" w:color="0000EE"/>
            </w:tcBorders>
          </w:tcPr>
          <w:p>
            <w:pPr>
              <w:spacing w:after="0"/>
              <w:rPr>
                <w:sz w:val="18"/>
                <w:szCs w:val="18"/>
                <w:color w:val="auto"/>
              </w:rPr>
            </w:pPr>
          </w:p>
        </w:tc>
        <w:tc>
          <w:tcPr>
            <w:tcW w:w="27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9"/>
        </w:trPr>
        <w:tc>
          <w:tcPr>
            <w:tcW w:w="20" w:type="dxa"/>
            <w:vAlign w:val="bottom"/>
          </w:tcPr>
          <w:p>
            <w:pPr>
              <w:spacing w:after="0"/>
              <w:rPr>
                <w:sz w:val="18"/>
                <w:szCs w:val="18"/>
                <w:color w:val="auto"/>
              </w:rPr>
            </w:pPr>
          </w:p>
        </w:tc>
        <w:tc>
          <w:tcPr>
            <w:tcW w:w="103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rPr>
              <w:t>Consolidated Statements of Changes in Redeemable Convertible Preferred Stock and Stockholders' Equity (Deficit) for the Years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10440" w:type="dxa"/>
            <w:vAlign w:val="bottom"/>
            <w:gridSpan w:val="10"/>
          </w:tcPr>
          <w:p>
            <w:pPr>
              <w:spacing w:after="0" w:line="182" w:lineRule="exact"/>
              <w:rPr>
                <w:sz w:val="20"/>
                <w:szCs w:val="20"/>
                <w:color w:val="auto"/>
              </w:rPr>
            </w:pPr>
            <w:r>
              <w:rPr>
                <w:rFonts w:ascii="Arial" w:cs="Arial" w:eastAsia="Arial" w:hAnsi="Arial"/>
                <w:sz w:val="18"/>
                <w:szCs w:val="18"/>
                <w:color w:val="0000FF"/>
              </w:rPr>
              <w:t>Ended December 31, 2022, 2021 and 2020</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97</w:t>
            </w:r>
          </w:p>
        </w:tc>
      </w:tr>
      <w:tr>
        <w:trPr>
          <w:trHeight w:val="20"/>
        </w:trPr>
        <w:tc>
          <w:tcPr>
            <w:tcW w:w="20" w:type="dxa"/>
            <w:vAlign w:val="bottom"/>
          </w:tcPr>
          <w:p>
            <w:pPr>
              <w:spacing w:after="0" w:line="20" w:lineRule="exact"/>
              <w:rPr>
                <w:sz w:val="1"/>
                <w:szCs w:val="1"/>
                <w:color w:val="auto"/>
              </w:rPr>
            </w:pPr>
          </w:p>
        </w:tc>
        <w:tc>
          <w:tcPr>
            <w:tcW w:w="346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7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Consolidated Statements of Cash Flows for the Years Ended December 31, 2022, 2021 and 2020</w:t>
            </w:r>
          </w:p>
        </w:tc>
        <w:tc>
          <w:tcPr>
            <w:tcW w:w="26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9"/>
        </w:trPr>
        <w:tc>
          <w:tcPr>
            <w:tcW w:w="20" w:type="dxa"/>
            <w:vAlign w:val="bottom"/>
          </w:tcPr>
          <w:p>
            <w:pPr>
              <w:spacing w:after="0"/>
              <w:rPr>
                <w:sz w:val="18"/>
                <w:szCs w:val="18"/>
                <w:color w:val="auto"/>
              </w:rPr>
            </w:pPr>
          </w:p>
        </w:tc>
        <w:tc>
          <w:tcPr>
            <w:tcW w:w="35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6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897"/>
        </w:trPr>
        <w:tc>
          <w:tcPr>
            <w:tcW w:w="7720" w:type="dxa"/>
            <w:vAlign w:val="bottom"/>
            <w:gridSpan w:val="7"/>
          </w:tcPr>
          <w:p>
            <w:pPr>
              <w:jc w:val="right"/>
              <w:ind w:right="2000"/>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Vroom,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audited the accompanying consolidated balance sheets of Vroom, Inc. and its subsidiaries (the “Company”) as of December 31, 2022 and 2021, and the related consolidated statements of operations, of changes in redeemable convertible preferred stock and stockholders’ equity (deficit)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18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described in Management’s Annual Report on Internal Control over Financial Reporting, management has excluded Unitas Holdings Corp., including its wholly owned subsidiaries United PanAm Financial Corp. and United Auto Credit Corporation (collectively, "UACC") from its assessment of internal control over financial reporting as of December 31, 2022, because it was acquired by the Company in a purchase business combination during 2022. We have also excluded UACC from our audit of internal control over financial reporting. UACC is a wholly-owned subsidiary whose total assets and total revenues excluded from management’s assessment and our audit of internal control over financial reporting represent approximately 34% and 9%, respectively, of the related consolidated financial statement amounts as of and for the year ended December 31, 2022.</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UACC Acquisition - Valuation of Purchased Technology and Customer Relationships Intangible Assets</w:t>
      </w:r>
    </w:p>
    <w:p>
      <w:pPr>
        <w:spacing w:after="0" w:line="21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described in Notes 1 and 5 to the consolidated financial statements, on February 1, 2022, the Company completed the acquisition of 100% of Unitas Holdings Corp., including its wholly owned subsidiaries United PanAm Financial Corp. and United Audit Credit Corporation (collectively, “UACC acquisition”) for $315.4 million, which resulted in a purchased technology intangible asset of $83 million and a customer relationships intangible asset of $66 million being recorded. The fair values assigned to assets acquired and liabilities assumed are based on management’s estimates and assumptions. The estimated fair value of the purchased technology was determined using a relief-from-royalty method under the income approach. The significant assumptions used in the relief-from-royalty method include estimates about future expected cash flows from the purchased technology, including the revenue growth rates, the royalty rate, the obsolescence factor and the discount rate. The estimated fair value of the customer relationships was determined using a multi-period excess earnings method under the income approach. The significant assumptions used in the multi-period excess earnings method include estimates about future expected cash flows from the customer relationships, including pre-tax income margins and the discount rate.</w:t>
      </w:r>
    </w:p>
    <w:p>
      <w:pPr>
        <w:spacing w:after="0" w:line="19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the purchased technology and customer relationships intangible assets acquired in the UACC acquisition is a critical audit matter are (i) the significant judgment by management when developing the fair value estimate of the purchased technology and customer relationships intangible assets acquired; (ii) a high degree of auditor judgment, subjectivity, and effort in performing procedures and evaluating management’s significant assumptions related to the revenue growth rates, pre-tax income margins, the royalty rate, the obsolescence factor, and discount rates; and (iii) the audit effort involved the use of professionals with specialized skill and knowledge.</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intangible assets and controls over the development of significant assumptions related to the revenue growth rates, pre-tax income margins, the royalty rate, the obsolescence factor, and discount rates. These procedures also included, among others (i) reading the purchase agreement; (ii) testing management’s process for developing the fair value estimate of the purchased technology and customer relationships intangible assets acquired; (iii) evaluating the appropriateness of the valuation methods;</w:t>
      </w:r>
    </w:p>
    <w:p>
      <w:pPr>
        <w:spacing w:after="0" w:line="2" w:lineRule="exact"/>
        <w:rPr>
          <w:sz w:val="20"/>
          <w:szCs w:val="20"/>
          <w:color w:val="auto"/>
        </w:rPr>
      </w:pPr>
    </w:p>
    <w:p>
      <w:pPr>
        <w:ind w:right="120" w:firstLine="8"/>
        <w:spacing w:after="0" w:line="236" w:lineRule="auto"/>
        <w:tabs>
          <w:tab w:leader="none" w:pos="29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testing the completeness and accuracy of data provided by management; and (v) evaluating the reasonableness of significant assumptions related to the revenue growth rates, pre-tax income margins, the royalty rate, the obsolescence factor, and discount rates. Evaluating management’s significant assumptions related to the revenue growth rates and pre-tax income margins involved evaluating whether the significant assumptions used were reasonable considering (i) the past performance of the acquired businesses; (ii) consistency with economic and industry forecasts; and (iii) whether these significant assumptions were consistent with evidence obtained in other areas of the audit. Professionals with specialized skill and knowledge were used to assist in the evaluation of (i) the appropriateness of the Company’s valuation methods; and (ii) the reasonableness of the royalty rate, the obsolescence factor, and discount rate significant assumptions.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March 2,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66"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As of</w:t>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2021</w:t>
            </w:r>
          </w:p>
        </w:tc>
      </w:tr>
      <w:tr>
        <w:trPr>
          <w:trHeight w:val="20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398,915</w:t>
            </w:r>
          </w:p>
        </w:tc>
        <w:tc>
          <w:tcPr>
            <w:tcW w:w="5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1,132,325</w:t>
            </w:r>
          </w:p>
        </w:tc>
      </w:tr>
      <w:tr>
        <w:trPr>
          <w:trHeight w:val="204"/>
        </w:trPr>
        <w:tc>
          <w:tcPr>
            <w:tcW w:w="7440" w:type="dxa"/>
            <w:vAlign w:val="bottom"/>
          </w:tcPr>
          <w:p>
            <w:pPr>
              <w:ind w:left="20"/>
              <w:spacing w:after="0"/>
              <w:rPr>
                <w:sz w:val="20"/>
                <w:szCs w:val="20"/>
                <w:color w:val="auto"/>
              </w:rPr>
            </w:pPr>
            <w:r>
              <w:rPr>
                <w:rFonts w:ascii="Arial" w:cs="Arial" w:eastAsia="Arial" w:hAnsi="Arial"/>
                <w:sz w:val="16"/>
                <w:szCs w:val="16"/>
                <w:color w:val="auto"/>
              </w:rPr>
              <w:t>Restricted cash (including restricted cash of consolidated VIEs of $24.7 million and $0 million,</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7"/>
        </w:trPr>
        <w:tc>
          <w:tcPr>
            <w:tcW w:w="744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4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73,095</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82,450</w:t>
            </w:r>
          </w:p>
        </w:tc>
      </w:tr>
      <w:tr>
        <w:trPr>
          <w:trHeight w:val="21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 net of allowance of $21.5 million and $8.9 million, respectively</w:t>
            </w: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13,967</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105,433</w:t>
            </w:r>
          </w:p>
        </w:tc>
      </w:tr>
      <w:tr>
        <w:trPr>
          <w:trHeight w:val="204"/>
        </w:trPr>
        <w:tc>
          <w:tcPr>
            <w:tcW w:w="7440" w:type="dxa"/>
            <w:vAlign w:val="bottom"/>
          </w:tcPr>
          <w:p>
            <w:pPr>
              <w:ind w:left="20"/>
              <w:spacing w:after="0"/>
              <w:rPr>
                <w:sz w:val="20"/>
                <w:szCs w:val="20"/>
                <w:color w:val="auto"/>
              </w:rPr>
            </w:pPr>
            <w:r>
              <w:rPr>
                <w:rFonts w:ascii="Arial" w:cs="Arial" w:eastAsia="Arial" w:hAnsi="Arial"/>
                <w:sz w:val="16"/>
                <w:szCs w:val="16"/>
                <w:color w:val="auto"/>
              </w:rPr>
              <w:t>Finance receivables at fair value (including finance receivables of consolidated VIEs of $11.5 million</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7"/>
        </w:trPr>
        <w:tc>
          <w:tcPr>
            <w:tcW w:w="7440" w:type="dxa"/>
            <w:vAlign w:val="bottom"/>
          </w:tcPr>
          <w:p>
            <w:pPr>
              <w:ind w:left="20"/>
              <w:spacing w:after="0"/>
              <w:rPr>
                <w:sz w:val="20"/>
                <w:szCs w:val="20"/>
                <w:color w:val="auto"/>
              </w:rPr>
            </w:pPr>
            <w:r>
              <w:rPr>
                <w:rFonts w:ascii="Arial" w:cs="Arial" w:eastAsia="Arial" w:hAnsi="Arial"/>
                <w:sz w:val="16"/>
                <w:szCs w:val="16"/>
                <w:color w:val="auto"/>
              </w:rPr>
              <w:t>and $0 million, respectively)</w:t>
            </w:r>
          </w:p>
        </w:tc>
        <w:tc>
          <w:tcPr>
            <w:tcW w:w="4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12,939</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7"/>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receivables held for sale, net (including finance receivables of consolidated VIEs of</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00"/>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$305.9 million and $0 million, respectively)</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321,626</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Inventory</w:t>
            </w:r>
          </w:p>
        </w:tc>
        <w:tc>
          <w:tcPr>
            <w:tcW w:w="4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320,648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726,384</w:t>
            </w:r>
          </w:p>
        </w:tc>
      </w:tr>
      <w:tr>
        <w:trPr>
          <w:trHeight w:val="21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Beneficial interests in securitizations</w:t>
            </w: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20,592</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58,327</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55,700</w:t>
            </w:r>
          </w:p>
        </w:tc>
      </w:tr>
      <w:tr>
        <w:trPr>
          <w:trHeight w:val="212"/>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current assets</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1,220,109</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2,102,292</w:t>
            </w:r>
          </w:p>
        </w:tc>
      </w:tr>
      <w:tr>
        <w:trPr>
          <w:trHeight w:val="204"/>
        </w:trPr>
        <w:tc>
          <w:tcPr>
            <w:tcW w:w="7440" w:type="dxa"/>
            <w:vAlign w:val="bottom"/>
          </w:tcPr>
          <w:p>
            <w:pPr>
              <w:ind w:left="20"/>
              <w:spacing w:after="0"/>
              <w:rPr>
                <w:sz w:val="20"/>
                <w:szCs w:val="20"/>
                <w:color w:val="auto"/>
              </w:rPr>
            </w:pPr>
            <w:r>
              <w:rPr>
                <w:rFonts w:ascii="Arial" w:cs="Arial" w:eastAsia="Arial" w:hAnsi="Arial"/>
                <w:sz w:val="16"/>
                <w:szCs w:val="16"/>
                <w:color w:val="auto"/>
              </w:rPr>
              <w:t>Finance receivables at fair value (including finance receivables of consolidated VIEs of</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7"/>
        </w:trPr>
        <w:tc>
          <w:tcPr>
            <w:tcW w:w="7440" w:type="dxa"/>
            <w:vAlign w:val="bottom"/>
          </w:tcPr>
          <w:p>
            <w:pPr>
              <w:ind w:left="20"/>
              <w:spacing w:after="0"/>
              <w:rPr>
                <w:sz w:val="20"/>
                <w:szCs w:val="20"/>
                <w:color w:val="auto"/>
              </w:rPr>
            </w:pPr>
            <w:r>
              <w:rPr>
                <w:rFonts w:ascii="Arial" w:cs="Arial" w:eastAsia="Arial" w:hAnsi="Arial"/>
                <w:sz w:val="16"/>
                <w:szCs w:val="16"/>
                <w:color w:val="auto"/>
              </w:rPr>
              <w:t>$119.6 million and $0 million, respectively)</w:t>
            </w:r>
          </w:p>
        </w:tc>
        <w:tc>
          <w:tcPr>
            <w:tcW w:w="4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140,235</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50,201</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37,042</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4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158,910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28,207</w:t>
            </w:r>
          </w:p>
        </w:tc>
      </w:tr>
      <w:tr>
        <w:trPr>
          <w:trHeight w:val="21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158,817</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4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23,568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15,359</w:t>
            </w:r>
          </w:p>
        </w:tc>
      </w:tr>
      <w:tr>
        <w:trPr>
          <w:trHeight w:val="216"/>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4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26,004</w:t>
            </w:r>
          </w:p>
        </w:tc>
        <w:tc>
          <w:tcPr>
            <w:tcW w:w="1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25,033</w:t>
            </w: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1,619,027</w:t>
            </w:r>
          </w:p>
        </w:tc>
        <w:tc>
          <w:tcPr>
            <w:tcW w:w="5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2,366,750</w:t>
            </w:r>
          </w:p>
        </w:tc>
      </w:tr>
      <w:tr>
        <w:trPr>
          <w:trHeight w:val="20"/>
        </w:trPr>
        <w:tc>
          <w:tcPr>
            <w:tcW w:w="7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9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payable</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34,702</w:t>
            </w:r>
          </w:p>
        </w:tc>
        <w:tc>
          <w:tcPr>
            <w:tcW w:w="5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52,651</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4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76,795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121,508</w:t>
            </w:r>
          </w:p>
        </w:tc>
      </w:tr>
      <w:tr>
        <w:trPr>
          <w:trHeight w:val="21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Vehicle floorplan</w:t>
            </w: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276,988</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512,801</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Warehouse credit facilities of consolidated VIEs</w:t>
            </w:r>
          </w:p>
        </w:tc>
        <w:tc>
          <w:tcPr>
            <w:tcW w:w="4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229,518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portion of securitization debt of consolidated VIEs at fair value</w:t>
            </w: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47,239</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4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10,655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75,803</w:t>
            </w:r>
          </w:p>
        </w:tc>
      </w:tr>
      <w:tr>
        <w:trPr>
          <w:trHeight w:val="21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 current</w:t>
            </w: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9,730</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6,889</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17,693</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57,604</w:t>
            </w:r>
          </w:p>
        </w:tc>
      </w:tr>
      <w:tr>
        <w:trPr>
          <w:trHeight w:val="212"/>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current liabilities</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703,320</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827,256</w:t>
            </w:r>
          </w:p>
        </w:tc>
      </w:tr>
      <w:tr>
        <w:trPr>
          <w:trHeight w:val="204"/>
        </w:trPr>
        <w:tc>
          <w:tcPr>
            <w:tcW w:w="7440" w:type="dxa"/>
            <w:vAlign w:val="bottom"/>
          </w:tcPr>
          <w:p>
            <w:pPr>
              <w:ind w:left="20"/>
              <w:spacing w:after="0"/>
              <w:rPr>
                <w:sz w:val="20"/>
                <w:szCs w:val="20"/>
                <w:color w:val="auto"/>
              </w:rPr>
            </w:pPr>
            <w:r>
              <w:rPr>
                <w:rFonts w:ascii="Arial" w:cs="Arial" w:eastAsia="Arial" w:hAnsi="Arial"/>
                <w:sz w:val="16"/>
                <w:szCs w:val="16"/>
                <w:color w:val="auto"/>
              </w:rPr>
              <w:t>Long term debt, net of current portion (including securitization debt of consolidated VIEs of</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7"/>
        </w:trPr>
        <w:tc>
          <w:tcPr>
            <w:tcW w:w="7440" w:type="dxa"/>
            <w:vAlign w:val="bottom"/>
          </w:tcPr>
          <w:p>
            <w:pPr>
              <w:ind w:left="20"/>
              <w:spacing w:after="0"/>
              <w:rPr>
                <w:sz w:val="20"/>
                <w:szCs w:val="20"/>
                <w:color w:val="auto"/>
              </w:rPr>
            </w:pPr>
            <w:r>
              <w:rPr>
                <w:rFonts w:ascii="Arial" w:cs="Arial" w:eastAsia="Arial" w:hAnsi="Arial"/>
                <w:sz w:val="16"/>
                <w:szCs w:val="16"/>
                <w:color w:val="auto"/>
              </w:rPr>
              <w:t>$32.6 million and $0 million at fair value, respectively)</w:t>
            </w:r>
          </w:p>
        </w:tc>
        <w:tc>
          <w:tcPr>
            <w:tcW w:w="4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402,154</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610,618</w:t>
            </w:r>
          </w:p>
        </w:tc>
      </w:tr>
      <w:tr>
        <w:trPr>
          <w:trHeight w:val="21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 excluding current portion</w:t>
            </w: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20,129</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9,592</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18,183</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4,090</w:t>
            </w:r>
          </w:p>
        </w:tc>
      </w:tr>
      <w:tr>
        <w:trPr>
          <w:trHeight w:val="209"/>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4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1,143,786</w:t>
            </w:r>
          </w:p>
        </w:tc>
        <w:tc>
          <w:tcPr>
            <w:tcW w:w="1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1,451,556</w:t>
            </w: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Commitments and contingencies (Note 14)</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04"/>
        </w:trPr>
        <w:tc>
          <w:tcPr>
            <w:tcW w:w="7440" w:type="dxa"/>
            <w:vAlign w:val="bottom"/>
          </w:tcPr>
          <w:p>
            <w:pPr>
              <w:ind w:left="20"/>
              <w:spacing w:after="0"/>
              <w:rPr>
                <w:sz w:val="20"/>
                <w:szCs w:val="20"/>
                <w:color w:val="auto"/>
              </w:rPr>
            </w:pPr>
            <w:r>
              <w:rPr>
                <w:rFonts w:ascii="Arial" w:cs="Arial" w:eastAsia="Arial" w:hAnsi="Arial"/>
                <w:sz w:val="16"/>
                <w:szCs w:val="16"/>
                <w:color w:val="auto"/>
              </w:rPr>
              <w:t>Common stock, $0.001 par value; 500,000,000 shares authorized as of December 31, 2022 and</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89"/>
        </w:trPr>
        <w:tc>
          <w:tcPr>
            <w:tcW w:w="7440" w:type="dxa"/>
            <w:vAlign w:val="bottom"/>
          </w:tcPr>
          <w:p>
            <w:pPr>
              <w:ind w:left="20"/>
              <w:spacing w:after="0"/>
              <w:rPr>
                <w:sz w:val="20"/>
                <w:szCs w:val="20"/>
                <w:color w:val="auto"/>
              </w:rPr>
            </w:pPr>
            <w:r>
              <w:rPr>
                <w:rFonts w:ascii="Arial" w:cs="Arial" w:eastAsia="Arial" w:hAnsi="Arial"/>
                <w:sz w:val="16"/>
                <w:szCs w:val="16"/>
                <w:color w:val="auto"/>
              </w:rPr>
              <w:t>2021; 138,201,903 and 137,092,891 shares issued and outstanding as of December 31, 2022 and</w:t>
            </w: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7"/>
        </w:trPr>
        <w:tc>
          <w:tcPr>
            <w:tcW w:w="7440" w:type="dxa"/>
            <w:vAlign w:val="bottom"/>
          </w:tcPr>
          <w:p>
            <w:pPr>
              <w:ind w:left="20"/>
              <w:spacing w:after="0"/>
              <w:rPr>
                <w:sz w:val="20"/>
                <w:szCs w:val="20"/>
                <w:color w:val="auto"/>
              </w:rPr>
            </w:pPr>
            <w:r>
              <w:rPr>
                <w:rFonts w:ascii="Arial" w:cs="Arial" w:eastAsia="Arial" w:hAnsi="Arial"/>
                <w:sz w:val="16"/>
                <w:szCs w:val="16"/>
                <w:color w:val="auto"/>
              </w:rPr>
              <w:t>2021, respectively</w:t>
            </w:r>
          </w:p>
        </w:tc>
        <w:tc>
          <w:tcPr>
            <w:tcW w:w="4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135</w:t>
            </w:r>
          </w:p>
        </w:tc>
      </w:tr>
      <w:tr>
        <w:trPr>
          <w:trHeight w:val="21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Additional paid-in-capital</w:t>
            </w: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2,075,798</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2,063,841</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(1,600,692 )</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(1,148,782 )</w:t>
            </w:r>
          </w:p>
        </w:tc>
      </w:tr>
      <w:tr>
        <w:trPr>
          <w:trHeight w:val="209"/>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4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475,241</w:t>
            </w:r>
          </w:p>
        </w:tc>
        <w:tc>
          <w:tcPr>
            <w:tcW w:w="1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915,194</w:t>
            </w: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1,619,027</w:t>
            </w:r>
          </w:p>
        </w:tc>
        <w:tc>
          <w:tcPr>
            <w:tcW w:w="5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2,366,750</w:t>
            </w:r>
          </w:p>
        </w:tc>
      </w:tr>
      <w:tr>
        <w:trPr>
          <w:trHeight w:val="20"/>
        </w:trPr>
        <w:tc>
          <w:tcPr>
            <w:tcW w:w="7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-3612515</wp:posOffset>
            </wp:positionV>
            <wp:extent cx="102870"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-1249680</wp:posOffset>
            </wp:positionV>
            <wp:extent cx="102870" cy="145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-170815</wp:posOffset>
            </wp:positionV>
            <wp:extent cx="10287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consolidated financial statements</w:t>
      </w:r>
      <w:r>
        <w:rPr>
          <w:rFonts w:ascii="Arial" w:cs="Arial" w:eastAsia="Arial" w:hAnsi="Arial"/>
          <w:sz w:val="18"/>
          <w:szCs w:val="18"/>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OPERATIONS</w:t>
      </w:r>
    </w:p>
    <w:p>
      <w:pPr>
        <w:ind w:left="34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9"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Retail vehicle, net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1,425,842</w:t>
            </w:r>
          </w:p>
        </w:tc>
        <w:tc>
          <w:tcPr>
            <w:tcW w:w="5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2,583,417</w:t>
            </w:r>
          </w:p>
        </w:tc>
        <w:tc>
          <w:tcPr>
            <w:tcW w:w="5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1,072,551</w:t>
            </w: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Wholesale vehicle</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293,528</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498,981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245,580</w:t>
            </w: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Product, net</w:t>
            </w: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62,747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88,824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38,195</w:t>
            </w: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152,542</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14,242</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13,033</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212"/>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revenue</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1,948,901</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3,184,255</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1,357,700</w:t>
            </w: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Retail vehicle</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1,382,005</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2,495,587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1,038,209</w:t>
            </w: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Wholesale vehicle</w:t>
            </w: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304,148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480,861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247,012</w:t>
            </w: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14,161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3,800</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5,708</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09"/>
        </w:trPr>
        <w:tc>
          <w:tcPr>
            <w:tcW w:w="6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cost of sales</w:t>
            </w: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1,704,114</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2,982,156</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1,286,155</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Arial" w:cs="Arial" w:eastAsia="Arial" w:hAnsi="Arial"/>
                <w:sz w:val="16"/>
                <w:szCs w:val="16"/>
                <w:color w:val="auto"/>
              </w:rPr>
              <w:t>Total gross profit</w:t>
            </w: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244,787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202,099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71,545</w:t>
            </w: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566,387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547,823</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245,546</w:t>
            </w: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38,290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12,891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4,598</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Impairment charges</w:t>
            </w: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211,873</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(571,763 )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(358,615 )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(178,599 )</w:t>
            </w: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debt extinguishment</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(164,684 )</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40,693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21,948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9,656</w:t>
            </w: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(19,363 )</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(10,341 )</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(5,896 )</w:t>
            </w:r>
          </w:p>
        </w:tc>
        <w:tc>
          <w:tcPr>
            <w:tcW w:w="0" w:type="dxa"/>
            <w:vAlign w:val="bottom"/>
          </w:tcPr>
          <w:p>
            <w:pPr>
              <w:spacing w:after="0"/>
              <w:rPr>
                <w:sz w:val="1"/>
                <w:szCs w:val="1"/>
                <w:color w:val="auto"/>
              </w:rPr>
            </w:pP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Revaluation of preferred stock warrant</w:t>
            </w: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20,470</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loss (income), net</w:t>
            </w: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43,181</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(65 )</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(114 )</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(471,590 )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(370,157 )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(202,715 )</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(19,680 )</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754</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(451,910 )</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(370,911 )</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(202,799 )</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(3.28 )</w:t>
            </w:r>
          </w:p>
        </w:tc>
        <w:tc>
          <w:tcPr>
            <w:tcW w:w="50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(2.72 )</w:t>
            </w:r>
          </w:p>
        </w:tc>
        <w:tc>
          <w:tcPr>
            <w:tcW w:w="5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(2.76 )</w:t>
            </w:r>
          </w:p>
        </w:tc>
        <w:tc>
          <w:tcPr>
            <w:tcW w:w="0" w:type="dxa"/>
            <w:vAlign w:val="bottom"/>
          </w:tcPr>
          <w:p>
            <w:pPr>
              <w:spacing w:after="0"/>
              <w:rPr>
                <w:sz w:val="1"/>
                <w:szCs w:val="1"/>
                <w:color w:val="auto"/>
              </w:rPr>
            </w:pPr>
          </w:p>
        </w:tc>
      </w:tr>
      <w:tr>
        <w:trPr>
          <w:trHeight w:val="201"/>
        </w:trPr>
        <w:tc>
          <w:tcPr>
            <w:tcW w:w="61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Weighted-average number of shares outstanding used to compute net loss per</w:t>
            </w: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137,907,444</w:t>
            </w: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136,429,791</w:t>
            </w: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73,345,569</w:t>
            </w:r>
          </w:p>
        </w:tc>
        <w:tc>
          <w:tcPr>
            <w:tcW w:w="0" w:type="dxa"/>
            <w:vAlign w:val="bottom"/>
          </w:tcPr>
          <w:p>
            <w:pPr>
              <w:spacing w:after="0"/>
              <w:rPr>
                <w:sz w:val="1"/>
                <w:szCs w:val="1"/>
                <w:color w:val="auto"/>
              </w:rPr>
            </w:pPr>
          </w:p>
        </w:tc>
      </w:tr>
      <w:tr>
        <w:trPr>
          <w:trHeight w:val="160"/>
        </w:trPr>
        <w:tc>
          <w:tcPr>
            <w:tcW w:w="6120" w:type="dxa"/>
            <w:vAlign w:val="bottom"/>
          </w:tcPr>
          <w:p>
            <w:pPr>
              <w:ind w:left="20"/>
              <w:spacing w:after="0" w:line="160" w:lineRule="exact"/>
              <w:rPr>
                <w:sz w:val="20"/>
                <w:szCs w:val="20"/>
                <w:color w:val="auto"/>
              </w:rPr>
            </w:pPr>
            <w:r>
              <w:rPr>
                <w:rFonts w:ascii="Arial" w:cs="Arial" w:eastAsia="Arial" w:hAnsi="Arial"/>
                <w:sz w:val="16"/>
                <w:szCs w:val="16"/>
                <w:color w:val="auto"/>
              </w:rPr>
              <w:t>share attributable to common stockholders, basic and diluted</w:t>
            </w: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4919980</wp:posOffset>
            </wp:positionH>
            <wp:positionV relativeFrom="paragraph">
              <wp:posOffset>-2242820</wp:posOffset>
            </wp:positionV>
            <wp:extent cx="102870" cy="145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-2242820</wp:posOffset>
            </wp:positionV>
            <wp:extent cx="93980" cy="145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-1685925</wp:posOffset>
            </wp:positionV>
            <wp:extent cx="102870" cy="145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-1685925</wp:posOffset>
            </wp:positionV>
            <wp:extent cx="93980" cy="145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-855345</wp:posOffset>
            </wp:positionV>
            <wp:extent cx="102870" cy="145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-855345</wp:posOffset>
            </wp:positionV>
            <wp:extent cx="93980" cy="145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-572770</wp:posOffset>
            </wp:positionV>
            <wp:extent cx="102870" cy="1714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-572770</wp:posOffset>
            </wp:positionV>
            <wp:extent cx="93980"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-264795</wp:posOffset>
            </wp:positionV>
            <wp:extent cx="102870" cy="2654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2870" cy="26543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-264795</wp:posOffset>
            </wp:positionV>
            <wp:extent cx="93980" cy="2654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3980" cy="26543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REDEEMABLE CONVERTIBLE</w:t>
      </w:r>
    </w:p>
    <w:p>
      <w:pPr>
        <w:jc w:val="center"/>
        <w:ind w:right="40"/>
        <w:spacing w:after="0" w:line="234" w:lineRule="auto"/>
        <w:rPr>
          <w:sz w:val="20"/>
          <w:szCs w:val="20"/>
          <w:color w:val="auto"/>
        </w:rPr>
      </w:pPr>
      <w:r>
        <w:rPr>
          <w:rFonts w:ascii="Arial" w:cs="Arial" w:eastAsia="Arial" w:hAnsi="Arial"/>
          <w:sz w:val="18"/>
          <w:szCs w:val="18"/>
          <w:b w:val="1"/>
          <w:bCs w:val="1"/>
          <w:color w:val="auto"/>
        </w:rPr>
        <w:t>PREFERRED STOCK AND STOCKHOLDERS’ EQUITY (DEFICIT)</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460" w:type="dxa"/>
            <w:vAlign w:val="bottom"/>
            <w:gridSpan w:val="4"/>
          </w:tcPr>
          <w:p>
            <w:pPr>
              <w:jc w:val="right"/>
              <w:ind w:right="404"/>
              <w:spacing w:after="0"/>
              <w:rPr>
                <w:sz w:val="20"/>
                <w:szCs w:val="20"/>
                <w:color w:val="auto"/>
              </w:rPr>
            </w:pPr>
            <w:r>
              <w:rPr>
                <w:rFonts w:ascii="Arial" w:cs="Arial" w:eastAsia="Arial" w:hAnsi="Arial"/>
                <w:sz w:val="14"/>
                <w:szCs w:val="14"/>
                <w:b w:val="1"/>
                <w:bCs w:val="1"/>
                <w:color w:val="auto"/>
              </w:rPr>
              <w:t>Redeemable Convertible</w:t>
            </w: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204"/>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264"/>
              <w:spacing w:after="0"/>
              <w:rPr>
                <w:sz w:val="20"/>
                <w:szCs w:val="20"/>
                <w:color w:val="auto"/>
              </w:rPr>
            </w:pPr>
            <w:r>
              <w:rPr>
                <w:rFonts w:ascii="Arial" w:cs="Arial" w:eastAsia="Arial" w:hAnsi="Arial"/>
                <w:sz w:val="14"/>
                <w:szCs w:val="14"/>
                <w:b w:val="1"/>
                <w:bCs w:val="1"/>
                <w:color w:val="auto"/>
                <w:w w:val="95"/>
              </w:rPr>
              <w:t>Total</w:t>
            </w:r>
          </w:p>
        </w:tc>
      </w:tr>
      <w:tr>
        <w:trPr>
          <w:trHeight w:val="189"/>
        </w:trPr>
        <w:tc>
          <w:tcPr>
            <w:tcW w:w="330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684"/>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6"/>
                <w:szCs w:val="16"/>
                <w:color w:val="auto"/>
              </w:rPr>
            </w:pPr>
          </w:p>
        </w:tc>
        <w:tc>
          <w:tcPr>
            <w:tcW w:w="14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24"/>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1120" w:type="dxa"/>
            <w:vAlign w:val="bottom"/>
          </w:tcPr>
          <w:p>
            <w:pPr>
              <w:jc w:val="right"/>
              <w:ind w:right="144"/>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2"/>
          </w:tcPr>
          <w:p>
            <w:pPr>
              <w:jc w:val="center"/>
              <w:ind w:right="24"/>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3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40" w:type="dxa"/>
            <w:vAlign w:val="bottom"/>
            <w:gridSpan w:val="2"/>
          </w:tcPr>
          <w:p>
            <w:pPr>
              <w:jc w:val="right"/>
              <w:ind w:right="84"/>
              <w:spacing w:after="0" w:line="155" w:lineRule="exact"/>
              <w:rPr>
                <w:sz w:val="20"/>
                <w:szCs w:val="20"/>
                <w:color w:val="auto"/>
              </w:rPr>
            </w:pPr>
            <w:r>
              <w:rPr>
                <w:rFonts w:ascii="Arial" w:cs="Arial" w:eastAsia="Arial" w:hAnsi="Arial"/>
                <w:sz w:val="14"/>
                <w:szCs w:val="14"/>
                <w:b w:val="1"/>
                <w:bCs w:val="1"/>
                <w:color w:val="auto"/>
              </w:rPr>
              <w:t>Amo</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9"/>
        </w:trPr>
        <w:tc>
          <w:tcPr>
            <w:tcW w:w="3300" w:type="dxa"/>
            <w:vAlign w:val="bottom"/>
          </w:tcPr>
          <w:p>
            <w:pPr>
              <w:spacing w:after="0"/>
              <w:rPr>
                <w:sz w:val="16"/>
                <w:szCs w:val="16"/>
                <w:color w:val="auto"/>
              </w:rPr>
            </w:pPr>
          </w:p>
        </w:tc>
        <w:tc>
          <w:tcPr>
            <w:tcW w:w="134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6"/>
                <w:szCs w:val="16"/>
                <w:color w:val="auto"/>
              </w:rPr>
            </w:pPr>
          </w:p>
        </w:tc>
        <w:tc>
          <w:tcPr>
            <w:tcW w:w="134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Shares</w:t>
            </w:r>
          </w:p>
        </w:tc>
        <w:tc>
          <w:tcPr>
            <w:tcW w:w="540" w:type="dxa"/>
            <w:vAlign w:val="bottom"/>
            <w:tcBorders>
              <w:bottom w:val="single" w:sz="8" w:color="auto"/>
            </w:tcBorders>
            <w:gridSpan w:val="2"/>
          </w:tcPr>
          <w:p>
            <w:pPr>
              <w:jc w:val="right"/>
              <w:ind w:right="124"/>
              <w:spacing w:after="0"/>
              <w:rPr>
                <w:sz w:val="20"/>
                <w:szCs w:val="20"/>
                <w:color w:val="auto"/>
              </w:rPr>
            </w:pPr>
            <w:r>
              <w:rPr>
                <w:rFonts w:ascii="Arial" w:cs="Arial" w:eastAsia="Arial" w:hAnsi="Arial"/>
                <w:sz w:val="14"/>
                <w:szCs w:val="14"/>
                <w:b w:val="1"/>
                <w:bCs w:val="1"/>
                <w:color w:val="auto"/>
              </w:rPr>
              <w:t>unt</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Deficit</w:t>
            </w:r>
          </w:p>
        </w:tc>
        <w:tc>
          <w:tcPr>
            <w:tcW w:w="1180" w:type="dxa"/>
            <w:vAlign w:val="bottom"/>
            <w:tcBorders>
              <w:bottom w:val="single" w:sz="8" w:color="auto"/>
            </w:tcBorders>
            <w:gridSpan w:val="2"/>
          </w:tcPr>
          <w:p>
            <w:pPr>
              <w:jc w:val="center"/>
              <w:ind w:right="24"/>
              <w:spacing w:after="0"/>
              <w:rPr>
                <w:sz w:val="20"/>
                <w:szCs w:val="20"/>
                <w:color w:val="auto"/>
              </w:rPr>
            </w:pPr>
            <w:r>
              <w:rPr>
                <w:rFonts w:ascii="Arial" w:cs="Arial" w:eastAsia="Arial" w:hAnsi="Arial"/>
                <w:sz w:val="14"/>
                <w:szCs w:val="14"/>
                <w:b w:val="1"/>
                <w:bCs w:val="1"/>
                <w:color w:val="auto"/>
              </w:rPr>
              <w:t>Equity (Deficit)</w:t>
            </w:r>
          </w:p>
        </w:tc>
      </w:tr>
      <w:tr>
        <w:trPr>
          <w:trHeight w:val="222"/>
        </w:trPr>
        <w:tc>
          <w:tcPr>
            <w:tcW w:w="3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Balance at December 31, 2019</w:t>
            </w:r>
          </w:p>
        </w:tc>
        <w:tc>
          <w:tcPr>
            <w:tcW w:w="13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83,568,628</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874,332</w:t>
            </w:r>
          </w:p>
        </w:tc>
        <w:tc>
          <w:tcPr>
            <w:tcW w:w="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rPr>
              <w:t>8,650,922</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8</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gridSpan w:val="2"/>
            <w:shd w:val="clear" w:color="auto" w:fill="CFF0FC"/>
          </w:tcPr>
          <w:p>
            <w:pPr>
              <w:jc w:val="right"/>
              <w:ind w:right="65"/>
              <w:spacing w:after="0"/>
              <w:rPr>
                <w:sz w:val="20"/>
                <w:szCs w:val="20"/>
                <w:color w:val="auto"/>
              </w:rPr>
            </w:pPr>
            <w:r>
              <w:rPr>
                <w:rFonts w:ascii="Arial" w:cs="Arial" w:eastAsia="Arial" w:hAnsi="Arial"/>
                <w:sz w:val="15"/>
                <w:szCs w:val="15"/>
                <w:color w:val="auto"/>
              </w:rPr>
              <w:t>(573,860 ) $</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(573,852 )</w:t>
            </w:r>
          </w:p>
        </w:tc>
      </w:tr>
      <w:tr>
        <w:trPr>
          <w:trHeight w:val="169"/>
        </w:trPr>
        <w:tc>
          <w:tcPr>
            <w:tcW w:w="3300" w:type="dxa"/>
            <w:vAlign w:val="bottom"/>
          </w:tcPr>
          <w:p>
            <w:pPr>
              <w:ind w:left="20"/>
              <w:spacing w:after="0" w:line="169" w:lineRule="exact"/>
              <w:rPr>
                <w:sz w:val="20"/>
                <w:szCs w:val="20"/>
                <w:color w:val="auto"/>
              </w:rPr>
            </w:pPr>
            <w:r>
              <w:rPr>
                <w:rFonts w:ascii="Arial" w:cs="Arial" w:eastAsia="Arial" w:hAnsi="Arial"/>
                <w:sz w:val="15"/>
                <w:szCs w:val="15"/>
                <w:color w:val="auto"/>
              </w:rPr>
              <w:t>Issuance of common stock</w:t>
            </w:r>
          </w:p>
        </w:tc>
        <w:tc>
          <w:tcPr>
            <w:tcW w:w="1340" w:type="dxa"/>
            <w:vAlign w:val="bottom"/>
          </w:tcPr>
          <w:p>
            <w:pPr>
              <w:jc w:val="right"/>
              <w:ind w:right="44"/>
              <w:spacing w:after="0" w:line="169" w:lineRule="exact"/>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44"/>
              <w:spacing w:after="0" w:line="169" w:lineRule="exact"/>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4"/>
              <w:spacing w:after="0" w:line="169" w:lineRule="exact"/>
              <w:rPr>
                <w:sz w:val="20"/>
                <w:szCs w:val="20"/>
                <w:color w:val="auto"/>
              </w:rPr>
            </w:pPr>
            <w:r>
              <w:rPr>
                <w:rFonts w:ascii="Arial" w:cs="Arial" w:eastAsia="Arial" w:hAnsi="Arial"/>
                <w:sz w:val="15"/>
                <w:szCs w:val="15"/>
                <w:color w:val="auto"/>
              </w:rPr>
              <w:t>183,870</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00" w:type="dxa"/>
            <w:vAlign w:val="bottom"/>
          </w:tcPr>
          <w:p>
            <w:pPr>
              <w:jc w:val="right"/>
              <w:ind w:right="44"/>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4"/>
              <w:spacing w:after="0" w:line="169" w:lineRule="exact"/>
              <w:rPr>
                <w:sz w:val="20"/>
                <w:szCs w:val="20"/>
                <w:color w:val="auto"/>
              </w:rPr>
            </w:pPr>
            <w:r>
              <w:rPr>
                <w:rFonts w:ascii="Arial" w:cs="Arial" w:eastAsia="Arial" w:hAnsi="Arial"/>
                <w:sz w:val="15"/>
                <w:szCs w:val="15"/>
                <w:color w:val="auto"/>
              </w:rPr>
              <w:t>2,127</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4"/>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jc w:val="right"/>
              <w:ind w:right="65"/>
              <w:spacing w:after="0" w:line="169" w:lineRule="exact"/>
              <w:rPr>
                <w:sz w:val="20"/>
                <w:szCs w:val="20"/>
                <w:color w:val="auto"/>
              </w:rPr>
            </w:pPr>
            <w:r>
              <w:rPr>
                <w:rFonts w:ascii="Arial" w:cs="Arial" w:eastAsia="Arial" w:hAnsi="Arial"/>
                <w:sz w:val="15"/>
                <w:szCs w:val="15"/>
                <w:color w:val="auto"/>
                <w:w w:val="95"/>
              </w:rPr>
              <w:t>$</w:t>
            </w:r>
          </w:p>
        </w:tc>
        <w:tc>
          <w:tcPr>
            <w:tcW w:w="940" w:type="dxa"/>
            <w:vAlign w:val="bottom"/>
          </w:tcPr>
          <w:p>
            <w:pPr>
              <w:jc w:val="right"/>
              <w:ind w:right="44"/>
              <w:spacing w:after="0" w:line="169" w:lineRule="exact"/>
              <w:rPr>
                <w:sz w:val="20"/>
                <w:szCs w:val="20"/>
                <w:color w:val="auto"/>
              </w:rPr>
            </w:pPr>
            <w:r>
              <w:rPr>
                <w:rFonts w:ascii="Arial" w:cs="Arial" w:eastAsia="Arial" w:hAnsi="Arial"/>
                <w:sz w:val="15"/>
                <w:szCs w:val="15"/>
                <w:color w:val="auto"/>
              </w:rPr>
              <w:t>2,127</w:t>
            </w:r>
          </w:p>
        </w:tc>
      </w:tr>
      <w:tr>
        <w:trPr>
          <w:trHeight w:val="172"/>
        </w:trPr>
        <w:tc>
          <w:tcPr>
            <w:tcW w:w="3300" w:type="dxa"/>
            <w:vAlign w:val="bottom"/>
            <w:shd w:val="clear" w:color="auto" w:fill="CFF0FC"/>
          </w:tcPr>
          <w:p>
            <w:pPr>
              <w:ind w:left="20"/>
              <w:spacing w:after="0"/>
              <w:rPr>
                <w:sz w:val="20"/>
                <w:szCs w:val="20"/>
                <w:color w:val="auto"/>
              </w:rPr>
            </w:pPr>
            <w:r>
              <w:rPr>
                <w:rFonts w:ascii="Arial" w:cs="Arial" w:eastAsia="Arial" w:hAnsi="Arial"/>
                <w:sz w:val="15"/>
                <w:szCs w:val="15"/>
                <w:color w:val="auto"/>
              </w:rPr>
              <w:t>Issuance of Series H redeemable convertible</w:t>
            </w:r>
          </w:p>
        </w:tc>
        <w:tc>
          <w:tcPr>
            <w:tcW w:w="13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179"/>
        </w:trPr>
        <w:tc>
          <w:tcPr>
            <w:tcW w:w="330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preferred stock, net of issuance costs</w:t>
            </w:r>
          </w:p>
        </w:tc>
        <w:tc>
          <w:tcPr>
            <w:tcW w:w="13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1,964,766</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26,714</w:t>
            </w:r>
          </w:p>
        </w:tc>
        <w:tc>
          <w:tcPr>
            <w:tcW w:w="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r>
      <w:tr>
        <w:trPr>
          <w:trHeight w:val="172"/>
        </w:trPr>
        <w:tc>
          <w:tcPr>
            <w:tcW w:w="3300" w:type="dxa"/>
            <w:vAlign w:val="bottom"/>
          </w:tcPr>
          <w:p>
            <w:pPr>
              <w:ind w:left="20"/>
              <w:spacing w:after="0"/>
              <w:rPr>
                <w:sz w:val="20"/>
                <w:szCs w:val="20"/>
                <w:color w:val="auto"/>
              </w:rPr>
            </w:pPr>
            <w:r>
              <w:rPr>
                <w:rFonts w:ascii="Arial" w:cs="Arial" w:eastAsia="Arial" w:hAnsi="Arial"/>
                <w:sz w:val="15"/>
                <w:szCs w:val="15"/>
                <w:color w:val="auto"/>
              </w:rPr>
              <w:t>Conversion of redeemable convertible preferred</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9"/>
        </w:trPr>
        <w:tc>
          <w:tcPr>
            <w:tcW w:w="3300" w:type="dxa"/>
            <w:vAlign w:val="bottom"/>
          </w:tcPr>
          <w:p>
            <w:pPr>
              <w:ind w:left="20"/>
              <w:spacing w:after="0"/>
              <w:rPr>
                <w:sz w:val="20"/>
                <w:szCs w:val="20"/>
                <w:color w:val="auto"/>
              </w:rPr>
            </w:pPr>
            <w:r>
              <w:rPr>
                <w:rFonts w:ascii="Arial" w:cs="Arial" w:eastAsia="Arial" w:hAnsi="Arial"/>
                <w:sz w:val="15"/>
                <w:szCs w:val="15"/>
                <w:color w:val="auto"/>
              </w:rPr>
              <w:t>stock to common stock</w:t>
            </w:r>
          </w:p>
        </w:tc>
        <w:tc>
          <w:tcPr>
            <w:tcW w:w="1340" w:type="dxa"/>
            <w:vAlign w:val="bottom"/>
          </w:tcPr>
          <w:p>
            <w:pPr>
              <w:jc w:val="right"/>
              <w:spacing w:after="0"/>
              <w:rPr>
                <w:sz w:val="20"/>
                <w:szCs w:val="20"/>
                <w:color w:val="auto"/>
              </w:rPr>
            </w:pPr>
            <w:r>
              <w:rPr>
                <w:rFonts w:ascii="Arial" w:cs="Arial" w:eastAsia="Arial" w:hAnsi="Arial"/>
                <w:sz w:val="15"/>
                <w:szCs w:val="15"/>
                <w:color w:val="auto"/>
              </w:rPr>
              <w:t>(85,533,394 )</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(901,046 )</w:t>
            </w:r>
          </w:p>
        </w:tc>
        <w:tc>
          <w:tcPr>
            <w:tcW w:w="1360" w:type="dxa"/>
            <w:vAlign w:val="bottom"/>
            <w:gridSpan w:val="2"/>
          </w:tcPr>
          <w:p>
            <w:pPr>
              <w:jc w:val="right"/>
              <w:ind w:right="24"/>
              <w:spacing w:after="0"/>
              <w:rPr>
                <w:sz w:val="20"/>
                <w:szCs w:val="20"/>
                <w:color w:val="auto"/>
              </w:rPr>
            </w:pPr>
            <w:r>
              <w:rPr>
                <w:rFonts w:ascii="Arial" w:cs="Arial" w:eastAsia="Arial" w:hAnsi="Arial"/>
                <w:sz w:val="15"/>
                <w:szCs w:val="15"/>
                <w:color w:val="auto"/>
              </w:rPr>
              <w:t>85,533,394</w:t>
            </w:r>
          </w:p>
        </w:tc>
        <w:tc>
          <w:tcPr>
            <w:tcW w:w="140" w:type="dxa"/>
            <w:vAlign w:val="bottom"/>
          </w:tcPr>
          <w:p>
            <w:pPr>
              <w:spacing w:after="0"/>
              <w:rPr>
                <w:sz w:val="15"/>
                <w:szCs w:val="15"/>
                <w:color w:val="auto"/>
              </w:rPr>
            </w:pP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86</w:t>
            </w:r>
          </w:p>
        </w:tc>
        <w:tc>
          <w:tcPr>
            <w:tcW w:w="14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900,960</w:t>
            </w:r>
          </w:p>
        </w:tc>
        <w:tc>
          <w:tcPr>
            <w:tcW w:w="12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901,046</w:t>
            </w:r>
          </w:p>
        </w:tc>
      </w:tr>
      <w:tr>
        <w:trPr>
          <w:trHeight w:val="172"/>
        </w:trPr>
        <w:tc>
          <w:tcPr>
            <w:tcW w:w="3300" w:type="dxa"/>
            <w:vAlign w:val="bottom"/>
            <w:shd w:val="clear" w:color="auto" w:fill="CFF0FC"/>
          </w:tcPr>
          <w:p>
            <w:pPr>
              <w:ind w:left="20"/>
              <w:spacing w:after="0"/>
              <w:rPr>
                <w:sz w:val="20"/>
                <w:szCs w:val="20"/>
                <w:color w:val="auto"/>
              </w:rPr>
            </w:pPr>
            <w:r>
              <w:rPr>
                <w:rFonts w:ascii="Arial" w:cs="Arial" w:eastAsia="Arial" w:hAnsi="Arial"/>
                <w:sz w:val="15"/>
                <w:szCs w:val="15"/>
                <w:color w:val="auto"/>
              </w:rPr>
              <w:t>Conversion of redeemable convertible preferred</w:t>
            </w:r>
          </w:p>
        </w:tc>
        <w:tc>
          <w:tcPr>
            <w:tcW w:w="13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179"/>
        </w:trPr>
        <w:tc>
          <w:tcPr>
            <w:tcW w:w="330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 warrant to common stock warrant</w:t>
            </w:r>
          </w:p>
        </w:tc>
        <w:tc>
          <w:tcPr>
            <w:tcW w:w="13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21,873</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21,873</w:t>
            </w:r>
          </w:p>
        </w:tc>
      </w:tr>
      <w:tr>
        <w:trPr>
          <w:trHeight w:val="172"/>
        </w:trPr>
        <w:tc>
          <w:tcPr>
            <w:tcW w:w="3300" w:type="dxa"/>
            <w:vAlign w:val="bottom"/>
          </w:tcPr>
          <w:p>
            <w:pPr>
              <w:ind w:left="20"/>
              <w:spacing w:after="0"/>
              <w:rPr>
                <w:sz w:val="20"/>
                <w:szCs w:val="20"/>
                <w:color w:val="auto"/>
              </w:rPr>
            </w:pPr>
            <w:r>
              <w:rPr>
                <w:rFonts w:ascii="Arial" w:cs="Arial" w:eastAsia="Arial" w:hAnsi="Arial"/>
                <w:sz w:val="15"/>
                <w:szCs w:val="15"/>
                <w:color w:val="auto"/>
              </w:rPr>
              <w:t>Issuance of common stock in IPO, net of</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9"/>
        </w:trPr>
        <w:tc>
          <w:tcPr>
            <w:tcW w:w="3300" w:type="dxa"/>
            <w:vAlign w:val="bottom"/>
          </w:tcPr>
          <w:p>
            <w:pPr>
              <w:ind w:left="20"/>
              <w:spacing w:after="0"/>
              <w:rPr>
                <w:sz w:val="20"/>
                <w:szCs w:val="20"/>
                <w:color w:val="auto"/>
              </w:rPr>
            </w:pPr>
            <w:r>
              <w:rPr>
                <w:rFonts w:ascii="Arial" w:cs="Arial" w:eastAsia="Arial" w:hAnsi="Arial"/>
                <w:sz w:val="15"/>
                <w:szCs w:val="15"/>
                <w:color w:val="auto"/>
              </w:rPr>
              <w:t>offering costs</w:t>
            </w:r>
          </w:p>
        </w:tc>
        <w:tc>
          <w:tcPr>
            <w:tcW w:w="13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4"/>
              <w:spacing w:after="0"/>
              <w:rPr>
                <w:sz w:val="20"/>
                <w:szCs w:val="20"/>
                <w:color w:val="auto"/>
              </w:rPr>
            </w:pPr>
            <w:r>
              <w:rPr>
                <w:rFonts w:ascii="Arial" w:cs="Arial" w:eastAsia="Arial" w:hAnsi="Arial"/>
                <w:sz w:val="15"/>
                <w:szCs w:val="15"/>
                <w:color w:val="auto"/>
              </w:rPr>
              <w:t>24,437,500</w:t>
            </w:r>
          </w:p>
        </w:tc>
        <w:tc>
          <w:tcPr>
            <w:tcW w:w="140" w:type="dxa"/>
            <w:vAlign w:val="bottom"/>
          </w:tcPr>
          <w:p>
            <w:pPr>
              <w:spacing w:after="0"/>
              <w:rPr>
                <w:sz w:val="15"/>
                <w:szCs w:val="15"/>
                <w:color w:val="auto"/>
              </w:rPr>
            </w:pP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24</w:t>
            </w:r>
          </w:p>
        </w:tc>
        <w:tc>
          <w:tcPr>
            <w:tcW w:w="14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496,486</w:t>
            </w:r>
          </w:p>
        </w:tc>
        <w:tc>
          <w:tcPr>
            <w:tcW w:w="12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496,510</w:t>
            </w:r>
          </w:p>
        </w:tc>
      </w:tr>
      <w:tr>
        <w:trPr>
          <w:trHeight w:val="172"/>
        </w:trPr>
        <w:tc>
          <w:tcPr>
            <w:tcW w:w="3300" w:type="dxa"/>
            <w:vAlign w:val="bottom"/>
            <w:shd w:val="clear" w:color="auto" w:fill="CFF0FC"/>
          </w:tcPr>
          <w:p>
            <w:pPr>
              <w:ind w:left="20"/>
              <w:spacing w:after="0"/>
              <w:rPr>
                <w:sz w:val="20"/>
                <w:szCs w:val="20"/>
                <w:color w:val="auto"/>
              </w:rPr>
            </w:pPr>
            <w:r>
              <w:rPr>
                <w:rFonts w:ascii="Arial" w:cs="Arial" w:eastAsia="Arial" w:hAnsi="Arial"/>
                <w:sz w:val="15"/>
                <w:szCs w:val="15"/>
                <w:color w:val="auto"/>
              </w:rPr>
              <w:t>Issuance of common stock in follow-on public</w:t>
            </w:r>
          </w:p>
        </w:tc>
        <w:tc>
          <w:tcPr>
            <w:tcW w:w="13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179"/>
        </w:trPr>
        <w:tc>
          <w:tcPr>
            <w:tcW w:w="3300" w:type="dxa"/>
            <w:vAlign w:val="bottom"/>
            <w:shd w:val="clear" w:color="auto" w:fill="CFF0FC"/>
          </w:tcPr>
          <w:p>
            <w:pPr>
              <w:ind w:left="20"/>
              <w:spacing w:after="0"/>
              <w:rPr>
                <w:sz w:val="20"/>
                <w:szCs w:val="20"/>
                <w:color w:val="auto"/>
              </w:rPr>
            </w:pPr>
            <w:r>
              <w:rPr>
                <w:rFonts w:ascii="Arial" w:cs="Arial" w:eastAsia="Arial" w:hAnsi="Arial"/>
                <w:sz w:val="15"/>
                <w:szCs w:val="15"/>
                <w:color w:val="auto"/>
              </w:rPr>
              <w:t>offering, net of offering costs</w:t>
            </w:r>
          </w:p>
        </w:tc>
        <w:tc>
          <w:tcPr>
            <w:tcW w:w="13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10,800,000</w:t>
            </w:r>
          </w:p>
        </w:tc>
        <w:tc>
          <w:tcPr>
            <w:tcW w:w="14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11</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567,941</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567,952</w:t>
            </w:r>
          </w:p>
        </w:tc>
      </w:tr>
      <w:tr>
        <w:trPr>
          <w:trHeight w:val="189"/>
        </w:trPr>
        <w:tc>
          <w:tcPr>
            <w:tcW w:w="3300" w:type="dxa"/>
            <w:vAlign w:val="bottom"/>
          </w:tcPr>
          <w:p>
            <w:pPr>
              <w:ind w:left="20"/>
              <w:spacing w:after="0"/>
              <w:rPr>
                <w:sz w:val="20"/>
                <w:szCs w:val="20"/>
                <w:color w:val="auto"/>
              </w:rPr>
            </w:pPr>
            <w:r>
              <w:rPr>
                <w:rFonts w:ascii="Arial" w:cs="Arial" w:eastAsia="Arial" w:hAnsi="Arial"/>
                <w:sz w:val="15"/>
                <w:szCs w:val="15"/>
                <w:color w:val="auto"/>
              </w:rPr>
              <w:t>Repurchase of common stock</w:t>
            </w:r>
          </w:p>
        </w:tc>
        <w:tc>
          <w:tcPr>
            <w:tcW w:w="13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(200,000 )</w:t>
            </w:r>
          </w:p>
        </w:tc>
        <w:tc>
          <w:tcPr>
            <w:tcW w:w="140" w:type="dxa"/>
            <w:vAlign w:val="bottom"/>
          </w:tcPr>
          <w:p>
            <w:pPr>
              <w:spacing w:after="0"/>
              <w:rPr>
                <w:sz w:val="16"/>
                <w:szCs w:val="16"/>
                <w:color w:val="auto"/>
              </w:rPr>
            </w:pP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(606 )</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(1,212 )</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(1,818 )</w:t>
            </w:r>
          </w:p>
        </w:tc>
      </w:tr>
      <w:tr>
        <w:trPr>
          <w:trHeight w:val="189"/>
        </w:trPr>
        <w:tc>
          <w:tcPr>
            <w:tcW w:w="3300" w:type="dxa"/>
            <w:vAlign w:val="bottom"/>
            <w:shd w:val="clear" w:color="auto" w:fill="CFF0FC"/>
          </w:tcPr>
          <w:p>
            <w:pPr>
              <w:ind w:left="20"/>
              <w:spacing w:after="0"/>
              <w:rPr>
                <w:sz w:val="20"/>
                <w:szCs w:val="20"/>
                <w:color w:val="auto"/>
              </w:rPr>
            </w:pPr>
            <w:r>
              <w:rPr>
                <w:rFonts w:ascii="Arial" w:cs="Arial" w:eastAsia="Arial" w:hAnsi="Arial"/>
                <w:sz w:val="15"/>
                <w:szCs w:val="15"/>
                <w:color w:val="auto"/>
              </w:rPr>
              <w:t>Vesting of restricted stock awards</w:t>
            </w:r>
          </w:p>
        </w:tc>
        <w:tc>
          <w:tcPr>
            <w:tcW w:w="13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3,249,346</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3,381</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3,383</w:t>
            </w:r>
          </w:p>
        </w:tc>
      </w:tr>
      <w:tr>
        <w:trPr>
          <w:trHeight w:val="189"/>
        </w:trPr>
        <w:tc>
          <w:tcPr>
            <w:tcW w:w="330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13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3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13,254</w:t>
            </w:r>
          </w:p>
        </w:tc>
        <w:tc>
          <w:tcPr>
            <w:tcW w:w="12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13,254</w:t>
            </w:r>
          </w:p>
        </w:tc>
      </w:tr>
      <w:tr>
        <w:trPr>
          <w:trHeight w:val="189"/>
        </w:trPr>
        <w:tc>
          <w:tcPr>
            <w:tcW w:w="3300" w:type="dxa"/>
            <w:vAlign w:val="bottom"/>
            <w:shd w:val="clear" w:color="auto" w:fill="CFF0FC"/>
          </w:tcPr>
          <w:p>
            <w:pPr>
              <w:ind w:left="20"/>
              <w:spacing w:after="0"/>
              <w:rPr>
                <w:sz w:val="20"/>
                <w:szCs w:val="20"/>
                <w:color w:val="auto"/>
              </w:rPr>
            </w:pPr>
            <w:r>
              <w:rPr>
                <w:rFonts w:ascii="Arial" w:cs="Arial" w:eastAsia="Arial" w:hAnsi="Arial"/>
                <w:sz w:val="15"/>
                <w:szCs w:val="15"/>
                <w:color w:val="auto"/>
              </w:rPr>
              <w:t>Exercise of stock options</w:t>
            </w:r>
          </w:p>
        </w:tc>
        <w:tc>
          <w:tcPr>
            <w:tcW w:w="13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598,406</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2,340</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2,341</w:t>
            </w:r>
          </w:p>
        </w:tc>
      </w:tr>
      <w:tr>
        <w:trPr>
          <w:trHeight w:val="189"/>
        </w:trPr>
        <w:tc>
          <w:tcPr>
            <w:tcW w:w="3300" w:type="dxa"/>
            <w:vAlign w:val="bottom"/>
          </w:tcPr>
          <w:p>
            <w:pPr>
              <w:ind w:left="20"/>
              <w:spacing w:after="0"/>
              <w:rPr>
                <w:sz w:val="20"/>
                <w:szCs w:val="20"/>
                <w:color w:val="auto"/>
              </w:rPr>
            </w:pPr>
            <w:r>
              <w:rPr>
                <w:rFonts w:ascii="Arial" w:cs="Arial" w:eastAsia="Arial" w:hAnsi="Arial"/>
                <w:sz w:val="15"/>
                <w:szCs w:val="15"/>
                <w:color w:val="auto"/>
              </w:rPr>
              <w:t>Exercise of common stock warrants</w:t>
            </w:r>
          </w:p>
        </w:tc>
        <w:tc>
          <w:tcPr>
            <w:tcW w:w="13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4"/>
              <w:spacing w:after="0"/>
              <w:rPr>
                <w:sz w:val="20"/>
                <w:szCs w:val="20"/>
                <w:color w:val="auto"/>
              </w:rPr>
            </w:pPr>
            <w:r>
              <w:rPr>
                <w:rFonts w:ascii="Arial" w:cs="Arial" w:eastAsia="Arial" w:hAnsi="Arial"/>
                <w:sz w:val="15"/>
                <w:szCs w:val="15"/>
                <w:color w:val="auto"/>
              </w:rPr>
              <w:t>636,112</w:t>
            </w:r>
          </w:p>
        </w:tc>
        <w:tc>
          <w:tcPr>
            <w:tcW w:w="140" w:type="dxa"/>
            <w:vAlign w:val="bottom"/>
          </w:tcPr>
          <w:p>
            <w:pPr>
              <w:spacing w:after="0"/>
              <w:rPr>
                <w:sz w:val="16"/>
                <w:szCs w:val="16"/>
                <w:color w:val="auto"/>
              </w:rPr>
            </w:pP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r>
      <w:tr>
        <w:trPr>
          <w:trHeight w:val="189"/>
        </w:trPr>
        <w:tc>
          <w:tcPr>
            <w:tcW w:w="3300" w:type="dxa"/>
            <w:vAlign w:val="bottom"/>
            <w:shd w:val="clear" w:color="auto" w:fill="CFF0FC"/>
          </w:tcPr>
          <w:p>
            <w:pPr>
              <w:ind w:left="20"/>
              <w:spacing w:after="0"/>
              <w:rPr>
                <w:sz w:val="20"/>
                <w:szCs w:val="20"/>
                <w:color w:val="auto"/>
              </w:rPr>
            </w:pPr>
            <w:r>
              <w:rPr>
                <w:rFonts w:ascii="Arial" w:cs="Arial" w:eastAsia="Arial" w:hAnsi="Arial"/>
                <w:sz w:val="15"/>
                <w:szCs w:val="15"/>
                <w:color w:val="auto"/>
              </w:rPr>
              <w:t>Vesting of restricted stock units</w:t>
            </w:r>
          </w:p>
        </w:tc>
        <w:tc>
          <w:tcPr>
            <w:tcW w:w="13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237,334</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r>
      <w:tr>
        <w:trPr>
          <w:trHeight w:val="172"/>
        </w:trPr>
        <w:tc>
          <w:tcPr>
            <w:tcW w:w="3300" w:type="dxa"/>
            <w:vAlign w:val="bottom"/>
          </w:tcPr>
          <w:p>
            <w:pPr>
              <w:ind w:left="20"/>
              <w:spacing w:after="0"/>
              <w:rPr>
                <w:sz w:val="20"/>
                <w:szCs w:val="20"/>
                <w:color w:val="auto"/>
              </w:rPr>
            </w:pPr>
            <w:r>
              <w:rPr>
                <w:rFonts w:ascii="Arial" w:cs="Arial" w:eastAsia="Arial" w:hAnsi="Arial"/>
                <w:sz w:val="15"/>
                <w:szCs w:val="15"/>
                <w:color w:val="auto"/>
              </w:rPr>
              <w:t>Common Stock shares withheld to satisfy</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9"/>
        </w:trPr>
        <w:tc>
          <w:tcPr>
            <w:tcW w:w="3300" w:type="dxa"/>
            <w:vAlign w:val="bottom"/>
          </w:tcPr>
          <w:p>
            <w:pPr>
              <w:ind w:left="20"/>
              <w:spacing w:after="0"/>
              <w:rPr>
                <w:sz w:val="20"/>
                <w:szCs w:val="20"/>
                <w:color w:val="auto"/>
              </w:rPr>
            </w:pPr>
            <w:r>
              <w:rPr>
                <w:rFonts w:ascii="Arial" w:cs="Arial" w:eastAsia="Arial" w:hAnsi="Arial"/>
                <w:sz w:val="15"/>
                <w:szCs w:val="15"/>
                <w:color w:val="auto"/>
              </w:rPr>
              <w:t>employee tax withholding obligations</w:t>
            </w:r>
          </w:p>
        </w:tc>
        <w:tc>
          <w:tcPr>
            <w:tcW w:w="13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(82,915 )</w:t>
            </w:r>
          </w:p>
        </w:tc>
        <w:tc>
          <w:tcPr>
            <w:tcW w:w="140" w:type="dxa"/>
            <w:vAlign w:val="bottom"/>
          </w:tcPr>
          <w:p>
            <w:pPr>
              <w:spacing w:after="0"/>
              <w:rPr>
                <w:sz w:val="15"/>
                <w:szCs w:val="15"/>
                <w:color w:val="auto"/>
              </w:rPr>
            </w:pP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(2,915 )</w:t>
            </w:r>
          </w:p>
        </w:tc>
        <w:tc>
          <w:tcPr>
            <w:tcW w:w="12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(2,915 )</w:t>
            </w:r>
          </w:p>
        </w:tc>
      </w:tr>
      <w:tr>
        <w:trPr>
          <w:trHeight w:val="189"/>
        </w:trPr>
        <w:tc>
          <w:tcPr>
            <w:tcW w:w="3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Net loss</w:t>
            </w:r>
          </w:p>
        </w:tc>
        <w:tc>
          <w:tcPr>
            <w:tcW w:w="13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(202,799 )</w:t>
            </w: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(202,799 )</w:t>
            </w:r>
          </w:p>
        </w:tc>
      </w:tr>
      <w:tr>
        <w:trPr>
          <w:trHeight w:val="182"/>
        </w:trPr>
        <w:tc>
          <w:tcPr>
            <w:tcW w:w="3300" w:type="dxa"/>
            <w:vAlign w:val="bottom"/>
          </w:tcPr>
          <w:p>
            <w:pPr>
              <w:ind w:left="20"/>
              <w:spacing w:after="0"/>
              <w:rPr>
                <w:sz w:val="20"/>
                <w:szCs w:val="20"/>
                <w:color w:val="auto"/>
              </w:rPr>
            </w:pPr>
            <w:r>
              <w:rPr>
                <w:rFonts w:ascii="Arial" w:cs="Arial" w:eastAsia="Arial" w:hAnsi="Arial"/>
                <w:sz w:val="15"/>
                <w:szCs w:val="15"/>
                <w:color w:val="auto"/>
              </w:rPr>
              <w:t>Balance at December 31, 2020</w:t>
            </w:r>
          </w:p>
        </w:tc>
        <w:tc>
          <w:tcPr>
            <w:tcW w:w="13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4"/>
              <w:spacing w:after="0"/>
              <w:rPr>
                <w:sz w:val="20"/>
                <w:szCs w:val="20"/>
                <w:color w:val="auto"/>
              </w:rPr>
            </w:pPr>
            <w:r>
              <w:rPr>
                <w:rFonts w:ascii="Arial" w:cs="Arial" w:eastAsia="Arial" w:hAnsi="Arial"/>
                <w:sz w:val="15"/>
                <w:szCs w:val="15"/>
                <w:color w:val="auto"/>
              </w:rPr>
              <w:t>134,043,969</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132</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2,004,841</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jc w:val="right"/>
              <w:ind w:right="65"/>
              <w:spacing w:after="0"/>
              <w:rPr>
                <w:sz w:val="20"/>
                <w:szCs w:val="20"/>
                <w:color w:val="auto"/>
              </w:rPr>
            </w:pPr>
            <w:r>
              <w:rPr>
                <w:rFonts w:ascii="Arial" w:cs="Arial" w:eastAsia="Arial" w:hAnsi="Arial"/>
                <w:sz w:val="15"/>
                <w:szCs w:val="15"/>
                <w:color w:val="auto"/>
              </w:rPr>
              <w:t>(777,871 ) $</w:t>
            </w: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1,227,102</w:t>
            </w:r>
          </w:p>
        </w:tc>
      </w:tr>
      <w:tr>
        <w:trPr>
          <w:trHeight w:val="20"/>
        </w:trPr>
        <w:tc>
          <w:tcPr>
            <w:tcW w:w="33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3300" w:type="dxa"/>
            <w:vAlign w:val="bottom"/>
            <w:shd w:val="clear" w:color="auto" w:fill="CFF0FC"/>
          </w:tcPr>
          <w:p>
            <w:pPr>
              <w:ind w:left="20"/>
              <w:spacing w:after="0" w:line="152" w:lineRule="exact"/>
              <w:rPr>
                <w:sz w:val="20"/>
                <w:szCs w:val="20"/>
                <w:color w:val="auto"/>
              </w:rPr>
            </w:pPr>
            <w:r>
              <w:rPr>
                <w:rFonts w:ascii="Arial" w:cs="Arial" w:eastAsia="Arial" w:hAnsi="Arial"/>
                <w:sz w:val="15"/>
                <w:szCs w:val="15"/>
                <w:color w:val="auto"/>
              </w:rPr>
              <w:t>Issuance of common stock for CarStory</w:t>
            </w:r>
          </w:p>
        </w:tc>
        <w:tc>
          <w:tcPr>
            <w:tcW w:w="13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r>
      <w:tr>
        <w:trPr>
          <w:trHeight w:val="179"/>
        </w:trPr>
        <w:tc>
          <w:tcPr>
            <w:tcW w:w="3300" w:type="dxa"/>
            <w:vAlign w:val="bottom"/>
            <w:shd w:val="clear" w:color="auto" w:fill="CFF0FC"/>
          </w:tcPr>
          <w:p>
            <w:pPr>
              <w:ind w:left="20"/>
              <w:spacing w:after="0"/>
              <w:rPr>
                <w:sz w:val="20"/>
                <w:szCs w:val="20"/>
                <w:color w:val="auto"/>
              </w:rPr>
            </w:pPr>
            <w:r>
              <w:rPr>
                <w:rFonts w:ascii="Arial" w:cs="Arial" w:eastAsia="Arial" w:hAnsi="Arial"/>
                <w:sz w:val="15"/>
                <w:szCs w:val="15"/>
                <w:color w:val="auto"/>
              </w:rPr>
              <w:t>acquisition</w:t>
            </w:r>
          </w:p>
        </w:tc>
        <w:tc>
          <w:tcPr>
            <w:tcW w:w="13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1,066,444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38,810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38,811</w:t>
            </w:r>
          </w:p>
        </w:tc>
      </w:tr>
      <w:tr>
        <w:trPr>
          <w:trHeight w:val="172"/>
        </w:trPr>
        <w:tc>
          <w:tcPr>
            <w:tcW w:w="3300" w:type="dxa"/>
            <w:vAlign w:val="bottom"/>
          </w:tcPr>
          <w:p>
            <w:pPr>
              <w:ind w:left="20"/>
              <w:spacing w:after="0"/>
              <w:rPr>
                <w:sz w:val="20"/>
                <w:szCs w:val="20"/>
                <w:color w:val="auto"/>
              </w:rPr>
            </w:pPr>
            <w:r>
              <w:rPr>
                <w:rFonts w:ascii="Arial" w:cs="Arial" w:eastAsia="Arial" w:hAnsi="Arial"/>
                <w:sz w:val="15"/>
                <w:szCs w:val="15"/>
                <w:color w:val="auto"/>
              </w:rPr>
              <w:t>Fair value of unvested stock options assumed</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9"/>
        </w:trPr>
        <w:tc>
          <w:tcPr>
            <w:tcW w:w="3300" w:type="dxa"/>
            <w:vAlign w:val="bottom"/>
          </w:tcPr>
          <w:p>
            <w:pPr>
              <w:ind w:left="20"/>
              <w:spacing w:after="0"/>
              <w:rPr>
                <w:sz w:val="20"/>
                <w:szCs w:val="20"/>
                <w:color w:val="auto"/>
              </w:rPr>
            </w:pPr>
            <w:r>
              <w:rPr>
                <w:rFonts w:ascii="Arial" w:cs="Arial" w:eastAsia="Arial" w:hAnsi="Arial"/>
                <w:sz w:val="15"/>
                <w:szCs w:val="15"/>
                <w:color w:val="auto"/>
              </w:rPr>
              <w:t>in CarStory acquisition</w:t>
            </w:r>
          </w:p>
        </w:tc>
        <w:tc>
          <w:tcPr>
            <w:tcW w:w="13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3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1,017</w:t>
            </w:r>
          </w:p>
        </w:tc>
        <w:tc>
          <w:tcPr>
            <w:tcW w:w="12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1,017</w:t>
            </w:r>
          </w:p>
        </w:tc>
      </w:tr>
      <w:tr>
        <w:trPr>
          <w:trHeight w:val="189"/>
        </w:trPr>
        <w:tc>
          <w:tcPr>
            <w:tcW w:w="330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Stock-based compensation</w:t>
            </w:r>
          </w:p>
        </w:tc>
        <w:tc>
          <w:tcPr>
            <w:tcW w:w="13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13,409</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13,409</w:t>
            </w:r>
          </w:p>
        </w:tc>
      </w:tr>
      <w:tr>
        <w:trPr>
          <w:trHeight w:val="189"/>
        </w:trPr>
        <w:tc>
          <w:tcPr>
            <w:tcW w:w="3300" w:type="dxa"/>
            <w:vAlign w:val="bottom"/>
          </w:tcPr>
          <w:p>
            <w:pPr>
              <w:ind w:left="20"/>
              <w:spacing w:after="0"/>
              <w:rPr>
                <w:sz w:val="20"/>
                <w:szCs w:val="20"/>
                <w:color w:val="auto"/>
              </w:rPr>
            </w:pPr>
            <w:r>
              <w:rPr>
                <w:rFonts w:ascii="Arial" w:cs="Arial" w:eastAsia="Arial" w:hAnsi="Arial"/>
                <w:sz w:val="15"/>
                <w:szCs w:val="15"/>
                <w:color w:val="auto"/>
              </w:rPr>
              <w:t>Exercise of stock options</w:t>
            </w:r>
          </w:p>
        </w:tc>
        <w:tc>
          <w:tcPr>
            <w:tcW w:w="13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4"/>
              <w:spacing w:after="0"/>
              <w:rPr>
                <w:sz w:val="20"/>
                <w:szCs w:val="20"/>
                <w:color w:val="auto"/>
              </w:rPr>
            </w:pPr>
            <w:r>
              <w:rPr>
                <w:rFonts w:ascii="Arial" w:cs="Arial" w:eastAsia="Arial" w:hAnsi="Arial"/>
                <w:sz w:val="15"/>
                <w:szCs w:val="15"/>
                <w:color w:val="auto"/>
              </w:rPr>
              <w:t>1,409,004</w:t>
            </w:r>
          </w:p>
        </w:tc>
        <w:tc>
          <w:tcPr>
            <w:tcW w:w="140" w:type="dxa"/>
            <w:vAlign w:val="bottom"/>
          </w:tcPr>
          <w:p>
            <w:pPr>
              <w:spacing w:after="0"/>
              <w:rPr>
                <w:sz w:val="16"/>
                <w:szCs w:val="16"/>
                <w:color w:val="auto"/>
              </w:rPr>
            </w:pP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6"/>
                <w:szCs w:val="16"/>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5,764</w:t>
            </w:r>
          </w:p>
        </w:tc>
        <w:tc>
          <w:tcPr>
            <w:tcW w:w="120" w:type="dxa"/>
            <w:vAlign w:val="bottom"/>
          </w:tcPr>
          <w:p>
            <w:pPr>
              <w:spacing w:after="0"/>
              <w:rPr>
                <w:sz w:val="16"/>
                <w:szCs w:val="16"/>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5,766</w:t>
            </w:r>
          </w:p>
        </w:tc>
      </w:tr>
      <w:tr>
        <w:trPr>
          <w:trHeight w:val="189"/>
        </w:trPr>
        <w:tc>
          <w:tcPr>
            <w:tcW w:w="3300" w:type="dxa"/>
            <w:vAlign w:val="bottom"/>
            <w:shd w:val="clear" w:color="auto" w:fill="CFF0FC"/>
          </w:tcPr>
          <w:p>
            <w:pPr>
              <w:ind w:left="20"/>
              <w:spacing w:after="0"/>
              <w:rPr>
                <w:sz w:val="20"/>
                <w:szCs w:val="20"/>
                <w:color w:val="auto"/>
              </w:rPr>
            </w:pPr>
            <w:r>
              <w:rPr>
                <w:rFonts w:ascii="Arial" w:cs="Arial" w:eastAsia="Arial" w:hAnsi="Arial"/>
                <w:sz w:val="15"/>
                <w:szCs w:val="15"/>
                <w:color w:val="auto"/>
              </w:rPr>
              <w:t>Vesting of restricted stock units</w:t>
            </w:r>
          </w:p>
        </w:tc>
        <w:tc>
          <w:tcPr>
            <w:tcW w:w="13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573,474</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r>
      <w:tr>
        <w:trPr>
          <w:trHeight w:val="189"/>
        </w:trPr>
        <w:tc>
          <w:tcPr>
            <w:tcW w:w="3300" w:type="dxa"/>
            <w:vAlign w:val="bottom"/>
          </w:tcPr>
          <w:p>
            <w:pPr>
              <w:ind w:left="20"/>
              <w:spacing w:after="0"/>
              <w:rPr>
                <w:sz w:val="20"/>
                <w:szCs w:val="20"/>
                <w:color w:val="auto"/>
              </w:rPr>
            </w:pPr>
            <w:r>
              <w:rPr>
                <w:rFonts w:ascii="Arial" w:cs="Arial" w:eastAsia="Arial" w:hAnsi="Arial"/>
                <w:sz w:val="15"/>
                <w:szCs w:val="15"/>
                <w:color w:val="auto"/>
              </w:rPr>
              <w:t>Net loss</w:t>
            </w: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(370,911 )</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(370,911 )</w:t>
            </w:r>
          </w:p>
        </w:tc>
      </w:tr>
      <w:tr>
        <w:trPr>
          <w:trHeight w:val="222"/>
        </w:trPr>
        <w:tc>
          <w:tcPr>
            <w:tcW w:w="3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Balance at December 31, 2021</w:t>
            </w:r>
          </w:p>
        </w:tc>
        <w:tc>
          <w:tcPr>
            <w:tcW w:w="13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rPr>
              <w:t>137,092,891</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135</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2,063,841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gridSpan w:val="2"/>
            <w:shd w:val="clear" w:color="auto" w:fill="CFF0FC"/>
          </w:tcPr>
          <w:p>
            <w:pPr>
              <w:jc w:val="right"/>
              <w:ind w:right="65"/>
              <w:spacing w:after="0"/>
              <w:rPr>
                <w:sz w:val="20"/>
                <w:szCs w:val="20"/>
                <w:color w:val="auto"/>
              </w:rPr>
            </w:pPr>
            <w:r>
              <w:rPr>
                <w:rFonts w:ascii="Arial" w:cs="Arial" w:eastAsia="Arial" w:hAnsi="Arial"/>
                <w:sz w:val="15"/>
                <w:szCs w:val="15"/>
                <w:color w:val="auto"/>
              </w:rPr>
              <w:t>(1,148,782 ) $</w:t>
            </w:r>
          </w:p>
        </w:tc>
        <w:tc>
          <w:tcPr>
            <w:tcW w:w="9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915,194</w:t>
            </w:r>
          </w:p>
        </w:tc>
      </w:tr>
      <w:tr>
        <w:trPr>
          <w:trHeight w:val="169"/>
        </w:trPr>
        <w:tc>
          <w:tcPr>
            <w:tcW w:w="3300" w:type="dxa"/>
            <w:vAlign w:val="bottom"/>
          </w:tcPr>
          <w:p>
            <w:pPr>
              <w:ind w:left="20"/>
              <w:spacing w:after="0" w:line="169" w:lineRule="exact"/>
              <w:rPr>
                <w:sz w:val="20"/>
                <w:szCs w:val="20"/>
                <w:color w:val="auto"/>
              </w:rPr>
            </w:pPr>
            <w:r>
              <w:rPr>
                <w:rFonts w:ascii="Arial" w:cs="Arial" w:eastAsia="Arial" w:hAnsi="Arial"/>
                <w:sz w:val="15"/>
                <w:szCs w:val="15"/>
                <w:color w:val="auto"/>
              </w:rPr>
              <w:t>Stock-based compensation</w:t>
            </w:r>
          </w:p>
        </w:tc>
        <w:tc>
          <w:tcPr>
            <w:tcW w:w="1340" w:type="dxa"/>
            <w:vAlign w:val="bottom"/>
          </w:tcPr>
          <w:p>
            <w:pPr>
              <w:jc w:val="right"/>
              <w:ind w:right="44"/>
              <w:spacing w:after="0" w:line="169" w:lineRule="exact"/>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44"/>
              <w:spacing w:after="0" w:line="16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340" w:type="dxa"/>
            <w:vAlign w:val="bottom"/>
          </w:tcPr>
          <w:p>
            <w:pPr>
              <w:jc w:val="right"/>
              <w:ind w:right="24"/>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00" w:type="dxa"/>
            <w:vAlign w:val="bottom"/>
          </w:tcPr>
          <w:p>
            <w:pPr>
              <w:jc w:val="right"/>
              <w:ind w:right="44"/>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4"/>
              <w:spacing w:after="0" w:line="169" w:lineRule="exact"/>
              <w:rPr>
                <w:sz w:val="20"/>
                <w:szCs w:val="20"/>
                <w:color w:val="auto"/>
              </w:rPr>
            </w:pPr>
            <w:r>
              <w:rPr>
                <w:rFonts w:ascii="Arial" w:cs="Arial" w:eastAsia="Arial" w:hAnsi="Arial"/>
                <w:sz w:val="15"/>
                <w:szCs w:val="15"/>
                <w:color w:val="auto"/>
              </w:rPr>
              <w:t>11,957</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4"/>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jc w:val="right"/>
              <w:ind w:right="65"/>
              <w:spacing w:after="0" w:line="169" w:lineRule="exact"/>
              <w:rPr>
                <w:sz w:val="20"/>
                <w:szCs w:val="20"/>
                <w:color w:val="auto"/>
              </w:rPr>
            </w:pPr>
            <w:r>
              <w:rPr>
                <w:rFonts w:ascii="Arial" w:cs="Arial" w:eastAsia="Arial" w:hAnsi="Arial"/>
                <w:sz w:val="15"/>
                <w:szCs w:val="15"/>
                <w:color w:val="auto"/>
                <w:w w:val="95"/>
              </w:rPr>
              <w:t>$</w:t>
            </w:r>
          </w:p>
        </w:tc>
        <w:tc>
          <w:tcPr>
            <w:tcW w:w="940" w:type="dxa"/>
            <w:vAlign w:val="bottom"/>
          </w:tcPr>
          <w:p>
            <w:pPr>
              <w:jc w:val="right"/>
              <w:ind w:right="44"/>
              <w:spacing w:after="0" w:line="169" w:lineRule="exact"/>
              <w:rPr>
                <w:sz w:val="20"/>
                <w:szCs w:val="20"/>
                <w:color w:val="auto"/>
              </w:rPr>
            </w:pPr>
            <w:r>
              <w:rPr>
                <w:rFonts w:ascii="Arial" w:cs="Arial" w:eastAsia="Arial" w:hAnsi="Arial"/>
                <w:sz w:val="15"/>
                <w:szCs w:val="15"/>
                <w:color w:val="auto"/>
              </w:rPr>
              <w:t>11,957</w:t>
            </w:r>
          </w:p>
        </w:tc>
      </w:tr>
      <w:tr>
        <w:trPr>
          <w:trHeight w:val="189"/>
        </w:trPr>
        <w:tc>
          <w:tcPr>
            <w:tcW w:w="3300" w:type="dxa"/>
            <w:vAlign w:val="bottom"/>
            <w:shd w:val="clear" w:color="auto" w:fill="CFF0FC"/>
          </w:tcPr>
          <w:p>
            <w:pPr>
              <w:ind w:left="20"/>
              <w:spacing w:after="0"/>
              <w:rPr>
                <w:sz w:val="20"/>
                <w:szCs w:val="20"/>
                <w:color w:val="auto"/>
              </w:rPr>
            </w:pPr>
            <w:r>
              <w:rPr>
                <w:rFonts w:ascii="Arial" w:cs="Arial" w:eastAsia="Arial" w:hAnsi="Arial"/>
                <w:sz w:val="15"/>
                <w:szCs w:val="15"/>
                <w:color w:val="auto"/>
              </w:rPr>
              <w:t>Vesting of restricted stock units</w:t>
            </w:r>
          </w:p>
        </w:tc>
        <w:tc>
          <w:tcPr>
            <w:tcW w:w="13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FF0FC"/>
          </w:tcPr>
          <w:p>
            <w:pPr>
              <w:jc w:val="right"/>
              <w:ind w:right="24"/>
              <w:spacing w:after="0"/>
              <w:rPr>
                <w:sz w:val="20"/>
                <w:szCs w:val="20"/>
                <w:color w:val="auto"/>
              </w:rPr>
            </w:pPr>
            <w:r>
              <w:rPr>
                <w:rFonts w:ascii="Arial" w:cs="Arial" w:eastAsia="Arial" w:hAnsi="Arial"/>
                <w:sz w:val="15"/>
                <w:szCs w:val="15"/>
                <w:color w:val="auto"/>
              </w:rPr>
              <w:t>752,294</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w:t>
            </w:r>
          </w:p>
        </w:tc>
      </w:tr>
      <w:tr>
        <w:trPr>
          <w:trHeight w:val="172"/>
        </w:trPr>
        <w:tc>
          <w:tcPr>
            <w:tcW w:w="3300" w:type="dxa"/>
            <w:vAlign w:val="bottom"/>
          </w:tcPr>
          <w:p>
            <w:pPr>
              <w:ind w:left="20"/>
              <w:spacing w:after="0"/>
              <w:rPr>
                <w:sz w:val="20"/>
                <w:szCs w:val="20"/>
                <w:color w:val="auto"/>
              </w:rPr>
            </w:pPr>
            <w:r>
              <w:rPr>
                <w:rFonts w:ascii="Arial" w:cs="Arial" w:eastAsia="Arial" w:hAnsi="Arial"/>
                <w:sz w:val="15"/>
                <w:szCs w:val="15"/>
                <w:color w:val="auto"/>
              </w:rPr>
              <w:t>Restricted stock units issued in accordance with</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9"/>
        </w:trPr>
        <w:tc>
          <w:tcPr>
            <w:tcW w:w="3300" w:type="dxa"/>
            <w:vAlign w:val="bottom"/>
          </w:tcPr>
          <w:p>
            <w:pPr>
              <w:ind w:left="20"/>
              <w:spacing w:after="0"/>
              <w:rPr>
                <w:sz w:val="20"/>
                <w:szCs w:val="20"/>
                <w:color w:val="auto"/>
              </w:rPr>
            </w:pPr>
            <w:r>
              <w:rPr>
                <w:rFonts w:ascii="Arial" w:cs="Arial" w:eastAsia="Arial" w:hAnsi="Arial"/>
                <w:sz w:val="15"/>
                <w:szCs w:val="15"/>
                <w:color w:val="auto"/>
              </w:rPr>
              <w:t>purchase agreement</w:t>
            </w:r>
          </w:p>
        </w:tc>
        <w:tc>
          <w:tcPr>
            <w:tcW w:w="13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4"/>
              <w:spacing w:after="0"/>
              <w:rPr>
                <w:sz w:val="20"/>
                <w:szCs w:val="20"/>
                <w:color w:val="auto"/>
              </w:rPr>
            </w:pPr>
            <w:r>
              <w:rPr>
                <w:rFonts w:ascii="Arial" w:cs="Arial" w:eastAsia="Arial" w:hAnsi="Arial"/>
                <w:sz w:val="15"/>
                <w:szCs w:val="15"/>
                <w:color w:val="auto"/>
              </w:rPr>
              <w:t>356,718</w:t>
            </w:r>
          </w:p>
        </w:tc>
        <w:tc>
          <w:tcPr>
            <w:tcW w:w="140" w:type="dxa"/>
            <w:vAlign w:val="bottom"/>
          </w:tcPr>
          <w:p>
            <w:pPr>
              <w:spacing w:after="0"/>
              <w:rPr>
                <w:sz w:val="15"/>
                <w:szCs w:val="15"/>
                <w:color w:val="auto"/>
              </w:rPr>
            </w:pP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r>
      <w:tr>
        <w:trPr>
          <w:trHeight w:val="189"/>
        </w:trPr>
        <w:tc>
          <w:tcPr>
            <w:tcW w:w="3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Net loss</w:t>
            </w:r>
          </w:p>
        </w:tc>
        <w:tc>
          <w:tcPr>
            <w:tcW w:w="13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(451,910 )</w:t>
            </w: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(451,910 )</w:t>
            </w:r>
          </w:p>
        </w:tc>
      </w:tr>
      <w:tr>
        <w:trPr>
          <w:trHeight w:val="182"/>
        </w:trPr>
        <w:tc>
          <w:tcPr>
            <w:tcW w:w="3300" w:type="dxa"/>
            <w:vAlign w:val="bottom"/>
          </w:tcPr>
          <w:p>
            <w:pPr>
              <w:ind w:left="20"/>
              <w:spacing w:after="0"/>
              <w:rPr>
                <w:sz w:val="20"/>
                <w:szCs w:val="20"/>
                <w:color w:val="auto"/>
              </w:rPr>
            </w:pPr>
            <w:r>
              <w:rPr>
                <w:rFonts w:ascii="Arial" w:cs="Arial" w:eastAsia="Arial" w:hAnsi="Arial"/>
                <w:sz w:val="15"/>
                <w:szCs w:val="15"/>
                <w:color w:val="auto"/>
              </w:rPr>
              <w:t>Balance at December 31, 2022</w:t>
            </w:r>
          </w:p>
        </w:tc>
        <w:tc>
          <w:tcPr>
            <w:tcW w:w="13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4"/>
              <w:spacing w:after="0"/>
              <w:rPr>
                <w:sz w:val="20"/>
                <w:szCs w:val="20"/>
                <w:color w:val="auto"/>
              </w:rPr>
            </w:pPr>
            <w:r>
              <w:rPr>
                <w:rFonts w:ascii="Arial" w:cs="Arial" w:eastAsia="Arial" w:hAnsi="Arial"/>
                <w:sz w:val="15"/>
                <w:szCs w:val="15"/>
                <w:color w:val="auto"/>
              </w:rPr>
              <w:t>138,201,903</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135</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4"/>
              <w:spacing w:after="0"/>
              <w:rPr>
                <w:sz w:val="20"/>
                <w:szCs w:val="20"/>
                <w:color w:val="auto"/>
              </w:rPr>
            </w:pPr>
            <w:r>
              <w:rPr>
                <w:rFonts w:ascii="Arial" w:cs="Arial" w:eastAsia="Arial" w:hAnsi="Arial"/>
                <w:sz w:val="15"/>
                <w:szCs w:val="15"/>
                <w:color w:val="auto"/>
              </w:rPr>
              <w:t>2,075,798</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gridSpan w:val="2"/>
          </w:tcPr>
          <w:p>
            <w:pPr>
              <w:jc w:val="right"/>
              <w:ind w:right="65"/>
              <w:spacing w:after="0"/>
              <w:rPr>
                <w:sz w:val="20"/>
                <w:szCs w:val="20"/>
                <w:color w:val="auto"/>
              </w:rPr>
            </w:pPr>
            <w:r>
              <w:rPr>
                <w:rFonts w:ascii="Arial" w:cs="Arial" w:eastAsia="Arial" w:hAnsi="Arial"/>
                <w:sz w:val="15"/>
                <w:szCs w:val="15"/>
                <w:color w:val="auto"/>
              </w:rPr>
              <w:t>(1,600,692 ) $</w:t>
            </w: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475,241</w:t>
            </w:r>
          </w:p>
        </w:tc>
      </w:tr>
      <w:tr>
        <w:trPr>
          <w:trHeight w:val="20"/>
        </w:trPr>
        <w:tc>
          <w:tcPr>
            <w:tcW w:w="33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2950210</wp:posOffset>
            </wp:positionH>
            <wp:positionV relativeFrom="paragraph">
              <wp:posOffset>-4289425</wp:posOffset>
            </wp:positionV>
            <wp:extent cx="719455" cy="1454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9455" cy="14541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-1968500</wp:posOffset>
            </wp:positionV>
            <wp:extent cx="8255"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15430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-1968500</wp:posOffset>
            </wp:positionV>
            <wp:extent cx="8255"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15430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-761365</wp:posOffset>
            </wp:positionV>
            <wp:extent cx="719455" cy="1454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9455" cy="14541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-153670</wp:posOffset>
            </wp:positionV>
            <wp:extent cx="8255" cy="290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290830"/>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-153670</wp:posOffset>
            </wp:positionV>
            <wp:extent cx="8255" cy="290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29083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consolidated financial statements</w:t>
      </w:r>
      <w:r>
        <w:rPr>
          <w:rFonts w:ascii="Arial" w:cs="Arial" w:eastAsia="Arial" w:hAnsi="Arial"/>
          <w:sz w:val="18"/>
          <w:szCs w:val="18"/>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99"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2"/>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(451,910 )</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(370,911 )</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(202,799 )</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Impairment charges</w:t>
            </w:r>
          </w:p>
        </w:tc>
        <w:tc>
          <w:tcPr>
            <w:tcW w:w="3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211,873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Gain on debt extinguishment</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(164,684 )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38,707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13,215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4,654</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debt issuance costs</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4,809</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2,872</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938</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Realized gains on securitization transactions</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(45,589 )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taxes</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(23,855 )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Losses on finance receivables and securitization debt, net</w:t>
            </w:r>
          </w:p>
        </w:tc>
        <w:tc>
          <w:tcPr>
            <w:tcW w:w="3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66,839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11,957</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13,409</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13,254</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Provision to record inventory at lower of cost or net realizable value</w:t>
            </w:r>
          </w:p>
        </w:tc>
        <w:tc>
          <w:tcPr>
            <w:tcW w:w="3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1,812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9,471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6,588</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Revaluation of preferred stock warrant</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20,470</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Provision for bad debt</w:t>
            </w:r>
          </w:p>
        </w:tc>
        <w:tc>
          <w:tcPr>
            <w:tcW w:w="3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13,406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9,416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2,340</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to record finance receivables held for sale at lower of cost or fair value</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6,541</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Amortization of unearned discounts on finance receivables at fair value</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(14,593 )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net</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(7,512 )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i w:val="1"/>
                <w:iCs w:val="1"/>
                <w:color w:val="auto"/>
              </w:rPr>
              <w:t>Finance receivables, held for sale</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Originations of finance receivables held for sale</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(625,575 )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Principal payments received on finance receivables held for sale</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64,521</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Proceeds from sale of finance receivables held for sale, net</w:t>
            </w:r>
          </w:p>
        </w:tc>
        <w:tc>
          <w:tcPr>
            <w:tcW w:w="3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509,612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(7,701 )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78,060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(53,206 )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(32,068 )</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Inventory</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403,924</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(312,208 )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(224,489 )</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4,146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(32,452 )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(9,117 )</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assets</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(2,546 )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(9,172 )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(4,556 )</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(24,281 )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19,321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14,066</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expenses</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(53,553 )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61,170</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28,431</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(65,148 )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50,943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7,499</w:t>
            </w:r>
          </w:p>
        </w:tc>
      </w:tr>
      <w:tr>
        <w:trPr>
          <w:trHeight w:val="189"/>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liabilities</w:t>
            </w: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(38,325 )</w:t>
            </w: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29,241</w:t>
            </w: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19,500</w:t>
            </w:r>
          </w:p>
        </w:tc>
      </w:tr>
      <w:tr>
        <w:trPr>
          <w:trHeight w:val="182"/>
        </w:trPr>
        <w:tc>
          <w:tcPr>
            <w:tcW w:w="6480" w:type="dxa"/>
            <w:vAlign w:val="bottom"/>
          </w:tcPr>
          <w:p>
            <w:pPr>
              <w:ind w:left="20"/>
              <w:spacing w:after="0"/>
              <w:rPr>
                <w:sz w:val="20"/>
                <w:szCs w:val="20"/>
                <w:color w:val="auto"/>
              </w:rPr>
            </w:pPr>
            <w:r>
              <w:rPr>
                <w:rFonts w:ascii="Arial" w:cs="Arial" w:eastAsia="Arial" w:hAnsi="Arial"/>
                <w:sz w:val="14"/>
                <w:szCs w:val="14"/>
                <w:color w:val="auto"/>
              </w:rPr>
              <w:t>Net cash used in operating activities</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(109,065 )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(568,688 )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(355,254 )</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i w:val="1"/>
                <w:iCs w:val="1"/>
                <w:color w:val="auto"/>
              </w:rPr>
              <w:t>Finance receivables at fair value</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 of finance receivables at fair value</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(56,484 )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Principal payments received on finance receivables at fair value</w:t>
            </w:r>
          </w:p>
        </w:tc>
        <w:tc>
          <w:tcPr>
            <w:tcW w:w="3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132,391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sale of finance receivables at fair value, net</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43,262</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Principal payments received on beneficial interests</w:t>
            </w:r>
          </w:p>
        </w:tc>
        <w:tc>
          <w:tcPr>
            <w:tcW w:w="3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8,341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 of property and equipment</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(24,234 )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(28,413 )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(11,329 )</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Acquisition of business, net of cash acquired of $47.9 million</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(267,488 )</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(75,875 )</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182"/>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(164,212 )</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(104,288 )</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(11,329 )</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Principal repayment under secured financing agreements</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(192,839 )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Proceeds from vehicle floorplan</w:t>
            </w:r>
          </w:p>
        </w:tc>
        <w:tc>
          <w:tcPr>
            <w:tcW w:w="3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1,403,042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2,713,350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1,242,736</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Repayments of vehicle floorplan</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(1,638,855 )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(2,529,780 )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(1,086,966 )</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Proceeds from warehouse credit facilities</w:t>
            </w:r>
          </w:p>
        </w:tc>
        <w:tc>
          <w:tcPr>
            <w:tcW w:w="3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520,800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Repayments of warehouse credit facilities</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(467,216 )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Repayments of convertible senior notes</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(90,208 )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issuance of convertible senior notes</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625,000</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Issuance costs paid for convertible senior notes</w:t>
            </w:r>
          </w:p>
        </w:tc>
        <w:tc>
          <w:tcPr>
            <w:tcW w:w="3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(16,129 )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the issuance of redeemable convertible preferred stock, net</w:t>
            </w: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21,694</w:t>
            </w:r>
          </w:p>
        </w:tc>
      </w:tr>
      <w:tr>
        <w:trPr>
          <w:trHeight w:val="180"/>
        </w:trPr>
        <w:tc>
          <w:tcPr>
            <w:tcW w:w="6480" w:type="dxa"/>
            <w:vAlign w:val="bottom"/>
          </w:tcPr>
          <w:p>
            <w:pPr>
              <w:ind w:left="20"/>
              <w:spacing w:after="0"/>
              <w:rPr>
                <w:sz w:val="20"/>
                <w:szCs w:val="20"/>
                <w:color w:val="auto"/>
              </w:rPr>
            </w:pPr>
            <w:r>
              <w:rPr>
                <w:rFonts w:ascii="Arial" w:cs="Arial" w:eastAsia="Arial" w:hAnsi="Arial"/>
                <w:sz w:val="14"/>
                <w:szCs w:val="14"/>
                <w:color w:val="auto"/>
              </w:rPr>
              <w:t>Proceeds from the issuance of common stock in connection with IPO, net of underwriting discount</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1"/>
        </w:trPr>
        <w:tc>
          <w:tcPr>
            <w:tcW w:w="6480" w:type="dxa"/>
            <w:vAlign w:val="bottom"/>
          </w:tcPr>
          <w:p>
            <w:pPr>
              <w:ind w:left="20"/>
              <w:spacing w:after="0"/>
              <w:rPr>
                <w:sz w:val="20"/>
                <w:szCs w:val="20"/>
                <w:color w:val="auto"/>
              </w:rPr>
            </w:pPr>
            <w:r>
              <w:rPr>
                <w:rFonts w:ascii="Arial" w:cs="Arial" w:eastAsia="Arial" w:hAnsi="Arial"/>
                <w:sz w:val="14"/>
                <w:szCs w:val="14"/>
                <w:color w:val="auto"/>
              </w:rPr>
              <w:t>and issuance costs</w:t>
            </w:r>
          </w:p>
        </w:tc>
        <w:tc>
          <w:tcPr>
            <w:tcW w:w="32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497,233</w:t>
            </w:r>
          </w:p>
        </w:tc>
      </w:tr>
      <w:tr>
        <w:trPr>
          <w:trHeight w:val="180"/>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the issuance of common stock in connection with follow-on public offering, net of</w:t>
            </w: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171"/>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underwriting discount and issuance costs</w:t>
            </w: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567,952</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32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5,766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2,341</w:t>
            </w:r>
          </w:p>
        </w:tc>
      </w:tr>
      <w:tr>
        <w:trPr>
          <w:trHeight w:val="189"/>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financing activities</w:t>
            </w: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(4,212 )</w:t>
            </w: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(495 )</w:t>
            </w: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(7,955 )</w:t>
            </w:r>
          </w:p>
        </w:tc>
      </w:tr>
      <w:tr>
        <w:trPr>
          <w:trHeight w:val="182"/>
        </w:trPr>
        <w:tc>
          <w:tcPr>
            <w:tcW w:w="6480" w:type="dxa"/>
            <w:vAlign w:val="bottom"/>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(469,488 )</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797,712</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1,237,035</w:t>
            </w:r>
          </w:p>
        </w:tc>
      </w:tr>
      <w:tr>
        <w:trPr>
          <w:trHeight w:val="182"/>
        </w:trPr>
        <w:tc>
          <w:tcPr>
            <w:tcW w:w="64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(decrease) increase in cash, cash equivalents and restricted cash</w:t>
            </w: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(742,765 )</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124,736</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870,452</w:t>
            </w:r>
          </w:p>
        </w:tc>
      </w:tr>
      <w:tr>
        <w:trPr>
          <w:trHeight w:val="189"/>
        </w:trPr>
        <w:tc>
          <w:tcPr>
            <w:tcW w:w="648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the beginning of period</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1,214,775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1,090,039</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219,587</w:t>
            </w:r>
          </w:p>
        </w:tc>
      </w:tr>
      <w:tr>
        <w:trPr>
          <w:trHeight w:val="222"/>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cash equivalents and restricted cash at the end of period</w:t>
            </w: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472,010</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1,214,775</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1,090,039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-3629660</wp:posOffset>
            </wp:positionV>
            <wp:extent cx="85725" cy="1282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128270"/>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-3629660</wp:posOffset>
            </wp:positionV>
            <wp:extent cx="85725" cy="1282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12827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-530225</wp:posOffset>
            </wp:positionV>
            <wp:extent cx="85725"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-530225</wp:posOffset>
            </wp:positionV>
            <wp:extent cx="85725"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-24765</wp:posOffset>
            </wp:positionV>
            <wp:extent cx="857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-7620</wp:posOffset>
            </wp:positionV>
            <wp:extent cx="857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-24765</wp:posOffset>
            </wp:positionV>
            <wp:extent cx="857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-7620</wp:posOffset>
            </wp:positionV>
            <wp:extent cx="85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(Continued on following page)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9"/>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paid for interest</w:t>
            </w:r>
          </w:p>
        </w:tc>
        <w:tc>
          <w:tcPr>
            <w:tcW w:w="540" w:type="dxa"/>
            <w:vAlign w:val="bottom"/>
            <w:tcBorders>
              <w:bottom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34,907</w:t>
            </w: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15,964</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8,540</w:t>
            </w:r>
          </w:p>
        </w:tc>
      </w:tr>
      <w:tr>
        <w:trPr>
          <w:trHeight w:val="169"/>
        </w:trPr>
        <w:tc>
          <w:tcPr>
            <w:tcW w:w="6420" w:type="dxa"/>
            <w:vAlign w:val="bottom"/>
          </w:tcPr>
          <w:p>
            <w:pPr>
              <w:ind w:left="20"/>
              <w:spacing w:after="0"/>
              <w:rPr>
                <w:sz w:val="20"/>
                <w:szCs w:val="20"/>
                <w:color w:val="auto"/>
              </w:rPr>
            </w:pPr>
            <w:r>
              <w:rPr>
                <w:rFonts w:ascii="Arial" w:cs="Arial" w:eastAsia="Arial" w:hAnsi="Arial"/>
                <w:sz w:val="14"/>
                <w:szCs w:val="14"/>
                <w:color w:val="auto"/>
              </w:rPr>
              <w:t>Cash paid for income taxes</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2,409</w:t>
            </w:r>
          </w:p>
        </w:tc>
        <w:tc>
          <w:tcPr>
            <w:tcW w:w="66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66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163</w:t>
            </w:r>
          </w:p>
        </w:tc>
      </w:tr>
      <w:tr>
        <w:trPr>
          <w:trHeight w:val="20"/>
        </w:trPr>
        <w:tc>
          <w:tcPr>
            <w:tcW w:w="6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6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5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r>
      <w:tr>
        <w:trPr>
          <w:trHeight w:val="189"/>
        </w:trPr>
        <w:tc>
          <w:tcPr>
            <w:tcW w:w="6420" w:type="dxa"/>
            <w:vAlign w:val="bottom"/>
          </w:tcPr>
          <w:p>
            <w:pPr>
              <w:ind w:left="20"/>
              <w:spacing w:after="0"/>
              <w:rPr>
                <w:sz w:val="20"/>
                <w:szCs w:val="20"/>
                <w:color w:val="auto"/>
              </w:rPr>
            </w:pPr>
            <w:r>
              <w:rPr>
                <w:rFonts w:ascii="Arial" w:cs="Arial" w:eastAsia="Arial" w:hAnsi="Arial"/>
                <w:sz w:val="14"/>
                <w:szCs w:val="14"/>
                <w:color w:val="auto"/>
              </w:rPr>
              <w:t>Fair value of beneficial interests received in securitization transactions</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30,082</w:t>
            </w:r>
          </w:p>
        </w:tc>
        <w:tc>
          <w:tcPr>
            <w:tcW w:w="160" w:type="dxa"/>
            <w:vAlign w:val="bottom"/>
          </w:tcPr>
          <w:p>
            <w:pPr>
              <w:spacing w:after="0"/>
              <w:rPr>
                <w:sz w:val="16"/>
                <w:szCs w:val="16"/>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0"/>
        </w:trPr>
        <w:tc>
          <w:tcPr>
            <w:tcW w:w="6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9"/>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Conversion of redeemable convertible preferred stock warrant to common stock warrant</w:t>
            </w:r>
          </w:p>
        </w:tc>
        <w:tc>
          <w:tcPr>
            <w:tcW w:w="540" w:type="dxa"/>
            <w:vAlign w:val="bottom"/>
            <w:tcBorders>
              <w:bottom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21,873</w:t>
            </w:r>
          </w:p>
        </w:tc>
      </w:tr>
      <w:tr>
        <w:trPr>
          <w:trHeight w:val="169"/>
        </w:trPr>
        <w:tc>
          <w:tcPr>
            <w:tcW w:w="6420" w:type="dxa"/>
            <w:vAlign w:val="bottom"/>
          </w:tcPr>
          <w:p>
            <w:pPr>
              <w:ind w:left="20"/>
              <w:spacing w:after="0"/>
              <w:rPr>
                <w:sz w:val="20"/>
                <w:szCs w:val="20"/>
                <w:color w:val="auto"/>
              </w:rPr>
            </w:pPr>
            <w:r>
              <w:rPr>
                <w:rFonts w:ascii="Arial" w:cs="Arial" w:eastAsia="Arial" w:hAnsi="Arial"/>
                <w:sz w:val="14"/>
                <w:szCs w:val="14"/>
                <w:color w:val="auto"/>
              </w:rPr>
              <w:t>Issuance of common stock as upfront payment to nonemployee</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2,127</w:t>
            </w:r>
          </w:p>
        </w:tc>
      </w:tr>
      <w:tr>
        <w:trPr>
          <w:trHeight w:val="20"/>
        </w:trPr>
        <w:tc>
          <w:tcPr>
            <w:tcW w:w="6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9"/>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Issuance of common stock for CarStory acquisition</w:t>
            </w:r>
          </w:p>
        </w:tc>
        <w:tc>
          <w:tcPr>
            <w:tcW w:w="540" w:type="dxa"/>
            <w:vAlign w:val="bottom"/>
            <w:tcBorders>
              <w:bottom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38,811</w:t>
            </w: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6420" w:type="dxa"/>
            <w:vAlign w:val="bottom"/>
          </w:tcPr>
          <w:p>
            <w:pPr>
              <w:ind w:left="20"/>
              <w:spacing w:after="0"/>
              <w:rPr>
                <w:sz w:val="20"/>
                <w:szCs w:val="20"/>
                <w:color w:val="auto"/>
              </w:rPr>
            </w:pPr>
            <w:r>
              <w:rPr>
                <w:rFonts w:ascii="Arial" w:cs="Arial" w:eastAsia="Arial" w:hAnsi="Arial"/>
                <w:sz w:val="14"/>
                <w:szCs w:val="14"/>
                <w:color w:val="auto"/>
              </w:rPr>
              <w:t>Fair value of unvested stock options assumed for acquisition of business</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1,017</w:t>
            </w:r>
          </w:p>
        </w:tc>
        <w:tc>
          <w:tcPr>
            <w:tcW w:w="66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0"/>
        </w:trPr>
        <w:tc>
          <w:tcPr>
            <w:tcW w:w="6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-1018540</wp:posOffset>
            </wp:positionV>
            <wp:extent cx="1130300"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3030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-461645</wp:posOffset>
            </wp:positionV>
            <wp:extent cx="1130300"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3030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-170815</wp:posOffset>
            </wp:positionV>
            <wp:extent cx="1130300"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30300" cy="171450"/>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consolidated financial statements</w:t>
      </w:r>
      <w:r>
        <w:rPr>
          <w:rFonts w:ascii="Arial" w:cs="Arial" w:eastAsia="Arial" w:hAnsi="Arial"/>
          <w:sz w:val="18"/>
          <w:szCs w:val="18"/>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ind w:right="3280" w:firstLine="3291"/>
        <w:spacing w:after="0" w:line="386" w:lineRule="auto"/>
        <w:rPr>
          <w:sz w:val="20"/>
          <w:szCs w:val="20"/>
          <w:color w:val="auto"/>
        </w:rPr>
      </w:pPr>
      <w:r>
        <w:rPr>
          <w:rFonts w:ascii="Arial" w:cs="Arial" w:eastAsia="Arial" w:hAnsi="Arial"/>
          <w:sz w:val="18"/>
          <w:szCs w:val="18"/>
          <w:b w:val="1"/>
          <w:bCs w:val="1"/>
          <w:color w:val="auto"/>
        </w:rPr>
        <w:t>NOTES TO CONSOLIDATED FINANCIAL STATEMENTS 1. Description of Business and Basis of Presentation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220" w:lineRule="exact"/>
        <w:rPr>
          <w:sz w:val="20"/>
          <w:szCs w:val="20"/>
          <w:color w:val="auto"/>
        </w:rPr>
      </w:pPr>
    </w:p>
    <w:p>
      <w:pPr>
        <w:ind w:firstLine="761"/>
        <w:spacing w:after="0" w:line="245" w:lineRule="auto"/>
        <w:rPr>
          <w:sz w:val="20"/>
          <w:szCs w:val="20"/>
          <w:color w:val="auto"/>
        </w:rPr>
      </w:pPr>
      <w:r>
        <w:rPr>
          <w:rFonts w:ascii="Arial" w:cs="Arial" w:eastAsia="Arial" w:hAnsi="Arial"/>
          <w:sz w:val="18"/>
          <w:szCs w:val="18"/>
          <w:color w:val="auto"/>
        </w:rPr>
        <w:t>Vroom, Inc., and its wholly owned subsidiaries (collectively, “the Company”) is an innovative, end-to-end ecommerce platform that is transforming the used vehicle industry by offering a better way to buy and a better way to sell used vehicles.</w:t>
      </w:r>
    </w:p>
    <w:p>
      <w:pPr>
        <w:spacing w:after="0" w:line="184" w:lineRule="exact"/>
        <w:rPr>
          <w:sz w:val="20"/>
          <w:szCs w:val="20"/>
          <w:color w:val="auto"/>
        </w:rPr>
      </w:pPr>
    </w:p>
    <w:p>
      <w:pPr>
        <w:ind w:right="40" w:firstLine="761"/>
        <w:spacing w:after="0" w:line="236" w:lineRule="auto"/>
        <w:rPr>
          <w:sz w:val="20"/>
          <w:szCs w:val="20"/>
          <w:color w:val="auto"/>
        </w:rPr>
      </w:pPr>
      <w:r>
        <w:rPr>
          <w:rFonts w:ascii="Arial" w:cs="Arial" w:eastAsia="Arial" w:hAnsi="Arial"/>
          <w:sz w:val="18"/>
          <w:szCs w:val="18"/>
          <w:color w:val="auto"/>
        </w:rPr>
        <w:t>In December 2015, the Company acquired Houston-based Left Gate Property Holding, LLC (d/b/a Texas Direct Auto and Vroom). The acquisition included the Company's proprietary vehicle reconditioning center, the Texas Direct Auto ("TDA") dealership, and Sell Us Your Car® centers. Left Gate Property Holding, LLC was renamed Vroom Automotive, LLC in March 2021, and is the primary operating entity for the Company's purchases and sales of used vehicles. In January 2021, the Company acquired Vast Holdings, Inc. (d/b/a CarStory). On February 1, 2022, the ("Acquisition Date"), the Company completed the acquisition of Unitas Holdings Corp. (now known as Vroom Finance Corporation), including its wholly owned subsidiaries United PanAm Financial Corp.(now known as Vroom Automotive Financial Corporation) and United Auto Credit Corporation ("UACC").</w:t>
      </w:r>
    </w:p>
    <w:p>
      <w:pPr>
        <w:spacing w:after="0" w:line="193" w:lineRule="exact"/>
        <w:rPr>
          <w:sz w:val="20"/>
          <w:szCs w:val="20"/>
          <w:color w:val="auto"/>
        </w:rPr>
      </w:pPr>
    </w:p>
    <w:p>
      <w:pPr>
        <w:ind w:right="20" w:firstLine="761"/>
        <w:spacing w:after="0" w:line="235" w:lineRule="auto"/>
        <w:rPr>
          <w:sz w:val="20"/>
          <w:szCs w:val="20"/>
          <w:color w:val="auto"/>
        </w:rPr>
      </w:pPr>
      <w:r>
        <w:rPr>
          <w:rFonts w:ascii="Arial" w:cs="Arial" w:eastAsia="Arial" w:hAnsi="Arial"/>
          <w:sz w:val="18"/>
          <w:szCs w:val="18"/>
          <w:color w:val="auto"/>
        </w:rPr>
        <w:t>As part of the Company's previously announced Business Realignment Plan ("Realignment Plan"), initiated in the second quarter of 2022, the Company streamlined TDA's operations and closed its service center. The Company also reevaluated its reporting segments based on relative revenue and gross profit and significance in the Company's long term strategy. As a result of the quantitative analysis, the Company determined to no longer report TDA as a separate segment. Starting in the three months ended June 30, 2022, the Company is organized into three reportable segments: Ecommerce, Wholesale, and Retail Financing. The Company reclassified TDA revenue and TDA gross profit for the comparative period from the TDA reportable segment to the “All Other” category to conform to current year presentation. The Ecommerce reportable segment represents retail sales of used vehicles through the Company’s ecommerce platform, fees earned on sales of value-added products associated with those vehicles sales. Starting in 2022, the Ecommerce segment also includes interest income earned on finance receivables from Vroom customers that we originate through UACC to finance the vehicles we sell and gain on sales of those finance receivables once sold in a securitization transaction or forward flow arrangement that qualify for sales accounting treatment. The Wholesale reportable segment represents sales of used vehicles through wholesale channels. The Retail Financing reportable segment represents UACC’s operations with its network of third-party dealership customers, which primarily consists of the purchases and servicing of vehicle installment contracts, but excluding financing of vehicle sales to Vroom customers.</w:t>
      </w:r>
    </w:p>
    <w:p>
      <w:pPr>
        <w:spacing w:after="0" w:line="197"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20"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In connection with the closing of the Company’s initial public offering (“IPO”) on June 11, 2020, the Company effected a 2-for-1 forward stock split of the Company’s common stock, which became effective immediately prior to the consummation of the IPO. All shares of the Company’s common stock, stock-based instruments, and per-share data included in these consolidated financial statements have been retroactively adjusted as though the stock split has been effected prior to all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closed its IPO on June 11, 2020 in which it sold 24,437,500 shares of common stock at the public offering price of</w:t>
      </w:r>
    </w:p>
    <w:p>
      <w:pPr>
        <w:spacing w:after="0" w:line="234" w:lineRule="auto"/>
        <w:rPr>
          <w:sz w:val="20"/>
          <w:szCs w:val="20"/>
          <w:color w:val="auto"/>
        </w:rPr>
      </w:pPr>
      <w:r>
        <w:rPr>
          <w:rFonts w:ascii="Arial" w:cs="Arial" w:eastAsia="Arial" w:hAnsi="Arial"/>
          <w:sz w:val="18"/>
          <w:szCs w:val="18"/>
          <w:color w:val="auto"/>
        </w:rPr>
        <w:t>$22.00 per share, including 3,187,500 shares sold pursuant to exercise by the underwriters of their option to purchase additional shares. The</w:t>
      </w:r>
    </w:p>
    <w:p>
      <w:pPr>
        <w:spacing w:after="0" w:line="235" w:lineRule="auto"/>
        <w:rPr>
          <w:sz w:val="20"/>
          <w:szCs w:val="20"/>
          <w:color w:val="auto"/>
        </w:rPr>
      </w:pPr>
      <w:r>
        <w:rPr>
          <w:rFonts w:ascii="Arial" w:cs="Arial" w:eastAsia="Arial" w:hAnsi="Arial"/>
          <w:sz w:val="18"/>
          <w:szCs w:val="18"/>
          <w:color w:val="auto"/>
        </w:rPr>
        <w:t>Company received proceeds of $504.0 million from the IPO, net of the underwriting discount and before deducting offering expenses of $7.5</w:t>
      </w:r>
    </w:p>
    <w:p>
      <w:pPr>
        <w:spacing w:after="0" w:line="234" w:lineRule="auto"/>
        <w:rPr>
          <w:sz w:val="20"/>
          <w:szCs w:val="20"/>
          <w:color w:val="auto"/>
        </w:rPr>
      </w:pPr>
      <w:r>
        <w:rPr>
          <w:rFonts w:ascii="Arial" w:cs="Arial" w:eastAsia="Arial" w:hAnsi="Arial"/>
          <w:sz w:val="18"/>
          <w:szCs w:val="18"/>
          <w:color w:val="auto"/>
        </w:rPr>
        <w:t>million. In addition, in accordance with their terms and consistent with the conversion rates discussed in Note 15 - Redeemable Convertible</w:t>
      </w:r>
    </w:p>
    <w:p>
      <w:pPr>
        <w:spacing w:after="0" w:line="235" w:lineRule="auto"/>
        <w:rPr>
          <w:sz w:val="20"/>
          <w:szCs w:val="20"/>
          <w:color w:val="auto"/>
        </w:rPr>
      </w:pPr>
      <w:r>
        <w:rPr>
          <w:rFonts w:ascii="Arial" w:cs="Arial" w:eastAsia="Arial" w:hAnsi="Arial"/>
          <w:sz w:val="18"/>
          <w:szCs w:val="18"/>
          <w:color w:val="auto"/>
        </w:rPr>
        <w:t>Preferred Stock and Stockholders’ Equity (Deficit), all shares of the Company’s outstanding redeemable convertible preferred stock were</w:t>
      </w:r>
    </w:p>
    <w:p>
      <w:pPr>
        <w:spacing w:after="0"/>
        <w:rPr>
          <w:sz w:val="20"/>
          <w:szCs w:val="20"/>
          <w:color w:val="auto"/>
        </w:rPr>
      </w:pPr>
      <w:r>
        <w:rPr>
          <w:rFonts w:ascii="Arial" w:cs="Arial" w:eastAsia="Arial" w:hAnsi="Arial"/>
          <w:sz w:val="18"/>
          <w:szCs w:val="18"/>
          <w:color w:val="auto"/>
        </w:rPr>
        <w:t>automatically converted into common stock upon the closing of the IPO.</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220" w:lineRule="exact"/>
        <w:rPr>
          <w:sz w:val="20"/>
          <w:szCs w:val="20"/>
          <w:color w:val="auto"/>
        </w:rPr>
      </w:pPr>
    </w:p>
    <w:p>
      <w:pPr>
        <w:jc w:val="both"/>
        <w:ind w:firstLine="761"/>
        <w:spacing w:after="0"/>
        <w:rPr>
          <w:sz w:val="20"/>
          <w:szCs w:val="20"/>
          <w:color w:val="auto"/>
        </w:rPr>
      </w:pPr>
      <w:r>
        <w:rPr>
          <w:rFonts w:ascii="Arial" w:cs="Arial" w:eastAsia="Arial" w:hAnsi="Arial"/>
          <w:sz w:val="18"/>
          <w:szCs w:val="18"/>
          <w:color w:val="auto"/>
        </w:rPr>
        <w:t>The Company closed its follow-on public offering on September 15, 2020 in which it sold 10,800,000 shares of common stock at the public offering price of $54.50 per share. The Company received proceeds of $569.5 million from the offering, net of the underwriting discount and before deducting offering expenses of $1.5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0" w:lineRule="exact"/>
        <w:rPr>
          <w:sz w:val="20"/>
          <w:szCs w:val="20"/>
          <w:color w:val="auto"/>
        </w:rPr>
      </w:pPr>
    </w:p>
    <w:p>
      <w:pPr>
        <w:ind w:right="80" w:firstLine="761"/>
        <w:spacing w:after="0" w:line="245" w:lineRule="auto"/>
        <w:rPr>
          <w:sz w:val="20"/>
          <w:szCs w:val="20"/>
          <w:color w:val="auto"/>
        </w:rPr>
      </w:pPr>
      <w:r>
        <w:rPr>
          <w:rFonts w:ascii="Arial" w:cs="Arial" w:eastAsia="Arial" w:hAnsi="Arial"/>
          <w:sz w:val="18"/>
          <w:szCs w:val="18"/>
          <w:color w:val="auto"/>
        </w:rPr>
        <w:t>The consolidated financial statements of the Company have been prepared in accordance with U.S. generally accepted accounting principles (“U.S. GAAP”). Certain prior year amounts have been reclassified to conform to the current year presentation.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0" w:lineRule="exact"/>
        <w:rPr>
          <w:sz w:val="20"/>
          <w:szCs w:val="20"/>
          <w:color w:val="auto"/>
        </w:rPr>
      </w:pPr>
    </w:p>
    <w:p>
      <w:pPr>
        <w:ind w:right="240" w:firstLine="761"/>
        <w:spacing w:after="0" w:line="245"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All intercompany accounts and transactions have been eliminated in consolidation.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0" w:lineRule="exact"/>
        <w:rPr>
          <w:sz w:val="20"/>
          <w:szCs w:val="20"/>
          <w:color w:val="auto"/>
        </w:rPr>
      </w:pPr>
    </w:p>
    <w:p>
      <w:pPr>
        <w:ind w:right="320" w:firstLine="761"/>
        <w:spacing w:after="0" w:line="237"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assumptions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fair value measurements, goodwill,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did not have any other comprehensive income or loss for the years ended December 31, 2022, 2021, and 2020.</w:t>
      </w:r>
    </w:p>
    <w:p>
      <w:pPr>
        <w:spacing w:after="0"/>
        <w:rPr>
          <w:sz w:val="20"/>
          <w:szCs w:val="20"/>
          <w:color w:val="auto"/>
        </w:rPr>
      </w:pPr>
      <w:r>
        <w:rPr>
          <w:rFonts w:ascii="Arial" w:cs="Arial" w:eastAsia="Arial" w:hAnsi="Arial"/>
          <w:sz w:val="18"/>
          <w:szCs w:val="18"/>
          <w:color w:val="auto"/>
        </w:rPr>
        <w:t>Accordingly, net loss and comprehensive loss are the same for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0" w:lineRule="exact"/>
        <w:rPr>
          <w:sz w:val="20"/>
          <w:szCs w:val="20"/>
          <w:color w:val="auto"/>
        </w:rPr>
      </w:pPr>
    </w:p>
    <w:p>
      <w:pPr>
        <w:jc w:val="both"/>
        <w:ind w:right="20" w:firstLine="761"/>
        <w:spacing w:after="0"/>
        <w:rPr>
          <w:sz w:val="20"/>
          <w:szCs w:val="20"/>
          <w:color w:val="auto"/>
        </w:rPr>
      </w:pPr>
      <w:r>
        <w:rPr>
          <w:rFonts w:ascii="Arial" w:cs="Arial" w:eastAsia="Arial" w:hAnsi="Arial"/>
          <w:sz w:val="18"/>
          <w:szCs w:val="18"/>
          <w:color w:val="auto"/>
        </w:rPr>
        <w:t>Revenue consists of retail used vehicle sales, wholesale used vehicle sales, financing vehicle sales through UACC, fees earned on sales of third-party financing and value-added products to customers in connection with vehicles sales, and other revenues. Refer to Note 3 – Revenue Recognition for a discussion of the Company’s significant accounting policies related to revenue recognition.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0" w:lineRule="exact"/>
        <w:rPr>
          <w:sz w:val="20"/>
          <w:szCs w:val="20"/>
          <w:color w:val="auto"/>
        </w:rPr>
      </w:pPr>
    </w:p>
    <w:p>
      <w:pPr>
        <w:ind w:right="140" w:firstLine="761"/>
        <w:spacing w:after="0" w:line="254" w:lineRule="auto"/>
        <w:rPr>
          <w:sz w:val="20"/>
          <w:szCs w:val="20"/>
          <w:color w:val="auto"/>
        </w:rPr>
      </w:pPr>
      <w:r>
        <w:rPr>
          <w:rFonts w:ascii="Arial" w:cs="Arial" w:eastAsia="Arial" w:hAnsi="Arial"/>
          <w:sz w:val="17"/>
          <w:szCs w:val="17"/>
          <w:color w:val="auto"/>
        </w:rPr>
        <w:t>Cost of sales primarily includes the cost to acquire used vehicles, inbound transportation costs and direct and indirect reconditioning costs associated with preparing vehicles for resale. Reconditioning costs include parts, labor and third-party reconditioning costs directly attributable to the vehicle and allocated overhead costs. Cost of sales also includes any necessary adjustments to reflect vehicle inventory at the lower of cost or net realizable value. As a result of the acquisition of Unitas Holding Corp, cost of sales also includes interest expense incurred on securitization debt and collection expenses related to servicing finance receivables originated by UACC.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0" w:lineRule="exact"/>
        <w:rPr>
          <w:sz w:val="20"/>
          <w:szCs w:val="20"/>
          <w:color w:val="auto"/>
        </w:rPr>
      </w:pPr>
    </w:p>
    <w:p>
      <w:pPr>
        <w:ind w:right="300" w:firstLine="761"/>
        <w:spacing w:after="0" w:line="238" w:lineRule="auto"/>
        <w:rPr>
          <w:sz w:val="20"/>
          <w:szCs w:val="20"/>
          <w:color w:val="auto"/>
        </w:rPr>
      </w:pPr>
      <w:r>
        <w:rPr>
          <w:rFonts w:ascii="Arial" w:cs="Arial" w:eastAsia="Arial" w:hAnsi="Arial"/>
          <w:sz w:val="18"/>
          <w:szCs w:val="18"/>
          <w:color w:val="auto"/>
        </w:rPr>
        <w:t>Cash and cash equivalents include cash deposits at financial institutions and highly liquid investments with original maturities of three months or less. Outstanding checks that are in excess of the cash balances at certain financial institutions are included in “Accounts payable” in the consolidated balance sheets and changes in these amounts are reflected in operating cash flows in the consolidated statements of cash flows.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0" w:lineRule="exact"/>
        <w:rPr>
          <w:sz w:val="20"/>
          <w:szCs w:val="20"/>
          <w:color w:val="auto"/>
        </w:rPr>
      </w:pPr>
    </w:p>
    <w:p>
      <w:pPr>
        <w:ind w:right="140" w:firstLine="761"/>
        <w:spacing w:after="0" w:line="237" w:lineRule="auto"/>
        <w:rPr>
          <w:sz w:val="20"/>
          <w:szCs w:val="20"/>
          <w:color w:val="auto"/>
        </w:rPr>
      </w:pPr>
      <w:r>
        <w:rPr>
          <w:rFonts w:ascii="Arial" w:cs="Arial" w:eastAsia="Arial" w:hAnsi="Arial"/>
          <w:sz w:val="18"/>
          <w:szCs w:val="18"/>
          <w:color w:val="auto"/>
        </w:rPr>
        <w:t>Restricted cash includes cash deposits required under the Company’s 2022 Vehicle Floorplan Facility as explained in Note 10 – Vehicle Floorplan Facility, and cash deposits of $12.5 million required under cash collateral agreements with certain of the Company's lenders. Additionally, starting in the first quarter of 2022, restricted cash also includes UACC restricted cash. UACC collects and services all receivables under the securitizations and warehouse credit facilities. These collections are restricted for use until properly remitted each month under the terms of the servicing agreement. Refer to Note 11 — Warehouse Credit Facilities of Consolidated VIEs and Note 13 — Long Term Debt for further detail.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0"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Accounts receivable, net of an allowance for doubtful accounts, includes amounts due from customers and from third-party financial institutions related to vehicle purchases. The allowance for doubtful accounts is estimated based upon historical experience, age of the balances, current economic conditions and other factors and is evaluated as of each reporting date. Increases and decreases in the allowance for doubtful accounts are recorded in “Selling, general and administrative expenses” in the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220"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Finance receivables consist of installment contracts the Company originates through UACC to finance the vehicles it sells, as well as installment contracts acquired by UACC from its existing network of third-party dealership customers.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finance receivables are generally secured by the vehicles being financed.</w:t>
      </w:r>
    </w:p>
    <w:p>
      <w:pPr>
        <w:spacing w:after="0" w:line="198"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Finance receivables over 90 days delinquent are considered nonaccrual finance receivables. Interest income is subsequently recognized only to the extent cash payments are received. Finance receivables may be restored to accrual status when a customer settles all delinquency balances and future interest and principal payments are reasonably assured.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Held for Sale, Net</w:t>
      </w:r>
    </w:p>
    <w:p>
      <w:pPr>
        <w:spacing w:after="0" w:line="220"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Finance receivables that the Company intends to sell and not hold to maturity are classified as held-for-sale. The Company intends to sell finance receivables either through securitization transactions or forward flow arrangements. Finance receivables classified as held for sale are recorded at the lower of cost or fair value. Deferred acquisition costs and any discounts or premiums are deferred until the finance receivables are sold and are then recognized as part of the total gain or loss on sale and recorded in “Finance Revenue” and "Product, net" in the consolidated statements of operations.</w:t>
      </w:r>
    </w:p>
    <w:p>
      <w:pPr>
        <w:spacing w:after="0" w:line="192" w:lineRule="exact"/>
        <w:rPr>
          <w:sz w:val="20"/>
          <w:szCs w:val="20"/>
          <w:color w:val="auto"/>
        </w:rPr>
      </w:pPr>
    </w:p>
    <w:p>
      <w:pPr>
        <w:ind w:right="80" w:firstLine="761"/>
        <w:spacing w:after="0" w:line="236" w:lineRule="auto"/>
        <w:rPr>
          <w:sz w:val="20"/>
          <w:szCs w:val="20"/>
          <w:color w:val="auto"/>
        </w:rPr>
      </w:pPr>
      <w:r>
        <w:rPr>
          <w:rFonts w:ascii="Arial" w:cs="Arial" w:eastAsia="Arial" w:hAnsi="Arial"/>
          <w:sz w:val="18"/>
          <w:szCs w:val="18"/>
          <w:color w:val="auto"/>
        </w:rPr>
        <w:t>The Company records a valuation allowance to report finance receivables at the lower of amortized cost basis or fair value. For purposes of determining the valuation allowance, finance receivables are evaluated collectively to determine the valuation allowance as they represent a large group of smaller-balance homogeneous loans. To the extent that actual experience differs from estimates, significant adjustments to the Company's valuation allowance may be needed. Fair value adjustments are recorded in "Other loss (income), net" in the consolidated statements of operations. Principal balances of finance receivables are charged-off when the Company is unable to sell the finance receivable and the related vehicle has been repossessed and liquidated or the receivable has otherwise been deemed uncollectible. As of December 31, 2022, the valuation allowance for finance receivables classified as held for sale was $10.5 million. Refer to Note 17 – Financial Instruments and Fair Value Measurements.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at Fair Value</w:t>
      </w:r>
    </w:p>
    <w:p>
      <w:pPr>
        <w:spacing w:after="0" w:line="220" w:lineRule="exact"/>
        <w:rPr>
          <w:sz w:val="20"/>
          <w:szCs w:val="20"/>
          <w:color w:val="auto"/>
        </w:rPr>
      </w:pPr>
    </w:p>
    <w:p>
      <w:pPr>
        <w:jc w:val="both"/>
        <w:ind w:right="120" w:firstLine="761"/>
        <w:spacing w:after="0"/>
        <w:rPr>
          <w:sz w:val="20"/>
          <w:szCs w:val="20"/>
          <w:color w:val="auto"/>
        </w:rPr>
      </w:pPr>
      <w:r>
        <w:rPr>
          <w:rFonts w:ascii="Arial" w:cs="Arial" w:eastAsia="Arial" w:hAnsi="Arial"/>
          <w:sz w:val="18"/>
          <w:szCs w:val="18"/>
          <w:color w:val="auto"/>
        </w:rPr>
        <w:t>Finance receivables at fair value represent finance receivables for which the Company elected the fair value option on February 1, 2022 and primarily consists of the finance receivables that were underwritten prior to the Acquisition Date. From time to time, the Company accounts for certain finance receivables under the fair value designation. Fair value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adjustments are recorded in "Other loss (income), net" in the consolidated statements of operations. Refer to Note 17 – Financial Instruments and Fair Value Measurements.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CFEs</w:t>
      </w:r>
    </w:p>
    <w:p>
      <w:pPr>
        <w:spacing w:after="0" w:line="220"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 xml:space="preserve">The Company elected the fair value option for the initial recognition of the assets and liabilities of its consolidated VIEs related to the 2020 and 2021 UACC historical securitizations. These VIEs are consolidated collateralized financing entities (CFEs) and are accounted for using the measurement alternative in accordance with ASU 2014-13, </w:t>
      </w:r>
      <w:r>
        <w:rPr>
          <w:rFonts w:ascii="Arial" w:cs="Arial" w:eastAsia="Arial" w:hAnsi="Arial"/>
          <w:sz w:val="18"/>
          <w:szCs w:val="18"/>
          <w:i w:val="1"/>
          <w:iCs w:val="1"/>
          <w:color w:val="auto"/>
        </w:rPr>
        <w:t>Measuring the Financial Assets and Liabilities of a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Collateralized Financing Entity </w:t>
      </w:r>
      <w:r>
        <w:rPr>
          <w:rFonts w:ascii="Arial" w:cs="Arial" w:eastAsia="Arial" w:hAnsi="Arial"/>
          <w:sz w:val="18"/>
          <w:szCs w:val="18"/>
          <w:color w:val="auto"/>
        </w:rPr>
        <w:t>(“ASU 2014-13"). Interest income, interest expense and other loss or income associated with these CFEs are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on the consolidated statements of operations, within the “Finance revenue”, “Finance cost of sales” and “Other loss (income), net” line items, respectively. The assets and liabilities of the CFEs are presented as part of the current and noncurrent “Finance receivables at fair value”, “Current portion of securitization debt of consolidated VIEs at fair value”, and "Long term debt, net of current portion", respectively, on the consolidated balance sheets.</w:t>
      </w:r>
    </w:p>
    <w:p>
      <w:pPr>
        <w:spacing w:after="0" w:line="192" w:lineRule="exact"/>
        <w:rPr>
          <w:sz w:val="20"/>
          <w:szCs w:val="20"/>
          <w:color w:val="auto"/>
        </w:rPr>
      </w:pPr>
    </w:p>
    <w:p>
      <w:pPr>
        <w:ind w:right="120" w:firstLine="761"/>
        <w:spacing w:after="0"/>
        <w:rPr>
          <w:sz w:val="20"/>
          <w:szCs w:val="20"/>
          <w:color w:val="auto"/>
        </w:rPr>
      </w:pPr>
      <w:r>
        <w:rPr>
          <w:rFonts w:ascii="Arial" w:cs="Arial" w:eastAsia="Arial" w:hAnsi="Arial"/>
          <w:sz w:val="18"/>
          <w:szCs w:val="18"/>
          <w:color w:val="auto"/>
        </w:rPr>
        <w:t>During the year ended December 31, 2022, the Company recognized interest income of $40.9 million, interest expense of $3.4 million, and other net gains and losses due to changes in fair value of $21.0 million. Refer to Note 17 – Financial Instruments and Fair Value Measurements for further details.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0" w:lineRule="exact"/>
        <w:rPr>
          <w:sz w:val="20"/>
          <w:szCs w:val="20"/>
          <w:color w:val="auto"/>
        </w:rPr>
      </w:pPr>
    </w:p>
    <w:p>
      <w:pPr>
        <w:ind w:right="320" w:firstLine="761"/>
        <w:spacing w:after="0" w:line="237" w:lineRule="auto"/>
        <w:rPr>
          <w:sz w:val="20"/>
          <w:szCs w:val="20"/>
          <w:color w:val="auto"/>
        </w:rPr>
      </w:pPr>
      <w:r>
        <w:rPr>
          <w:rFonts w:ascii="Arial" w:cs="Arial" w:eastAsia="Arial" w:hAnsi="Arial"/>
          <w:sz w:val="18"/>
          <w:szCs w:val="18"/>
          <w:color w:val="auto"/>
        </w:rPr>
        <w:t>Inventory consists primarily of used vehicles and parts and accessories and is stated at the lower of cost or net realizable value. Inventory cost is determined by specific identification and includes acquisition cost, direct and indirect reconditioning costs and inbound transportation expenses. Net realizable value represents the estimated selling price less costs to complete, dispose and transport the vehicles. The Company recognizes any necessary adjustments to reflect inventory at the lower of cost or net realizable value through adjustments to “Cost of sales” in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0" w:lineRule="exact"/>
        <w:rPr>
          <w:sz w:val="20"/>
          <w:szCs w:val="20"/>
          <w:color w:val="auto"/>
        </w:rPr>
      </w:pPr>
    </w:p>
    <w:p>
      <w:pPr>
        <w:ind w:firstLine="761"/>
        <w:spacing w:after="0" w:line="261" w:lineRule="auto"/>
        <w:rPr>
          <w:sz w:val="20"/>
          <w:szCs w:val="20"/>
          <w:color w:val="auto"/>
        </w:rPr>
      </w:pPr>
      <w:r>
        <w:rPr>
          <w:rFonts w:ascii="Arial" w:cs="Arial" w:eastAsia="Arial" w:hAnsi="Arial"/>
          <w:sz w:val="17"/>
          <w:szCs w:val="17"/>
          <w:color w:val="auto"/>
        </w:rPr>
        <w:t>Property and equipment are recorded at cost less accumulated depreciation and amortization. Charges for repairs and maintenance that do not improve or extend the life of the respective assets are expensed as incurred. When assets are retired or otherwise disposed of, their costs and related accumulated depreciation are written off and any resulting gains or losses are recorded during the period.</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Depreciation and amortization are calculated using the straight-line method over the following estimated useful lives of the assets:</w:t>
      </w:r>
    </w:p>
    <w:p>
      <w:pPr>
        <w:sectPr>
          <w:pgSz w:w="11900" w:h="16838" w:orient="portrait"/>
          <w:cols w:equalWidth="0" w:num="1">
            <w:col w:w="11220"/>
          </w:cols>
          <w:pgMar w:left="320" w:top="140" w:right="359" w:bottom="1440" w:gutter="0" w:footer="0" w:header="0"/>
        </w:sectPr>
      </w:pP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Equipment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3 to 15 years</w:t>
      </w:r>
    </w:p>
    <w:p>
      <w:pPr>
        <w:spacing w:after="0" w:line="34" w:lineRule="exact"/>
        <w:rPr>
          <w:sz w:val="20"/>
          <w:szCs w:val="20"/>
          <w:color w:val="auto"/>
        </w:rPr>
      </w:pPr>
    </w:p>
    <w:p>
      <w:pPr>
        <w:sectPr>
          <w:pgSz w:w="11900" w:h="16838" w:orient="portrait"/>
          <w:cols w:equalWidth="0" w:num="2">
            <w:col w:w="3880" w:space="720"/>
            <w:col w:w="6620"/>
          </w:cols>
          <w:pgMar w:left="320" w:top="140" w:right="35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 to 15 years</w:t>
      </w:r>
    </w:p>
    <w:p>
      <w:pPr>
        <w:spacing w:after="0" w:line="34" w:lineRule="exact"/>
        <w:rPr>
          <w:sz w:val="20"/>
          <w:szCs w:val="20"/>
          <w:color w:val="auto"/>
        </w:rPr>
      </w:pPr>
    </w:p>
    <w:p>
      <w:pPr>
        <w:sectPr>
          <w:pgSz w:w="11900" w:h="16838" w:orient="portrait"/>
          <w:cols w:equalWidth="0" w:num="2">
            <w:col w:w="3880" w:space="720"/>
            <w:col w:w="6620"/>
          </w:cols>
          <w:pgMar w:left="320" w:top="140" w:right="35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Logistics fleet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5 to 7 years</w:t>
      </w:r>
    </w:p>
    <w:p>
      <w:pPr>
        <w:spacing w:after="0" w:line="33" w:lineRule="exact"/>
        <w:rPr>
          <w:sz w:val="20"/>
          <w:szCs w:val="20"/>
          <w:color w:val="auto"/>
        </w:rPr>
      </w:pPr>
    </w:p>
    <w:p>
      <w:pPr>
        <w:sectPr>
          <w:pgSz w:w="11900" w:h="16838" w:orient="portrait"/>
          <w:cols w:equalWidth="0" w:num="2">
            <w:col w:w="3880" w:space="720"/>
            <w:col w:w="6620"/>
          </w:cols>
          <w:pgMar w:left="320" w:top="140" w:right="35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Lesser of useful life or lease term</w:t>
      </w:r>
    </w:p>
    <w:p>
      <w:pPr>
        <w:spacing w:after="0" w:line="22" w:lineRule="exact"/>
        <w:rPr>
          <w:sz w:val="20"/>
          <w:szCs w:val="20"/>
          <w:color w:val="auto"/>
        </w:rPr>
      </w:pPr>
    </w:p>
    <w:p>
      <w:pPr>
        <w:sectPr>
          <w:pgSz w:w="11900" w:h="16838" w:orient="portrait"/>
          <w:cols w:equalWidth="0" w:num="2">
            <w:col w:w="3880" w:space="720"/>
            <w:col w:w="6620"/>
          </w:cols>
          <w:pgMar w:left="320" w:top="140" w:right="35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Internal-use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 to 10 years</w:t>
      </w:r>
    </w:p>
    <w:p>
      <w:pPr>
        <w:spacing w:after="0" w:line="200" w:lineRule="exact"/>
        <w:rPr>
          <w:sz w:val="20"/>
          <w:szCs w:val="20"/>
          <w:color w:val="auto"/>
        </w:rPr>
      </w:pPr>
    </w:p>
    <w:p>
      <w:pPr>
        <w:sectPr>
          <w:pgSz w:w="11900" w:h="16838" w:orient="portrait"/>
          <w:cols w:equalWidth="0" w:num="2">
            <w:col w:w="3880" w:space="720"/>
            <w:col w:w="6620"/>
          </w:cols>
          <w:pgMar w:left="320" w:top="140" w:right="359" w:bottom="1440" w:gutter="0" w:footer="0" w:header="0"/>
          <w:type w:val="continuous"/>
        </w:sectPr>
      </w:pPr>
    </w:p>
    <w:p>
      <w:pPr>
        <w:spacing w:after="0" w:line="23"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Company capitalizes direct costs of materials and services utilized in developing or obtaining internal-use software. The Company also capitalizes payroll and payroll-related costs for employees who are directly associated with and who devote time to the development of software products for internal use, to the extent of the time spent directly on the project. Capitalization of costs begins during the application development stage and ends when the software is available for general use. Costs incurred during the preliminary project and post-implementation stages are charged to expense as incurred.</w:t>
      </w:r>
    </w:p>
    <w:p>
      <w:pPr>
        <w:spacing w:after="0" w:line="192"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Additionally, the Company capitalizes implementation costs incurred in a cloud computing arrangement that is a service contract. The capitalized implementation costs related to a cloud computing arrangement are amortized over the term of the arrangement. Capitalized implementation costs are included in “Other assets” in the consolidated balance sheet and are amortized over the terms of the arrangements, which range between 1 and 10 years.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0" w:lineRule="exact"/>
        <w:rPr>
          <w:sz w:val="20"/>
          <w:szCs w:val="20"/>
          <w:color w:val="auto"/>
        </w:rPr>
      </w:pPr>
    </w:p>
    <w:p>
      <w:pPr>
        <w:ind w:right="160" w:firstLine="761"/>
        <w:spacing w:after="0"/>
        <w:rPr>
          <w:sz w:val="20"/>
          <w:szCs w:val="20"/>
          <w:color w:val="auto"/>
        </w:rPr>
      </w:pPr>
      <w:r>
        <w:rPr>
          <w:rFonts w:ascii="Arial" w:cs="Arial" w:eastAsia="Arial" w:hAnsi="Arial"/>
          <w:sz w:val="18"/>
          <w:szCs w:val="18"/>
          <w:color w:val="auto"/>
        </w:rPr>
        <w:t>Goodwill represents the excess of the consideration transferred over the fair value of the identifiable assets acquired and liabilities assumed in business combinations. Goodwill is tested for impairment annually as of October 1 or whenever events or changes in circumstances indicate that an impairment may exist.</w:t>
      </w:r>
    </w:p>
    <w:p>
      <w:pPr>
        <w:spacing w:after="0" w:line="188"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The Company has three reporting units: Ecommerce, Wholesale and Retail Financing. In performing its goodwill impairment test, the Company first reviews qualitative factors to determine whether it is more likely than not that the fair value of a reporting unit is less than its carrying amount. If, after assessing qualitative factors, the Company determines that it is more likely than not that the fair value of a reporting unit is more than its carrying amount, then performing the quantitative test is unnecessary and the Company’s goodwill is not considered to be impaired. However, if based on the qualitative assessment the Company concludes that it is more likely than not that the fair value of the reporting unit is less than its carrying amount, or if the Company elects to bypass the optional qualitative assessment as provided for under U.S. GAAP, the Company proceeds with performing the quantitative impairment test. Refer to Note 8 — Goodwill and Intangible Assets for further details on the impairment tests performed.</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intangible assets are amortized on a straight-line basis over the following estimated weighted average useful lives:</w:t>
      </w:r>
    </w:p>
    <w:p>
      <w:pPr>
        <w:sectPr>
          <w:pgSz w:w="11900" w:h="16838" w:orient="portrait"/>
          <w:cols w:equalWidth="0" w:num="1">
            <w:col w:w="11240"/>
          </w:cols>
          <w:pgMar w:left="320" w:top="140" w:right="339" w:bottom="1440" w:gutter="0" w:footer="0" w:header="0"/>
        </w:sectPr>
      </w:pP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Developed technology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7 years</w:t>
      </w:r>
    </w:p>
    <w:p>
      <w:pPr>
        <w:spacing w:after="0" w:line="22" w:lineRule="exact"/>
        <w:rPr>
          <w:sz w:val="20"/>
          <w:szCs w:val="20"/>
          <w:color w:val="auto"/>
        </w:rPr>
      </w:pPr>
    </w:p>
    <w:p>
      <w:pPr>
        <w:sectPr>
          <w:pgSz w:w="11900" w:h="16838" w:orient="portrait"/>
          <w:cols w:equalWidth="0" w:num="2">
            <w:col w:w="3880" w:space="720"/>
            <w:col w:w="6640"/>
          </w:cols>
          <w:pgMar w:left="320" w:top="140" w:right="33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Trademarks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9 years</w:t>
      </w:r>
    </w:p>
    <w:p>
      <w:pPr>
        <w:spacing w:after="0" w:line="22" w:lineRule="exact"/>
        <w:rPr>
          <w:sz w:val="20"/>
          <w:szCs w:val="20"/>
          <w:color w:val="auto"/>
        </w:rPr>
      </w:pPr>
    </w:p>
    <w:p>
      <w:pPr>
        <w:sectPr>
          <w:pgSz w:w="11900" w:h="16838" w:orient="portrait"/>
          <w:cols w:equalWidth="0" w:num="2">
            <w:col w:w="3880" w:space="720"/>
            <w:col w:w="6640"/>
          </w:cols>
          <w:pgMar w:left="320" w:top="140" w:right="33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Customer relationships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8 years</w:t>
      </w:r>
    </w:p>
    <w:p>
      <w:pPr>
        <w:spacing w:after="0" w:line="200" w:lineRule="exact"/>
        <w:rPr>
          <w:sz w:val="20"/>
          <w:szCs w:val="20"/>
          <w:color w:val="auto"/>
        </w:rPr>
      </w:pPr>
    </w:p>
    <w:p>
      <w:pPr>
        <w:sectPr>
          <w:pgSz w:w="11900" w:h="16838" w:orient="portrait"/>
          <w:cols w:equalWidth="0" w:num="2">
            <w:col w:w="3880" w:space="720"/>
            <w:col w:w="6640"/>
          </w:cols>
          <w:pgMar w:left="320" w:top="140" w:right="339" w:bottom="1440" w:gutter="0" w:footer="0" w:header="0"/>
          <w:type w:val="continuous"/>
        </w:sectPr>
      </w:pPr>
    </w:p>
    <w:p>
      <w:pPr>
        <w:spacing w:after="0" w:line="11" w:lineRule="exact"/>
        <w:rPr>
          <w:sz w:val="20"/>
          <w:szCs w:val="20"/>
          <w:color w:val="auto"/>
        </w:rPr>
      </w:pPr>
    </w:p>
    <w:p>
      <w:pPr>
        <w:ind w:right="180" w:firstLine="761"/>
        <w:spacing w:after="0" w:line="245" w:lineRule="auto"/>
        <w:rPr>
          <w:sz w:val="20"/>
          <w:szCs w:val="20"/>
          <w:color w:val="auto"/>
        </w:rPr>
      </w:pPr>
      <w:r>
        <w:rPr>
          <w:rFonts w:ascii="Arial" w:cs="Arial" w:eastAsia="Arial" w:hAnsi="Arial"/>
          <w:sz w:val="18"/>
          <w:szCs w:val="18"/>
          <w:color w:val="auto"/>
        </w:rPr>
        <w:t>The Company periodically reassesses the useful lives of its definite-lived intangible assets when events or circumstances indicate that useful lives have significantly changed from the previous estimate.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Floorplan</w:t>
      </w:r>
    </w:p>
    <w:p>
      <w:pPr>
        <w:spacing w:after="0" w:line="220"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The vehicle floorplan payable (the “Vehicle Floorplan Facility”) reflects amounts borrowed to finance the purchase of specific vehicle inventories. Portions of the Vehicle Floorplan Facility are settled on a daily basis depending on the Company’s sales and purchasing activity. The Vehicle Floorplan Facility is collateralized by vehicle inventories and certain other assets of the Company. Borrowings and repayments are presented separately and classified as financing activities within the consolidated statements of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The Company accounts for income taxes under the asset and liability method. The Company recognizes deferred tax assets and liabilities for the future tax consequences attributable to differences between the financial statement carrying amounts of existing assets and liabilities and their respective tax basis, as well as for operating loss and tax credit carry forwards. The Company measures deferred tax assets and liabilities using enacted tax rates expected to apply to taxable income in the years in which the Company expects to recover or settle those temporary differences. The Company recognizes the effect of a change in tax rates on deferred tax assets and liabilities in the results of operations in the period that includes the enactment date. The Company reduces the measurement of a deferred tax asset, if necessary, by a valuation allowance if it is more likely than not that the Company will not realize some or all of the deferred tax asset. The Company accounts for uncertain tax positions by recognizing the financial statement effects of a tax position only when, based upon technical merits, it is more likely than not that the position will be sustained upon examination. Potential interest and penalties associated with unrecognized tax positions are recognized in income tax expense.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0" w:lineRule="exact"/>
        <w:rPr>
          <w:sz w:val="20"/>
          <w:szCs w:val="20"/>
          <w:color w:val="auto"/>
        </w:rPr>
      </w:pPr>
    </w:p>
    <w:p>
      <w:pPr>
        <w:ind w:right="140" w:firstLine="761"/>
        <w:spacing w:after="0" w:line="237" w:lineRule="auto"/>
        <w:rPr>
          <w:sz w:val="20"/>
          <w:szCs w:val="20"/>
          <w:color w:val="auto"/>
        </w:rPr>
      </w:pPr>
      <w:r>
        <w:rPr>
          <w:rFonts w:ascii="Arial" w:cs="Arial" w:eastAsia="Arial" w:hAnsi="Arial"/>
          <w:sz w:val="18"/>
          <w:szCs w:val="18"/>
          <w:color w:val="auto"/>
        </w:rPr>
        <w:t>The Company recognizes the cost of employee services received in exchange for stock awards based on the fair value of those awards at the date of grant over the requisite service period. The Company accounts for forfeitures as they occur. For awards earned based on performance or upon occurrence of a contingent event, if the award is deemed probable of being earned, related compensation expense is recorded over the estimated service period. If an award is not considered probable of being earned, no amount of stock-based compensation is recognized. To the extent the estimate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of awards considered probable of being earned changes, the amount of stock-based compensation recognized will also change.</w:t>
      </w:r>
    </w:p>
    <w:p>
      <w:pPr>
        <w:spacing w:after="0" w:line="198" w:lineRule="exact"/>
        <w:rPr>
          <w:sz w:val="20"/>
          <w:szCs w:val="20"/>
          <w:color w:val="auto"/>
        </w:rPr>
      </w:pPr>
    </w:p>
    <w:p>
      <w:pPr>
        <w:ind w:firstLine="761"/>
        <w:spacing w:after="0" w:line="253" w:lineRule="auto"/>
        <w:rPr>
          <w:sz w:val="20"/>
          <w:szCs w:val="20"/>
          <w:color w:val="auto"/>
        </w:rPr>
      </w:pPr>
      <w:r>
        <w:rPr>
          <w:rFonts w:ascii="Arial" w:cs="Arial" w:eastAsia="Arial" w:hAnsi="Arial"/>
          <w:sz w:val="17"/>
          <w:szCs w:val="17"/>
          <w:color w:val="auto"/>
        </w:rPr>
        <w:t>The Company uses the Black-Scholes-Merton (“Black-Scholes”) option pricing model to determine the fair value of its stock options. Estimating the fair value of stock options requires the input of subjective assumptions, including the estimated fair value of the Company’s common stock, the expected life of the options, stock price volatility, which is determined based on the historical volatilities of several publicly listed peer companies as the Company has only a short trading history for its common stock, the risk-free interest rate and expected dividends. The assumptions used in the Company’s Black-Scholes option-pricing model represent management’s best estimates and involve a number of variables, uncertainties and assumptions and the application of management’s judgment, as they are inherently subjective.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0" w:lineRule="exact"/>
        <w:rPr>
          <w:sz w:val="20"/>
          <w:szCs w:val="20"/>
          <w:color w:val="auto"/>
        </w:rPr>
      </w:pPr>
    </w:p>
    <w:p>
      <w:pPr>
        <w:ind w:right="60" w:firstLine="764"/>
        <w:spacing w:after="0" w:line="236" w:lineRule="auto"/>
        <w:rPr>
          <w:sz w:val="20"/>
          <w:szCs w:val="20"/>
          <w:color w:val="auto"/>
        </w:rPr>
      </w:pPr>
      <w:r>
        <w:rPr>
          <w:rFonts w:ascii="Arial" w:cs="Arial" w:eastAsia="Arial" w:hAnsi="Arial"/>
          <w:sz w:val="18"/>
          <w:szCs w:val="18"/>
          <w:color w:val="auto"/>
        </w:rPr>
        <w:t>The Company uses its best estimates and assumptions to assign fair value to the tangible and intangible assets acquired and liabilities assumed at the acquisition date. 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The Company will continue to collect information and reevaluate these estimates and assumptions quarterly and record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will be recorded to the Company’s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20" w:lineRule="exact"/>
        <w:rPr>
          <w:sz w:val="20"/>
          <w:szCs w:val="20"/>
          <w:color w:val="auto"/>
        </w:rPr>
      </w:pPr>
    </w:p>
    <w:p>
      <w:pPr>
        <w:ind w:right="620" w:firstLine="761"/>
        <w:spacing w:after="0"/>
        <w:rPr>
          <w:sz w:val="20"/>
          <w:szCs w:val="20"/>
          <w:color w:val="auto"/>
        </w:rPr>
      </w:pPr>
      <w:r>
        <w:rPr>
          <w:rFonts w:ascii="Arial" w:cs="Arial" w:eastAsia="Arial" w:hAnsi="Arial"/>
          <w:sz w:val="18"/>
          <w:szCs w:val="18"/>
          <w:color w:val="auto"/>
        </w:rPr>
        <w:t>Advertising costs are expensed as incurred and are included within “Selling, general and administrative expenses” in the consolidated statements of operations. Advertising expenses were $79.7 million, $125.5 million, and $62.4 million for the years ended December 31, 2022,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20" w:lineRule="exact"/>
        <w:rPr>
          <w:sz w:val="20"/>
          <w:szCs w:val="20"/>
          <w:color w:val="auto"/>
        </w:rPr>
      </w:pPr>
    </w:p>
    <w:p>
      <w:pPr>
        <w:ind w:right="160" w:firstLine="761"/>
        <w:spacing w:after="0" w:line="238" w:lineRule="auto"/>
        <w:rPr>
          <w:sz w:val="20"/>
          <w:szCs w:val="20"/>
          <w:color w:val="auto"/>
        </w:rPr>
      </w:pPr>
      <w:r>
        <w:rPr>
          <w:rFonts w:ascii="Arial" w:cs="Arial" w:eastAsia="Arial" w:hAnsi="Arial"/>
          <w:sz w:val="18"/>
          <w:szCs w:val="18"/>
          <w:color w:val="auto"/>
        </w:rPr>
        <w:t>Logistics costs related to inbound transportation from the point of acquisition to the relevant reconditioning facility are included in cost of sales when the related used vehicle is sold. Logistics costs not included in cost of sales are accounted for as costs to fulfill contracts with customers and are included in “Selling, general and administrative expenses” in the consolidated statements of operations and were $39.0 million, $85.8 million, and $30.3 million for the years ended December 31, 2022, 2021, and 2020,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20" w:lineRule="exact"/>
        <w:rPr>
          <w:sz w:val="20"/>
          <w:szCs w:val="20"/>
          <w:color w:val="auto"/>
        </w:rPr>
      </w:pPr>
    </w:p>
    <w:p>
      <w:pPr>
        <w:ind w:right="220" w:firstLine="761"/>
        <w:spacing w:after="0" w:line="237"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accounts receivable, which are unsecured.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treasury securities and commercial paper investments. Concentration of credit risk with respect to accounts receivable is generally mitigated by a large customer base.</w:t>
      </w:r>
    </w:p>
    <w:p>
      <w:pPr>
        <w:spacing w:after="0" w:line="189" w:lineRule="exact"/>
        <w:rPr>
          <w:sz w:val="20"/>
          <w:szCs w:val="20"/>
          <w:color w:val="auto"/>
        </w:rPr>
      </w:pPr>
    </w:p>
    <w:p>
      <w:pPr>
        <w:ind w:right="100" w:firstLine="761"/>
        <w:spacing w:after="0" w:line="245" w:lineRule="auto"/>
        <w:rPr>
          <w:sz w:val="20"/>
          <w:szCs w:val="20"/>
          <w:color w:val="auto"/>
        </w:rPr>
      </w:pPr>
      <w:r>
        <w:rPr>
          <w:rFonts w:ascii="Arial" w:cs="Arial" w:eastAsia="Arial" w:hAnsi="Arial"/>
          <w:sz w:val="18"/>
          <w:szCs w:val="18"/>
          <w:color w:val="auto"/>
        </w:rPr>
        <w:t>For the years ended December 31, 2022, 2021, and 2020, no customer represented 10% or more of the Company’s revenues and no customer represented more than 10% of the Company’s accounts receivable as of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0" w:lineRule="exact"/>
        <w:rPr>
          <w:sz w:val="20"/>
          <w:szCs w:val="20"/>
          <w:color w:val="auto"/>
        </w:rPr>
      </w:pPr>
    </w:p>
    <w:p>
      <w:pPr>
        <w:ind w:firstLine="761"/>
        <w:spacing w:after="0" w:line="245" w:lineRule="auto"/>
        <w:rPr>
          <w:sz w:val="20"/>
          <w:szCs w:val="20"/>
          <w:color w:val="auto"/>
        </w:rPr>
      </w:pPr>
      <w:r>
        <w:rPr>
          <w:rFonts w:ascii="Arial" w:cs="Arial" w:eastAsia="Arial" w:hAnsi="Arial"/>
          <w:sz w:val="18"/>
          <w:szCs w:val="18"/>
          <w:color w:val="auto"/>
        </w:rPr>
        <w:t>The Company has had negative cash flows and generated losses from operations since inception and has historically had to rely on debt and equity financing to fund its operations. Further, the Company expects to incur additional losses in the future.</w:t>
      </w:r>
    </w:p>
    <w:p>
      <w:pPr>
        <w:spacing w:after="0" w:line="184" w:lineRule="exact"/>
        <w:rPr>
          <w:sz w:val="20"/>
          <w:szCs w:val="20"/>
          <w:color w:val="auto"/>
        </w:rPr>
      </w:pPr>
    </w:p>
    <w:p>
      <w:pPr>
        <w:ind w:right="120" w:firstLine="761"/>
        <w:spacing w:after="0"/>
        <w:rPr>
          <w:sz w:val="20"/>
          <w:szCs w:val="20"/>
          <w:color w:val="auto"/>
        </w:rPr>
      </w:pPr>
      <w:r>
        <w:rPr>
          <w:rFonts w:ascii="Arial" w:cs="Arial" w:eastAsia="Arial" w:hAnsi="Arial"/>
          <w:sz w:val="18"/>
          <w:szCs w:val="18"/>
          <w:color w:val="auto"/>
        </w:rPr>
        <w:t>On May 5, 2022, the Company approved the Realignment Plan and long-term roadmap, which was designed to position the Company for long-term profitable growth by prioritizing unit economics, reducing operating expenses and maximizing liquidity. Refer to Note 18 – Restructuring Activities for further discussion.</w:t>
      </w:r>
    </w:p>
    <w:p>
      <w:pPr>
        <w:spacing w:after="0" w:line="188" w:lineRule="exact"/>
        <w:rPr>
          <w:sz w:val="20"/>
          <w:szCs w:val="20"/>
          <w:color w:val="auto"/>
        </w:rPr>
      </w:pPr>
    </w:p>
    <w:p>
      <w:pPr>
        <w:ind w:right="140" w:firstLine="761"/>
        <w:spacing w:after="0" w:line="245" w:lineRule="auto"/>
        <w:rPr>
          <w:sz w:val="20"/>
          <w:szCs w:val="20"/>
          <w:color w:val="auto"/>
        </w:rPr>
      </w:pPr>
      <w:r>
        <w:rPr>
          <w:rFonts w:ascii="Arial" w:cs="Arial" w:eastAsia="Arial" w:hAnsi="Arial"/>
          <w:sz w:val="18"/>
          <w:szCs w:val="18"/>
          <w:color w:val="auto"/>
        </w:rPr>
        <w:t>As of December 31, 2022, the Company has cash and cash equivalents of $398.9 million and restricted cash of $73.1 million. The primary source of liquidity is cash generated through financing activities.</w:t>
      </w:r>
    </w:p>
    <w:p>
      <w:pPr>
        <w:spacing w:after="0" w:line="184" w:lineRule="exact"/>
        <w:rPr>
          <w:sz w:val="20"/>
          <w:szCs w:val="20"/>
          <w:color w:val="auto"/>
        </w:rPr>
      </w:pPr>
    </w:p>
    <w:p>
      <w:pPr>
        <w:jc w:val="both"/>
        <w:ind w:right="160" w:firstLine="761"/>
        <w:spacing w:after="0" w:line="238" w:lineRule="auto"/>
        <w:rPr>
          <w:sz w:val="20"/>
          <w:szCs w:val="20"/>
          <w:color w:val="auto"/>
        </w:rPr>
      </w:pPr>
      <w:r>
        <w:rPr>
          <w:rFonts w:ascii="Arial" w:cs="Arial" w:eastAsia="Arial" w:hAnsi="Arial"/>
          <w:sz w:val="18"/>
          <w:szCs w:val="18"/>
          <w:color w:val="auto"/>
        </w:rPr>
        <w:t>In June 2021, the Company issued $625.0 million aggregate principal amount of 0.75% unsecured Convertible Senior Notes due 2026. In 2022, the Company repurchased $254.3 million in aggregate principal amount of the Notes (as defined in Note 13), net of deferred issuance costs of $4.9 million, for $90.2 million in open-market transactions. The Company recognized a gain on extinguishment of debt of $164.7 million for the year ended December 31, 2022. Refer to Note 13 – Long Term Debt for further discussion.</w:t>
      </w:r>
    </w:p>
    <w:p>
      <w:pPr>
        <w:spacing w:after="0" w:line="190" w:lineRule="exact"/>
        <w:rPr>
          <w:sz w:val="20"/>
          <w:szCs w:val="20"/>
          <w:color w:val="auto"/>
        </w:rPr>
      </w:pPr>
    </w:p>
    <w:p>
      <w:pPr>
        <w:ind w:right="520" w:firstLine="761"/>
        <w:spacing w:after="0"/>
        <w:rPr>
          <w:sz w:val="20"/>
          <w:szCs w:val="20"/>
          <w:color w:val="auto"/>
        </w:rPr>
      </w:pPr>
      <w:r>
        <w:rPr>
          <w:rFonts w:ascii="Arial" w:cs="Arial" w:eastAsia="Arial" w:hAnsi="Arial"/>
          <w:sz w:val="18"/>
          <w:szCs w:val="18"/>
          <w:color w:val="auto"/>
        </w:rPr>
        <w:t>The Company has a 2022 Vehicle Floorplan Facility (as defined in Note 10) with a borrowing capacity of $343.9 million as of December 31, 2022, of which $66.9 million was unutilized. The 2022 Vehicle Floorplan Facility provides a committed credit line of up to $500.0 million which is scheduled to mature on March 31, 2024. Refer to Note 10 – Vehicle Floorplan Facility for further discussion.</w:t>
      </w:r>
    </w:p>
    <w:p>
      <w:pPr>
        <w:spacing w:after="0" w:line="18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In 2022, UACC sold $523.7 million of rated asset-backed securities and $49.6 million of residual certificates in auto loan</w:t>
      </w:r>
    </w:p>
    <w:p>
      <w:pPr>
        <w:jc w:val="center"/>
        <w:ind w:right="240"/>
        <w:spacing w:after="0"/>
        <w:rPr>
          <w:sz w:val="20"/>
          <w:szCs w:val="20"/>
          <w:color w:val="auto"/>
        </w:rPr>
      </w:pPr>
      <w:r>
        <w:rPr>
          <w:rFonts w:ascii="Arial" w:cs="Arial" w:eastAsia="Arial" w:hAnsi="Arial"/>
          <w:sz w:val="17"/>
          <w:szCs w:val="17"/>
          <w:color w:val="auto"/>
        </w:rPr>
        <w:t>securitization offerings for proceeds of $582.9 million. Refer to Note 4 – Variable Interest Entities and Securitizations for further discussion.</w:t>
      </w:r>
    </w:p>
    <w:p>
      <w:pPr>
        <w:spacing w:after="0" w:line="209"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UACC has four warehouse credit facilities with an aggregate borrowing limit of $850.0 million as of December 31, 2022. As of December 31, 2022, outstanding borrowings related to the Warehouse Credit Facilities were $229.5 million and excess borrowing capacity of $105.8 million. Refer to Note 11 – Warehouse Credit Facilities of Consolidated VIEs for further discussion.</w:t>
      </w:r>
    </w:p>
    <w:p>
      <w:pPr>
        <w:spacing w:after="0" w:line="188" w:lineRule="exact"/>
        <w:rPr>
          <w:sz w:val="20"/>
          <w:szCs w:val="20"/>
          <w:color w:val="auto"/>
        </w:rPr>
      </w:pPr>
    </w:p>
    <w:p>
      <w:pPr>
        <w:ind w:right="20" w:firstLine="761"/>
        <w:spacing w:after="0"/>
        <w:rPr>
          <w:sz w:val="20"/>
          <w:szCs w:val="20"/>
          <w:color w:val="auto"/>
        </w:rPr>
      </w:pPr>
      <w:r>
        <w:rPr>
          <w:rFonts w:ascii="Arial" w:cs="Arial" w:eastAsia="Arial" w:hAnsi="Arial"/>
          <w:sz w:val="18"/>
          <w:szCs w:val="18"/>
          <w:color w:val="auto"/>
        </w:rPr>
        <w:t>The Company anticipates that the existing cash and cash equivalents, the 2022 Vehicle Floorplan Facility and UACC credit facilities will be sufficient to support its operations for at least the next twelve months from the date of issuance of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20" w:lineRule="exact"/>
        <w:rPr>
          <w:sz w:val="20"/>
          <w:szCs w:val="20"/>
          <w:color w:val="auto"/>
        </w:rPr>
      </w:pPr>
    </w:p>
    <w:p>
      <w:pPr>
        <w:ind w:right="40" w:firstLine="761"/>
        <w:spacing w:after="0" w:line="236"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Under the two-class method, net loss is attributed to common stockholders and participating securities based on their participation rights. The Company considers all series of its redeemable convertible preferred stock to be participating securities. Under the two-class method, the net loss attributable to common stockholders is not allocated to the redeemable convertible preferred stock as the holders of the Company’s redeemable convertible preferred stock do not have a contractual obligation to share in the Company’s losses. Under the two-class method, basic net loss per share attributable to common stockholders is computed by dividing the net loss attributable to common stockholders by the weighted-average number of shares of common stock outstanding during the period.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202" w:lineRule="exact"/>
        <w:rPr>
          <w:sz w:val="20"/>
          <w:szCs w:val="20"/>
          <w:color w:val="auto"/>
        </w:rPr>
      </w:pPr>
    </w:p>
    <w:p>
      <w:pPr>
        <w:ind w:firstLine="761"/>
        <w:spacing w:after="0" w:line="250" w:lineRule="auto"/>
        <w:rPr>
          <w:sz w:val="20"/>
          <w:szCs w:val="20"/>
          <w:color w:val="auto"/>
        </w:rPr>
      </w:pPr>
      <w:r>
        <w:rPr>
          <w:rFonts w:ascii="Arial" w:cs="Arial" w:eastAsia="Arial" w:hAnsi="Arial"/>
          <w:sz w:val="18"/>
          <w:szCs w:val="18"/>
          <w:color w:val="auto"/>
        </w:rPr>
        <w:t>In February 2016, the FASB issued, ASU 2016-02</w:t>
      </w:r>
      <w:r>
        <w:rPr>
          <w:rFonts w:ascii="Arial" w:cs="Arial" w:eastAsia="Arial" w:hAnsi="Arial"/>
          <w:sz w:val="18"/>
          <w:szCs w:val="18"/>
          <w:i w:val="1"/>
          <w:iCs w:val="1"/>
          <w:color w:val="auto"/>
        </w:rPr>
        <w:t>, Leases (Topic 842)</w:t>
      </w:r>
      <w:r>
        <w:rPr>
          <w:rFonts w:ascii="Arial" w:cs="Arial" w:eastAsia="Arial" w:hAnsi="Arial"/>
          <w:sz w:val="18"/>
          <w:szCs w:val="18"/>
          <w:color w:val="auto"/>
        </w:rPr>
        <w:t>, which amends the accounting guidance on leases. The new standard requires a lessee to recognize right-of-use assets and lease obligations on the balance sheet for most lease agreements. The Company adopted Topic 842 as of January 1, 2020 using the modified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retrospective approach with a cumulative-effect adjustment to opening retained earnings (accumulated deficit) with no restatement of comparative periods. Upon adoption, the Company recognized $18.4 million of operating lease liabilities and $17.4 million of operating lease right-of-use assets. The adoption of Topic 842 did not result in a cumulative effect adjustment to accumulated deficit.</w:t>
      </w:r>
    </w:p>
    <w:p>
      <w:pPr>
        <w:spacing w:after="0" w:line="170" w:lineRule="exact"/>
        <w:rPr>
          <w:sz w:val="20"/>
          <w:szCs w:val="20"/>
          <w:color w:val="auto"/>
        </w:rPr>
      </w:pPr>
    </w:p>
    <w:p>
      <w:pPr>
        <w:ind w:right="220" w:firstLine="761"/>
        <w:spacing w:after="0" w:line="242"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for Fair Value Measurement, </w:t>
      </w:r>
      <w:r>
        <w:rPr>
          <w:rFonts w:ascii="Arial" w:cs="Arial" w:eastAsia="Arial" w:hAnsi="Arial"/>
          <w:sz w:val="18"/>
          <w:szCs w:val="18"/>
          <w:color w:val="auto"/>
        </w:rPr>
        <w:t>related to updated requirements over the disclosures of fair value measurements.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ASU 2018-13, certain disclosure requirements for fair value measurements were eliminated, modified or added to facilitate better disclosure regarding recurring and non-recurring fair value measurements. The Company adopted the guidance on January 1, 2020 which did not have a material impact on the Company’s consolidated financial statements and related disclosures.</w:t>
      </w:r>
    </w:p>
    <w:p>
      <w:pPr>
        <w:spacing w:after="0" w:line="170" w:lineRule="exact"/>
        <w:rPr>
          <w:sz w:val="20"/>
          <w:szCs w:val="20"/>
          <w:color w:val="auto"/>
        </w:rPr>
      </w:pPr>
    </w:p>
    <w:p>
      <w:pPr>
        <w:ind w:right="100" w:firstLine="761"/>
        <w:spacing w:after="0" w:line="242"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amends the guidance on the impairment of financial instruments by requiring measurement and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for most financial assets, including trade receivables, and other instruments that are not measured at fair value through net income. The Company adopted the guidance on January 1, 2020 which did not have a material impact on the Company’s consolidated financial statements and related disclosures.</w:t>
      </w:r>
    </w:p>
    <w:p>
      <w:pPr>
        <w:spacing w:after="0" w:line="170" w:lineRule="exact"/>
        <w:rPr>
          <w:sz w:val="20"/>
          <w:szCs w:val="20"/>
          <w:color w:val="auto"/>
        </w:rPr>
      </w:pPr>
    </w:p>
    <w:p>
      <w:pPr>
        <w:jc w:val="both"/>
        <w:ind w:right="60" w:firstLine="761"/>
        <w:spacing w:after="0" w:line="242"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w:t>
      </w:r>
      <w:r>
        <w:rPr>
          <w:rFonts w:ascii="Arial" w:cs="Arial" w:eastAsia="Arial" w:hAnsi="Arial"/>
          <w:sz w:val="18"/>
          <w:szCs w:val="18"/>
          <w:i w:val="1"/>
          <w:iCs w:val="1"/>
          <w:color w:val="auto"/>
        </w:rPr>
        <w:t>es</w:t>
      </w:r>
      <w:r>
        <w:rPr>
          <w:rFonts w:ascii="Arial" w:cs="Arial" w:eastAsia="Arial" w:hAnsi="Arial"/>
          <w:sz w:val="18"/>
          <w:szCs w:val="18"/>
          <w:color w:val="auto"/>
        </w:rPr>
        <w:t>, which enhances and simplifies various aspects of the income tax accounting guidance including the elimination of certain exceptions related to the approach for intraperiod tax allocation, the methodology for calculating income taxes in an interim period and the recognition of deferred tax liabilities for outside basis differences. The Company adopted the guidance on January 1, 2021 which did not have a material impact on the Company’s consolidated financial statements and related disclosures.</w:t>
      </w:r>
    </w:p>
    <w:p>
      <w:pPr>
        <w:spacing w:after="0" w:line="170"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w:t>
      </w:r>
      <w:r>
        <w:rPr>
          <w:rFonts w:ascii="Arial" w:cs="Arial" w:eastAsia="Arial" w:hAnsi="Arial"/>
          <w:sz w:val="17"/>
          <w:szCs w:val="17"/>
          <w:color w:val="auto"/>
        </w:rPr>
        <w:t xml:space="preserve"> – </w:t>
      </w:r>
      <w:r>
        <w:rPr>
          <w:rFonts w:ascii="Arial" w:cs="Arial" w:eastAsia="Arial" w:hAnsi="Arial"/>
          <w:sz w:val="17"/>
          <w:szCs w:val="17"/>
          <w:i w:val="1"/>
          <w:iCs w:val="1"/>
          <w:color w:val="auto"/>
        </w:rPr>
        <w:t>Debt with Conversion and Other Options (Subtopic 470-20) and 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Hedging </w:t>
      </w:r>
      <w:r>
        <w:rPr>
          <w:rFonts w:ascii="Arial" w:cs="Arial" w:eastAsia="Arial" w:hAnsi="Arial"/>
          <w:sz w:val="17"/>
          <w:szCs w:val="17"/>
          <w:color w:val="auto"/>
        </w:rPr>
        <w:t>–</w:t>
      </w:r>
      <w:r>
        <w:rPr>
          <w:rFonts w:ascii="Arial" w:cs="Arial" w:eastAsia="Arial" w:hAnsi="Arial"/>
          <w:sz w:val="17"/>
          <w:szCs w:val="17"/>
          <w:i w:val="1"/>
          <w:iCs w:val="1"/>
          <w:color w:val="auto"/>
        </w:rPr>
        <w:t xml:space="preserve"> Contracts in Entity’s Own Equity (Subtopic 815-40): Accounting for Convertible Instruments and Contracts in an Entity’s Own</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i w:val="1"/>
          <w:iCs w:val="1"/>
          <w:color w:val="auto"/>
        </w:rPr>
        <w:t>Equity</w:t>
      </w:r>
      <w:r>
        <w:rPr>
          <w:rFonts w:ascii="Arial" w:cs="Arial" w:eastAsia="Arial" w:hAnsi="Arial"/>
          <w:sz w:val="18"/>
          <w:szCs w:val="18"/>
          <w:color w:val="auto"/>
        </w:rPr>
        <w:t>, which simplifies the issuer’s accounting for convertible debt instruments and amended certain guidance related to the computation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share for convertible instruments and contracts in an entity’s own equity. The Company early adopted the new guidance effective January 1, 2021. There was no impact on the date of adoption. During the year ended December 31, 2021, the Company issued convertible notes. Refer to Note 13 – Long Term Debt for further discussion.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202" w:lineRule="exact"/>
        <w:rPr>
          <w:sz w:val="20"/>
          <w:szCs w:val="20"/>
          <w:color w:val="auto"/>
        </w:rPr>
      </w:pPr>
    </w:p>
    <w:p>
      <w:pPr>
        <w:ind w:right="20" w:firstLine="761"/>
        <w:spacing w:after="0" w:line="242"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w:t>
      </w:r>
      <w:r>
        <w:rPr>
          <w:rFonts w:ascii="Arial" w:cs="Arial" w:eastAsia="Arial" w:hAnsi="Arial"/>
          <w:sz w:val="18"/>
          <w:szCs w:val="18"/>
          <w:color w:val="auto"/>
        </w:rPr>
        <w:t>, which requires contract assets and contract liabilities acquired in a business combination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accordance with Topic 606 as if the acquirer had originated the contracts. The guidance will be effective for fiscal years beginning after December 15, 2022, including interim periods within those fiscal years, with early adoption permitted. The adoption of ASU 2021-08 will not result in a material change to the Company’s consolidated financial statements and related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0"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The Company recognizes revenue upon transfer of control of goods or services to customers, in an amount that reflects the consideration to which the Company expects to be entitled in exchange for those goods or services. The Company may collect sales taxes and other taxes and government fees from customers on behalf of governmental authorities at the time of sale as required. These taxes are accounted for on a net basis and are not included in revenues or cost of sales.</w:t>
      </w:r>
    </w:p>
    <w:p>
      <w:pPr>
        <w:spacing w:after="0" w:line="190" w:lineRule="exact"/>
        <w:rPr>
          <w:sz w:val="20"/>
          <w:szCs w:val="20"/>
          <w:color w:val="auto"/>
        </w:rPr>
      </w:pPr>
    </w:p>
    <w:p>
      <w:pPr>
        <w:ind w:right="540" w:firstLine="761"/>
        <w:spacing w:after="0" w:line="245" w:lineRule="auto"/>
        <w:rPr>
          <w:sz w:val="20"/>
          <w:szCs w:val="20"/>
          <w:color w:val="auto"/>
        </w:rPr>
      </w:pPr>
      <w:r>
        <w:rPr>
          <w:rFonts w:ascii="Arial" w:cs="Arial" w:eastAsia="Arial" w:hAnsi="Arial"/>
          <w:sz w:val="18"/>
          <w:szCs w:val="18"/>
          <w:color w:val="auto"/>
        </w:rPr>
        <w:t>The Company’s revenue is disaggregated within the consolidated statements of operations and is generated from customers throughout the United States.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220"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The Company sells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 vehicles represent non-cash consideration which the Company measures at fair value based on external and internal 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and document fees stated within the customer contract. Revenue excludes any sales taxes, title and registration fees, and other government fees that are collected from customers.</w:t>
      </w:r>
    </w:p>
    <w:p>
      <w:pPr>
        <w:spacing w:after="0" w:line="192" w:lineRule="exact"/>
        <w:rPr>
          <w:sz w:val="20"/>
          <w:szCs w:val="20"/>
          <w:color w:val="auto"/>
        </w:rPr>
      </w:pPr>
    </w:p>
    <w:p>
      <w:pPr>
        <w:jc w:val="both"/>
        <w:ind w:right="100" w:firstLine="761"/>
        <w:spacing w:after="0"/>
        <w:rPr>
          <w:sz w:val="20"/>
          <w:szCs w:val="20"/>
          <w:color w:val="auto"/>
        </w:rPr>
      </w:pPr>
      <w:r>
        <w:rPr>
          <w:rFonts w:ascii="Arial" w:cs="Arial" w:eastAsia="Arial" w:hAnsi="Arial"/>
          <w:sz w:val="18"/>
          <w:szCs w:val="18"/>
          <w:color w:val="auto"/>
        </w:rPr>
        <w:t>The Company receives payment for used vehicle sales directly from the customer at the time of sale or arranges financing within a short period of time following the sale. Payments received prior to delivery or pick-up at the TDA retail location of used vehicles are recorded as “Deferred revenue” within the consolidated balance sheets.</w:t>
      </w:r>
    </w:p>
    <w:p>
      <w:pPr>
        <w:spacing w:after="0" w:line="188" w:lineRule="exact"/>
        <w:rPr>
          <w:sz w:val="20"/>
          <w:szCs w:val="20"/>
          <w:color w:val="auto"/>
        </w:rPr>
      </w:pPr>
    </w:p>
    <w:p>
      <w:pPr>
        <w:ind w:right="220" w:firstLine="761"/>
        <w:spacing w:after="0"/>
        <w:rPr>
          <w:sz w:val="20"/>
          <w:szCs w:val="20"/>
          <w:color w:val="auto"/>
        </w:rPr>
      </w:pPr>
      <w:r>
        <w:rPr>
          <w:rFonts w:ascii="Arial" w:cs="Arial" w:eastAsia="Arial" w:hAnsi="Arial"/>
          <w:sz w:val="18"/>
          <w:szCs w:val="18"/>
          <w:color w:val="auto"/>
        </w:rPr>
        <w:t>The Company offers a return program for used vehicle sales and establishes a provision for estimated returns based on historical information and current trends. The reserve for estimated returns is presented gross on the consolidated balance sheets, with an asset recorded in “Prepaid expenses and other current assets” and a refund liability recorded in “Other current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220" w:lineRule="exact"/>
        <w:rPr>
          <w:sz w:val="20"/>
          <w:szCs w:val="20"/>
          <w:color w:val="auto"/>
        </w:rPr>
      </w:pPr>
    </w:p>
    <w:p>
      <w:pPr>
        <w:ind w:right="40" w:firstLine="761"/>
        <w:spacing w:after="0" w:line="237" w:lineRule="auto"/>
        <w:rPr>
          <w:sz w:val="20"/>
          <w:szCs w:val="20"/>
          <w:color w:val="auto"/>
        </w:rPr>
      </w:pPr>
      <w:r>
        <w:rPr>
          <w:rFonts w:ascii="Arial" w:cs="Arial" w:eastAsia="Arial" w:hAnsi="Arial"/>
          <w:sz w:val="18"/>
          <w:szCs w:val="18"/>
          <w:color w:val="auto"/>
        </w:rPr>
        <w:t>The Company sells vehicles that do not meet its retail sales criteria through wholesale channels. Vehicles sold through wholesale channels are acquired from customers who trade-in their vehicles when making a purchase from the Company, from customers who sell their vehicles to the Company in direct-buy transactions, and from liquidation of vehicles previously listed for retail sale. The transaction price for wholesale vehicles is a fixed amount. The Company satisfies its performance obligation and recognizes revenue for wholesale vehicle sales at a point in time when the vehicle is sold. The transaction price is typically due and collected within a short period of time following the vehicle sales.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0" w:lineRule="exact"/>
        <w:rPr>
          <w:sz w:val="20"/>
          <w:szCs w:val="20"/>
          <w:color w:val="auto"/>
        </w:rPr>
      </w:pPr>
    </w:p>
    <w:p>
      <w:pPr>
        <w:ind w:right="20" w:firstLine="761"/>
        <w:spacing w:after="0" w:line="245" w:lineRule="auto"/>
        <w:rPr>
          <w:sz w:val="20"/>
          <w:szCs w:val="20"/>
          <w:color w:val="auto"/>
        </w:rPr>
      </w:pPr>
      <w:r>
        <w:rPr>
          <w:rFonts w:ascii="Arial" w:cs="Arial" w:eastAsia="Arial" w:hAnsi="Arial"/>
          <w:sz w:val="18"/>
          <w:szCs w:val="18"/>
          <w:color w:val="auto"/>
        </w:rPr>
        <w:t>The Company’s product revenue consists of fees earned on selling third-party financing, financing vehicle sales through UACC, and sales of value-added products, such as vehicle service contracts, guaranteed asset protection (“GAP”) and tire and wheel coverage.</w:t>
      </w:r>
    </w:p>
    <w:p>
      <w:pPr>
        <w:spacing w:after="0" w:line="184" w:lineRule="exact"/>
        <w:rPr>
          <w:sz w:val="20"/>
          <w:szCs w:val="20"/>
          <w:color w:val="auto"/>
        </w:rPr>
      </w:pPr>
    </w:p>
    <w:p>
      <w:pPr>
        <w:ind w:right="60" w:firstLine="761"/>
        <w:spacing w:after="0" w:line="238" w:lineRule="auto"/>
        <w:rPr>
          <w:sz w:val="20"/>
          <w:szCs w:val="20"/>
          <w:color w:val="auto"/>
        </w:rPr>
      </w:pPr>
      <w:r>
        <w:rPr>
          <w:rFonts w:ascii="Arial" w:cs="Arial" w:eastAsia="Arial" w:hAnsi="Arial"/>
          <w:sz w:val="18"/>
          <w:szCs w:val="18"/>
          <w:color w:val="auto"/>
        </w:rPr>
        <w:t>The Company sells third-party financing and value-added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p>
    <w:p>
      <w:pPr>
        <w:spacing w:after="0" w:line="190" w:lineRule="exact"/>
        <w:rPr>
          <w:sz w:val="20"/>
          <w:szCs w:val="20"/>
          <w:color w:val="auto"/>
        </w:rPr>
      </w:pPr>
    </w:p>
    <w:p>
      <w:pPr>
        <w:ind w:right="380" w:firstLine="761"/>
        <w:spacing w:after="0" w:line="237" w:lineRule="auto"/>
        <w:rPr>
          <w:sz w:val="20"/>
          <w:szCs w:val="20"/>
          <w:color w:val="auto"/>
        </w:rPr>
      </w:pPr>
      <w:r>
        <w:rPr>
          <w:rFonts w:ascii="Arial" w:cs="Arial" w:eastAsia="Arial" w:hAnsi="Arial"/>
          <w:sz w:val="18"/>
          <w:szCs w:val="18"/>
          <w:color w:val="auto"/>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p>
    <w:p>
      <w:pPr>
        <w:spacing w:after="0" w:line="192" w:lineRule="exact"/>
        <w:rPr>
          <w:sz w:val="20"/>
          <w:szCs w:val="20"/>
          <w:color w:val="auto"/>
        </w:rPr>
      </w:pPr>
    </w:p>
    <w:p>
      <w:pPr>
        <w:ind w:right="80" w:firstLine="761"/>
        <w:spacing w:after="0" w:line="236" w:lineRule="auto"/>
        <w:rPr>
          <w:sz w:val="20"/>
          <w:szCs w:val="20"/>
          <w:color w:val="auto"/>
        </w:rPr>
      </w:pPr>
      <w:r>
        <w:rPr>
          <w:rFonts w:ascii="Arial" w:cs="Arial" w:eastAsia="Arial" w:hAnsi="Arial"/>
          <w:sz w:val="18"/>
          <w:szCs w:val="18"/>
          <w:color w:val="auto"/>
        </w:rPr>
        <w:t>A portion of the fees earned on third-party financing and value-added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December 31, 2022 and December 31, 2021, the Company’s reserve for chargebacks was $8.2 million and $9.6 million, respectively, of which $4.4 million and $5.5 million, respectively, are included within “Accrued expenses” and $3.8 million and $4.1 million, respectively, are included in “Other long-term liabilities.”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revenues in the period identified. As of December 31, 2022 and December 31, 2021, the Company recognized $22.5 million and $17.9 million, respectively, related to cumulative profit-sharing payments to which it expects to be entitled, of which $1.6 million and $0.9 million, respectively, are included within “Prepaid expenses and other current assets” and $20.9 million and $17.0 million, respectively, are included within “Other assets.”</w:t>
      </w:r>
    </w:p>
    <w:p>
      <w:pPr>
        <w:spacing w:after="0" w:line="192"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As a result of the UACC Acquisition (as defined below), the Company also generates ecommerce product revenue by providing Vroom customers with automotive financing solutions through its captive financing operation. The Company earns interest income on finance receivables before they are sold and proceeds from the sale of finance receivables originated by UACC for Vroom customers in securitization transactions. Refer to Note 4 – Variable Interest Entities and Securitizations.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Revenue</w:t>
      </w:r>
    </w:p>
    <w:p>
      <w:pPr>
        <w:spacing w:after="0" w:line="220"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The Company’s finance revenue consists of gain on the sales of finance receivables acquired by UACC from its network of third-party dealership customers, interest income earned on finance receivables held for sale, as well as interest income earned on finance receivables held in consolidated VIEs related to UACC securitization transactions consummated prior to the Acquisition Date. Refer to Note 4 – Variable Interest Entities and Securitizations.</w:t>
      </w:r>
    </w:p>
    <w:p>
      <w:pPr>
        <w:spacing w:after="0" w:line="19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Interest income deemed uncollectible is reversed at the time the finance receivable is charged off. An account is considered delinquent if a scheduled payment has not been received by the date such payment was contractually due. Finance receivables over 90 days delinquent are considered nonaccrual finance receivables. Income is subsequently recognized only to the extent cash payments are received until the borrower is able to make periodic interest and principal payments in accordance with the finance receivable terms. Late charges and other fees are calculated at predetermined amounts or percentages of overdue finance receivable balances and are recorded on a cash basis.</w:t>
      </w:r>
    </w:p>
    <w:p>
      <w:pPr>
        <w:spacing w:after="0" w:line="189"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Servicing income represents the annual fees earned on the outstanding principal balance of the finance receivables serviced. Fees are earned monthly at an annual rate of approximately 4% for the United Auto Credit 2022-1 securitization transaction and 3.25% for the 2022-2 securitization transaction of the outstanding principal balance of the finance receivables serviced.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20"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Company has elected, as a practical expedient, to expense sales commissions when incurred because the amortization period would have been less than one year. These costs are recorded within “Selling, general and administrative expenses” in the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Variable Interest Entities and Securitizations</w:t>
      </w:r>
    </w:p>
    <w:p>
      <w:pPr>
        <w:spacing w:after="0" w:line="220" w:lineRule="exact"/>
        <w:rPr>
          <w:sz w:val="20"/>
          <w:szCs w:val="20"/>
          <w:color w:val="auto"/>
        </w:rPr>
      </w:pPr>
    </w:p>
    <w:p>
      <w:pPr>
        <w:ind w:right="60" w:firstLine="761"/>
        <w:spacing w:after="0" w:line="236" w:lineRule="auto"/>
        <w:rPr>
          <w:sz w:val="20"/>
          <w:szCs w:val="20"/>
          <w:color w:val="auto"/>
        </w:rPr>
      </w:pPr>
      <w:r>
        <w:rPr>
          <w:rFonts w:ascii="Arial" w:cs="Arial" w:eastAsia="Arial" w:hAnsi="Arial"/>
          <w:sz w:val="18"/>
          <w:szCs w:val="18"/>
          <w:color w:val="auto"/>
        </w:rPr>
        <w:t>A VIE is an entity that either (i) has insufficient equity to finance its activities without additional subordinated financial support, or (ii) has equity investors who lack the characteristics of a controlling financial interest. The Company consolidates VIEs for which it is the primary beneficiary. The Company is the primary beneficiary of a VIE when it has both the power to direct the activities that most significantly impact the entity’s economic performance and the obligation to absorb losses or the right to receive benefits from the entity that could potentially be significant to the VIE. Assets recognized as a result of consolidating VIEs do not represent additional assets that could be used to satisfy claims against the Company's general assets. Liabilities recognized as a result of consolidating VIEs do not represent additional claims on the Company's general assets, rather they represent claims against the specific assets of the consolidated VIEs.</w:t>
      </w:r>
    </w:p>
    <w:p>
      <w:pPr>
        <w:spacing w:after="0" w:line="193" w:lineRule="exact"/>
        <w:rPr>
          <w:sz w:val="20"/>
          <w:szCs w:val="20"/>
          <w:color w:val="auto"/>
        </w:rPr>
      </w:pPr>
    </w:p>
    <w:p>
      <w:pPr>
        <w:ind w:right="680" w:firstLine="761"/>
        <w:spacing w:after="0" w:line="245" w:lineRule="auto"/>
        <w:rPr>
          <w:sz w:val="20"/>
          <w:szCs w:val="20"/>
          <w:color w:val="auto"/>
        </w:rPr>
      </w:pPr>
      <w:r>
        <w:rPr>
          <w:rFonts w:ascii="Arial" w:cs="Arial" w:eastAsia="Arial" w:hAnsi="Arial"/>
          <w:sz w:val="18"/>
          <w:szCs w:val="18"/>
          <w:color w:val="auto"/>
        </w:rPr>
        <w:t>UACC has the power to direct significant activities of its VIEs when it has the ability to exercise discretion in the servicing of financial assets or control investment decisions. UACC generally retains a portion of the economic interests in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600"/>
        <w:spacing w:after="0" w:line="245" w:lineRule="auto"/>
        <w:rPr>
          <w:sz w:val="20"/>
          <w:szCs w:val="20"/>
          <w:color w:val="auto"/>
        </w:rPr>
      </w:pPr>
      <w:r>
        <w:rPr>
          <w:rFonts w:ascii="Arial" w:cs="Arial" w:eastAsia="Arial" w:hAnsi="Arial"/>
          <w:sz w:val="18"/>
          <w:szCs w:val="18"/>
          <w:color w:val="auto"/>
        </w:rPr>
        <w:t>UACC-sponsored asset-backed securitization transactions, which could be retained in the form of a portion of the senior interests, the subordinated interests, residual interests, or servicing rights.</w:t>
      </w:r>
    </w:p>
    <w:p>
      <w:pPr>
        <w:spacing w:after="0" w:line="184" w:lineRule="exact"/>
        <w:rPr>
          <w:sz w:val="20"/>
          <w:szCs w:val="20"/>
          <w:color w:val="auto"/>
        </w:rPr>
      </w:pPr>
    </w:p>
    <w:p>
      <w:pPr>
        <w:jc w:val="both"/>
        <w:ind w:right="120" w:firstLine="761"/>
        <w:spacing w:after="0"/>
        <w:rPr>
          <w:sz w:val="20"/>
          <w:szCs w:val="20"/>
          <w:color w:val="auto"/>
        </w:rPr>
      </w:pPr>
      <w:r>
        <w:rPr>
          <w:rFonts w:ascii="Arial" w:cs="Arial" w:eastAsia="Arial" w:hAnsi="Arial"/>
          <w:sz w:val="18"/>
          <w:szCs w:val="18"/>
          <w:color w:val="auto"/>
        </w:rPr>
        <w:t>UACC has developed a securitization program that involves selling finance receivables to securitization trusts through the private issuance of asset-backed securities which are collateralized by the finance receivables. UACC establishes and sponsors these transactions which create and pass along risks to the variable interest holders, specifically, consumer credit risk and pre-payment risk.</w:t>
      </w:r>
    </w:p>
    <w:p>
      <w:pPr>
        <w:spacing w:after="0" w:line="188" w:lineRule="exact"/>
        <w:rPr>
          <w:sz w:val="20"/>
          <w:szCs w:val="20"/>
          <w:color w:val="auto"/>
        </w:rPr>
      </w:pPr>
    </w:p>
    <w:p>
      <w:pPr>
        <w:jc w:val="both"/>
        <w:ind w:right="20" w:firstLine="761"/>
        <w:spacing w:after="0"/>
        <w:rPr>
          <w:sz w:val="20"/>
          <w:szCs w:val="20"/>
          <w:color w:val="auto"/>
        </w:rPr>
      </w:pPr>
      <w:r>
        <w:rPr>
          <w:rFonts w:ascii="Arial" w:cs="Arial" w:eastAsia="Arial" w:hAnsi="Arial"/>
          <w:sz w:val="18"/>
          <w:szCs w:val="18"/>
          <w:color w:val="auto"/>
        </w:rPr>
        <w:t>The securitization trusts established in connection with asset-backed securitization transactions are VIEs. For each VIE that UACC establishes in its role as sponsor of securitization transactions, the Company performs an analysis to determine if it is the primary beneficiary of the VIE.</w:t>
      </w:r>
    </w:p>
    <w:p>
      <w:pPr>
        <w:spacing w:after="0" w:line="188"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For all securitization transactions consummated prior to the Acquisition Date, the Company consolidated VIEs and accounted for these transactions as secured borrowings. In September 2022, UACC exercised its option to repurchase the 2020-1 securitization debt. As a result, the securitization trust was dissolved and the VIE is no longer being consolidated by the Company. UACC is the primary beneficiary of the United Auto Credit 2021-1 securitization trust, as it has both the power to direct the activities that most significantly impact the entity’s economic performance and the obligation to absorb losses or the right to receive benefits from the entity that could potentially be significant to the VIE. UACC also retained a portion of the economic interests in the 2021-1 asset-backed securitization transaction, in the form of residual interests in accordance with Regulation RR of the Dodd-Frank Wall Street Reform and Consumer Protection Act of 2010 (the "Risk Retention Rules"). The Risk Retention Rules require the Company to retain at least 5% of the beneficial interests issued by the securitization trusts. Refer to Note 13 – Long Term Debt for further details.</w:t>
      </w:r>
    </w:p>
    <w:p>
      <w:pPr>
        <w:spacing w:after="0" w:line="191" w:lineRule="exact"/>
        <w:rPr>
          <w:sz w:val="20"/>
          <w:szCs w:val="20"/>
          <w:color w:val="auto"/>
        </w:rPr>
      </w:pPr>
    </w:p>
    <w:p>
      <w:pPr>
        <w:ind w:right="140" w:firstLine="761"/>
        <w:spacing w:after="0" w:line="237" w:lineRule="auto"/>
        <w:rPr>
          <w:sz w:val="20"/>
          <w:szCs w:val="20"/>
          <w:color w:val="auto"/>
        </w:rPr>
      </w:pPr>
      <w:r>
        <w:rPr>
          <w:rFonts w:ascii="Arial" w:cs="Arial" w:eastAsia="Arial" w:hAnsi="Arial"/>
          <w:sz w:val="18"/>
          <w:szCs w:val="18"/>
          <w:color w:val="auto"/>
        </w:rPr>
        <w:t>The VIE model allows for a measurement alternative when a reporting entity elects the fair value option and consolidates a collateralized financing entity (“CFE”). This measurement alternative eliminates the accounting mismatch that may arise from measurement differences between the CFE’s financial assets and third-party financial liabilities in earnings and attributes those earnings to the controlling equity interest in the consolidated income statement. The 2021-1 securitization trust consolidated by UACC meets the definition of a CFE, therefore, the Company has elected to apply the measurement alternative when consolidating this VIE. Refer to Note 17 – Financial Instruments and Fair Value Measurements for further detail.</w:t>
      </w:r>
    </w:p>
    <w:p>
      <w:pPr>
        <w:spacing w:after="0" w:line="189" w:lineRule="exact"/>
        <w:rPr>
          <w:sz w:val="20"/>
          <w:szCs w:val="20"/>
          <w:color w:val="auto"/>
        </w:rPr>
      </w:pPr>
    </w:p>
    <w:p>
      <w:pPr>
        <w:jc w:val="both"/>
        <w:ind w:right="140" w:firstLine="761"/>
        <w:spacing w:after="0" w:line="248" w:lineRule="auto"/>
        <w:rPr>
          <w:sz w:val="20"/>
          <w:szCs w:val="20"/>
          <w:color w:val="auto"/>
        </w:rPr>
      </w:pPr>
      <w:r>
        <w:rPr>
          <w:rFonts w:ascii="Arial" w:cs="Arial" w:eastAsia="Arial" w:hAnsi="Arial"/>
          <w:sz w:val="17"/>
          <w:szCs w:val="17"/>
          <w:color w:val="auto"/>
        </w:rPr>
        <w:t>UACC has four senior secured warehouse credit facilities. Through trusts, UACC entered into warehouse facility agreements with certain banking institutions, primarily to finance the purchase and origination of finance receivables as well as to provide funding for general operating activities. These trusts are secured by eligible finance receivables which are pledged as collateral for the warehouse facilities.</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These trusts are consolidated VIEs. Refer to Note 11 – Warehouse Credit Facilities of Consolidated VIEs for further details on the warehouse facilities.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both"/>
        <w:ind w:right="20" w:firstLine="764"/>
        <w:spacing w:after="0"/>
        <w:rPr>
          <w:sz w:val="20"/>
          <w:szCs w:val="20"/>
          <w:color w:val="auto"/>
        </w:rPr>
      </w:pPr>
      <w:r>
        <w:rPr>
          <w:rFonts w:ascii="Arial" w:cs="Arial" w:eastAsia="Arial" w:hAnsi="Arial"/>
          <w:sz w:val="18"/>
          <w:szCs w:val="18"/>
          <w:color w:val="auto"/>
        </w:rPr>
        <w:t>Creditors or beneficial interest holders of VIEs for which the Company is the primary beneficiary generally have recourse only to the assets and cash flows of the VIEs and do not have recourse to the Company. The following table presents the total assets and total liabilities associated with the Company's variable interests in consolidated VIEs, as classified in the consolidated balance sheets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As of December 31, 2022</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2"/>
        </w:trPr>
        <w:tc>
          <w:tcPr>
            <w:tcW w:w="5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rPr>
              <w:t>Warehouse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596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Securitization Vehicles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480"/>
              <w:spacing w:after="0" w:line="203" w:lineRule="exact"/>
              <w:rPr>
                <w:sz w:val="20"/>
                <w:szCs w:val="20"/>
                <w:color w:val="auto"/>
              </w:rPr>
            </w:pPr>
            <w:r>
              <w:rPr>
                <w:rFonts w:ascii="Arial" w:cs="Arial" w:eastAsia="Arial" w:hAnsi="Arial"/>
                <w:sz w:val="14"/>
                <w:szCs w:val="14"/>
                <w:b w:val="1"/>
                <w:bCs w:val="1"/>
                <w:color w:val="auto"/>
                <w:w w:val="98"/>
              </w:rPr>
              <w:t>Facilities</w:t>
            </w:r>
            <w:r>
              <w:rPr>
                <w:rFonts w:ascii="Arial" w:cs="Arial" w:eastAsia="Arial" w:hAnsi="Arial"/>
                <w:sz w:val="19"/>
                <w:szCs w:val="19"/>
                <w:b w:val="1"/>
                <w:bCs w:val="1"/>
                <w:color w:val="auto"/>
                <w:w w:val="98"/>
                <w:vertAlign w:val="superscript"/>
              </w:rPr>
              <w:t>1</w:t>
            </w:r>
          </w:p>
        </w:tc>
        <w:tc>
          <w:tcPr>
            <w:tcW w:w="340" w:type="dxa"/>
            <w:vAlign w:val="bottom"/>
          </w:tcPr>
          <w:p>
            <w:pPr>
              <w:spacing w:after="0"/>
              <w:rPr>
                <w:sz w:val="17"/>
                <w:szCs w:val="17"/>
                <w:color w:val="auto"/>
              </w:rPr>
            </w:pPr>
          </w:p>
        </w:tc>
        <w:tc>
          <w:tcPr>
            <w:tcW w:w="114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6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640" w:type="dxa"/>
            <w:vAlign w:val="bottom"/>
          </w:tcPr>
          <w:p>
            <w:pPr>
              <w:jc w:val="right"/>
              <w:ind w:right="434"/>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9,023</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15,654</w:t>
            </w:r>
          </w:p>
        </w:tc>
        <w:tc>
          <w:tcPr>
            <w:tcW w:w="2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24,677</w:t>
            </w:r>
          </w:p>
        </w:tc>
        <w:tc>
          <w:tcPr>
            <w:tcW w:w="100" w:type="dxa"/>
            <w:vAlign w:val="bottom"/>
          </w:tcPr>
          <w:p>
            <w:pPr>
              <w:spacing w:after="0"/>
              <w:rPr>
                <w:sz w:val="19"/>
                <w:szCs w:val="19"/>
                <w:color w:val="auto"/>
              </w:rPr>
            </w:pPr>
          </w:p>
        </w:tc>
      </w:tr>
      <w:tr>
        <w:trPr>
          <w:trHeight w:val="229"/>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11,492</w:t>
            </w: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Finance receivables held for sale</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305,917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305,917</w:t>
            </w:r>
          </w:p>
        </w:tc>
        <w:tc>
          <w:tcPr>
            <w:tcW w:w="100" w:type="dxa"/>
            <w:vAlign w:val="bottom"/>
          </w:tcPr>
          <w:p>
            <w:pPr>
              <w:spacing w:after="0"/>
              <w:rPr>
                <w:sz w:val="19"/>
                <w:szCs w:val="19"/>
                <w:color w:val="auto"/>
              </w:rPr>
            </w:pPr>
          </w:p>
        </w:tc>
      </w:tr>
      <w:tr>
        <w:trPr>
          <w:trHeight w:val="229"/>
        </w:trPr>
        <w:tc>
          <w:tcPr>
            <w:tcW w:w="5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15,156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329,288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344,444</w:t>
            </w:r>
          </w:p>
        </w:tc>
        <w:tc>
          <w:tcPr>
            <w:tcW w:w="100" w:type="dxa"/>
            <w:vAlign w:val="bottom"/>
          </w:tcPr>
          <w:p>
            <w:pPr>
              <w:spacing w:after="0"/>
              <w:rPr>
                <w:sz w:val="19"/>
                <w:szCs w:val="19"/>
                <w:color w:val="auto"/>
              </w:rPr>
            </w:pPr>
          </w:p>
        </w:tc>
      </w:tr>
      <w:tr>
        <w:trPr>
          <w:trHeight w:val="229"/>
        </w:trPr>
        <w:tc>
          <w:tcPr>
            <w:tcW w:w="5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72,568</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47,024</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640" w:type="dxa"/>
            <w:vAlign w:val="bottom"/>
          </w:tcPr>
          <w:p>
            <w:pPr>
              <w:jc w:val="right"/>
              <w:ind w:right="434"/>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87,724</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376,312</w:t>
            </w:r>
          </w:p>
        </w:tc>
        <w:tc>
          <w:tcPr>
            <w:tcW w:w="2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464,036</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6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Current portion of securitization debt</w:t>
            </w:r>
          </w:p>
        </w:tc>
        <w:tc>
          <w:tcPr>
            <w:tcW w:w="640" w:type="dxa"/>
            <w:vAlign w:val="bottom"/>
          </w:tcPr>
          <w:p>
            <w:pPr>
              <w:jc w:val="right"/>
              <w:ind w:right="434"/>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47,239</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47,239</w:t>
            </w:r>
          </w:p>
        </w:tc>
        <w:tc>
          <w:tcPr>
            <w:tcW w:w="100" w:type="dxa"/>
            <w:vAlign w:val="bottom"/>
          </w:tcPr>
          <w:p>
            <w:pPr>
              <w:spacing w:after="0"/>
              <w:rPr>
                <w:sz w:val="19"/>
                <w:szCs w:val="19"/>
                <w:color w:val="auto"/>
              </w:rPr>
            </w:pPr>
          </w:p>
        </w:tc>
      </w:tr>
      <w:tr>
        <w:trPr>
          <w:trHeight w:val="229"/>
        </w:trPr>
        <w:tc>
          <w:tcPr>
            <w:tcW w:w="5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Warehouse credit facilities</w:t>
            </w: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229,518</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47,239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229,518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276,757</w:t>
            </w:r>
          </w:p>
        </w:tc>
        <w:tc>
          <w:tcPr>
            <w:tcW w:w="100" w:type="dxa"/>
            <w:vAlign w:val="bottom"/>
          </w:tcPr>
          <w:p>
            <w:pPr>
              <w:spacing w:after="0"/>
              <w:rPr>
                <w:sz w:val="19"/>
                <w:szCs w:val="19"/>
                <w:color w:val="auto"/>
              </w:rPr>
            </w:pPr>
          </w:p>
        </w:tc>
      </w:tr>
      <w:tr>
        <w:trPr>
          <w:trHeight w:val="229"/>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Securitization debt, net of current portion</w:t>
            </w: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32,590</w:t>
            </w: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9"/>
                <w:szCs w:val="19"/>
                <w:color w:val="auto"/>
              </w:rPr>
            </w:pPr>
          </w:p>
        </w:tc>
      </w:tr>
      <w:tr>
        <w:trPr>
          <w:trHeight w:val="263"/>
        </w:trPr>
        <w:tc>
          <w:tcPr>
            <w:tcW w:w="5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640" w:type="dxa"/>
            <w:vAlign w:val="bottom"/>
            <w:tcBorders>
              <w:bottom w:val="single" w:sz="8" w:color="auto"/>
            </w:tcBorders>
            <w:shd w:val="clear" w:color="auto" w:fill="CFF0FC"/>
          </w:tcPr>
          <w:p>
            <w:pPr>
              <w:jc w:val="right"/>
              <w:ind w:right="434"/>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79,919</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230,834</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310,753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-1540510</wp:posOffset>
            </wp:positionV>
            <wp:extent cx="76835" cy="154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-1540510</wp:posOffset>
            </wp:positionV>
            <wp:extent cx="68580" cy="154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-1540510</wp:posOffset>
            </wp:positionV>
            <wp:extent cx="68580" cy="1543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-1240790</wp:posOffset>
            </wp:positionV>
            <wp:extent cx="76835" cy="1797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-1240790</wp:posOffset>
            </wp:positionV>
            <wp:extent cx="68580" cy="1797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-1240790</wp:posOffset>
            </wp:positionV>
            <wp:extent cx="68580" cy="1797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-624205</wp:posOffset>
            </wp:positionV>
            <wp:extent cx="76835"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-624205</wp:posOffset>
            </wp:positionV>
            <wp:extent cx="6858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-24765</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-7620</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 Refer to Note 11 – Warehouse Credit Facilities of Consolidated VIEs for further details of the warehouse facilities.</w:t>
      </w:r>
    </w:p>
    <w:p>
      <w:pPr>
        <w:spacing w:after="0" w:line="2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did not have any consolidated VIEs for the year ended December 31, 2021.</w:t>
      </w:r>
    </w:p>
    <w:p>
      <w:pPr>
        <w:spacing w:after="0" w:line="198"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UACC establishes securitization trusts to purchase finance receivables. The securitization trusts issue asset-backed securities, which are collateralized by the finance receivables that UACC sells to the securitization trusts. Upon sale of the finance receivables to the securitization trusts, the Company recognizes a gain or loss on sales of finance receivables. On February 16, 2022 and July 14, 2022, UACC sold pools of finance receivables in the United Auto Credit 2022-1 and 2022-2 securitization transactions, respectively. The Company receives net proceeds from the sales in the form of cash plus at least 5% of the beneficial interests issued by the securitization trusts to comply with risk retention rules. During the year ended December 31, 2022 the Company sold $523.7 million of rated asset-backed securities and $49.6 million of residual certificates through securitization transactions. The total gain related to finance receivables sold pursuant to securitization transactions was $45.6 million for the year ended December 31, 2022.</w:t>
      </w:r>
    </w:p>
    <w:p>
      <w:pPr>
        <w:spacing w:after="0" w:line="192" w:lineRule="exact"/>
        <w:rPr>
          <w:sz w:val="20"/>
          <w:szCs w:val="20"/>
          <w:color w:val="auto"/>
        </w:rPr>
      </w:pPr>
    </w:p>
    <w:p>
      <w:pPr>
        <w:ind w:right="280" w:firstLine="761"/>
        <w:spacing w:after="0" w:line="237" w:lineRule="auto"/>
        <w:rPr>
          <w:sz w:val="20"/>
          <w:szCs w:val="20"/>
          <w:color w:val="auto"/>
        </w:rPr>
      </w:pPr>
      <w:r>
        <w:rPr>
          <w:rFonts w:ascii="Arial" w:cs="Arial" w:eastAsia="Arial" w:hAnsi="Arial"/>
          <w:sz w:val="18"/>
          <w:szCs w:val="18"/>
          <w:color w:val="auto"/>
        </w:rPr>
        <w:t>UACC retained the servicing rights to these finance receivables and received beneficial interests in the form of asset-backed securities. UACC owns an insignificant portion of these securities and receives an at market servicing fee. The 2022-1 and 2022-2 securitization trusts are VIEs that the Company does not consolidate. As the servicer, UACC retained the power to direct the activities that are most significant to the entities, however, the Company concluded that it is not the primary beneficiary of the United Auto Credit 2022-1 and 2022-2 securitization trusts because UACC retained interests in the VIEs are insignificant. The beneficial interest retained by UACC included rated notes and unrated residual certificates issued by the 2022-1 and 2022-2 securitization trusts.</w:t>
      </w:r>
    </w:p>
    <w:p>
      <w:pPr>
        <w:spacing w:after="0" w:line="189"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UACC has no obligation to repurchase or replace any securitized asset that subsequently becomes delinquent in payment or otherwise is in default, except when representations and warranties about the eligibility of the securitized assets are breached, or when certain changes are made to the underlying asset contracts. Securitization investors have no recourse to UACC or its other assets and have no right to require UACC to repurchase the investments. UACC has no obligation to provide liquidity or contribute cash or additional assets to the VIEs and does not guarantee any asset-backed securities.</w:t>
      </w:r>
    </w:p>
    <w:p>
      <w:pPr>
        <w:spacing w:after="0" w:line="192" w:lineRule="exact"/>
        <w:rPr>
          <w:sz w:val="20"/>
          <w:szCs w:val="20"/>
          <w:color w:val="auto"/>
        </w:rPr>
      </w:pPr>
    </w:p>
    <w:p>
      <w:pPr>
        <w:ind w:right="140" w:firstLine="761"/>
        <w:spacing w:after="0" w:line="245" w:lineRule="auto"/>
        <w:rPr>
          <w:sz w:val="20"/>
          <w:szCs w:val="20"/>
          <w:color w:val="auto"/>
        </w:rPr>
      </w:pPr>
      <w:r>
        <w:rPr>
          <w:rFonts w:ascii="Arial" w:cs="Arial" w:eastAsia="Arial" w:hAnsi="Arial"/>
          <w:sz w:val="18"/>
          <w:szCs w:val="18"/>
          <w:color w:val="auto"/>
        </w:rPr>
        <w:t>As of December 31, 2022, the assets UACC retains in the unconsolidated VIEs were approximately $20.6 million and are included in "Beneficial interests in securitizations" in the Company's consolidated balance sheet. The beneficial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interests in securitizations are subject to restrictions on transfer pursuant to UACC’s obligations as a sponsor under Risk Retention Rules.</w:t>
      </w:r>
    </w:p>
    <w:p>
      <w:pPr>
        <w:spacing w:after="0"/>
        <w:rPr>
          <w:sz w:val="20"/>
          <w:szCs w:val="20"/>
          <w:color w:val="auto"/>
        </w:rPr>
      </w:pPr>
      <w:r>
        <w:rPr>
          <w:rFonts w:ascii="Arial" w:cs="Arial" w:eastAsia="Arial" w:hAnsi="Arial"/>
          <w:sz w:val="18"/>
          <w:szCs w:val="18"/>
          <w:color w:val="auto"/>
        </w:rPr>
        <w:t>These securities are interests in securitization trusts, thus there are no contractual maturities.</w:t>
      </w:r>
    </w:p>
    <w:p>
      <w:pPr>
        <w:spacing w:after="0" w:line="198" w:lineRule="exact"/>
        <w:rPr>
          <w:sz w:val="20"/>
          <w:szCs w:val="20"/>
          <w:color w:val="auto"/>
        </w:rPr>
      </w:pPr>
    </w:p>
    <w:p>
      <w:pPr>
        <w:ind w:right="420" w:firstLine="761"/>
        <w:spacing w:after="0" w:line="245" w:lineRule="auto"/>
        <w:rPr>
          <w:sz w:val="20"/>
          <w:szCs w:val="20"/>
          <w:color w:val="auto"/>
        </w:rPr>
      </w:pPr>
      <w:r>
        <w:rPr>
          <w:rFonts w:ascii="Arial" w:cs="Arial" w:eastAsia="Arial" w:hAnsi="Arial"/>
          <w:sz w:val="18"/>
          <w:szCs w:val="18"/>
          <w:color w:val="auto"/>
        </w:rPr>
        <w:t>The following table summarizes the amortized cost, the carrying amount, which is the fair value, and the maximum exposure to losses of UACC's assets related to unconsolidated VIEs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rPr>
              <w:t>As of December 31, 2022</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Aggregate Principal</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4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Balance</w:t>
            </w: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Carrying Value</w:t>
            </w: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Total Exposure</w:t>
            </w:r>
          </w:p>
        </w:tc>
        <w:tc>
          <w:tcPr>
            <w:tcW w:w="100" w:type="dxa"/>
            <w:vAlign w:val="bottom"/>
          </w:tcPr>
          <w:p>
            <w:pPr>
              <w:spacing w:after="0"/>
              <w:rPr>
                <w:sz w:val="16"/>
                <w:szCs w:val="16"/>
                <w:color w:val="auto"/>
              </w:rPr>
            </w:pPr>
          </w:p>
        </w:tc>
      </w:tr>
      <w:tr>
        <w:trPr>
          <w:trHeight w:val="22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Rated notes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19,233</w:t>
            </w:r>
          </w:p>
        </w:tc>
        <w:tc>
          <w:tcPr>
            <w:tcW w:w="6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18,664</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18,664</w:t>
            </w:r>
          </w:p>
        </w:tc>
        <w:tc>
          <w:tcPr>
            <w:tcW w:w="100" w:type="dxa"/>
            <w:vAlign w:val="bottom"/>
            <w:shd w:val="clear" w:color="auto" w:fill="CFF0FC"/>
          </w:tcPr>
          <w:p>
            <w:pPr>
              <w:spacing w:after="0"/>
              <w:rPr>
                <w:sz w:val="19"/>
                <w:szCs w:val="19"/>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Certificates</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1,928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19"/>
                <w:szCs w:val="19"/>
                <w:color w:val="auto"/>
              </w:rPr>
            </w:pPr>
          </w:p>
        </w:tc>
      </w:tr>
      <w:tr>
        <w:trPr>
          <w:trHeight w:val="229"/>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19,543</w:t>
            </w:r>
          </w:p>
        </w:tc>
        <w:tc>
          <w:tcPr>
            <w:tcW w:w="6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20,902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20,902</w:t>
            </w:r>
          </w:p>
        </w:tc>
        <w:tc>
          <w:tcPr>
            <w:tcW w:w="10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-179070</wp:posOffset>
            </wp:positionV>
            <wp:extent cx="76835" cy="1797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-179070</wp:posOffset>
            </wp:positionV>
            <wp:extent cx="68580" cy="1797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1"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Total exposure represents the estimated loss UACC would incur under severe, hypothetical circumstances, such as if the value of the interests in the securitization trusts and any associated collateral declined to zero. The Company believes the possibility of this is remote. As such, the total exposure presented above is not an indication of the Company's expected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UACC Acquisition</w:t>
      </w:r>
    </w:p>
    <w:p>
      <w:pPr>
        <w:spacing w:after="0" w:line="220" w:lineRule="exact"/>
        <w:rPr>
          <w:sz w:val="20"/>
          <w:szCs w:val="20"/>
          <w:color w:val="auto"/>
        </w:rPr>
      </w:pPr>
    </w:p>
    <w:p>
      <w:pPr>
        <w:ind w:right="60" w:firstLine="749"/>
        <w:spacing w:after="0" w:line="252" w:lineRule="auto"/>
        <w:rPr>
          <w:sz w:val="20"/>
          <w:szCs w:val="20"/>
          <w:color w:val="auto"/>
        </w:rPr>
      </w:pPr>
      <w:r>
        <w:rPr>
          <w:rFonts w:ascii="Arial" w:cs="Arial" w:eastAsia="Arial" w:hAnsi="Arial"/>
          <w:sz w:val="17"/>
          <w:szCs w:val="17"/>
          <w:color w:val="auto"/>
        </w:rPr>
        <w:t>On February 1, 2022, the Company completed the acquisition (the "UACC Acquisition") of 100% of Unitas Holdings Corp., a Delaware corporation, including its wholly owned subsidiaries United PanAm Financial Corp. and UACC. Unitas Holdings Corp. (now known as Vroom Finance Corporation), United PanAm Financial Corp. (now known as Vroom Automotive Financial Corporation) and UACC, as well as their other subsidiaries, are now wholly owned subsidiaries of the Company. This acquisition accelerates the Company's strategy of establishing a captive financing arm and underwriting vehicle financing for its customers, the results of which are included within the Ecommerce reporting segment. UACC will also continue its current operations with its network of third-party dealership customers, including the purchases and servicing of vehicle installment contracts, which constitutes the separate Retail Financing reporting segment. The cash consideration transferred was approximately $315.4 million at the Acquisition Date, inclusive of immaterial measurement period adjustments.</w:t>
      </w:r>
    </w:p>
    <w:p>
      <w:pPr>
        <w:spacing w:after="0" w:line="178" w:lineRule="exact"/>
        <w:rPr>
          <w:sz w:val="20"/>
          <w:szCs w:val="20"/>
          <w:color w:val="auto"/>
        </w:rPr>
      </w:pPr>
    </w:p>
    <w:p>
      <w:pPr>
        <w:ind w:right="260" w:firstLine="799"/>
        <w:spacing w:after="0" w:line="245" w:lineRule="auto"/>
        <w:rPr>
          <w:sz w:val="20"/>
          <w:szCs w:val="20"/>
          <w:color w:val="auto"/>
        </w:rPr>
      </w:pPr>
      <w:r>
        <w:rPr>
          <w:rFonts w:ascii="Arial" w:cs="Arial" w:eastAsia="Arial" w:hAnsi="Arial"/>
          <w:sz w:val="18"/>
          <w:szCs w:val="18"/>
          <w:color w:val="auto"/>
        </w:rPr>
        <w:t>The following table summarizes the fair value of the identified assets acquired and liabilities assumed as of the Acquisition Date, inclusive of immaterial measurement period adjustments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40" w:type="dxa"/>
            <w:vAlign w:val="bottom"/>
            <w:gridSpan w:val="2"/>
          </w:tcPr>
          <w:p>
            <w:pPr>
              <w:jc w:val="right"/>
              <w:ind w:right="2180"/>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99"/>
              </w:rPr>
              <w:t>$</w:t>
            </w:r>
          </w:p>
        </w:tc>
        <w:tc>
          <w:tcPr>
            <w:tcW w:w="3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5,294</w:t>
            </w:r>
          </w:p>
        </w:tc>
        <w:tc>
          <w:tcPr>
            <w:tcW w:w="100" w:type="dxa"/>
            <w:vAlign w:val="bottom"/>
            <w:shd w:val="clear" w:color="auto" w:fill="CFF0FC"/>
          </w:tcPr>
          <w:p>
            <w:pPr>
              <w:spacing w:after="0"/>
              <w:rPr>
                <w:sz w:val="19"/>
                <w:szCs w:val="19"/>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80" w:type="dxa"/>
            <w:vAlign w:val="bottom"/>
          </w:tcPr>
          <w:p>
            <w:pPr>
              <w:spacing w:after="0"/>
              <w:rPr>
                <w:sz w:val="19"/>
                <w:szCs w:val="19"/>
                <w:color w:val="auto"/>
              </w:rPr>
            </w:pPr>
          </w:p>
        </w:tc>
        <w:tc>
          <w:tcPr>
            <w:tcW w:w="3740" w:type="dxa"/>
            <w:vAlign w:val="bottom"/>
          </w:tcPr>
          <w:p>
            <w:pPr>
              <w:jc w:val="right"/>
              <w:spacing w:after="0"/>
              <w:rPr>
                <w:sz w:val="20"/>
                <w:szCs w:val="20"/>
                <w:color w:val="auto"/>
              </w:rPr>
            </w:pPr>
            <w:r>
              <w:rPr>
                <w:rFonts w:ascii="Arial" w:cs="Arial" w:eastAsia="Arial" w:hAnsi="Arial"/>
                <w:sz w:val="18"/>
                <w:szCs w:val="18"/>
                <w:color w:val="auto"/>
              </w:rPr>
              <w:t>42,631</w:t>
            </w:r>
          </w:p>
        </w:tc>
        <w:tc>
          <w:tcPr>
            <w:tcW w:w="100" w:type="dxa"/>
            <w:vAlign w:val="bottom"/>
          </w:tcPr>
          <w:p>
            <w:pPr>
              <w:spacing w:after="0"/>
              <w:rPr>
                <w:sz w:val="19"/>
                <w:szCs w:val="19"/>
                <w:color w:val="auto"/>
              </w:rPr>
            </w:pPr>
          </w:p>
        </w:tc>
      </w:tr>
      <w:tr>
        <w:trPr>
          <w:trHeight w:val="22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1080" w:type="dxa"/>
            <w:vAlign w:val="bottom"/>
            <w:shd w:val="clear" w:color="auto" w:fill="CFF0FC"/>
          </w:tcPr>
          <w:p>
            <w:pPr>
              <w:spacing w:after="0"/>
              <w:rPr>
                <w:sz w:val="19"/>
                <w:szCs w:val="19"/>
                <w:color w:val="auto"/>
              </w:rPr>
            </w:pPr>
          </w:p>
        </w:tc>
        <w:tc>
          <w:tcPr>
            <w:tcW w:w="3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296,927</w:t>
            </w:r>
          </w:p>
        </w:tc>
        <w:tc>
          <w:tcPr>
            <w:tcW w:w="100" w:type="dxa"/>
            <w:vAlign w:val="bottom"/>
            <w:shd w:val="clear" w:color="auto" w:fill="CFF0FC"/>
          </w:tcPr>
          <w:p>
            <w:pPr>
              <w:spacing w:after="0"/>
              <w:rPr>
                <w:sz w:val="19"/>
                <w:szCs w:val="19"/>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Finance receivables, held for sale</w:t>
            </w:r>
          </w:p>
        </w:tc>
        <w:tc>
          <w:tcPr>
            <w:tcW w:w="1080" w:type="dxa"/>
            <w:vAlign w:val="bottom"/>
          </w:tcPr>
          <w:p>
            <w:pPr>
              <w:spacing w:after="0"/>
              <w:rPr>
                <w:sz w:val="19"/>
                <w:szCs w:val="19"/>
                <w:color w:val="auto"/>
              </w:rPr>
            </w:pPr>
          </w:p>
        </w:tc>
        <w:tc>
          <w:tcPr>
            <w:tcW w:w="3740" w:type="dxa"/>
            <w:vAlign w:val="bottom"/>
          </w:tcPr>
          <w:p>
            <w:pPr>
              <w:jc w:val="right"/>
              <w:spacing w:after="0"/>
              <w:rPr>
                <w:sz w:val="20"/>
                <w:szCs w:val="20"/>
                <w:color w:val="auto"/>
              </w:rPr>
            </w:pPr>
            <w:r>
              <w:rPr>
                <w:rFonts w:ascii="Arial" w:cs="Arial" w:eastAsia="Arial" w:hAnsi="Arial"/>
                <w:sz w:val="18"/>
                <w:szCs w:val="18"/>
                <w:color w:val="auto"/>
              </w:rPr>
              <w:t>263,393</w:t>
            </w:r>
          </w:p>
        </w:tc>
        <w:tc>
          <w:tcPr>
            <w:tcW w:w="100" w:type="dxa"/>
            <w:vAlign w:val="bottom"/>
          </w:tcPr>
          <w:p>
            <w:pPr>
              <w:spacing w:after="0"/>
              <w:rPr>
                <w:sz w:val="19"/>
                <w:szCs w:val="19"/>
                <w:color w:val="auto"/>
              </w:rPr>
            </w:pPr>
          </w:p>
        </w:tc>
      </w:tr>
      <w:tr>
        <w:trPr>
          <w:trHeight w:val="22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1080" w:type="dxa"/>
            <w:vAlign w:val="bottom"/>
            <w:shd w:val="clear" w:color="auto" w:fill="CFF0FC"/>
          </w:tcPr>
          <w:p>
            <w:pPr>
              <w:spacing w:after="0"/>
              <w:rPr>
                <w:sz w:val="19"/>
                <w:szCs w:val="19"/>
                <w:color w:val="auto"/>
              </w:rPr>
            </w:pPr>
          </w:p>
        </w:tc>
        <w:tc>
          <w:tcPr>
            <w:tcW w:w="3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156,000</w:t>
            </w:r>
          </w:p>
        </w:tc>
        <w:tc>
          <w:tcPr>
            <w:tcW w:w="100" w:type="dxa"/>
            <w:vAlign w:val="bottom"/>
            <w:shd w:val="clear" w:color="auto" w:fill="CFF0FC"/>
          </w:tcPr>
          <w:p>
            <w:pPr>
              <w:spacing w:after="0"/>
              <w:rPr>
                <w:sz w:val="19"/>
                <w:szCs w:val="19"/>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19"/>
                <w:szCs w:val="19"/>
                <w:color w:val="auto"/>
              </w:rPr>
            </w:pPr>
          </w:p>
        </w:tc>
        <w:tc>
          <w:tcPr>
            <w:tcW w:w="3740" w:type="dxa"/>
            <w:vAlign w:val="bottom"/>
          </w:tcPr>
          <w:p>
            <w:pPr>
              <w:jc w:val="right"/>
              <w:spacing w:after="0"/>
              <w:rPr>
                <w:sz w:val="20"/>
                <w:szCs w:val="20"/>
                <w:color w:val="auto"/>
              </w:rPr>
            </w:pPr>
            <w:r>
              <w:rPr>
                <w:rFonts w:ascii="Arial" w:cs="Arial" w:eastAsia="Arial" w:hAnsi="Arial"/>
                <w:sz w:val="18"/>
                <w:szCs w:val="18"/>
                <w:color w:val="auto"/>
              </w:rPr>
              <w:t>42,886</w:t>
            </w:r>
          </w:p>
        </w:tc>
        <w:tc>
          <w:tcPr>
            <w:tcW w:w="100" w:type="dxa"/>
            <w:vAlign w:val="bottom"/>
          </w:tcPr>
          <w:p>
            <w:pPr>
              <w:spacing w:after="0"/>
              <w:rPr>
                <w:sz w:val="19"/>
                <w:szCs w:val="19"/>
                <w:color w:val="auto"/>
              </w:rPr>
            </w:pPr>
          </w:p>
        </w:tc>
      </w:tr>
      <w:tr>
        <w:trPr>
          <w:trHeight w:val="229"/>
        </w:trPr>
        <w:tc>
          <w:tcPr>
            <w:tcW w:w="6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auto"/>
            </w:tcBorders>
            <w:shd w:val="clear" w:color="auto" w:fill="CFF0FC"/>
          </w:tcPr>
          <w:p>
            <w:pPr>
              <w:spacing w:after="0"/>
              <w:rPr>
                <w:sz w:val="19"/>
                <w:szCs w:val="19"/>
                <w:color w:val="auto"/>
              </w:rPr>
            </w:pPr>
          </w:p>
        </w:tc>
        <w:tc>
          <w:tcPr>
            <w:tcW w:w="3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833,065</w:t>
            </w:r>
          </w:p>
        </w:tc>
        <w:tc>
          <w:tcPr>
            <w:tcW w:w="100" w:type="dxa"/>
            <w:vAlign w:val="bottom"/>
          </w:tcPr>
          <w:p>
            <w:pPr>
              <w:spacing w:after="0"/>
              <w:rPr>
                <w:sz w:val="19"/>
                <w:szCs w:val="19"/>
                <w:color w:val="auto"/>
              </w:rPr>
            </w:pPr>
          </w:p>
        </w:tc>
      </w:tr>
      <w:tr>
        <w:trPr>
          <w:trHeight w:val="223"/>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Warehouse credit facilities</w:t>
            </w:r>
          </w:p>
        </w:tc>
        <w:tc>
          <w:tcPr>
            <w:tcW w:w="1080" w:type="dxa"/>
            <w:vAlign w:val="bottom"/>
            <w:shd w:val="clear" w:color="auto" w:fill="CFF0FC"/>
          </w:tcPr>
          <w:p>
            <w:pPr>
              <w:spacing w:after="0"/>
              <w:rPr>
                <w:sz w:val="19"/>
                <w:szCs w:val="19"/>
                <w:color w:val="auto"/>
              </w:rPr>
            </w:pPr>
          </w:p>
        </w:tc>
        <w:tc>
          <w:tcPr>
            <w:tcW w:w="3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(178,067 )</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Long term debt</w:t>
            </w:r>
          </w:p>
        </w:tc>
        <w:tc>
          <w:tcPr>
            <w:tcW w:w="1080" w:type="dxa"/>
            <w:vAlign w:val="bottom"/>
          </w:tcPr>
          <w:p>
            <w:pPr>
              <w:spacing w:after="0"/>
              <w:rPr>
                <w:sz w:val="19"/>
                <w:szCs w:val="19"/>
                <w:color w:val="auto"/>
              </w:rPr>
            </w:pPr>
          </w:p>
        </w:tc>
        <w:tc>
          <w:tcPr>
            <w:tcW w:w="3840" w:type="dxa"/>
            <w:vAlign w:val="bottom"/>
            <w:gridSpan w:val="2"/>
          </w:tcPr>
          <w:p>
            <w:pPr>
              <w:jc w:val="right"/>
              <w:ind w:right="40"/>
              <w:spacing w:after="0"/>
              <w:rPr>
                <w:sz w:val="20"/>
                <w:szCs w:val="20"/>
                <w:color w:val="auto"/>
              </w:rPr>
            </w:pPr>
            <w:r>
              <w:rPr>
                <w:rFonts w:ascii="Arial" w:cs="Arial" w:eastAsia="Arial" w:hAnsi="Arial"/>
                <w:sz w:val="18"/>
                <w:szCs w:val="18"/>
                <w:color w:val="auto"/>
              </w:rPr>
              <w:t>(285,704 )</w:t>
            </w:r>
          </w:p>
        </w:tc>
      </w:tr>
      <w:tr>
        <w:trPr>
          <w:trHeight w:val="22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liability</w:t>
            </w:r>
          </w:p>
        </w:tc>
        <w:tc>
          <w:tcPr>
            <w:tcW w:w="1080" w:type="dxa"/>
            <w:vAlign w:val="bottom"/>
            <w:shd w:val="clear" w:color="auto" w:fill="CFF0FC"/>
          </w:tcPr>
          <w:p>
            <w:pPr>
              <w:spacing w:after="0"/>
              <w:rPr>
                <w:sz w:val="19"/>
                <w:szCs w:val="19"/>
                <w:color w:val="auto"/>
              </w:rPr>
            </w:pPr>
          </w:p>
        </w:tc>
        <w:tc>
          <w:tcPr>
            <w:tcW w:w="3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(23,855 )</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19"/>
                <w:szCs w:val="19"/>
                <w:color w:val="auto"/>
              </w:rPr>
            </w:pPr>
          </w:p>
        </w:tc>
        <w:tc>
          <w:tcPr>
            <w:tcW w:w="3840" w:type="dxa"/>
            <w:vAlign w:val="bottom"/>
            <w:gridSpan w:val="2"/>
          </w:tcPr>
          <w:p>
            <w:pPr>
              <w:jc w:val="right"/>
              <w:ind w:right="40"/>
              <w:spacing w:after="0"/>
              <w:rPr>
                <w:sz w:val="20"/>
                <w:szCs w:val="20"/>
                <w:color w:val="auto"/>
              </w:rPr>
            </w:pPr>
            <w:r>
              <w:rPr>
                <w:rFonts w:ascii="Arial" w:cs="Arial" w:eastAsia="Arial" w:hAnsi="Arial"/>
                <w:sz w:val="18"/>
                <w:szCs w:val="18"/>
                <w:color w:val="auto"/>
              </w:rPr>
              <w:t>(30,026 )</w:t>
            </w:r>
          </w:p>
        </w:tc>
      </w:tr>
      <w:tr>
        <w:trPr>
          <w:trHeight w:val="20"/>
        </w:trPr>
        <w:tc>
          <w:tcPr>
            <w:tcW w:w="6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 assumed</w:t>
            </w:r>
          </w:p>
        </w:tc>
        <w:tc>
          <w:tcPr>
            <w:tcW w:w="108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99"/>
              </w:rPr>
              <w:t>$</w:t>
            </w:r>
          </w:p>
        </w:tc>
        <w:tc>
          <w:tcPr>
            <w:tcW w:w="3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(517,652 )</w:t>
            </w:r>
          </w:p>
        </w:tc>
      </w:tr>
      <w:tr>
        <w:trPr>
          <w:trHeight w:val="223"/>
        </w:trPr>
        <w:tc>
          <w:tcPr>
            <w:tcW w:w="63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assets acquired</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315,413</w:t>
            </w:r>
          </w:p>
        </w:tc>
        <w:tc>
          <w:tcPr>
            <w:tcW w:w="100" w:type="dxa"/>
            <w:vAlign w:val="bottom"/>
            <w:tcBorders>
              <w:top w:val="single" w:sz="8" w:color="CFF0FC"/>
            </w:tcBorders>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-1078230</wp:posOffset>
            </wp:positionV>
            <wp:extent cx="68580" cy="1625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1" w:lineRule="exact"/>
        <w:rPr>
          <w:sz w:val="20"/>
          <w:szCs w:val="20"/>
          <w:color w:val="auto"/>
        </w:rPr>
      </w:pPr>
    </w:p>
    <w:p>
      <w:pPr>
        <w:jc w:val="both"/>
        <w:ind w:right="400" w:firstLine="749"/>
        <w:spacing w:after="0"/>
        <w:rPr>
          <w:sz w:val="20"/>
          <w:szCs w:val="20"/>
          <w:color w:val="auto"/>
        </w:rPr>
      </w:pPr>
      <w:r>
        <w:rPr>
          <w:rFonts w:ascii="Arial" w:cs="Arial" w:eastAsia="Arial" w:hAnsi="Arial"/>
          <w:sz w:val="18"/>
          <w:szCs w:val="18"/>
          <w:color w:val="auto"/>
        </w:rPr>
        <w:t>The estimated fair value of the finance receivables that were designated as held for sale were determined using the discounted cash flow method under the income approach. The Company determined the fair value of these finance receivables utilizing sales prices based on an estimated securitization transaction, adjusted for transaction costs, risk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a normal profit margin associated with securitization transactions. The significant assumptions used in the valuation were discount rate, prepayment rate, cumulative net losses, weighted average interest rate and recovery rate. Such fair value measurement of finance receivables held for sale is considered Level 3 of the fair value hierarchy.</w:t>
      </w:r>
    </w:p>
    <w:p>
      <w:pPr>
        <w:spacing w:after="0" w:line="188" w:lineRule="exact"/>
        <w:rPr>
          <w:sz w:val="20"/>
          <w:szCs w:val="20"/>
          <w:color w:val="auto"/>
        </w:rPr>
      </w:pPr>
    </w:p>
    <w:p>
      <w:pPr>
        <w:ind w:right="80" w:firstLine="749"/>
        <w:spacing w:after="0" w:line="236" w:lineRule="auto"/>
        <w:rPr>
          <w:sz w:val="20"/>
          <w:szCs w:val="20"/>
          <w:color w:val="auto"/>
        </w:rPr>
      </w:pPr>
      <w:r>
        <w:rPr>
          <w:rFonts w:ascii="Arial" w:cs="Arial" w:eastAsia="Arial" w:hAnsi="Arial"/>
          <w:sz w:val="18"/>
          <w:szCs w:val="18"/>
          <w:color w:val="auto"/>
        </w:rPr>
        <w:t>The Company acquired two types of finance receivables that are accounted for under the fair value option: (i) those that were sold in one of the securitization transactions that UACC completed in 2019, 2020 or 2021, and (ii) those that were not eligible to be sold in future securitization transactions. The estimated fair value of the finance receivables that were previously sold were valued using the measurement alternative by reference to the fair value of the securitization debt. See Note 17 – Financial Instruments and Fair Value Measurements for more information regarding the measurement alternative and the fair value of these finance receivables. The fair value of the ineligible finance receivables was determined using a discounted cash flow method under the income approach. The significant assumptions used in the valuation were discount rate and recovery rate. Such fair value measurement of finance receivables accounted for under the fair value option is considered Level 3 of the fair value hierarchy.</w:t>
      </w:r>
    </w:p>
    <w:p>
      <w:pPr>
        <w:spacing w:after="0" w:line="192" w:lineRule="exact"/>
        <w:rPr>
          <w:sz w:val="20"/>
          <w:szCs w:val="20"/>
          <w:color w:val="auto"/>
        </w:rPr>
      </w:pPr>
    </w:p>
    <w:p>
      <w:pPr>
        <w:ind w:right="300" w:firstLine="749"/>
        <w:spacing w:after="0"/>
        <w:rPr>
          <w:sz w:val="20"/>
          <w:szCs w:val="20"/>
          <w:color w:val="auto"/>
        </w:rPr>
      </w:pPr>
      <w:r>
        <w:rPr>
          <w:rFonts w:ascii="Arial" w:cs="Arial" w:eastAsia="Arial" w:hAnsi="Arial"/>
          <w:sz w:val="18"/>
          <w:szCs w:val="18"/>
          <w:color w:val="auto"/>
        </w:rPr>
        <w:t>The estimated fair value of the securitization debt of consolidated VIEs was determined using the discounted cash flow method under the income approach. The significant assumption used in the valuation was the yield. Such fair value measurement of securitization debt is considered Level 3 of the fair value hierarchy.</w:t>
      </w:r>
    </w:p>
    <w:p>
      <w:pPr>
        <w:spacing w:after="0" w:line="188"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The estimated fair value of the warehouse credit facilities of consolidated VIEs approximated its carrying value due to the proximity of the Acquisition Date to the payoff date. These notes were acquired on February 1, 2022, as part of the UACC Acquisition and were paid off with the proceeds from the 2022-1 securitization that UACC completed on February 16, 2022.</w:t>
      </w:r>
    </w:p>
    <w:p>
      <w:pPr>
        <w:spacing w:after="0" w:line="188"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attributable to the workforce of the acquired business as well as benefits related to integrating UACC’s financing operations to establish a captive financing arm and underwrite vehicle financing for the Company's customers. All of the goodwill was assigned to the Ecommerce reporting unit.</w:t>
      </w:r>
    </w:p>
    <w:p>
      <w:pPr>
        <w:spacing w:after="0" w:line="190" w:lineRule="exact"/>
        <w:rPr>
          <w:sz w:val="20"/>
          <w:szCs w:val="20"/>
          <w:color w:val="auto"/>
        </w:rPr>
      </w:pPr>
    </w:p>
    <w:p>
      <w:pPr>
        <w:ind w:right="280" w:firstLine="749"/>
        <w:spacing w:after="0" w:line="245" w:lineRule="auto"/>
        <w:rPr>
          <w:sz w:val="20"/>
          <w:szCs w:val="20"/>
          <w:color w:val="auto"/>
        </w:rPr>
      </w:pPr>
      <w:r>
        <w:rPr>
          <w:rFonts w:ascii="Arial" w:cs="Arial" w:eastAsia="Arial" w:hAnsi="Arial"/>
          <w:sz w:val="18"/>
          <w:szCs w:val="18"/>
          <w:color w:val="auto"/>
        </w:rPr>
        <w:t>The following table summarizes the identifiable intangible assets acquired and their estimated weighted average useful life at the date of acquisition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Pr>
          <w:p>
            <w:pPr>
              <w:spacing w:after="0"/>
              <w:rPr>
                <w:sz w:val="17"/>
                <w:szCs w:val="17"/>
                <w:color w:val="auto"/>
              </w:rPr>
            </w:pPr>
          </w:p>
        </w:tc>
        <w:tc>
          <w:tcPr>
            <w:tcW w:w="25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Fair Value</w:t>
            </w:r>
          </w:p>
        </w:tc>
        <w:tc>
          <w:tcPr>
            <w:tcW w:w="10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7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Weighted Average Useful Life</w:t>
            </w:r>
          </w:p>
        </w:tc>
      </w:tr>
      <w:tr>
        <w:trPr>
          <w:trHeight w:val="229"/>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Purchased technology</w:t>
            </w:r>
          </w:p>
        </w:tc>
        <w:tc>
          <w:tcPr>
            <w:tcW w:w="2500" w:type="dxa"/>
            <w:vAlign w:val="bottom"/>
            <w:shd w:val="clear" w:color="auto" w:fill="CFF0FC"/>
          </w:tcPr>
          <w:p>
            <w:pPr>
              <w:jc w:val="right"/>
              <w:ind w:right="2296"/>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83,000</w:t>
            </w:r>
          </w:p>
        </w:tc>
        <w:tc>
          <w:tcPr>
            <w:tcW w:w="3000" w:type="dxa"/>
            <w:vAlign w:val="bottom"/>
            <w:gridSpan w:val="2"/>
            <w:shd w:val="clear" w:color="auto" w:fill="CFF0FC"/>
          </w:tcPr>
          <w:p>
            <w:pPr>
              <w:jc w:val="center"/>
              <w:ind w:left="210"/>
              <w:spacing w:after="0"/>
              <w:rPr>
                <w:sz w:val="20"/>
                <w:szCs w:val="20"/>
                <w:color w:val="auto"/>
              </w:rPr>
            </w:pPr>
            <w:r>
              <w:rPr>
                <w:rFonts w:ascii="Arial" w:cs="Arial" w:eastAsia="Arial" w:hAnsi="Arial"/>
                <w:sz w:val="18"/>
                <w:szCs w:val="18"/>
                <w:color w:val="auto"/>
                <w:w w:val="99"/>
              </w:rPr>
              <w:t>7</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66,000</w:t>
            </w:r>
          </w:p>
        </w:tc>
        <w:tc>
          <w:tcPr>
            <w:tcW w:w="30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8</w:t>
            </w:r>
          </w:p>
        </w:tc>
      </w:tr>
      <w:tr>
        <w:trPr>
          <w:trHeight w:val="229"/>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25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3000" w:type="dxa"/>
            <w:vAlign w:val="bottom"/>
            <w:tcBorders>
              <w:bottom w:val="single" w:sz="8" w:color="CFF0FC"/>
            </w:tcBorders>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99"/>
              </w:rPr>
              <w:t>10</w:t>
            </w:r>
          </w:p>
        </w:tc>
      </w:tr>
      <w:tr>
        <w:trPr>
          <w:trHeight w:val="223"/>
        </w:trPr>
        <w:tc>
          <w:tcPr>
            <w:tcW w:w="4680" w:type="dxa"/>
            <w:vAlign w:val="bottom"/>
          </w:tcPr>
          <w:p>
            <w:pPr>
              <w:spacing w:after="0"/>
              <w:rPr>
                <w:sz w:val="19"/>
                <w:szCs w:val="19"/>
                <w:color w:val="auto"/>
              </w:rPr>
            </w:pPr>
          </w:p>
        </w:tc>
        <w:tc>
          <w:tcPr>
            <w:tcW w:w="2500" w:type="dxa"/>
            <w:vAlign w:val="bottom"/>
            <w:tcBorders>
              <w:bottom w:val="single" w:sz="8" w:color="auto"/>
            </w:tcBorders>
          </w:tcPr>
          <w:p>
            <w:pPr>
              <w:jc w:val="right"/>
              <w:ind w:right="229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156,000</w:t>
            </w: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-179070</wp:posOffset>
            </wp:positionV>
            <wp:extent cx="68580" cy="1797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1" w:lineRule="exact"/>
        <w:rPr>
          <w:sz w:val="20"/>
          <w:szCs w:val="20"/>
          <w:color w:val="auto"/>
        </w:rPr>
      </w:pPr>
    </w:p>
    <w:p>
      <w:pPr>
        <w:ind w:right="80" w:firstLine="799"/>
        <w:spacing w:after="0" w:line="237" w:lineRule="auto"/>
        <w:rPr>
          <w:sz w:val="20"/>
          <w:szCs w:val="20"/>
          <w:color w:val="auto"/>
        </w:rPr>
      </w:pPr>
      <w:r>
        <w:rPr>
          <w:rFonts w:ascii="Arial" w:cs="Arial" w:eastAsia="Arial" w:hAnsi="Arial"/>
          <w:sz w:val="18"/>
          <w:szCs w:val="18"/>
          <w:color w:val="auto"/>
        </w:rPr>
        <w:t>Purchased technology represents the fair value of UACC’s proprietary technology used to support all aspects of their business including underwriting, servicing, and risk management. The estimated fair value of the purchased technology was determined using a relief-from-royalty method under the income approach. The significant assumptions used in the relief-from-royalty method include estimates about future expected cash flows from the purchased technology, including the revenue growth rates, the royalty rate, the obsolescence factor and the discount rate.</w:t>
      </w:r>
    </w:p>
    <w:p>
      <w:pPr>
        <w:spacing w:after="0" w:line="192"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Customer relationships represents UACC's relationship with its network of dealer customers. UACC has expertise in the non-prime credit dealer market serving as the key link between independent dealerships and consumers. UACC has developed expertise and robust relationships in the independent dealer market as demonstrated by its active dealership network. The estimated fair value of the customer relationships was determined using a multi-period excess earnings method under the income approach. The significant assumptions used in the multi-period excess earnings method include estimates about future expected cash flows from the customer relationships, including pre-tax income margins and the discount rate.</w:t>
      </w:r>
    </w:p>
    <w:p>
      <w:pPr>
        <w:spacing w:after="0" w:line="189" w:lineRule="exact"/>
        <w:rPr>
          <w:sz w:val="20"/>
          <w:szCs w:val="20"/>
          <w:color w:val="auto"/>
        </w:rPr>
      </w:pPr>
    </w:p>
    <w:p>
      <w:pPr>
        <w:ind w:right="200" w:firstLine="799"/>
        <w:spacing w:after="0" w:line="238" w:lineRule="auto"/>
        <w:rPr>
          <w:sz w:val="20"/>
          <w:szCs w:val="20"/>
          <w:color w:val="auto"/>
        </w:rPr>
      </w:pPr>
      <w:r>
        <w:rPr>
          <w:rFonts w:ascii="Arial" w:cs="Arial" w:eastAsia="Arial" w:hAnsi="Arial"/>
          <w:sz w:val="18"/>
          <w:szCs w:val="18"/>
          <w:color w:val="auto"/>
        </w:rPr>
        <w:t>Trade name represents the value of the UACC trade name. The UACC brand is an important factor in the marketing of UACC’s services to prospective dealership customers. The fair value of the trade name acquired was determined using a relief-from-royalty method under the income approach. The significant assumptions used in the relief-from-royalty method include future expected cash flows from the trade name, the royalty rate, and the discount rate.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200" w:firstLine="749"/>
        <w:spacing w:after="0"/>
        <w:rPr>
          <w:sz w:val="20"/>
          <w:szCs w:val="20"/>
          <w:color w:val="auto"/>
        </w:rPr>
      </w:pPr>
      <w:r>
        <w:rPr>
          <w:rFonts w:ascii="Arial" w:cs="Arial" w:eastAsia="Arial" w:hAnsi="Arial"/>
          <w:sz w:val="18"/>
          <w:szCs w:val="18"/>
          <w:color w:val="auto"/>
        </w:rPr>
        <w:t>The fair values assigned to assets acquired and liabilities assumed are based on management’s estimates and assumptions. The allocation of the total consideration transferred to the assets acquired, including intangible assets and goodwill, as well as the liabilities assumed is final as of December 31, 2022.</w:t>
      </w:r>
    </w:p>
    <w:p>
      <w:pPr>
        <w:spacing w:after="0" w:line="188" w:lineRule="exact"/>
        <w:rPr>
          <w:sz w:val="20"/>
          <w:szCs w:val="20"/>
          <w:color w:val="auto"/>
        </w:rPr>
      </w:pPr>
    </w:p>
    <w:p>
      <w:pPr>
        <w:jc w:val="both"/>
        <w:ind w:right="140" w:firstLine="749"/>
        <w:spacing w:after="0"/>
        <w:rPr>
          <w:sz w:val="20"/>
          <w:szCs w:val="20"/>
          <w:color w:val="auto"/>
        </w:rPr>
      </w:pPr>
      <w:r>
        <w:rPr>
          <w:rFonts w:ascii="Arial" w:cs="Arial" w:eastAsia="Arial" w:hAnsi="Arial"/>
          <w:sz w:val="18"/>
          <w:szCs w:val="18"/>
          <w:color w:val="auto"/>
        </w:rPr>
        <w:t>The transaction costs associated with the UACC Acquisition were $5.7 million for the year ended December 31, 2022 and $5.1 for the year ended December 31, 2021, and are included within "Selling, general and administrative expenses" in the consolidated statement of operations.</w:t>
      </w:r>
    </w:p>
    <w:p>
      <w:pPr>
        <w:spacing w:after="0" w:line="188" w:lineRule="exact"/>
        <w:rPr>
          <w:sz w:val="20"/>
          <w:szCs w:val="20"/>
          <w:color w:val="auto"/>
        </w:rPr>
      </w:pPr>
    </w:p>
    <w:p>
      <w:pPr>
        <w:ind w:right="680" w:firstLine="749"/>
        <w:spacing w:after="0" w:line="245" w:lineRule="auto"/>
        <w:rPr>
          <w:sz w:val="20"/>
          <w:szCs w:val="20"/>
          <w:color w:val="auto"/>
        </w:rPr>
      </w:pPr>
      <w:r>
        <w:rPr>
          <w:rFonts w:ascii="Arial" w:cs="Arial" w:eastAsia="Arial" w:hAnsi="Arial"/>
          <w:sz w:val="18"/>
          <w:szCs w:val="18"/>
          <w:color w:val="auto"/>
        </w:rPr>
        <w:t>The aggregate revenue and net income of UACC consolidated into the Company’s financial statements from the date of the acquisition was $167.8 million and $26.7 million for the year ended December 31, 2022,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Information</w:t>
      </w:r>
    </w:p>
    <w:p>
      <w:pPr>
        <w:spacing w:after="0" w:line="220"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The unaudited pro forma financial information in the table below summarizes the combined results of the Company and UACC, as though the companies had been combined on January 1, 2021. The pro forma adjustments include incremental amortization of intangible assets, adjustments to reflect non-recurring acquisition-related costs of $5.7 million as of the beginning of the 2021 annual reporting period, a non-recurring tax adjustment of $24.1 million for the year ended December 31, 2022, and a non-recurring tax benefit of $34.9 million for the year ended December 31, 2021. The pro forma information is presented for informational purposes only and may not be indicative of the results of operations that would have been achieved if the acquisition had taken place on January 1, 2021 or that may occur in the future, and does not reflect future synergies, integration costs, or other such costs or savings. The pro forma information for the years ended December 31, 2022 and 2021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Year ended December 31,</w:t>
            </w:r>
          </w:p>
        </w:tc>
        <w:tc>
          <w:tcPr>
            <w:tcW w:w="18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r>
      <w:tr>
        <w:trPr>
          <w:trHeight w:val="209"/>
        </w:trPr>
        <w:tc>
          <w:tcPr>
            <w:tcW w:w="4600" w:type="dxa"/>
            <w:vAlign w:val="bottom"/>
          </w:tcPr>
          <w:p>
            <w:pPr>
              <w:spacing w:after="0"/>
              <w:rPr>
                <w:sz w:val="18"/>
                <w:szCs w:val="18"/>
                <w:color w:val="auto"/>
              </w:rPr>
            </w:pPr>
          </w:p>
        </w:tc>
        <w:tc>
          <w:tcPr>
            <w:tcW w:w="21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13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036"/>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8"/>
                <w:szCs w:val="18"/>
                <w:color w:val="auto"/>
              </w:rPr>
            </w:pPr>
          </w:p>
        </w:tc>
      </w:tr>
      <w:tr>
        <w:trPr>
          <w:trHeight w:val="223"/>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100" w:type="dxa"/>
            <w:vAlign w:val="bottom"/>
            <w:shd w:val="clear" w:color="auto" w:fill="CFF0FC"/>
          </w:tcPr>
          <w:p>
            <w:pPr>
              <w:jc w:val="right"/>
              <w:ind w:right="1896"/>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1,964,372</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3,356,786</w:t>
            </w:r>
          </w:p>
        </w:tc>
        <w:tc>
          <w:tcPr>
            <w:tcW w:w="300" w:type="dxa"/>
            <w:vAlign w:val="bottom"/>
            <w:shd w:val="clear" w:color="auto" w:fill="CFF0FC"/>
          </w:tcPr>
          <w:p>
            <w:pPr>
              <w:spacing w:after="0"/>
              <w:rPr>
                <w:sz w:val="19"/>
                <w:szCs w:val="19"/>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100" w:type="dxa"/>
            <w:vAlign w:val="bottom"/>
          </w:tcPr>
          <w:p>
            <w:pPr>
              <w:jc w:val="right"/>
              <w:ind w:right="1896"/>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(464,101 )</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2160" w:type="dxa"/>
            <w:vAlign w:val="bottom"/>
            <w:gridSpan w:val="2"/>
          </w:tcPr>
          <w:p>
            <w:pPr>
              <w:jc w:val="right"/>
              <w:ind w:right="220"/>
              <w:spacing w:after="0"/>
              <w:rPr>
                <w:sz w:val="20"/>
                <w:szCs w:val="20"/>
                <w:color w:val="auto"/>
              </w:rPr>
            </w:pPr>
            <w:r>
              <w:rPr>
                <w:rFonts w:ascii="Arial" w:cs="Arial" w:eastAsia="Arial" w:hAnsi="Arial"/>
                <w:sz w:val="18"/>
                <w:szCs w:val="18"/>
                <w:color w:val="auto"/>
              </w:rPr>
              <w:t>(280,614 )</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CarStory Acquisition</w:t>
      </w:r>
    </w:p>
    <w:p>
      <w:pPr>
        <w:spacing w:after="0" w:line="220" w:lineRule="exact"/>
        <w:rPr>
          <w:sz w:val="20"/>
          <w:szCs w:val="20"/>
          <w:color w:val="auto"/>
        </w:rPr>
      </w:pPr>
    </w:p>
    <w:p>
      <w:pPr>
        <w:ind w:right="100" w:firstLine="749"/>
        <w:spacing w:after="0" w:line="236" w:lineRule="auto"/>
        <w:rPr>
          <w:sz w:val="20"/>
          <w:szCs w:val="20"/>
          <w:color w:val="auto"/>
        </w:rPr>
      </w:pPr>
      <w:r>
        <w:rPr>
          <w:rFonts w:ascii="Arial" w:cs="Arial" w:eastAsia="Arial" w:hAnsi="Arial"/>
          <w:sz w:val="18"/>
          <w:szCs w:val="18"/>
          <w:color w:val="auto"/>
        </w:rPr>
        <w:t>On January 7, 2021, the Company completed the acquisition of 100% of Vast Holdings, Inc. (d/b/a CarStory), a leader in AI-powered analytics and digital services for automotive retail. Leveraging its machine learning, CarStory brings predictive market data to the Company’s national ecommerce and vehicle operations platform. CarStory continues to offer its digital retailing services to dealers, automotive financial services companies and others in the automotive industry. The financial results of CarStory were included in the consolidated financial statements from the date of acquisition. The transaction costs associated with its acquisition were not material for the year ended December 31, 2021. Pro forma results of operations have not been presented as the effect of this acquisition was not material to the consolidated financial statements.</w:t>
      </w:r>
    </w:p>
    <w:p>
      <w:pPr>
        <w:spacing w:after="0" w:line="193" w:lineRule="exact"/>
        <w:rPr>
          <w:sz w:val="20"/>
          <w:szCs w:val="20"/>
          <w:color w:val="auto"/>
        </w:rPr>
      </w:pPr>
    </w:p>
    <w:p>
      <w:pPr>
        <w:ind w:right="600" w:firstLine="749"/>
        <w:spacing w:after="0" w:line="245" w:lineRule="auto"/>
        <w:rPr>
          <w:sz w:val="20"/>
          <w:szCs w:val="20"/>
          <w:color w:val="auto"/>
        </w:rPr>
      </w:pPr>
      <w:r>
        <w:rPr>
          <w:rFonts w:ascii="Arial" w:cs="Arial" w:eastAsia="Arial" w:hAnsi="Arial"/>
          <w:sz w:val="18"/>
          <w:szCs w:val="18"/>
          <w:color w:val="auto"/>
        </w:rPr>
        <w:t>The fair value of the consideration transferred was approximately $116.6 million, inclusive of immaterial measurement period adjustments, and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7"/>
                <w:szCs w:val="17"/>
                <w:color w:val="auto"/>
              </w:rPr>
            </w:pPr>
          </w:p>
        </w:tc>
      </w:t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76,740</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0"/>
              <w:spacing w:after="0" w:line="229" w:lineRule="exact"/>
              <w:rPr>
                <w:sz w:val="20"/>
                <w:szCs w:val="20"/>
                <w:color w:val="auto"/>
              </w:rPr>
            </w:pPr>
            <w:r>
              <w:rPr>
                <w:rFonts w:ascii="Arial" w:cs="Arial" w:eastAsia="Arial" w:hAnsi="Arial"/>
                <w:sz w:val="18"/>
                <w:szCs w:val="18"/>
                <w:color w:val="auto"/>
              </w:rPr>
              <w:t>Common stock issued</w:t>
            </w:r>
            <w:r>
              <w:rPr>
                <w:rFonts w:ascii="Arial" w:cs="Arial" w:eastAsia="Arial" w:hAnsi="Arial"/>
                <w:sz w:val="24"/>
                <w:szCs w:val="24"/>
                <w:color w:val="auto"/>
                <w:vertAlign w:val="superscript"/>
              </w:rPr>
              <w:t>(1)</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38,811</w:t>
            </w:r>
          </w:p>
        </w:tc>
        <w:tc>
          <w:tcPr>
            <w:tcW w:w="100" w:type="dxa"/>
            <w:vAlign w:val="bottom"/>
          </w:tcPr>
          <w:p>
            <w:pPr>
              <w:spacing w:after="0"/>
              <w:rPr>
                <w:sz w:val="19"/>
                <w:szCs w:val="19"/>
                <w:color w:val="auto"/>
              </w:rPr>
            </w:pPr>
          </w:p>
        </w:tc>
      </w:tr>
      <w:tr>
        <w:trPr>
          <w:trHeight w:val="229"/>
        </w:trPr>
        <w:tc>
          <w:tcPr>
            <w:tcW w:w="9260" w:type="dxa"/>
            <w:vAlign w:val="bottom"/>
            <w:tcBorders>
              <w:bottom w:val="single" w:sz="8" w:color="CFF0FC"/>
            </w:tcBorders>
            <w:shd w:val="clear" w:color="auto" w:fill="CFF0FC"/>
          </w:tcPr>
          <w:p>
            <w:pPr>
              <w:ind w:left="20"/>
              <w:spacing w:after="0" w:line="229" w:lineRule="exact"/>
              <w:rPr>
                <w:sz w:val="20"/>
                <w:szCs w:val="20"/>
                <w:color w:val="auto"/>
              </w:rPr>
            </w:pPr>
            <w:r>
              <w:rPr>
                <w:rFonts w:ascii="Arial" w:cs="Arial" w:eastAsia="Arial" w:hAnsi="Arial"/>
                <w:sz w:val="18"/>
                <w:szCs w:val="18"/>
                <w:color w:val="auto"/>
              </w:rPr>
              <w:t>Fair value of unvested stock options assumed</w:t>
            </w:r>
            <w:r>
              <w:rPr>
                <w:rFonts w:ascii="Arial" w:cs="Arial" w:eastAsia="Arial" w:hAnsi="Arial"/>
                <w:sz w:val="24"/>
                <w:szCs w:val="24"/>
                <w:color w:val="auto"/>
                <w:vertAlign w:val="superscript"/>
              </w:rPr>
              <w:t>(2)</w:t>
            </w:r>
          </w:p>
        </w:tc>
        <w:tc>
          <w:tcPr>
            <w:tcW w:w="3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116,568</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47" w:lineRule="exact"/>
        <w:rPr>
          <w:sz w:val="20"/>
          <w:szCs w:val="20"/>
          <w:color w:val="auto"/>
        </w:rPr>
      </w:pPr>
    </w:p>
    <w:p>
      <w:pPr>
        <w:ind w:left="760" w:right="140" w:hanging="378"/>
        <w:spacing w:after="0" w:line="257" w:lineRule="auto"/>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Company issued 1,066,444 shares of common stock, net of 5,673 shares cancelled to satisfy working capital adjustment,. The fair value of common stock was determined based on the closing market price on the date of acquisition discounted for a lack of marketability of 10.0% to account for the 180 day lock up period.</w:t>
      </w:r>
    </w:p>
    <w:p>
      <w:pPr>
        <w:spacing w:after="0" w:line="86" w:lineRule="exact"/>
        <w:rPr>
          <w:rFonts w:ascii="Arial" w:cs="Arial" w:eastAsia="Arial" w:hAnsi="Arial"/>
          <w:sz w:val="14"/>
          <w:szCs w:val="14"/>
          <w:color w:val="auto"/>
        </w:rPr>
      </w:pPr>
    </w:p>
    <w:p>
      <w:pPr>
        <w:ind w:left="760" w:right="100" w:hanging="378"/>
        <w:spacing w:after="0" w:line="257" w:lineRule="auto"/>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fair value of the unvested stock options assumed by the Company was determined using the Black-Scholes option pricing model. The share conversion ratio of 0.0392 was applied to convert CarStory’s outstanding equity awards for CarStory's common stock into equity awards for shares of the Company's common stock.</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360" w:firstLine="749"/>
        <w:spacing w:after="0" w:line="274" w:lineRule="auto"/>
        <w:rPr>
          <w:sz w:val="20"/>
          <w:szCs w:val="20"/>
          <w:color w:val="auto"/>
        </w:rPr>
      </w:pPr>
      <w:r>
        <w:rPr>
          <w:rFonts w:ascii="Arial" w:cs="Arial" w:eastAsia="Arial" w:hAnsi="Arial"/>
          <w:sz w:val="17"/>
          <w:szCs w:val="17"/>
          <w:color w:val="auto"/>
        </w:rPr>
        <w:t>The following table summarizes the fair value of the identified assets acquired and liabilities assumed as of the acquisition date, inclusive of immaterial measurement period adjustments which were finalized in the year ended December 31, 2021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Accounts receivable, prepaid expenses and other current assets</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and other assets</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34,300</w:t>
            </w:r>
          </w:p>
        </w:tc>
        <w:tc>
          <w:tcPr>
            <w:tcW w:w="100" w:type="dxa"/>
            <w:vAlign w:val="bottom"/>
          </w:tcPr>
          <w:p>
            <w:pPr>
              <w:spacing w:after="0"/>
              <w:rPr>
                <w:sz w:val="19"/>
                <w:szCs w:val="19"/>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80,645</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(943 )</w:t>
            </w:r>
          </w:p>
        </w:tc>
      </w:tr>
      <w:tr>
        <w:trPr>
          <w:trHeight w:val="263"/>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116,568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attributable to the workforce of the acquired business and benefits related to expanded market opportunities from integrating CarStory's technology with the Company's ecommerce offerings. All of the goodwill was assigned to the ecommerce reporting unit.</w:t>
      </w:r>
    </w:p>
    <w:p>
      <w:pPr>
        <w:spacing w:after="0" w:line="190" w:lineRule="exact"/>
        <w:rPr>
          <w:sz w:val="20"/>
          <w:szCs w:val="20"/>
          <w:color w:val="auto"/>
        </w:rPr>
      </w:pPr>
    </w:p>
    <w:p>
      <w:pPr>
        <w:ind w:right="200" w:firstLine="749"/>
        <w:spacing w:after="0" w:line="245" w:lineRule="auto"/>
        <w:rPr>
          <w:sz w:val="20"/>
          <w:szCs w:val="20"/>
          <w:color w:val="auto"/>
        </w:rPr>
      </w:pPr>
      <w:r>
        <w:rPr>
          <w:rFonts w:ascii="Arial" w:cs="Arial" w:eastAsia="Arial" w:hAnsi="Arial"/>
          <w:sz w:val="18"/>
          <w:szCs w:val="18"/>
          <w:color w:val="auto"/>
        </w:rPr>
        <w:t>The following table summarizes the final identifiable intangible assets acquired and their estimated weighted average useful life at the date of acquisition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Average Useful</w:t>
            </w:r>
          </w:p>
        </w:tc>
      </w:tr>
      <w:tr>
        <w:trPr>
          <w:trHeight w:val="189"/>
        </w:trPr>
        <w:tc>
          <w:tcPr>
            <w:tcW w:w="7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r>
      <w:tr>
        <w:trPr>
          <w:trHeight w:val="223"/>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25,700</w:t>
            </w:r>
          </w:p>
        </w:tc>
        <w:tc>
          <w:tcPr>
            <w:tcW w:w="18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5</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5,200</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8</w:t>
            </w:r>
          </w:p>
        </w:tc>
      </w:tr>
      <w:tr>
        <w:trPr>
          <w:trHeight w:val="229"/>
        </w:trPr>
        <w:tc>
          <w:tcPr>
            <w:tcW w:w="7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180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8</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Total intangible assets subject to amortization</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34,300</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-179070</wp:posOffset>
            </wp:positionV>
            <wp:extent cx="68580" cy="1797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1" w:lineRule="exact"/>
        <w:rPr>
          <w:sz w:val="20"/>
          <w:szCs w:val="20"/>
          <w:color w:val="auto"/>
        </w:rPr>
      </w:pPr>
    </w:p>
    <w:p>
      <w:pPr>
        <w:ind w:right="240" w:firstLine="749"/>
        <w:spacing w:after="0" w:line="245" w:lineRule="auto"/>
        <w:rPr>
          <w:sz w:val="20"/>
          <w:szCs w:val="20"/>
          <w:color w:val="auto"/>
        </w:rPr>
      </w:pPr>
      <w:r>
        <w:rPr>
          <w:rFonts w:ascii="Arial" w:cs="Arial" w:eastAsia="Arial" w:hAnsi="Arial"/>
          <w:sz w:val="18"/>
          <w:szCs w:val="18"/>
          <w:color w:val="auto"/>
        </w:rPr>
        <w:t>Developed technology, most of which is protected by a patent portfolio, represents the fair value of CarStory’s industry-specific AI powered analytics software. Trademarks represent the CarStory trademarks, trade names and domain names.</w:t>
      </w:r>
    </w:p>
    <w:p>
      <w:pPr>
        <w:spacing w:after="0" w:line="184" w:lineRule="exact"/>
        <w:rPr>
          <w:sz w:val="20"/>
          <w:szCs w:val="20"/>
          <w:color w:val="auto"/>
        </w:rPr>
      </w:pPr>
    </w:p>
    <w:p>
      <w:pPr>
        <w:ind w:right="100" w:firstLine="749"/>
        <w:spacing w:after="0" w:line="238" w:lineRule="auto"/>
        <w:rPr>
          <w:sz w:val="20"/>
          <w:szCs w:val="20"/>
          <w:color w:val="auto"/>
        </w:rPr>
      </w:pPr>
      <w:r>
        <w:rPr>
          <w:rFonts w:ascii="Arial" w:cs="Arial" w:eastAsia="Arial" w:hAnsi="Arial"/>
          <w:sz w:val="18"/>
          <w:szCs w:val="18"/>
          <w:color w:val="auto"/>
        </w:rPr>
        <w:t>The fair values assigned to tangible and intangible assets acquired and liabilities assumed are based on management’s estimates and assumptions. The estimated fair value of the intangible assets acquired was determined using a discounted cash flow method under the income approach. Under this approach, the Company estimates future cash flows and discounts these cash flows at a rate of return that reflects the Company’s relative risk.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bottom w:val="single" w:sz="8" w:color="auto"/>
            </w:tcBorders>
          </w:tcPr>
          <w:p>
            <w:pPr>
              <w:spacing w:after="0"/>
              <w:rPr>
                <w:sz w:val="16"/>
                <w:szCs w:val="16"/>
                <w:color w:val="auto"/>
              </w:rPr>
            </w:pPr>
          </w:p>
        </w:tc>
      </w:tr>
      <w:tr>
        <w:trPr>
          <w:trHeight w:val="182"/>
        </w:trPr>
        <w:tc>
          <w:tcPr>
            <w:tcW w:w="708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2021</w:t>
            </w: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Vehicles</w:t>
            </w:r>
          </w:p>
        </w:tc>
        <w:tc>
          <w:tcPr>
            <w:tcW w:w="1160" w:type="dxa"/>
            <w:vAlign w:val="bottom"/>
            <w:shd w:val="clear" w:color="auto" w:fill="CFF0FC"/>
          </w:tcPr>
          <w:p>
            <w:pPr>
              <w:jc w:val="right"/>
              <w:ind w:right="95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317,994</w:t>
            </w:r>
          </w:p>
        </w:tc>
        <w:tc>
          <w:tcPr>
            <w:tcW w:w="7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724,542</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Parts and accessories</w:t>
            </w:r>
          </w:p>
        </w:tc>
        <w:tc>
          <w:tcPr>
            <w:tcW w:w="1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2,654</w:t>
            </w: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1,842</w:t>
            </w:r>
          </w:p>
        </w:tc>
      </w:tr>
      <w:tr>
        <w:trPr>
          <w:trHeight w:val="263"/>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inventory</w:t>
            </w:r>
          </w:p>
        </w:tc>
        <w:tc>
          <w:tcPr>
            <w:tcW w:w="1160" w:type="dxa"/>
            <w:vAlign w:val="bottom"/>
            <w:tcBorders>
              <w:bottom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320,648</w:t>
            </w:r>
          </w:p>
        </w:tc>
        <w:tc>
          <w:tcPr>
            <w:tcW w:w="18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726,384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-24765</wp:posOffset>
            </wp:positionV>
            <wp:extent cx="12001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-7620</wp:posOffset>
            </wp:positionV>
            <wp:extent cx="1200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22" w:lineRule="exact"/>
        <w:rPr>
          <w:sz w:val="20"/>
          <w:szCs w:val="20"/>
          <w:color w:val="auto"/>
        </w:rPr>
      </w:pPr>
    </w:p>
    <w:p>
      <w:pPr>
        <w:ind w:right="280" w:firstLine="761"/>
        <w:spacing w:after="0" w:line="245" w:lineRule="auto"/>
        <w:rPr>
          <w:sz w:val="20"/>
          <w:szCs w:val="20"/>
          <w:color w:val="auto"/>
        </w:rPr>
      </w:pPr>
      <w:r>
        <w:rPr>
          <w:rFonts w:ascii="Arial" w:cs="Arial" w:eastAsia="Arial" w:hAnsi="Arial"/>
          <w:sz w:val="18"/>
          <w:szCs w:val="18"/>
          <w:color w:val="auto"/>
        </w:rPr>
        <w:t>As of December 31, 2022 and 2021, “Inventory” includes an adjustment of $24.2 million and $22.4 million, respectively, to record the balances at the lower of cost or net realizable value.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bottom w:val="single" w:sz="8" w:color="auto"/>
            </w:tcBorders>
          </w:tcPr>
          <w:p>
            <w:pPr>
              <w:spacing w:after="0"/>
              <w:rPr>
                <w:sz w:val="16"/>
                <w:szCs w:val="16"/>
                <w:color w:val="auto"/>
              </w:rPr>
            </w:pPr>
          </w:p>
        </w:tc>
      </w:tr>
      <w:tr>
        <w:trPr>
          <w:trHeight w:val="182"/>
        </w:trPr>
        <w:tc>
          <w:tcPr>
            <w:tcW w:w="70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2021</w:t>
            </w: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3,357</w:t>
            </w:r>
          </w:p>
        </w:tc>
        <w:tc>
          <w:tcPr>
            <w:tcW w:w="7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1,011</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4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1,896</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2,244</w:t>
            </w: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Logistics fleet</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32,468</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22,810</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44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6,577</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7,161</w:t>
            </w: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Internal-use software</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30,725</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18,423</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8,081</w:t>
            </w: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5,811</w:t>
            </w:r>
          </w:p>
        </w:tc>
      </w:tr>
      <w:tr>
        <w:trPr>
          <w:trHeight w:val="223"/>
        </w:trPr>
        <w:tc>
          <w:tcPr>
            <w:tcW w:w="70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83,104</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57,460</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(32,903 )</w:t>
            </w: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(20,418 )</w:t>
            </w:r>
          </w:p>
        </w:tc>
      </w:tr>
      <w:tr>
        <w:trPr>
          <w:trHeight w:val="263"/>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50,201</w:t>
            </w:r>
          </w:p>
        </w:tc>
        <w:tc>
          <w:tcPr>
            <w:tcW w:w="18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37,042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-24765</wp:posOffset>
            </wp:positionV>
            <wp:extent cx="12001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-7620</wp:posOffset>
            </wp:positionV>
            <wp:extent cx="12001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22" w:lineRule="exact"/>
        <w:rPr>
          <w:sz w:val="20"/>
          <w:szCs w:val="20"/>
          <w:color w:val="auto"/>
        </w:rPr>
      </w:pPr>
    </w:p>
    <w:p>
      <w:pPr>
        <w:ind w:right="340" w:firstLine="761"/>
        <w:spacing w:after="0"/>
        <w:rPr>
          <w:sz w:val="20"/>
          <w:szCs w:val="20"/>
          <w:color w:val="auto"/>
        </w:rPr>
      </w:pPr>
      <w:r>
        <w:rPr>
          <w:rFonts w:ascii="Arial" w:cs="Arial" w:eastAsia="Arial" w:hAnsi="Arial"/>
          <w:sz w:val="18"/>
          <w:szCs w:val="18"/>
          <w:color w:val="auto"/>
        </w:rPr>
        <w:t>Depreciation and amortization expense was $13.4 million, $7.1 million and $4.1 million for the years ended December 31, 2022, 2021 and 2020, respectively. Depreciation and amortization expense included within “Cost of sales” in the consolidated statements of operations was $0.4 million, $0.3 million, and $0.1 million for the years ended December 31, 2022, 2021 and 2020, respectively.</w:t>
      </w:r>
    </w:p>
    <w:p>
      <w:pPr>
        <w:spacing w:after="0" w:line="188"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Implementation costs capitalized and accumulated amortization related to the Company’s cloud computing arrangements were $7.7 million and $4.6 million as of December 31, 2022, respectively, and $8.1 million and $2.4 million as of December 31, 2021, respectively, and were included within “Other assets” in the consolidated balance sheets. Amortization expense of $2.3 million, $1.4 million, and $0.7 million was included within “Selling, general and administrative expenses” in the consolidated statements of operations for the years ended December 31, 2022, 2021, and 2020, respectively.</w:t>
      </w:r>
    </w:p>
    <w:p>
      <w:pPr>
        <w:spacing w:after="0" w:line="192" w:lineRule="exact"/>
        <w:rPr>
          <w:sz w:val="20"/>
          <w:szCs w:val="20"/>
          <w:color w:val="auto"/>
        </w:rPr>
      </w:pPr>
    </w:p>
    <w:p>
      <w:pPr>
        <w:ind w:right="320" w:firstLine="761"/>
        <w:spacing w:after="0" w:line="238" w:lineRule="auto"/>
        <w:rPr>
          <w:sz w:val="20"/>
          <w:szCs w:val="20"/>
          <w:color w:val="auto"/>
        </w:rPr>
      </w:pPr>
      <w:r>
        <w:rPr>
          <w:rFonts w:ascii="Arial" w:cs="Arial" w:eastAsia="Arial" w:hAnsi="Arial"/>
          <w:sz w:val="18"/>
          <w:szCs w:val="18"/>
          <w:color w:val="auto"/>
        </w:rPr>
        <w:t>The Company incurred impairment charges related to "Property and equipment, net" and "Other assets" of $0.3 million and $3.4 million, respectively, for the year ended December 31, 2022 and are included in "Impairment charges" in the consolidated statements of operations. These charges consist of costs capitalized related to the Company's internal-use software and implementation costs for cloud computing arrangements that are no longer in use.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0" w:lineRule="exact"/>
        <w:rPr>
          <w:sz w:val="20"/>
          <w:szCs w:val="20"/>
          <w:color w:val="auto"/>
        </w:rPr>
      </w:pPr>
    </w:p>
    <w:p>
      <w:pPr>
        <w:ind w:right="380" w:firstLine="761"/>
        <w:spacing w:after="0" w:line="277" w:lineRule="auto"/>
        <w:rPr>
          <w:sz w:val="20"/>
          <w:szCs w:val="20"/>
          <w:color w:val="auto"/>
        </w:rPr>
      </w:pPr>
      <w:r>
        <w:rPr>
          <w:rFonts w:ascii="Arial" w:cs="Arial" w:eastAsia="Arial" w:hAnsi="Arial"/>
          <w:sz w:val="18"/>
          <w:szCs w:val="18"/>
          <w:color w:val="auto"/>
        </w:rPr>
        <w:t>The following table summarizes the activity in the carrying value of goodwill by reporting unit for the years ended December 31, 2022, and 2021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Ecommerce</w:t>
            </w:r>
          </w:p>
        </w:tc>
        <w:tc>
          <w:tcPr>
            <w:tcW w:w="260" w:type="dxa"/>
            <w:vAlign w:val="bottom"/>
          </w:tcPr>
          <w:p>
            <w:pPr>
              <w:spacing w:after="0"/>
              <w:rPr>
                <w:sz w:val="16"/>
                <w:szCs w:val="16"/>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Wholesale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TDA</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Total</w:t>
            </w:r>
          </w:p>
        </w:tc>
      </w:tr>
      <w:tr>
        <w:trPr>
          <w:trHeight w:val="223"/>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72,231</w:t>
            </w:r>
          </w:p>
        </w:tc>
        <w:tc>
          <w:tcPr>
            <w:tcW w:w="3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1,720</w:t>
            </w:r>
          </w:p>
        </w:tc>
        <w:tc>
          <w:tcPr>
            <w:tcW w:w="28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4,221</w:t>
            </w:r>
          </w:p>
        </w:tc>
        <w:tc>
          <w:tcPr>
            <w:tcW w:w="28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78,172</w:t>
            </w:r>
          </w:p>
        </w:tc>
        <w:tc>
          <w:tcPr>
            <w:tcW w:w="100" w:type="dxa"/>
            <w:vAlign w:val="bottom"/>
            <w:shd w:val="clear" w:color="auto" w:fill="CFF0FC"/>
          </w:tcPr>
          <w:p>
            <w:pPr>
              <w:spacing w:after="0"/>
              <w:rPr>
                <w:sz w:val="19"/>
                <w:szCs w:val="19"/>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80,645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80,645</w:t>
            </w:r>
          </w:p>
        </w:tc>
        <w:tc>
          <w:tcPr>
            <w:tcW w:w="100" w:type="dxa"/>
            <w:vAlign w:val="bottom"/>
          </w:tcPr>
          <w:p>
            <w:pPr>
              <w:spacing w:after="0"/>
              <w:rPr>
                <w:sz w:val="19"/>
                <w:szCs w:val="19"/>
                <w:color w:val="auto"/>
              </w:rPr>
            </w:pPr>
          </w:p>
        </w:tc>
      </w:tr>
      <w:tr>
        <w:trPr>
          <w:trHeight w:val="263"/>
        </w:trPr>
        <w:tc>
          <w:tcPr>
            <w:tcW w:w="3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152,876</w:t>
            </w:r>
          </w:p>
        </w:tc>
        <w:tc>
          <w:tcPr>
            <w:tcW w:w="3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1,720</w:t>
            </w:r>
          </w:p>
        </w:tc>
        <w:tc>
          <w:tcPr>
            <w:tcW w:w="2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top w:val="single" w:sz="8" w:color="auto"/>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4,221</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158,817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392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42,886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42,886</w:t>
            </w:r>
          </w:p>
        </w:tc>
        <w:tc>
          <w:tcPr>
            <w:tcW w:w="100" w:type="dxa"/>
            <w:vAlign w:val="bottom"/>
          </w:tcPr>
          <w:p>
            <w:pPr>
              <w:spacing w:after="0"/>
              <w:rPr>
                <w:sz w:val="18"/>
                <w:szCs w:val="18"/>
                <w:color w:val="auto"/>
              </w:rPr>
            </w:pPr>
          </w:p>
        </w:tc>
      </w:tr>
      <w:tr>
        <w:trPr>
          <w:trHeight w:val="229"/>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impairment charge</w:t>
            </w:r>
          </w:p>
        </w:tc>
        <w:tc>
          <w:tcPr>
            <w:tcW w:w="2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(195,762 )</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(1,720 )</w:t>
            </w: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(4,221 )</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(201,703 )</w:t>
            </w:r>
          </w:p>
        </w:tc>
      </w:tr>
      <w:tr>
        <w:trPr>
          <w:trHeight w:val="223"/>
        </w:trPr>
        <w:tc>
          <w:tcPr>
            <w:tcW w:w="39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tcBorders>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3498215</wp:posOffset>
            </wp:positionH>
            <wp:positionV relativeFrom="paragraph">
              <wp:posOffset>-495935</wp:posOffset>
            </wp:positionV>
            <wp:extent cx="3639185" cy="1714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639185" cy="171450"/>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-179070</wp:posOffset>
            </wp:positionV>
            <wp:extent cx="76835" cy="1797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-179070</wp:posOffset>
            </wp:positionV>
            <wp:extent cx="68580" cy="1797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-179070</wp:posOffset>
            </wp:positionV>
            <wp:extent cx="68580" cy="1797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6" w:lineRule="exact"/>
        <w:rPr>
          <w:sz w:val="20"/>
          <w:szCs w:val="20"/>
          <w:color w:val="auto"/>
        </w:rPr>
      </w:pPr>
    </w:p>
    <w:p>
      <w:pPr>
        <w:ind w:right="280" w:firstLine="761"/>
        <w:spacing w:after="0" w:line="242" w:lineRule="auto"/>
        <w:rPr>
          <w:sz w:val="20"/>
          <w:szCs w:val="20"/>
          <w:color w:val="auto"/>
        </w:rPr>
      </w:pPr>
      <w:r>
        <w:rPr>
          <w:rFonts w:ascii="Arial" w:cs="Arial" w:eastAsia="Arial" w:hAnsi="Arial"/>
          <w:sz w:val="17"/>
          <w:szCs w:val="17"/>
          <w:color w:val="auto"/>
        </w:rPr>
        <w:t>As of March 31, 2022, a quantitative interim goodwill impairment assessment was performed over the Company's reporting units due to further sustained declines in the Company's and comparable companies' stock prices during the three months ended March 31, 2022.</w:t>
      </w:r>
    </w:p>
    <w:p>
      <w:pPr>
        <w:spacing w:after="0" w:line="191" w:lineRule="exact"/>
        <w:rPr>
          <w:sz w:val="20"/>
          <w:szCs w:val="20"/>
          <w:color w:val="auto"/>
        </w:rPr>
      </w:pPr>
    </w:p>
    <w:p>
      <w:pPr>
        <w:jc w:val="both"/>
        <w:ind w:right="480" w:firstLine="764"/>
        <w:spacing w:after="0"/>
        <w:rPr>
          <w:sz w:val="20"/>
          <w:szCs w:val="20"/>
          <w:color w:val="auto"/>
        </w:rPr>
      </w:pPr>
      <w:r>
        <w:rPr>
          <w:rFonts w:ascii="Arial" w:cs="Arial" w:eastAsia="Arial" w:hAnsi="Arial"/>
          <w:sz w:val="18"/>
          <w:szCs w:val="18"/>
          <w:color w:val="auto"/>
        </w:rPr>
        <w:t>The Company estimated the fair value of the Ecommerce, Wholesale, and TDA reporting units using the discounted cash flow method under the income approach. The significant assumptions used in the valuation include revenue growth rates, future gross profit margins and operating expenses used to calculate projected future cash flows,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determination of the weighted average cost of capital, and future economic and market conditions. The terminal value is based on an exit revenue multiple which requires significant assumptions regarding the selection of appropriate multiples that consider relevant market trading data. The Company bases its estimates and assumptions on its knowledge of the automotive and ecommerce industries, recent performance, expectations of future performance and other assumptions the Company believe to be reasonable.</w:t>
      </w:r>
    </w:p>
    <w:p>
      <w:pPr>
        <w:spacing w:after="0" w:line="190" w:lineRule="exact"/>
        <w:rPr>
          <w:sz w:val="20"/>
          <w:szCs w:val="20"/>
          <w:color w:val="auto"/>
        </w:rPr>
      </w:pPr>
    </w:p>
    <w:p>
      <w:pPr>
        <w:ind w:right="140" w:firstLine="764"/>
        <w:spacing w:after="0"/>
        <w:rPr>
          <w:sz w:val="20"/>
          <w:szCs w:val="20"/>
          <w:color w:val="auto"/>
        </w:rPr>
      </w:pPr>
      <w:r>
        <w:rPr>
          <w:rFonts w:ascii="Arial" w:cs="Arial" w:eastAsia="Arial" w:hAnsi="Arial"/>
          <w:sz w:val="18"/>
          <w:szCs w:val="18"/>
          <w:color w:val="auto"/>
        </w:rPr>
        <w:t>The Company determined that the estimated fair value of the Ecommerce, Wholesale, and TDA reporting units was less than their carrying amounts. The Company recorded a goodwill impairment charge of $201.7 million in the consolidated statements of operations for the year ended December 31, 2022. No goodwill impairment charges were recorded for the years ended December 31, 2021 and 2020.</w:t>
      </w:r>
    </w:p>
    <w:p>
      <w:pPr>
        <w:spacing w:after="0" w:line="188" w:lineRule="exact"/>
        <w:rPr>
          <w:sz w:val="20"/>
          <w:szCs w:val="20"/>
          <w:color w:val="auto"/>
        </w:rPr>
      </w:pPr>
    </w:p>
    <w:p>
      <w:pPr>
        <w:ind w:right="180" w:firstLine="761"/>
        <w:spacing w:after="0" w:line="245" w:lineRule="auto"/>
        <w:rPr>
          <w:sz w:val="20"/>
          <w:szCs w:val="20"/>
          <w:color w:val="auto"/>
        </w:rPr>
      </w:pPr>
      <w:r>
        <w:rPr>
          <w:rFonts w:ascii="Arial" w:cs="Arial" w:eastAsia="Arial" w:hAnsi="Arial"/>
          <w:sz w:val="18"/>
          <w:szCs w:val="18"/>
          <w:color w:val="auto"/>
        </w:rPr>
        <w:t>Refer to Note 5 – Acquisitions for more information related to the acquisitions that occurred in the year ended December 31, 2022 and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left="438"/>
              <w:spacing w:after="0"/>
              <w:rPr>
                <w:sz w:val="20"/>
                <w:szCs w:val="20"/>
                <w:color w:val="auto"/>
              </w:rPr>
            </w:pPr>
            <w:r>
              <w:rPr>
                <w:rFonts w:ascii="Arial" w:cs="Arial" w:eastAsia="Arial" w:hAnsi="Arial"/>
                <w:sz w:val="14"/>
                <w:szCs w:val="14"/>
                <w:b w:val="1"/>
                <w:bCs w:val="1"/>
                <w:color w:val="auto"/>
              </w:rPr>
              <w:t>December 31, 2021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4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jc w:val="center"/>
              <w:ind w:right="180"/>
              <w:spacing w:after="0" w:line="155" w:lineRule="exact"/>
              <w:rPr>
                <w:sz w:val="20"/>
                <w:szCs w:val="20"/>
                <w:color w:val="auto"/>
              </w:rPr>
            </w:pPr>
            <w:r>
              <w:rPr>
                <w:rFonts w:ascii="Arial" w:cs="Arial" w:eastAsia="Arial" w:hAnsi="Arial"/>
                <w:sz w:val="14"/>
                <w:szCs w:val="14"/>
                <w:b w:val="1"/>
                <w:bCs w:val="1"/>
                <w:color w:val="auto"/>
              </w:rPr>
              <w:t>Accumulat</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98"/>
              <w:spacing w:after="0"/>
              <w:rPr>
                <w:sz w:val="20"/>
                <w:szCs w:val="20"/>
                <w:color w:val="auto"/>
              </w:rPr>
            </w:pPr>
            <w:r>
              <w:rPr>
                <w:rFonts w:ascii="Arial" w:cs="Arial" w:eastAsia="Arial" w:hAnsi="Arial"/>
                <w:sz w:val="14"/>
                <w:szCs w:val="14"/>
                <w:b w:val="1"/>
                <w:bCs w:val="1"/>
                <w:color w:val="auto"/>
                <w:w w:val="98"/>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right="118"/>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98"/>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40" w:type="dxa"/>
            <w:vAlign w:val="bottom"/>
          </w:tcPr>
          <w:p>
            <w:pPr>
              <w:jc w:val="right"/>
              <w:ind w:right="136"/>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Amortizatio</w:t>
            </w:r>
          </w:p>
        </w:tc>
        <w:tc>
          <w:tcPr>
            <w:tcW w:w="84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r>
      <w:tr>
        <w:trPr>
          <w:trHeight w:val="189"/>
        </w:trPr>
        <w:tc>
          <w:tcPr>
            <w:tcW w:w="4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2"/>
              </w:rPr>
              <w:t>n</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22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and Purchased Technology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108,700</w:t>
            </w:r>
          </w:p>
        </w:tc>
        <w:tc>
          <w:tcPr>
            <w:tcW w:w="4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(21,053 )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87,647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25,700</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(5,043 )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20,657</w:t>
            </w:r>
          </w:p>
        </w:tc>
        <w:tc>
          <w:tcPr>
            <w:tcW w:w="100" w:type="dxa"/>
            <w:vAlign w:val="bottom"/>
            <w:shd w:val="clear" w:color="auto" w:fill="CFF0FC"/>
          </w:tcPr>
          <w:p>
            <w:pPr>
              <w:spacing w:after="0"/>
              <w:rPr>
                <w:sz w:val="19"/>
                <w:szCs w:val="19"/>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69,400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(8,661 )</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60,739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5,240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(673 )</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4,567</w:t>
            </w:r>
          </w:p>
        </w:tc>
        <w:tc>
          <w:tcPr>
            <w:tcW w:w="100" w:type="dxa"/>
            <w:vAlign w:val="bottom"/>
          </w:tcPr>
          <w:p>
            <w:pPr>
              <w:spacing w:after="0"/>
              <w:rPr>
                <w:sz w:val="19"/>
                <w:szCs w:val="19"/>
                <w:color w:val="auto"/>
              </w:rPr>
            </w:pPr>
          </w:p>
        </w:tc>
      </w:tr>
      <w:tr>
        <w:trPr>
          <w:trHeight w:val="22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Trademarks and Trade names</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(1,676 )</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(417 )</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100" w:type="dxa"/>
            <w:vAlign w:val="bottom"/>
            <w:shd w:val="clear" w:color="auto" w:fill="CFF0FC"/>
          </w:tcPr>
          <w:p>
            <w:pPr>
              <w:spacing w:after="0"/>
              <w:rPr>
                <w:sz w:val="19"/>
                <w:szCs w:val="19"/>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190,300</w:t>
            </w:r>
          </w:p>
        </w:tc>
        <w:tc>
          <w:tcPr>
            <w:tcW w:w="120" w:type="dxa"/>
            <w:vAlign w:val="bottom"/>
          </w:tcPr>
          <w:p>
            <w:pPr>
              <w:spacing w:after="0"/>
              <w:rPr>
                <w:sz w:val="19"/>
                <w:szCs w:val="19"/>
                <w:color w:val="auto"/>
              </w:rPr>
            </w:pP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(31,390 )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158,910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34,340</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(6,133 )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28,207</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-179070</wp:posOffset>
            </wp:positionV>
            <wp:extent cx="76835" cy="1797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-179070</wp:posOffset>
            </wp:positionV>
            <wp:extent cx="76835" cy="1797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-179070</wp:posOffset>
            </wp:positionV>
            <wp:extent cx="68580" cy="1797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-179070</wp:posOffset>
            </wp:positionV>
            <wp:extent cx="68580" cy="1797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-179070</wp:posOffset>
            </wp:positionV>
            <wp:extent cx="68580" cy="1797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1" w:lineRule="exact"/>
        <w:rPr>
          <w:sz w:val="20"/>
          <w:szCs w:val="20"/>
          <w:color w:val="auto"/>
        </w:rPr>
      </w:pPr>
    </w:p>
    <w:p>
      <w:pPr>
        <w:ind w:right="100" w:firstLine="761"/>
        <w:spacing w:after="0" w:line="245" w:lineRule="auto"/>
        <w:rPr>
          <w:sz w:val="20"/>
          <w:szCs w:val="20"/>
          <w:color w:val="auto"/>
        </w:rPr>
      </w:pPr>
      <w:r>
        <w:rPr>
          <w:rFonts w:ascii="Arial" w:cs="Arial" w:eastAsia="Arial" w:hAnsi="Arial"/>
          <w:sz w:val="18"/>
          <w:szCs w:val="18"/>
          <w:color w:val="auto"/>
        </w:rPr>
        <w:t>Refer to Note 5 – Acquisitions for more information related to the acquisitions that occurred in the years ended December 31, 2022 and 2021.</w:t>
      </w:r>
    </w:p>
    <w:p>
      <w:pPr>
        <w:spacing w:after="0" w:line="184" w:lineRule="exact"/>
        <w:rPr>
          <w:sz w:val="20"/>
          <w:szCs w:val="20"/>
          <w:color w:val="auto"/>
        </w:rPr>
      </w:pPr>
    </w:p>
    <w:p>
      <w:pPr>
        <w:ind w:right="80" w:firstLine="761"/>
        <w:spacing w:after="0" w:line="245" w:lineRule="auto"/>
        <w:rPr>
          <w:sz w:val="20"/>
          <w:szCs w:val="20"/>
          <w:color w:val="auto"/>
        </w:rPr>
      </w:pPr>
      <w:r>
        <w:rPr>
          <w:rFonts w:ascii="Arial" w:cs="Arial" w:eastAsia="Arial" w:hAnsi="Arial"/>
          <w:sz w:val="18"/>
          <w:szCs w:val="18"/>
          <w:color w:val="auto"/>
        </w:rPr>
        <w:t>Amortization expense for intangible assets was $25.3 million, $6.1 million and $0.5 million for the years ended December 31, 2022, 2021, and 2020, respectively.</w:t>
      </w:r>
    </w:p>
    <w:p>
      <w:pPr>
        <w:spacing w:after="0" w:line="184" w:lineRule="exact"/>
        <w:rPr>
          <w:sz w:val="20"/>
          <w:szCs w:val="20"/>
          <w:color w:val="auto"/>
        </w:rPr>
      </w:pPr>
    </w:p>
    <w:p>
      <w:pPr>
        <w:ind w:right="880" w:firstLine="761"/>
        <w:spacing w:after="0" w:line="245" w:lineRule="auto"/>
        <w:rPr>
          <w:sz w:val="20"/>
          <w:szCs w:val="20"/>
          <w:color w:val="auto"/>
        </w:rPr>
      </w:pPr>
      <w:r>
        <w:rPr>
          <w:rFonts w:ascii="Arial" w:cs="Arial" w:eastAsia="Arial" w:hAnsi="Arial"/>
          <w:sz w:val="18"/>
          <w:szCs w:val="18"/>
          <w:color w:val="auto"/>
        </w:rPr>
        <w:t>The estimated amortization expense for intangible assets subsequent to December 31, 2022, consists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6020" w:type="dxa"/>
            <w:vAlign w:val="bottom"/>
            <w:gridSpan w:val="3"/>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2024</w:t>
            </w:r>
          </w:p>
        </w:tc>
        <w:tc>
          <w:tcPr>
            <w:tcW w:w="4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2026</w:t>
            </w:r>
          </w:p>
        </w:tc>
        <w:tc>
          <w:tcPr>
            <w:tcW w:w="4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4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602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158,910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860" w:type="dxa"/>
            <w:vAlign w:val="bottom"/>
            <w:vMerge w:val="restart"/>
          </w:tcPr>
          <w:p>
            <w:pPr>
              <w:jc w:val="right"/>
              <w:ind w:right="265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366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6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ind w:right="3300" w:firstLine="3291"/>
        <w:spacing w:after="0" w:line="386" w:lineRule="auto"/>
        <w:rPr>
          <w:sz w:val="20"/>
          <w:szCs w:val="20"/>
          <w:color w:val="auto"/>
        </w:rPr>
      </w:pPr>
      <w:r>
        <w:rPr>
          <w:rFonts w:ascii="Arial" w:cs="Arial" w:eastAsia="Arial" w:hAnsi="Arial"/>
          <w:sz w:val="18"/>
          <w:szCs w:val="18"/>
          <w:b w:val="1"/>
          <w:bCs w:val="1"/>
          <w:color w:val="auto"/>
        </w:rPr>
        <w:t>NOTES TO CONSOLIDATED FINANCIAL STATEMENTS 9. Accrued Expenses and Other Current Liabilities</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accrued expenses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bottom w:val="single" w:sz="8" w:color="auto"/>
            </w:tcBorders>
          </w:tcPr>
          <w:p>
            <w:pPr>
              <w:spacing w:after="0"/>
              <w:rPr>
                <w:sz w:val="16"/>
                <w:szCs w:val="16"/>
                <w:color w:val="auto"/>
              </w:rPr>
            </w:pPr>
          </w:p>
        </w:tc>
      </w:tr>
      <w:tr>
        <w:trPr>
          <w:trHeight w:val="182"/>
        </w:trPr>
        <w:tc>
          <w:tcPr>
            <w:tcW w:w="7080" w:type="dxa"/>
            <w:vAlign w:val="bottom"/>
          </w:tcPr>
          <w:p>
            <w:pPr>
              <w:spacing w:after="0"/>
              <w:rPr>
                <w:sz w:val="15"/>
                <w:szCs w:val="15"/>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2021</w:t>
            </w: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marketing expenses</w:t>
            </w:r>
          </w:p>
        </w:tc>
        <w:tc>
          <w:tcPr>
            <w:tcW w:w="1200" w:type="dxa"/>
            <w:vAlign w:val="bottom"/>
            <w:shd w:val="clear" w:color="auto" w:fill="CFF0FC"/>
          </w:tcPr>
          <w:p>
            <w:pPr>
              <w:jc w:val="right"/>
              <w:ind w:right="99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2,093</w:t>
            </w:r>
          </w:p>
        </w:tc>
        <w:tc>
          <w:tcPr>
            <w:tcW w:w="7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17,546</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Vehicle related expenses</w:t>
            </w:r>
          </w:p>
        </w:tc>
        <w:tc>
          <w:tcPr>
            <w:tcW w:w="120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14,789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36,459</w:t>
            </w: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taxes</w:t>
            </w:r>
          </w:p>
        </w:tc>
        <w:tc>
          <w:tcPr>
            <w:tcW w:w="1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5,983</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39,163</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20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28,276</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16,150</w:t>
            </w: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services</w:t>
            </w:r>
          </w:p>
        </w:tc>
        <w:tc>
          <w:tcPr>
            <w:tcW w:w="1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3,488</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4,225</w:t>
            </w:r>
          </w:p>
        </w:tc>
      </w:tr>
      <w:tr>
        <w:trPr>
          <w:trHeight w:val="229"/>
        </w:trPr>
        <w:tc>
          <w:tcPr>
            <w:tcW w:w="7080" w:type="dxa"/>
            <w:vAlign w:val="bottom"/>
          </w:tcPr>
          <w:p>
            <w:pPr>
              <w:ind w:left="20"/>
              <w:spacing w:after="0" w:line="229" w:lineRule="exact"/>
              <w:rPr>
                <w:sz w:val="20"/>
                <w:szCs w:val="20"/>
                <w:color w:val="auto"/>
              </w:rPr>
            </w:pPr>
            <w:r>
              <w:rPr>
                <w:rFonts w:ascii="Arial" w:cs="Arial" w:eastAsia="Arial" w:hAnsi="Arial"/>
                <w:sz w:val="18"/>
                <w:szCs w:val="18"/>
                <w:color w:val="auto"/>
              </w:rPr>
              <w:t>Accrued legal settlements</w:t>
            </w:r>
            <w:r>
              <w:rPr>
                <w:rFonts w:ascii="Arial" w:cs="Arial" w:eastAsia="Arial" w:hAnsi="Arial"/>
                <w:sz w:val="24"/>
                <w:szCs w:val="24"/>
                <w:color w:val="auto"/>
                <w:vertAlign w:val="superscript"/>
              </w:rPr>
              <w:t>(1)</w:t>
            </w:r>
          </w:p>
        </w:tc>
        <w:tc>
          <w:tcPr>
            <w:tcW w:w="120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7,383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payable</w:t>
            </w:r>
          </w:p>
        </w:tc>
        <w:tc>
          <w:tcPr>
            <w:tcW w:w="1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3,990</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1,718</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10,793</w:t>
            </w: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6,247</w:t>
            </w:r>
          </w:p>
        </w:tc>
      </w:tr>
      <w:tr>
        <w:trPr>
          <w:trHeight w:val="263"/>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1200" w:type="dxa"/>
            <w:vAlign w:val="bottom"/>
            <w:tcBorders>
              <w:bottom w:val="single" w:sz="8" w:color="auto"/>
            </w:tcBorders>
            <w:shd w:val="clear" w:color="auto" w:fill="CFF0FC"/>
          </w:tcPr>
          <w:p>
            <w:pPr>
              <w:jc w:val="right"/>
              <w:ind w:right="9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76,795</w:t>
            </w:r>
          </w:p>
        </w:tc>
        <w:tc>
          <w:tcPr>
            <w:tcW w:w="18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121,508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-24765</wp:posOffset>
            </wp:positionV>
            <wp:extent cx="1200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-7620</wp:posOffset>
            </wp:positionV>
            <wp:extent cx="1200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81" w:lineRule="exact"/>
        <w:rPr>
          <w:sz w:val="20"/>
          <w:szCs w:val="20"/>
          <w:color w:val="auto"/>
        </w:rPr>
      </w:pPr>
    </w:p>
    <w:p>
      <w:pPr>
        <w:ind w:right="500" w:firstLine="768"/>
        <w:spacing w:after="0" w:line="317" w:lineRule="auto"/>
        <w:tabs>
          <w:tab w:leader="none" w:pos="941" w:val="left"/>
        </w:tabs>
        <w:numPr>
          <w:ilvl w:val="0"/>
          <w:numId w:val="39"/>
        </w:numPr>
        <w:rPr>
          <w:rFonts w:ascii="Arial" w:cs="Arial" w:eastAsia="Arial" w:hAnsi="Arial"/>
          <w:sz w:val="12"/>
          <w:szCs w:val="12"/>
          <w:color w:val="auto"/>
        </w:rPr>
      </w:pPr>
      <w:r>
        <w:rPr>
          <w:rFonts w:ascii="Arial" w:cs="Arial" w:eastAsia="Arial" w:hAnsi="Arial"/>
          <w:sz w:val="12"/>
          <w:szCs w:val="12"/>
          <w:color w:val="auto"/>
        </w:rPr>
        <w:t>Accrued legal settlements are primarily related to legal challenges stemming from operational challenges created by the Company's prior rapid growth, which resulted in additional costs incurred, including legal settlements.</w:t>
      </w:r>
    </w:p>
    <w:p>
      <w:pPr>
        <w:spacing w:after="0" w:line="2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other current liabilities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bottom w:val="single" w:sz="8" w:color="auto"/>
            </w:tcBorders>
          </w:tcPr>
          <w:p>
            <w:pPr>
              <w:spacing w:after="0"/>
              <w:rPr>
                <w:sz w:val="16"/>
                <w:szCs w:val="16"/>
                <w:color w:val="auto"/>
              </w:rPr>
            </w:pPr>
          </w:p>
        </w:tc>
      </w:tr>
      <w:tr>
        <w:trPr>
          <w:trHeight w:val="182"/>
        </w:trPr>
        <w:tc>
          <w:tcPr>
            <w:tcW w:w="7080" w:type="dxa"/>
            <w:vAlign w:val="bottom"/>
          </w:tcPr>
          <w:p>
            <w:pPr>
              <w:spacing w:after="0"/>
              <w:rPr>
                <w:sz w:val="15"/>
                <w:szCs w:val="15"/>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2021</w:t>
            </w: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payable</w:t>
            </w:r>
          </w:p>
        </w:tc>
        <w:tc>
          <w:tcPr>
            <w:tcW w:w="1200" w:type="dxa"/>
            <w:vAlign w:val="bottom"/>
            <w:shd w:val="clear" w:color="auto" w:fill="CFF0FC"/>
          </w:tcPr>
          <w:p>
            <w:pPr>
              <w:jc w:val="right"/>
              <w:ind w:right="996"/>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3,617</w:t>
            </w:r>
          </w:p>
        </w:tc>
        <w:tc>
          <w:tcPr>
            <w:tcW w:w="7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30,647</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Reserve for estimated returns</w:t>
            </w:r>
          </w:p>
        </w:tc>
        <w:tc>
          <w:tcPr>
            <w:tcW w:w="120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3,919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26,522</w:t>
            </w: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 payable</w:t>
            </w:r>
          </w:p>
        </w:tc>
        <w:tc>
          <w:tcPr>
            <w:tcW w:w="1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4,551</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State income tax payable</w:t>
            </w:r>
          </w:p>
        </w:tc>
        <w:tc>
          <w:tcPr>
            <w:tcW w:w="120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4,041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420</w:t>
            </w:r>
          </w:p>
        </w:tc>
      </w:tr>
      <w:tr>
        <w:trPr>
          <w:trHeight w:val="229"/>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1,565</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Total other current liabilities</w:t>
            </w: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17,693</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57,604</w:t>
            </w:r>
          </w:p>
        </w:tc>
      </w:tr>
      <w:tr>
        <w:trPr>
          <w:trHeight w:val="20"/>
        </w:trPr>
        <w:tc>
          <w:tcPr>
            <w:tcW w:w="70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-179070</wp:posOffset>
            </wp:positionV>
            <wp:extent cx="120015" cy="1797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0015" cy="1797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Vehicle Floorplan Facility</w:t>
      </w:r>
    </w:p>
    <w:p>
      <w:pPr>
        <w:spacing w:after="0" w:line="220" w:lineRule="exact"/>
        <w:rPr>
          <w:sz w:val="20"/>
          <w:szCs w:val="20"/>
          <w:color w:val="auto"/>
        </w:rPr>
      </w:pPr>
    </w:p>
    <w:p>
      <w:pPr>
        <w:ind w:right="240" w:firstLine="761"/>
        <w:spacing w:after="0" w:line="274" w:lineRule="auto"/>
        <w:rPr>
          <w:sz w:val="20"/>
          <w:szCs w:val="20"/>
          <w:color w:val="auto"/>
        </w:rPr>
      </w:pPr>
      <w:r>
        <w:rPr>
          <w:rFonts w:ascii="Arial" w:cs="Arial" w:eastAsia="Arial" w:hAnsi="Arial"/>
          <w:sz w:val="17"/>
          <w:szCs w:val="17"/>
          <w:color w:val="auto"/>
        </w:rPr>
        <w:t>In November 2022, the Company amended the 2020 Vehicle Floorplan Facility to, among other things, decrease the line of credit from $700.0 million to $500.0 million and extend the maturity date to March 31, 2024 (as amended, the “2022 Vehicle Floorplan Facility”).</w:t>
      </w:r>
    </w:p>
    <w:p>
      <w:pPr>
        <w:spacing w:after="0" w:line="160"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In addition, the amendment modifies the amount of credit available to the Company on a monthly basis to the product of (1) the greater of five times the aggregate number of retail units sold during the most recent month for which information is available or the aggregate number of retail units sold during the five most recent months for which information is available and (2) the greater of the average outstanding floorplan balance of all vehicles on the floorplan as of the immediately preceding month-end or the average monthly outstanding floorplan balance of all vehicles on the floorplan as of month-end for the immediately preceding five months. As of December 31, 2022, the borrowing capacity of the 2022 Vehicle Floorplan Facility was $343.9 million, of which $66.9 million was unutilized.</w:t>
      </w:r>
    </w:p>
    <w:p>
      <w:pPr>
        <w:spacing w:after="0" w:line="189" w:lineRule="exact"/>
        <w:rPr>
          <w:sz w:val="20"/>
          <w:szCs w:val="20"/>
          <w:color w:val="auto"/>
        </w:rPr>
      </w:pPr>
    </w:p>
    <w:p>
      <w:pPr>
        <w:ind w:right="160" w:firstLine="761"/>
        <w:spacing w:after="0" w:line="237" w:lineRule="auto"/>
        <w:rPr>
          <w:sz w:val="20"/>
          <w:szCs w:val="20"/>
          <w:color w:val="auto"/>
        </w:rPr>
      </w:pPr>
      <w:r>
        <w:rPr>
          <w:rFonts w:ascii="Arial" w:cs="Arial" w:eastAsia="Arial" w:hAnsi="Arial"/>
          <w:sz w:val="18"/>
          <w:szCs w:val="18"/>
          <w:color w:val="auto"/>
        </w:rPr>
        <w:t>The amendment also provides that the Company may elect to increase its monthly credit line availability by an additional $25.0 million during any four months in the period from November 1, 2022 through March 31, 2024, subject to the maximum $500.0 million credit limit. The 2022 Vehicle Floorplan Facility will allow for more flexibility in the Company's borrowing capacity. Consistent with the terms of the 2020 Vehicle Floorplan Facility, the Company and Vroom Automotive, LLC have provided Ally with a guaranty of payment of all amounts owed under the 2022 Vehicle Floorplan Facility as well as a security interest in all or substantially all tangible, intangible, and other personal property of Vroom, Inc., to secure obligations under the 2022 Vehicle Floorplan Facility.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140" w:firstLine="749"/>
        <w:spacing w:after="0" w:line="237" w:lineRule="auto"/>
        <w:rPr>
          <w:sz w:val="20"/>
          <w:szCs w:val="20"/>
          <w:color w:val="auto"/>
        </w:rPr>
      </w:pPr>
      <w:r>
        <w:rPr>
          <w:rFonts w:ascii="Arial" w:cs="Arial" w:eastAsia="Arial" w:hAnsi="Arial"/>
          <w:sz w:val="18"/>
          <w:szCs w:val="18"/>
          <w:color w:val="auto"/>
        </w:rPr>
        <w:t>The 2022 Vehicle Floorplan Facility bears interest at a rate equal to the Prime Rate, announced per annum by Ally Bank, plus 175 basis points. Additionally, the Company is subject to amended covenants and events of default. The Company is required to maintain a certain level of equity in the vehicles that are financed, to maintain at least 20.0% of the credit line in cash and cash equivalents, and to maintain a minimum required balance with Ally of at least 12.5% of the daily floorplan principal balance outstanding through December 31, 2022 and 15.0% effective January 1, 2023. The Company was required to pay a commitment fee upon execution of the 2022 Vehicle Floorplan Facility.</w:t>
      </w:r>
    </w:p>
    <w:p>
      <w:pPr>
        <w:spacing w:after="0" w:line="189"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The Company previously entered into a vehicle floorplan facility (the "2020 Vehicle Floorplan Facility") with Ally Bank and Ally Financial in March 2020, as subsequently amended. The 2020 Vehicle Floorplan provided a committed credit line of up to $700.0 million. The amount of credit available was determined on a monthly basis based on a calculation that considered average outstanding borrowings and vehicle units paid off by the Company within the immediately preceding three-month period.</w:t>
      </w:r>
    </w:p>
    <w:p>
      <w:pPr>
        <w:spacing w:after="0" w:line="190"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Outstanding borrowings related to the 2020 Vehicle Floorplan Facility were due as the vehicles financed were sold, or in any event, on the maturity date. The 2020 Vehicle Floorplan Facility bore interest at a rate equal the Prime Rate, announced per annum by Ally Bank, plus 105 basis points. The 2020 Vehicle Floorplan Facility was collateralized by the Company’s vehicle inventory and certain other assets and the Company was subject to covenants that required it to maintain a certain level of equity in the vehicles that were financed, to maintain at least 7.5% of the credit line in cash and cash equivalents, and to maintain 10% of the daily floorplan principal balance outstanding on deposit with Ally Bank. The Company was required to pay an availability fee each quarter on the average unused capacity from the prior quarter if it was greater than 50% of the calculated floorplan allowance, as defined.</w:t>
      </w:r>
    </w:p>
    <w:p>
      <w:pPr>
        <w:spacing w:after="0" w:line="193" w:lineRule="exact"/>
        <w:rPr>
          <w:sz w:val="20"/>
          <w:szCs w:val="20"/>
          <w:color w:val="auto"/>
        </w:rPr>
      </w:pPr>
    </w:p>
    <w:p>
      <w:pPr>
        <w:ind w:right="500" w:firstLine="761"/>
        <w:spacing w:after="0"/>
        <w:rPr>
          <w:sz w:val="20"/>
          <w:szCs w:val="20"/>
          <w:color w:val="auto"/>
        </w:rPr>
      </w:pPr>
      <w:r>
        <w:rPr>
          <w:rFonts w:ascii="Arial" w:cs="Arial" w:eastAsia="Arial" w:hAnsi="Arial"/>
          <w:sz w:val="18"/>
          <w:szCs w:val="18"/>
          <w:color w:val="auto"/>
        </w:rPr>
        <w:t>As of December 31, 2022 and 2021, outstanding borrowings on the vehicle floorplan facilities were $277.0 million and $512.8 million, respectively. Cash deposits required under the vehicle floorplan facilities of $34.6 million and $50.6 million are classified as "Restricted cash" within the consolidated balance sheets as of December 31, 2022 and 2021, respectively.</w:t>
      </w:r>
    </w:p>
    <w:p>
      <w:pPr>
        <w:spacing w:after="0" w:line="188"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Interest expense incurred by the Company for the vehicle floorplan facilities was $26.8 million, $17.7 million and $9.7 million for the years ended December 31, 2022, 2021, and 2020, respectively, which are recorded within “Interest expense” in the consolidated statements of operations. The weighted average interest rate on the vehicle floorplan borrowings was 9.25% and 4.30% as of December 31, 2022 and 2021, respectively.</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2022 and 2021, the Company was in compliance with all covenants related to the vehicle floorplan facilities.</w:t>
      </w:r>
    </w:p>
    <w:p>
      <w:pPr>
        <w:spacing w:after="0" w:line="198" w:lineRule="exact"/>
        <w:rPr>
          <w:sz w:val="20"/>
          <w:szCs w:val="20"/>
          <w:color w:val="auto"/>
        </w:rPr>
      </w:pPr>
    </w:p>
    <w:p>
      <w:pPr>
        <w:ind w:right="180" w:firstLine="761"/>
        <w:spacing w:after="0" w:line="238" w:lineRule="auto"/>
        <w:rPr>
          <w:sz w:val="20"/>
          <w:szCs w:val="20"/>
          <w:color w:val="auto"/>
        </w:rPr>
      </w:pPr>
      <w:r>
        <w:rPr>
          <w:rFonts w:ascii="Arial" w:cs="Arial" w:eastAsia="Arial" w:hAnsi="Arial"/>
          <w:sz w:val="18"/>
          <w:szCs w:val="18"/>
          <w:color w:val="auto"/>
        </w:rPr>
        <w:t>In connection with the vehicle floorplan facilities, the Company entered into credit balance agreements with Ally Bank and Ally Financial that permit the Company to deposit cash with the bank for the purpose of reducing the amount of interest payable for borrowings. Interest credits earned by the Company were $15.9 million, $10.1 million, and $5.4 million for the years ended December 31, 2022, 2021, and 2020, respectively, which are recorded within “Interest income” in the consolidated statements of operations.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ind w:right="3300" w:firstLine="3291"/>
        <w:spacing w:after="0" w:line="386" w:lineRule="auto"/>
        <w:rPr>
          <w:sz w:val="20"/>
          <w:szCs w:val="20"/>
          <w:color w:val="auto"/>
        </w:rPr>
      </w:pPr>
      <w:r>
        <w:rPr>
          <w:rFonts w:ascii="Arial" w:cs="Arial" w:eastAsia="Arial" w:hAnsi="Arial"/>
          <w:sz w:val="18"/>
          <w:szCs w:val="18"/>
          <w:b w:val="1"/>
          <w:bCs w:val="1"/>
          <w:color w:val="auto"/>
        </w:rPr>
        <w:t>NOTES TO CONSOLIDATED FINANCIAL STATEMENTS 11. Warehouse Credit Facilities of Consolidated VIEs</w:t>
      </w:r>
    </w:p>
    <w:p>
      <w:pPr>
        <w:spacing w:after="0" w:line="62" w:lineRule="exact"/>
        <w:rPr>
          <w:sz w:val="20"/>
          <w:szCs w:val="20"/>
          <w:color w:val="auto"/>
        </w:rPr>
      </w:pPr>
    </w:p>
    <w:p>
      <w:pPr>
        <w:ind w:right="100" w:firstLine="764"/>
        <w:spacing w:after="0" w:line="237" w:lineRule="auto"/>
        <w:rPr>
          <w:sz w:val="20"/>
          <w:szCs w:val="20"/>
          <w:color w:val="auto"/>
        </w:rPr>
      </w:pPr>
      <w:r>
        <w:rPr>
          <w:rFonts w:ascii="Arial" w:cs="Arial" w:eastAsia="Arial" w:hAnsi="Arial"/>
          <w:sz w:val="18"/>
          <w:szCs w:val="18"/>
          <w:color w:val="auto"/>
        </w:rPr>
        <w:t>UACC has four senior secured warehouse facility agreements (the “Warehouse Credit Facilities”) with banking institutions as of December 31, 2022, including the new senior secured warehouse facility agreement entered into in November 2022 to fund near-prime assets. The Warehouse Credit Facilities are collateralized by eligible finance receivables and available borrowings are computed based on a percentage of eligible finance receivables. As of December 31, 2022, the Company had excess borrowing capacity of $105.8 million on UACC's Warehouse Credit Facilities. The terms of the Warehouse Credit Facilities include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Facility One</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Facility Two</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Facility Three</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Facility Four</w:t>
            </w:r>
          </w:p>
        </w:tc>
        <w:tc>
          <w:tcPr>
            <w:tcW w:w="100" w:type="dxa"/>
            <w:vAlign w:val="bottom"/>
          </w:tcPr>
          <w:p>
            <w:pPr>
              <w:spacing w:after="0"/>
              <w:rPr>
                <w:sz w:val="16"/>
                <w:szCs w:val="16"/>
                <w:color w:val="auto"/>
              </w:rPr>
            </w:pPr>
          </w:p>
        </w:tc>
      </w:tr>
      <w:tr>
        <w:trPr>
          <w:trHeight w:val="208"/>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Execution date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November 18,</w:t>
            </w:r>
          </w:p>
        </w:tc>
        <w:tc>
          <w:tcPr>
            <w:tcW w:w="100" w:type="dxa"/>
            <w:vAlign w:val="bottom"/>
            <w:shd w:val="clear" w:color="auto" w:fill="CFF0FC"/>
          </w:tcPr>
          <w:p>
            <w:pPr>
              <w:spacing w:after="0"/>
              <w:rPr>
                <w:sz w:val="18"/>
                <w:szCs w:val="18"/>
                <w:color w:val="auto"/>
              </w:rPr>
            </w:pPr>
          </w:p>
        </w:tc>
      </w:tr>
      <w:tr>
        <w:trPr>
          <w:trHeight w:val="217"/>
        </w:trPr>
        <w:tc>
          <w:tcPr>
            <w:tcW w:w="4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May 30, 2012</w:t>
            </w:r>
          </w:p>
        </w:tc>
        <w:tc>
          <w:tcPr>
            <w:tcW w:w="2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November 19, 2013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11, 2019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FF0FC"/>
          </w:tcPr>
          <w:p>
            <w:pPr>
              <w:spacing w:after="0"/>
              <w:rPr>
                <w:sz w:val="18"/>
                <w:szCs w:val="18"/>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ind w:left="100"/>
              <w:spacing w:after="0"/>
              <w:rPr>
                <w:sz w:val="20"/>
                <w:szCs w:val="20"/>
                <w:color w:val="auto"/>
              </w:rPr>
            </w:pPr>
            <w:r>
              <w:rPr>
                <w:rFonts w:ascii="Arial" w:cs="Arial" w:eastAsia="Arial" w:hAnsi="Arial"/>
                <w:sz w:val="18"/>
                <w:szCs w:val="18"/>
                <w:color w:val="auto"/>
              </w:rPr>
              <w:t>December 12,</w:t>
            </w:r>
          </w:p>
        </w:tc>
        <w:tc>
          <w:tcPr>
            <w:tcW w:w="100" w:type="dxa"/>
            <w:vAlign w:val="bottom"/>
          </w:tcPr>
          <w:p>
            <w:pPr>
              <w:spacing w:after="0"/>
              <w:rPr>
                <w:sz w:val="18"/>
                <w:szCs w:val="18"/>
                <w:color w:val="auto"/>
              </w:rPr>
            </w:pPr>
          </w:p>
        </w:tc>
      </w:tr>
      <w:tr>
        <w:trPr>
          <w:trHeight w:val="217"/>
        </w:trPr>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July 20, 2024</w:t>
            </w:r>
          </w:p>
        </w:tc>
        <w:tc>
          <w:tcPr>
            <w:tcW w:w="28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color w:val="auto"/>
                <w:w w:val="99"/>
              </w:rPr>
              <w:t>September 27, 2024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May 24, 2024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r>
      <w:tr>
        <w:trPr>
          <w:trHeight w:val="22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Aggregate borrowings limit (in thousands)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5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FF0FC"/>
          </w:tcPr>
          <w:p>
            <w:pPr>
              <w:spacing w:after="0"/>
              <w:rPr>
                <w:sz w:val="19"/>
                <w:szCs w:val="19"/>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8"/>
                <w:szCs w:val="18"/>
                <w:color w:val="auto"/>
              </w:rPr>
              <w:t>Aggregate principal Balance of Finance</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Receivables Pledged as Collateral as of</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4080" w:type="dxa"/>
            <w:vAlign w:val="bottom"/>
          </w:tcPr>
          <w:p>
            <w:pPr>
              <w:ind w:left="20"/>
              <w:spacing w:after="0"/>
              <w:rPr>
                <w:sz w:val="20"/>
                <w:szCs w:val="20"/>
                <w:color w:val="auto"/>
              </w:rPr>
            </w:pPr>
            <w:r>
              <w:rPr>
                <w:rFonts w:ascii="Arial" w:cs="Arial" w:eastAsia="Arial" w:hAnsi="Arial"/>
                <w:sz w:val="18"/>
                <w:szCs w:val="18"/>
                <w:color w:val="auto"/>
              </w:rPr>
              <w:t>December 31, 2022 (in thousands)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143,919</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142,503</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126,636</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5"/>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Balance as of December 31, 2022</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 thousands)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110,602</w:t>
            </w:r>
          </w:p>
        </w:tc>
        <w:tc>
          <w:tcPr>
            <w:tcW w:w="5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19,615</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101,435</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8"/>
                <w:szCs w:val="18"/>
                <w:color w:val="auto"/>
              </w:rPr>
              <w:t>Restricted cash as of December 31, 2022 (in</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080" w:type="dxa"/>
            <w:vAlign w:val="bottom"/>
          </w:tcPr>
          <w:p>
            <w:pPr>
              <w:ind w:left="20"/>
              <w:spacing w:after="0"/>
              <w:rPr>
                <w:sz w:val="20"/>
                <w:szCs w:val="20"/>
                <w:color w:val="auto"/>
              </w:rPr>
            </w:pPr>
            <w:r>
              <w:rPr>
                <w:rFonts w:ascii="Arial" w:cs="Arial" w:eastAsia="Arial" w:hAnsi="Arial"/>
                <w:sz w:val="18"/>
                <w:szCs w:val="18"/>
                <w:color w:val="auto"/>
              </w:rPr>
              <w:t>thousands)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8,110</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2,007</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5,537</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bl>
    <w:p>
      <w:pPr>
        <w:spacing w:after="0" w:line="201" w:lineRule="exact"/>
        <w:rPr>
          <w:sz w:val="20"/>
          <w:szCs w:val="20"/>
          <w:color w:val="auto"/>
        </w:rPr>
      </w:pPr>
    </w:p>
    <w:p>
      <w:pPr>
        <w:ind w:right="580" w:firstLine="764"/>
        <w:spacing w:after="0" w:line="245" w:lineRule="auto"/>
        <w:rPr>
          <w:sz w:val="20"/>
          <w:szCs w:val="20"/>
          <w:color w:val="auto"/>
        </w:rPr>
      </w:pPr>
      <w:r>
        <w:rPr>
          <w:rFonts w:ascii="Arial" w:cs="Arial" w:eastAsia="Arial" w:hAnsi="Arial"/>
          <w:sz w:val="18"/>
          <w:szCs w:val="18"/>
          <w:color w:val="auto"/>
        </w:rPr>
        <w:t>As of December 31, 2022, the Company's weighted average interest rate on the Warehouse Credit Facilities borrowings was approximately 6.19%.</w:t>
      </w:r>
    </w:p>
    <w:p>
      <w:pPr>
        <w:spacing w:after="0" w:line="184" w:lineRule="exact"/>
        <w:rPr>
          <w:sz w:val="20"/>
          <w:szCs w:val="20"/>
          <w:color w:val="auto"/>
        </w:rPr>
      </w:pPr>
    </w:p>
    <w:p>
      <w:pPr>
        <w:ind w:right="40" w:firstLine="764"/>
        <w:spacing w:after="0" w:line="237" w:lineRule="auto"/>
        <w:rPr>
          <w:sz w:val="20"/>
          <w:szCs w:val="20"/>
          <w:color w:val="auto"/>
        </w:rPr>
      </w:pPr>
      <w:r>
        <w:rPr>
          <w:rFonts w:ascii="Arial" w:cs="Arial" w:eastAsia="Arial" w:hAnsi="Arial"/>
          <w:sz w:val="18"/>
          <w:szCs w:val="18"/>
          <w:color w:val="auto"/>
        </w:rPr>
        <w:t>The Company's ability to utilize its Warehouse Credit Facilities is primarily conditioned on the satisfaction of certain legal, operating, administrative and financial covenants contained within the agreements. These include covenants that require the Company to maintain a minimum tangible net worth, minimum liquidity levels, specified leverage ratios and certain indebtedness levels. Failure to satisfy these and or any other requirements contained within the agreements would restrict access to the Warehouse Credit Facilities. Certain breaches of covenants may also result in acceleration of the repayment of borrowings prior to the scheduled maturity. As of December 31, 2022, the Company was in compliance with all covenants related to the Warehouse Credit Facilities.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20" w:lineRule="exact"/>
        <w:rPr>
          <w:sz w:val="20"/>
          <w:szCs w:val="20"/>
          <w:color w:val="auto"/>
        </w:rPr>
      </w:pPr>
    </w:p>
    <w:p>
      <w:pPr>
        <w:ind w:right="380" w:firstLine="761"/>
        <w:spacing w:after="0" w:line="237" w:lineRule="auto"/>
        <w:rPr>
          <w:sz w:val="20"/>
          <w:szCs w:val="20"/>
          <w:color w:val="auto"/>
        </w:rPr>
      </w:pPr>
      <w:r>
        <w:rPr>
          <w:rFonts w:ascii="Arial" w:cs="Arial" w:eastAsia="Arial" w:hAnsi="Arial"/>
          <w:sz w:val="18"/>
          <w:szCs w:val="18"/>
          <w:color w:val="auto"/>
        </w:rPr>
        <w:t>The Company’s leasing activities primarily consist of real estate leases for its operations, including office space, the Company’s reconditioning facility, the Company’s Sell Us Your Car centers, parking lots, other facilities and equipment used in the normal course of business. The real estate leases have terms ranging from three months to nine years. The Company assesses whether each lease is an operating or finance lease at the lease commencement date. The Company does not have any material leases, individually or in the aggregate, classified as a finance leasing arrangement.</w:t>
      </w:r>
    </w:p>
    <w:p>
      <w:pPr>
        <w:spacing w:after="0" w:line="192" w:lineRule="exact"/>
        <w:rPr>
          <w:sz w:val="20"/>
          <w:szCs w:val="20"/>
          <w:color w:val="auto"/>
        </w:rPr>
      </w:pPr>
    </w:p>
    <w:p>
      <w:pPr>
        <w:ind w:right="20" w:firstLine="761"/>
        <w:spacing w:after="0" w:line="261" w:lineRule="auto"/>
        <w:rPr>
          <w:sz w:val="20"/>
          <w:szCs w:val="20"/>
          <w:color w:val="auto"/>
        </w:rPr>
      </w:pPr>
      <w:r>
        <w:rPr>
          <w:rFonts w:ascii="Arial" w:cs="Arial" w:eastAsia="Arial" w:hAnsi="Arial"/>
          <w:sz w:val="17"/>
          <w:szCs w:val="17"/>
          <w:color w:val="auto"/>
        </w:rPr>
        <w:t>The Company’s lease agreements do not contain any material residual value guarantees or material restrictive covenants. As of December 31, 2022, the Company had additional operating leases that have not yet commenced with future lease payments of approximately $16.4 million. The leases are expected to commence over the next 12 months with initial lease terms of approximately 7 years.</w:t>
      </w:r>
    </w:p>
    <w:p>
      <w:pPr>
        <w:spacing w:after="0" w:line="171" w:lineRule="exact"/>
        <w:rPr>
          <w:sz w:val="20"/>
          <w:szCs w:val="20"/>
          <w:color w:val="auto"/>
        </w:rPr>
      </w:pPr>
    </w:p>
    <w:p>
      <w:pPr>
        <w:ind w:right="120" w:firstLine="764"/>
        <w:spacing w:after="0" w:line="238" w:lineRule="auto"/>
        <w:rPr>
          <w:sz w:val="20"/>
          <w:szCs w:val="20"/>
          <w:color w:val="auto"/>
        </w:rPr>
      </w:pPr>
      <w:r>
        <w:rPr>
          <w:rFonts w:ascii="Arial" w:cs="Arial" w:eastAsia="Arial" w:hAnsi="Arial"/>
          <w:sz w:val="18"/>
          <w:szCs w:val="18"/>
          <w:color w:val="auto"/>
        </w:rPr>
        <w:t>The Company’s real estate leases often require it to make payments for maintenance in addition to rent as well as payments for real estate taxes and insurance. Maintenance, real estate taxes, and insurance payments are generally variable costs which are based on actual expenses incurred by the lessor. Therefore, these amounts are not included in the consideration of the contract when determining the right-of-use asset and lease liability but are reflected as variable lease expenses.</w:t>
      </w:r>
    </w:p>
    <w:p>
      <w:pPr>
        <w:spacing w:after="0" w:line="190" w:lineRule="exact"/>
        <w:rPr>
          <w:sz w:val="20"/>
          <w:szCs w:val="20"/>
          <w:color w:val="auto"/>
        </w:rPr>
      </w:pPr>
    </w:p>
    <w:p>
      <w:pPr>
        <w:ind w:right="300" w:firstLine="764"/>
        <w:spacing w:after="0" w:line="245" w:lineRule="auto"/>
        <w:rPr>
          <w:sz w:val="20"/>
          <w:szCs w:val="20"/>
          <w:color w:val="auto"/>
        </w:rPr>
      </w:pPr>
      <w:r>
        <w:rPr>
          <w:rFonts w:ascii="Arial" w:cs="Arial" w:eastAsia="Arial" w:hAnsi="Arial"/>
          <w:sz w:val="18"/>
          <w:szCs w:val="18"/>
          <w:color w:val="auto"/>
        </w:rPr>
        <w:t>Leases with an initial term of 12 months or less are not recorded on the Company’s consolidated balance sheet and expense for these leases are recognized on a straight-line basis over the lease term.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extend or terminate leases</w:t>
      </w:r>
    </w:p>
    <w:p>
      <w:pPr>
        <w:spacing w:after="0" w:line="220" w:lineRule="exact"/>
        <w:rPr>
          <w:sz w:val="20"/>
          <w:szCs w:val="20"/>
          <w:color w:val="auto"/>
        </w:rPr>
      </w:pPr>
    </w:p>
    <w:p>
      <w:pPr>
        <w:ind w:right="260" w:firstLine="761"/>
        <w:spacing w:after="0" w:line="237" w:lineRule="auto"/>
        <w:rPr>
          <w:sz w:val="20"/>
          <w:szCs w:val="20"/>
          <w:color w:val="auto"/>
        </w:rPr>
      </w:pPr>
      <w:r>
        <w:rPr>
          <w:rFonts w:ascii="Arial" w:cs="Arial" w:eastAsia="Arial" w:hAnsi="Arial"/>
          <w:sz w:val="18"/>
          <w:szCs w:val="18"/>
          <w:color w:val="auto"/>
        </w:rPr>
        <w:t>Certain of the Company’s real estate leases include one or more options to renew, with renewal terms that can extend the lease term from one to five years. The exercise of lease renewal options is at the Company’s sole discretion. If it is reasonably certain that the Company will exercise such options, the periods covered by such options are included in the lease term and are recognized as part of the Company’s right-of-use assets and lease liabilities. The depreciable life of assets and leasehold improvements are limited by the expected lease term, unless there is a transfer of title or purchase option reasonably certain of exercise.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 and discount rate</w:t>
      </w:r>
    </w:p>
    <w:p>
      <w:pPr>
        <w:spacing w:after="0" w:line="220" w:lineRule="exact"/>
        <w:rPr>
          <w:sz w:val="20"/>
          <w:szCs w:val="20"/>
          <w:color w:val="auto"/>
        </w:rPr>
      </w:pPr>
    </w:p>
    <w:p>
      <w:pPr>
        <w:jc w:val="both"/>
        <w:ind w:right="80" w:firstLine="761"/>
        <w:spacing w:after="0"/>
        <w:rPr>
          <w:sz w:val="20"/>
          <w:szCs w:val="20"/>
          <w:color w:val="auto"/>
        </w:rPr>
      </w:pPr>
      <w:r>
        <w:rPr>
          <w:rFonts w:ascii="Arial" w:cs="Arial" w:eastAsia="Arial" w:hAnsi="Arial"/>
          <w:sz w:val="18"/>
          <w:szCs w:val="18"/>
          <w:color w:val="auto"/>
        </w:rPr>
        <w:t>The weighted-average remaining lease term and discount rate for the Company’s operating leases, excluding short-term operating leases, were 4.2 years and 5.8% as of December 31, 2022, respectively, 2.7 years and 3.4% as of December 31, 2021, respectively, and 3.5 years and 3.4% as of December 31, 2020, respectively.</w:t>
      </w:r>
    </w:p>
    <w:p>
      <w:pPr>
        <w:spacing w:after="0" w:line="188" w:lineRule="exact"/>
        <w:rPr>
          <w:sz w:val="20"/>
          <w:szCs w:val="20"/>
          <w:color w:val="auto"/>
        </w:rPr>
      </w:pPr>
    </w:p>
    <w:p>
      <w:pPr>
        <w:ind w:right="80" w:firstLine="761"/>
        <w:spacing w:after="0" w:line="237" w:lineRule="auto"/>
        <w:rPr>
          <w:sz w:val="20"/>
          <w:szCs w:val="20"/>
          <w:color w:val="auto"/>
        </w:rPr>
      </w:pPr>
      <w:r>
        <w:rPr>
          <w:rFonts w:ascii="Arial" w:cs="Arial" w:eastAsia="Arial" w:hAnsi="Arial"/>
          <w:sz w:val="18"/>
          <w:szCs w:val="18"/>
          <w:color w:val="auto"/>
        </w:rPr>
        <w:t>As the rate implicit in the lease is generally not readily determinable for the Company’s operating leases, the discount rates used to determine the present value of the Company’s lease liabilities are based on the Company’s incremental borrowing rate at the lease commencement date and commensurate with the remaining lease term. The incremental borrowing rate for a lease is the rate of interest the Company would have to pay to borrow on a collateralized basis over a similar term for an amount equal to the lease payments in a similar economic environment. The Company uses its incremental borrowing rate based on the information available at commencement date in determining the present value of lease payments.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costs and activity</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lease costs and activity for the years ended December 31, 2022, 2021 and 2020 were as follows (in thousands):</w:t>
      </w:r>
    </w:p>
    <w:p>
      <w:pPr>
        <w:spacing w:after="0" w:line="239"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182"/>
        </w:trPr>
        <w:tc>
          <w:tcPr>
            <w:tcW w:w="59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Lease Cost</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8,402</w:t>
            </w:r>
          </w:p>
        </w:tc>
        <w:tc>
          <w:tcPr>
            <w:tcW w:w="2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6,919</w:t>
            </w:r>
          </w:p>
        </w:tc>
        <w:tc>
          <w:tcPr>
            <w:tcW w:w="2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5,503</w:t>
            </w:r>
          </w:p>
        </w:tc>
        <w:tc>
          <w:tcPr>
            <w:tcW w:w="100" w:type="dxa"/>
            <w:vAlign w:val="bottom"/>
          </w:tcPr>
          <w:p>
            <w:pPr>
              <w:spacing w:after="0"/>
              <w:rPr>
                <w:sz w:val="19"/>
                <w:szCs w:val="19"/>
                <w:color w:val="auto"/>
              </w:rPr>
            </w:pPr>
          </w:p>
        </w:tc>
      </w:tr>
      <w:tr>
        <w:trPr>
          <w:trHeight w:val="229"/>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cost</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spacing w:after="0"/>
              <w:rPr>
                <w:sz w:val="19"/>
                <w:szCs w:val="19"/>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9"/>
                <w:szCs w:val="19"/>
                <w:color w:val="auto"/>
              </w:rPr>
            </w:pPr>
          </w:p>
        </w:tc>
      </w:tr>
      <w:tr>
        <w:trPr>
          <w:trHeight w:val="229"/>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Sublease income</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(72 )</w:t>
            </w: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(196 )</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(445 )</w:t>
            </w:r>
          </w:p>
        </w:tc>
      </w:tr>
      <w:tr>
        <w:trPr>
          <w:trHeight w:val="223"/>
        </w:trPr>
        <w:tc>
          <w:tcPr>
            <w:tcW w:w="59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lease cost</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12,830</w:t>
            </w: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11,304</w:t>
            </w:r>
          </w:p>
        </w:tc>
        <w:tc>
          <w:tcPr>
            <w:tcW w:w="260" w:type="dxa"/>
            <w:vAlign w:val="bottom"/>
            <w:tcBorders>
              <w:top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7,323</w:t>
            </w:r>
          </w:p>
        </w:tc>
        <w:tc>
          <w:tcPr>
            <w:tcW w:w="100" w:type="dxa"/>
            <w:vAlign w:val="bottom"/>
            <w:tcBorders>
              <w:top w:val="single" w:sz="8" w:color="CFF0FC"/>
            </w:tcBorders>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5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59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9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182"/>
        </w:trPr>
        <w:tc>
          <w:tcPr>
            <w:tcW w:w="59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Other information</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5,524</w:t>
            </w:r>
          </w:p>
        </w:tc>
        <w:tc>
          <w:tcPr>
            <w:tcW w:w="100" w:type="dxa"/>
            <w:vAlign w:val="bottom"/>
            <w:shd w:val="clear" w:color="auto" w:fill="CFF0FC"/>
          </w:tcPr>
          <w:p>
            <w:pPr>
              <w:spacing w:after="0"/>
              <w:rPr>
                <w:sz w:val="19"/>
                <w:szCs w:val="19"/>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19,896</w:t>
            </w:r>
          </w:p>
        </w:tc>
        <w:tc>
          <w:tcPr>
            <w:tcW w:w="2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1,599</w:t>
            </w:r>
          </w:p>
        </w:tc>
        <w:tc>
          <w:tcPr>
            <w:tcW w:w="2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-1240790</wp:posOffset>
            </wp:positionV>
            <wp:extent cx="68580" cy="3251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-1240790</wp:posOffset>
            </wp:positionV>
            <wp:extent cx="68580" cy="3251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-1240790</wp:posOffset>
            </wp:positionV>
            <wp:extent cx="68580" cy="6851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685165"/>
                    </a:xfrm>
                    <a:prstGeom prst="rect">
                      <a:avLst/>
                    </a:prstGeom>
                    <a:noFill/>
                  </pic:spPr>
                </pic:pic>
              </a:graphicData>
            </a:graphic>
          </wp:anchor>
        </w:drawing>
      </w:r>
    </w:p>
    <w:p>
      <w:pPr>
        <w:spacing w:after="0" w:line="181" w:lineRule="exact"/>
        <w:rPr>
          <w:sz w:val="20"/>
          <w:szCs w:val="20"/>
          <w:color w:val="auto"/>
        </w:rPr>
      </w:pPr>
    </w:p>
    <w:p>
      <w:pPr>
        <w:ind w:right="140" w:firstLine="761"/>
        <w:spacing w:after="0" w:line="238" w:lineRule="auto"/>
        <w:rPr>
          <w:sz w:val="20"/>
          <w:szCs w:val="20"/>
          <w:color w:val="auto"/>
        </w:rPr>
      </w:pPr>
      <w:r>
        <w:rPr>
          <w:rFonts w:ascii="Arial" w:cs="Arial" w:eastAsia="Arial" w:hAnsi="Arial"/>
          <w:sz w:val="18"/>
          <w:szCs w:val="18"/>
          <w:color w:val="auto"/>
        </w:rPr>
        <w:t>As a result of the Realignment Plan beginning in the second quarter of 2022, the Company incurred impairment charges related to operating lease right-of-use assets of $6.5 million for the year ended December 31, 2022. These charges consist of costs associated with planned facility closures that will continue to be incurred under the contract for its remaining term without economic benefit to the Company. Refer to Note 18 — Restructuring Activities for further detail.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of Lease Liabilities</w:t>
      </w:r>
    </w:p>
    <w:p>
      <w:pPr>
        <w:spacing w:after="0" w:line="220" w:lineRule="exact"/>
        <w:rPr>
          <w:sz w:val="20"/>
          <w:szCs w:val="20"/>
          <w:color w:val="auto"/>
        </w:rPr>
      </w:pPr>
    </w:p>
    <w:p>
      <w:pPr>
        <w:ind w:right="560" w:firstLine="761"/>
        <w:spacing w:after="0" w:line="245" w:lineRule="auto"/>
        <w:rPr>
          <w:sz w:val="20"/>
          <w:szCs w:val="20"/>
          <w:color w:val="auto"/>
        </w:rPr>
      </w:pPr>
      <w:r>
        <w:rPr>
          <w:rFonts w:ascii="Arial" w:cs="Arial" w:eastAsia="Arial" w:hAnsi="Arial"/>
          <w:sz w:val="18"/>
          <w:szCs w:val="18"/>
          <w:color w:val="auto"/>
        </w:rPr>
        <w:t>The maturity of the Company’s lease liabilities on an undiscounted cash flow basis and a reconciliation to the operating lease liabilities recognized on the Company’s consolidated balance sheet as of December 31, 2022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11,306</w:t>
            </w:r>
          </w:p>
        </w:tc>
        <w:tc>
          <w:tcPr>
            <w:tcW w:w="100" w:type="dxa"/>
            <w:vAlign w:val="bottom"/>
            <w:shd w:val="clear" w:color="auto" w:fill="CFF0FC"/>
          </w:tcPr>
          <w:p>
            <w:pPr>
              <w:spacing w:after="0"/>
              <w:rPr>
                <w:sz w:val="19"/>
                <w:szCs w:val="19"/>
                <w:color w:val="auto"/>
              </w:rPr>
            </w:pP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2024</w:t>
            </w:r>
          </w:p>
        </w:tc>
        <w:tc>
          <w:tcPr>
            <w:tcW w:w="9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8,533</w:t>
            </w:r>
          </w:p>
        </w:tc>
        <w:tc>
          <w:tcPr>
            <w:tcW w:w="100" w:type="dxa"/>
            <w:vAlign w:val="bottom"/>
          </w:tcPr>
          <w:p>
            <w:pPr>
              <w:spacing w:after="0"/>
              <w:rPr>
                <w:sz w:val="19"/>
                <w:szCs w:val="19"/>
                <w:color w:val="auto"/>
              </w:rPr>
            </w:pPr>
          </w:p>
        </w:tc>
      </w:tr>
      <w:tr>
        <w:trPr>
          <w:trHeight w:val="229"/>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9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4,290</w:t>
            </w:r>
          </w:p>
        </w:tc>
        <w:tc>
          <w:tcPr>
            <w:tcW w:w="100" w:type="dxa"/>
            <w:vAlign w:val="bottom"/>
            <w:shd w:val="clear" w:color="auto" w:fill="CFF0FC"/>
          </w:tcPr>
          <w:p>
            <w:pPr>
              <w:spacing w:after="0"/>
              <w:rPr>
                <w:sz w:val="19"/>
                <w:szCs w:val="19"/>
                <w:color w:val="auto"/>
              </w:rPr>
            </w:pP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2026</w:t>
            </w:r>
          </w:p>
        </w:tc>
        <w:tc>
          <w:tcPr>
            <w:tcW w:w="9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19"/>
                <w:szCs w:val="19"/>
                <w:color w:val="auto"/>
              </w:rPr>
            </w:pPr>
          </w:p>
        </w:tc>
      </w:tr>
      <w:tr>
        <w:trPr>
          <w:trHeight w:val="229"/>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9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FF0FC"/>
          </w:tcPr>
          <w:p>
            <w:pPr>
              <w:spacing w:after="0"/>
              <w:rPr>
                <w:sz w:val="19"/>
                <w:szCs w:val="19"/>
                <w:color w:val="auto"/>
              </w:rPr>
            </w:pP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9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19"/>
                <w:szCs w:val="19"/>
                <w:color w:val="auto"/>
              </w:rPr>
            </w:pPr>
          </w:p>
        </w:tc>
      </w:tr>
      <w:tr>
        <w:trPr>
          <w:trHeight w:val="223"/>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9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34,456</w:t>
            </w:r>
          </w:p>
        </w:tc>
        <w:tc>
          <w:tcPr>
            <w:tcW w:w="100" w:type="dxa"/>
            <w:vAlign w:val="bottom"/>
            <w:shd w:val="clear" w:color="auto" w:fill="CFF0FC"/>
          </w:tcPr>
          <w:p>
            <w:pPr>
              <w:spacing w:after="0"/>
              <w:rPr>
                <w:sz w:val="19"/>
                <w:szCs w:val="19"/>
                <w:color w:val="auto"/>
              </w:rPr>
            </w:pP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9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(4,597 )</w:t>
            </w:r>
          </w:p>
        </w:tc>
      </w:tr>
      <w:tr>
        <w:trPr>
          <w:trHeight w:val="263"/>
        </w:trPr>
        <w:tc>
          <w:tcPr>
            <w:tcW w:w="8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9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29,859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8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current</w:t>
            </w: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9,730</w:t>
            </w:r>
          </w:p>
        </w:tc>
        <w:tc>
          <w:tcPr>
            <w:tcW w:w="100" w:type="dxa"/>
            <w:vAlign w:val="bottom"/>
            <w:shd w:val="clear" w:color="auto" w:fill="CFF0FC"/>
          </w:tcPr>
          <w:p>
            <w:pPr>
              <w:spacing w:after="0"/>
              <w:rPr>
                <w:sz w:val="19"/>
                <w:szCs w:val="19"/>
                <w:color w:val="auto"/>
              </w:rPr>
            </w:pP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9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20,129</w:t>
            </w:r>
          </w:p>
        </w:tc>
        <w:tc>
          <w:tcPr>
            <w:tcW w:w="100" w:type="dxa"/>
            <w:vAlign w:val="bottom"/>
          </w:tcPr>
          <w:p>
            <w:pPr>
              <w:spacing w:after="0"/>
              <w:rPr>
                <w:sz w:val="19"/>
                <w:szCs w:val="19"/>
                <w:color w:val="auto"/>
              </w:rPr>
            </w:pPr>
          </w:p>
        </w:tc>
      </w:tr>
      <w:tr>
        <w:trPr>
          <w:trHeight w:val="263"/>
        </w:trPr>
        <w:tc>
          <w:tcPr>
            <w:tcW w:w="8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w:t>
            </w: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29,859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1714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 Term Debt</w:t>
      </w:r>
    </w:p>
    <w:p>
      <w:pPr>
        <w:spacing w:after="0" w:line="220" w:lineRule="exact"/>
        <w:rPr>
          <w:sz w:val="20"/>
          <w:szCs w:val="20"/>
          <w:color w:val="auto"/>
        </w:rPr>
      </w:pPr>
    </w:p>
    <w:p>
      <w:pPr>
        <w:ind w:right="360" w:firstLine="764"/>
        <w:spacing w:after="0"/>
        <w:rPr>
          <w:sz w:val="20"/>
          <w:szCs w:val="20"/>
          <w:color w:val="auto"/>
        </w:rPr>
      </w:pPr>
      <w:r>
        <w:rPr>
          <w:rFonts w:ascii="Arial" w:cs="Arial" w:eastAsia="Arial" w:hAnsi="Arial"/>
          <w:sz w:val="18"/>
          <w:szCs w:val="18"/>
          <w:color w:val="auto"/>
        </w:rPr>
        <w:t>Debt instruments, excluding the 2022 Vehicle Floorplan Facility, which is discussed in Note 10 — Vehicle Floorplan Facility, and warehouse credit facilities of consolidated VIEs, which are discussed in Note 11 — Warehouse Credit Facilities of Consolidated VIEs, consisted of the following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0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67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676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securitization debt of consolidated VIEs</w:t>
            </w:r>
          </w:p>
        </w:tc>
        <w:tc>
          <w:tcPr>
            <w:tcW w:w="1240" w:type="dxa"/>
            <w:vAlign w:val="bottom"/>
            <w:shd w:val="clear" w:color="auto" w:fill="CFF0FC"/>
          </w:tcPr>
          <w:p>
            <w:pPr>
              <w:jc w:val="right"/>
              <w:ind w:right="103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47,239</w:t>
            </w:r>
          </w:p>
        </w:tc>
        <w:tc>
          <w:tcPr>
            <w:tcW w:w="96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359,254</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610,618</w:t>
            </w:r>
          </w:p>
        </w:tc>
        <w:tc>
          <w:tcPr>
            <w:tcW w:w="100" w:type="dxa"/>
            <w:vAlign w:val="bottom"/>
          </w:tcPr>
          <w:p>
            <w:pPr>
              <w:spacing w:after="0"/>
              <w:rPr>
                <w:sz w:val="19"/>
                <w:szCs w:val="19"/>
                <w:color w:val="auto"/>
              </w:rPr>
            </w:pPr>
          </w:p>
        </w:tc>
      </w:tr>
      <w:tr>
        <w:trPr>
          <w:trHeight w:val="229"/>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Securitization debt of consolidated VIEs, net of current portion</w:t>
            </w:r>
          </w:p>
        </w:tc>
        <w:tc>
          <w:tcPr>
            <w:tcW w:w="1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32,590</w:t>
            </w:r>
          </w:p>
        </w:tc>
        <w:tc>
          <w:tcPr>
            <w:tcW w:w="4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Junior subordinated debentures</w:t>
            </w: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10,310</w:t>
            </w:r>
          </w:p>
        </w:tc>
        <w:tc>
          <w:tcPr>
            <w:tcW w:w="4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6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 term debt, net of current portion</w:t>
            </w:r>
          </w:p>
        </w:tc>
        <w:tc>
          <w:tcPr>
            <w:tcW w:w="1240" w:type="dxa"/>
            <w:vAlign w:val="bottom"/>
            <w:tcBorders>
              <w:bottom w:val="single" w:sz="8" w:color="auto"/>
            </w:tcBorders>
            <w:shd w:val="clear" w:color="auto" w:fill="CFF0FC"/>
          </w:tcPr>
          <w:p>
            <w:pPr>
              <w:jc w:val="right"/>
              <w:ind w:right="103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402,154</w:t>
            </w:r>
          </w:p>
        </w:tc>
        <w:tc>
          <w:tcPr>
            <w:tcW w:w="4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610,618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240" w:type="dxa"/>
            <w:vAlign w:val="bottom"/>
          </w:tcPr>
          <w:p>
            <w:pPr>
              <w:jc w:val="right"/>
              <w:ind w:right="1035"/>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449,393</w:t>
            </w:r>
          </w:p>
        </w:tc>
        <w:tc>
          <w:tcPr>
            <w:tcW w:w="9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610,618</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5541010</wp:posOffset>
            </wp:positionH>
            <wp:positionV relativeFrom="paragraph">
              <wp:posOffset>-1065530</wp:posOffset>
            </wp:positionV>
            <wp:extent cx="1609725" cy="1625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609725" cy="162560"/>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-179070</wp:posOffset>
            </wp:positionV>
            <wp:extent cx="68580" cy="1797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60" w:lineRule="exact"/>
        <w:rPr>
          <w:sz w:val="20"/>
          <w:szCs w:val="20"/>
          <w:color w:val="auto"/>
        </w:rPr>
      </w:pPr>
    </w:p>
    <w:p>
      <w:pPr>
        <w:ind w:right="140" w:firstLine="749"/>
        <w:spacing w:after="0" w:line="238" w:lineRule="auto"/>
        <w:rPr>
          <w:sz w:val="20"/>
          <w:szCs w:val="20"/>
          <w:color w:val="auto"/>
        </w:rPr>
      </w:pPr>
      <w:r>
        <w:rPr>
          <w:rFonts w:ascii="Arial" w:cs="Arial" w:eastAsia="Arial" w:hAnsi="Arial"/>
          <w:sz w:val="18"/>
          <w:szCs w:val="18"/>
          <w:color w:val="auto"/>
        </w:rPr>
        <w:t>On June 18, 2021, the Company issued $625.0 million aggregate principal amount of 0.75% unsecured Convertible Senior Notes due 2026 (the “Notes”), including $75.0 million aggregate principal amount of such notes pursuant to the exercise in full of the overallotment option granted to the initial purchasers. The Notes were issued pursuant to an indenture (the “Indenture”), between the Company and U.S. Bank National Association, as trustee.</w:t>
      </w:r>
    </w:p>
    <w:p>
      <w:pPr>
        <w:spacing w:after="0" w:line="190" w:lineRule="exact"/>
        <w:rPr>
          <w:sz w:val="20"/>
          <w:szCs w:val="20"/>
          <w:color w:val="auto"/>
        </w:rPr>
      </w:pPr>
    </w:p>
    <w:p>
      <w:pPr>
        <w:ind w:right="160" w:firstLine="749"/>
        <w:spacing w:after="0" w:line="238"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paid to third-parties, were approximately $608.9 million.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Each $1,000 principal amount of the Notes will initially be convertible into 17.8527 shares of the Company’s common stock, which is equivalent to an initial conversion price of approximately $56.01 per share, subject to adjustment upon the occurrence of specified events. The Notes are convertible, at the option of the noteholders, on or after April 1, 2026. Prior to April 1, 2026, the Notes are convertible only under the following circumstances:</w:t>
      </w:r>
    </w:p>
    <w:p>
      <w:pPr>
        <w:spacing w:after="0" w:line="231" w:lineRule="exact"/>
        <w:rPr>
          <w:sz w:val="20"/>
          <w:szCs w:val="20"/>
          <w:color w:val="auto"/>
        </w:rPr>
      </w:pPr>
    </w:p>
    <w:p>
      <w:pPr>
        <w:ind w:left="760" w:right="60" w:hanging="378"/>
        <w:spacing w:after="0" w:line="238"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any fiscal quarter commencing after the fiscal quarter ending on September 30, 2021 (and only during such fiscal quarter), if the last reported sale price of the Company’s common stock for at least 20 trading days (whether or not consecutive) during a period of 30 consecutive trading days ending on the last trading day of the immediately preceding fiscal quarter is greater than or equal to 130% of the conversion price of the Notes on each applicable trading day;</w:t>
      </w:r>
    </w:p>
    <w:p>
      <w:pPr>
        <w:spacing w:after="0" w:line="190" w:lineRule="exact"/>
        <w:rPr>
          <w:rFonts w:ascii="Arial" w:cs="Arial" w:eastAsia="Arial" w:hAnsi="Arial"/>
          <w:sz w:val="18"/>
          <w:szCs w:val="18"/>
          <w:color w:val="auto"/>
        </w:rPr>
      </w:pPr>
    </w:p>
    <w:p>
      <w:pPr>
        <w:jc w:val="both"/>
        <w:ind w:left="760" w:right="20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five consecutive business day period after any ten consecutive trading day period in which the trading price per $1,000 principal amount of the Notes for each day of that ten consecutive trading day period was less than 98% of the product of the last reported sale price of the Company’s common stock and the conversion rate of the Notes on such trading day;</w:t>
      </w:r>
    </w:p>
    <w:p>
      <w:pPr>
        <w:spacing w:after="0" w:line="188"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or</w:t>
      </w:r>
    </w:p>
    <w:p>
      <w:pPr>
        <w:spacing w:after="0" w:line="211" w:lineRule="exact"/>
        <w:rPr>
          <w:rFonts w:ascii="Arial" w:cs="Arial" w:eastAsia="Arial" w:hAnsi="Arial"/>
          <w:sz w:val="18"/>
          <w:szCs w:val="18"/>
          <w:color w:val="auto"/>
        </w:rPr>
      </w:pPr>
    </w:p>
    <w:p>
      <w:pPr>
        <w:ind w:left="760" w:right="780" w:hanging="378"/>
        <w:spacing w:after="0" w:line="245"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occurrence of specific corporate events such as a change in control or certain beneficial distributions to common stockholders (as set forth in the Indenture).</w:t>
      </w:r>
    </w:p>
    <w:p>
      <w:pPr>
        <w:spacing w:after="0" w:line="225" w:lineRule="exact"/>
        <w:rPr>
          <w:sz w:val="20"/>
          <w:szCs w:val="20"/>
          <w:color w:val="auto"/>
        </w:rPr>
      </w:pPr>
    </w:p>
    <w:p>
      <w:pPr>
        <w:ind w:right="120" w:firstLine="764"/>
        <w:spacing w:after="0" w:line="245" w:lineRule="auto"/>
        <w:rPr>
          <w:sz w:val="20"/>
          <w:szCs w:val="20"/>
          <w:color w:val="auto"/>
        </w:rPr>
      </w:pPr>
      <w:r>
        <w:rPr>
          <w:rFonts w:ascii="Arial" w:cs="Arial" w:eastAsia="Arial" w:hAnsi="Arial"/>
          <w:sz w:val="18"/>
          <w:szCs w:val="18"/>
          <w:color w:val="auto"/>
        </w:rPr>
        <w:t>The Company may settle conversions by paying or delivering, as applicable, cash, shares of its common stock or a combination of cash and shares of its common stock, at the Company’s election.</w:t>
      </w:r>
    </w:p>
    <w:p>
      <w:pPr>
        <w:spacing w:after="0" w:line="225" w:lineRule="exact"/>
        <w:rPr>
          <w:sz w:val="20"/>
          <w:szCs w:val="20"/>
          <w:color w:val="auto"/>
        </w:rPr>
      </w:pPr>
    </w:p>
    <w:p>
      <w:pPr>
        <w:ind w:right="120" w:firstLine="824"/>
        <w:spacing w:after="0" w:line="238" w:lineRule="auto"/>
        <w:rPr>
          <w:sz w:val="20"/>
          <w:szCs w:val="20"/>
          <w:color w:val="auto"/>
        </w:rPr>
      </w:pPr>
      <w:r>
        <w:rPr>
          <w:rFonts w:ascii="Arial" w:cs="Arial" w:eastAsia="Arial" w:hAnsi="Arial"/>
          <w:sz w:val="18"/>
          <w:szCs w:val="18"/>
          <w:color w:val="auto"/>
        </w:rPr>
        <w:t>The Company may not redeem the Notes prior to July 6, 2024. On or after July 6, 2024, the Company may redeem all or any portion of the Notes for cash equal to 100% of the principal amount of the Notes being redeemed plus any accrued and unpaid interest if the last reported sale price of the Company’s common stock has been at least 130% of the conversion price then in effect for at least 20 trading days (whether or not consecutive) during any 30 consecutive trading day period.</w:t>
      </w:r>
    </w:p>
    <w:p>
      <w:pPr>
        <w:spacing w:after="0" w:line="231" w:lineRule="exact"/>
        <w:rPr>
          <w:sz w:val="20"/>
          <w:szCs w:val="20"/>
          <w:color w:val="auto"/>
        </w:rPr>
      </w:pPr>
    </w:p>
    <w:p>
      <w:pPr>
        <w:ind w:right="20" w:firstLine="764"/>
        <w:spacing w:after="0" w:line="237" w:lineRule="auto"/>
        <w:rPr>
          <w:sz w:val="20"/>
          <w:szCs w:val="20"/>
          <w:color w:val="auto"/>
        </w:rPr>
      </w:pPr>
      <w:r>
        <w:rPr>
          <w:rFonts w:ascii="Arial" w:cs="Arial" w:eastAsia="Arial" w:hAnsi="Arial"/>
          <w:sz w:val="18"/>
          <w:szCs w:val="18"/>
          <w:color w:val="auto"/>
        </w:rPr>
        <w:t>If the Company undergoes a fundamental change (as defined in the Indenture), subject to certain conditions, holders of the Notes may require the Company to repurchase for cash all or any portion of their Notes at a repurchase price equal to 100% of the principal amount of the Notes plus any accrued and unpaid interest. In addition, if specific corporate events occur prior to the maturity date or if the Company issues a notice of redemption, the Company will increase the conversion rate by pre-defined amounts for a holder who elects to convert their Notes in connection with such a corporate event. During the years ended December 31, 2022 and 2021, the conditions allowing holders of the Notes to convert were not met.</w:t>
      </w:r>
    </w:p>
    <w:p>
      <w:pPr>
        <w:spacing w:after="0" w:line="189" w:lineRule="exact"/>
        <w:rPr>
          <w:sz w:val="20"/>
          <w:szCs w:val="20"/>
          <w:color w:val="auto"/>
        </w:rPr>
      </w:pPr>
    </w:p>
    <w:p>
      <w:pPr>
        <w:ind w:right="260" w:firstLine="749"/>
        <w:spacing w:after="0"/>
        <w:rPr>
          <w:sz w:val="20"/>
          <w:szCs w:val="20"/>
          <w:color w:val="auto"/>
        </w:rPr>
      </w:pPr>
      <w:r>
        <w:rPr>
          <w:rFonts w:ascii="Arial" w:cs="Arial" w:eastAsia="Arial" w:hAnsi="Arial"/>
          <w:sz w:val="18"/>
          <w:szCs w:val="18"/>
          <w:color w:val="auto"/>
        </w:rPr>
        <w:t>In 2022, the Company repurchased $254.3 million in aggregate principal amount of the Notes, net of deferred issuance costs of $4.9 million, for $90.2 million in open-market transactions. The Company recognized a gain on extinguishment of debt of $164.7 million for the year ended December 31, 2022.</w:t>
      </w:r>
    </w:p>
    <w:p>
      <w:pPr>
        <w:spacing w:after="0" w:line="229" w:lineRule="exact"/>
        <w:rPr>
          <w:sz w:val="20"/>
          <w:szCs w:val="20"/>
          <w:color w:val="auto"/>
        </w:rPr>
      </w:pPr>
    </w:p>
    <w:p>
      <w:pPr>
        <w:ind w:right="40" w:firstLine="764"/>
        <w:spacing w:after="0" w:line="261" w:lineRule="auto"/>
        <w:rPr>
          <w:sz w:val="20"/>
          <w:szCs w:val="20"/>
          <w:color w:val="auto"/>
        </w:rPr>
      </w:pPr>
      <w:r>
        <w:rPr>
          <w:rFonts w:ascii="Arial" w:cs="Arial" w:eastAsia="Arial" w:hAnsi="Arial"/>
          <w:sz w:val="17"/>
          <w:szCs w:val="17"/>
          <w:color w:val="auto"/>
        </w:rPr>
        <w:t>The Company accounts for the Notes as a single liability-classified instrument measured at amortized cost. As of December 31, 2022, the unamortized debt discount and debt issuance costs was $6.5 million and the net carrying value was $359.3 million. As of December 31, 2021, the unamortized debt discount and debt issuance costs was $14.4 million and the net carrying value was $610.6 million.</w:t>
      </w:r>
    </w:p>
    <w:p>
      <w:pPr>
        <w:spacing w:after="0" w:line="171" w:lineRule="exact"/>
        <w:rPr>
          <w:sz w:val="20"/>
          <w:szCs w:val="20"/>
          <w:color w:val="auto"/>
        </w:rPr>
      </w:pPr>
    </w:p>
    <w:p>
      <w:pPr>
        <w:jc w:val="both"/>
        <w:ind w:right="120" w:firstLine="764"/>
        <w:spacing w:after="0"/>
        <w:rPr>
          <w:sz w:val="20"/>
          <w:szCs w:val="20"/>
          <w:color w:val="auto"/>
        </w:rPr>
      </w:pPr>
      <w:r>
        <w:rPr>
          <w:rFonts w:ascii="Arial" w:cs="Arial" w:eastAsia="Arial" w:hAnsi="Arial"/>
          <w:sz w:val="18"/>
          <w:szCs w:val="18"/>
          <w:color w:val="auto"/>
        </w:rPr>
        <w:t>The Notes were issued at par value and fees associated with the issuance of these Notes are amortized to interest expense using the effective interest method over the contractual term of the Notes. The interest expense for the years ended December 31, 2022 and 2021 were $7.2 million and $4.3 million, respectively. The effective interest rate of the Notes is 1.3%.</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Debt of Consolidated VIEs</w:t>
      </w:r>
    </w:p>
    <w:p>
      <w:pPr>
        <w:spacing w:after="0" w:line="220" w:lineRule="exact"/>
        <w:rPr>
          <w:sz w:val="20"/>
          <w:szCs w:val="20"/>
          <w:color w:val="auto"/>
        </w:rPr>
      </w:pPr>
    </w:p>
    <w:p>
      <w:pPr>
        <w:ind w:firstLine="764"/>
        <w:spacing w:after="0" w:line="254" w:lineRule="auto"/>
        <w:rPr>
          <w:sz w:val="20"/>
          <w:szCs w:val="20"/>
          <w:color w:val="auto"/>
        </w:rPr>
      </w:pPr>
      <w:r>
        <w:rPr>
          <w:rFonts w:ascii="Arial" w:cs="Arial" w:eastAsia="Arial" w:hAnsi="Arial"/>
          <w:sz w:val="17"/>
          <w:szCs w:val="17"/>
          <w:color w:val="auto"/>
        </w:rPr>
        <w:t>The securitization debt was issued under UACC's pre-acquisition securitization program. The Company elected to account for the securitization debt under the fair value option on February 1, 2022 using the measurement alternative. Fair value adjustments are recorded in "Other loss (income), net" in the consolidated statements of operations. Refer to Note 17 – Financial Instruments and Fair Value Measurements. For all securitization transactions consummated prior to the Acquisition Date, the Company consolidated VIEs and accounted for these transactions as secured borrowings. Refer to Note 4 – Variable Interest Entities and Securitizations for further discussion.</w:t>
      </w:r>
    </w:p>
    <w:p>
      <w:pPr>
        <w:spacing w:after="0" w:line="179" w:lineRule="exact"/>
        <w:rPr>
          <w:sz w:val="20"/>
          <w:szCs w:val="20"/>
          <w:color w:val="auto"/>
        </w:rPr>
      </w:pPr>
    </w:p>
    <w:p>
      <w:pPr>
        <w:ind w:firstLine="764"/>
        <w:spacing w:after="0" w:line="238" w:lineRule="auto"/>
        <w:rPr>
          <w:sz w:val="20"/>
          <w:szCs w:val="20"/>
          <w:color w:val="auto"/>
        </w:rPr>
      </w:pPr>
      <w:r>
        <w:rPr>
          <w:rFonts w:ascii="Arial" w:cs="Arial" w:eastAsia="Arial" w:hAnsi="Arial"/>
          <w:sz w:val="18"/>
          <w:szCs w:val="18"/>
          <w:color w:val="auto"/>
        </w:rPr>
        <w:t>UACC retained the servicing rights for the finance receivables that were securitized; therefore, is responsible for the administration and collection of the amounts owed under the contracts. The securitization agreements also require certain funds to be held in restricted cash accounts to provide additional collateral for the borrowings or to be applied to make payments on the securitization debt. Restricted cash under the various agreements totaled approximately $9.0 million as of December 31, 2022.</w:t>
      </w:r>
    </w:p>
    <w:p>
      <w:pPr>
        <w:spacing w:after="0" w:line="190" w:lineRule="exact"/>
        <w:rPr>
          <w:sz w:val="20"/>
          <w:szCs w:val="20"/>
          <w:color w:val="auto"/>
        </w:rPr>
      </w:pPr>
    </w:p>
    <w:p>
      <w:pPr>
        <w:ind w:right="20" w:firstLine="764"/>
        <w:spacing w:after="0" w:line="237" w:lineRule="auto"/>
        <w:rPr>
          <w:sz w:val="20"/>
          <w:szCs w:val="20"/>
          <w:color w:val="auto"/>
        </w:rPr>
      </w:pPr>
      <w:r>
        <w:rPr>
          <w:rFonts w:ascii="Arial" w:cs="Arial" w:eastAsia="Arial" w:hAnsi="Arial"/>
          <w:sz w:val="18"/>
          <w:szCs w:val="18"/>
          <w:color w:val="auto"/>
        </w:rPr>
        <w:t>Upon the issuance of the securitization debt, UACC retained the right to receive excess cash flows over time from the underlying pool of securitized transactions. The wholly owned bankruptcy remote subsidiaries of UACC were formed to facilitate the above asset-backed financing transactions. Bankruptcy remote refers to a legal structure in which it is expected that the applicable entity would not be included in any bankruptcy filing by its parent or affiliates. All of the assets of these subsidiaries have been pledged as collateral for the related debt. None of the assets of these subsidiaries are available to pay other creditors of the Company or its affiliates.</w:t>
      </w:r>
    </w:p>
    <w:p>
      <w:pPr>
        <w:spacing w:after="0" w:line="192" w:lineRule="exact"/>
        <w:rPr>
          <w:sz w:val="20"/>
          <w:szCs w:val="20"/>
          <w:color w:val="auto"/>
        </w:rPr>
      </w:pPr>
    </w:p>
    <w:p>
      <w:pPr>
        <w:ind w:right="220" w:firstLine="764"/>
        <w:spacing w:after="0"/>
        <w:rPr>
          <w:sz w:val="20"/>
          <w:szCs w:val="20"/>
          <w:color w:val="auto"/>
        </w:rPr>
      </w:pPr>
      <w:r>
        <w:rPr>
          <w:rFonts w:ascii="Arial" w:cs="Arial" w:eastAsia="Arial" w:hAnsi="Arial"/>
          <w:sz w:val="18"/>
          <w:szCs w:val="18"/>
          <w:color w:val="auto"/>
        </w:rPr>
        <w:t>The securitization debt issued is included in “Current portion of securitization debt of consolidated VIEs at fair value” and "Long term debt, net of current portion" on the consolidated balance sheet. The securitization debt of consolidated VIEs consisted of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40" w:type="dxa"/>
            <w:vAlign w:val="bottom"/>
          </w:tcPr>
          <w:p>
            <w:pPr>
              <w:spacing w:after="0"/>
              <w:rPr>
                <w:sz w:val="16"/>
                <w:szCs w:val="16"/>
                <w:color w:val="auto"/>
              </w:rPr>
            </w:pPr>
          </w:p>
        </w:tc>
        <w:tc>
          <w:tcPr>
            <w:tcW w:w="15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Final Scheduled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vMerge w:val="restart"/>
          </w:tcPr>
          <w:p>
            <w:pPr>
              <w:jc w:val="center"/>
              <w:ind w:right="270"/>
              <w:spacing w:after="0"/>
              <w:rPr>
                <w:sz w:val="20"/>
                <w:szCs w:val="20"/>
                <w:color w:val="auto"/>
              </w:rPr>
            </w:pPr>
            <w:r>
              <w:rPr>
                <w:rFonts w:ascii="Arial" w:cs="Arial" w:eastAsia="Arial" w:hAnsi="Arial"/>
                <w:sz w:val="14"/>
                <w:szCs w:val="14"/>
                <w:b w:val="1"/>
                <w:bCs w:val="1"/>
                <w:color w:val="auto"/>
              </w:rPr>
              <w:t>Contractual Interest</w:t>
            </w:r>
          </w:p>
        </w:tc>
        <w:tc>
          <w:tcPr>
            <w:tcW w:w="11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Series</w:t>
            </w:r>
          </w:p>
        </w:tc>
        <w:tc>
          <w:tcPr>
            <w:tcW w:w="240" w:type="dxa"/>
            <w:vAlign w:val="bottom"/>
          </w:tcPr>
          <w:p>
            <w:pPr>
              <w:spacing w:after="0"/>
              <w:rPr>
                <w:sz w:val="16"/>
                <w:szCs w:val="16"/>
                <w:color w:val="auto"/>
              </w:rPr>
            </w:pPr>
          </w:p>
        </w:tc>
        <w:tc>
          <w:tcPr>
            <w:tcW w:w="15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Payment Date</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Initial Principal</w:t>
            </w:r>
          </w:p>
        </w:tc>
        <w:tc>
          <w:tcPr>
            <w:tcW w:w="3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Principal</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2021-1-C</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June 10, 2026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29,640</w:t>
            </w:r>
          </w:p>
        </w:tc>
        <w:tc>
          <w:tcPr>
            <w:tcW w:w="20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0.84 %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18,466</w:t>
            </w:r>
          </w:p>
        </w:tc>
        <w:tc>
          <w:tcPr>
            <w:tcW w:w="5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United Auto Credit 2021-1-D</w:t>
            </w:r>
          </w:p>
        </w:tc>
        <w:tc>
          <w:tcPr>
            <w:tcW w:w="24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June 10, 2026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29,380</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1.14 %</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29,380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2021-1-E</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18"/>
                <w:szCs w:val="18"/>
                <w:color w:val="auto"/>
              </w:rPr>
              <w:t>June 10, 2026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20,800</w:t>
            </w:r>
          </w:p>
        </w:tc>
        <w:tc>
          <w:tcPr>
            <w:tcW w:w="1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2.58 %</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20,800</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00" w:type="dxa"/>
            <w:vAlign w:val="bottom"/>
          </w:tcPr>
          <w:p>
            <w:pPr>
              <w:ind w:left="20"/>
              <w:spacing w:after="0"/>
              <w:rPr>
                <w:sz w:val="20"/>
                <w:szCs w:val="20"/>
                <w:color w:val="auto"/>
              </w:rPr>
            </w:pPr>
            <w:r>
              <w:rPr>
                <w:rFonts w:ascii="Arial" w:cs="Arial" w:eastAsia="Arial" w:hAnsi="Arial"/>
                <w:sz w:val="18"/>
                <w:szCs w:val="18"/>
                <w:color w:val="auto"/>
              </w:rPr>
              <w:t>United Auto Credit 2021-1-F</w:t>
            </w:r>
          </w:p>
        </w:tc>
        <w:tc>
          <w:tcPr>
            <w:tcW w:w="24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September 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13,910</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13,910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780" w:type="dxa"/>
            <w:vAlign w:val="bottom"/>
            <w:gridSpan w:val="2"/>
          </w:tcPr>
          <w:p>
            <w:pPr>
              <w:ind w:left="240"/>
              <w:spacing w:after="0" w:line="203" w:lineRule="exact"/>
              <w:rPr>
                <w:sz w:val="20"/>
                <w:szCs w:val="20"/>
                <w:color w:val="auto"/>
              </w:rPr>
            </w:pPr>
            <w:r>
              <w:rPr>
                <w:rFonts w:ascii="Arial" w:cs="Arial" w:eastAsia="Arial" w:hAnsi="Arial"/>
                <w:sz w:val="18"/>
                <w:szCs w:val="18"/>
                <w:color w:val="auto"/>
              </w:rPr>
              <w:t>2027</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94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4.30 %</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0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93,730</w:t>
            </w:r>
          </w:p>
        </w:tc>
        <w:tc>
          <w:tcPr>
            <w:tcW w:w="1940" w:type="dxa"/>
            <w:vAlign w:val="bottom"/>
            <w:tcBorders>
              <w:bottom w:val="single" w:sz="8" w:color="CFF0FC"/>
            </w:tcBorders>
            <w:gridSpan w:val="3"/>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82,556</w:t>
            </w:r>
          </w:p>
        </w:tc>
        <w:tc>
          <w:tcPr>
            <w:tcW w:w="3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79,829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-24765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-7620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-24765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right="160" w:firstLine="764"/>
        <w:spacing w:after="0" w:line="237" w:lineRule="auto"/>
        <w:rPr>
          <w:sz w:val="20"/>
          <w:szCs w:val="20"/>
          <w:color w:val="auto"/>
        </w:rPr>
      </w:pPr>
      <w:r>
        <w:rPr>
          <w:rFonts w:ascii="Arial" w:cs="Arial" w:eastAsia="Arial" w:hAnsi="Arial"/>
          <w:sz w:val="18"/>
          <w:szCs w:val="18"/>
          <w:color w:val="auto"/>
        </w:rPr>
        <w:t>In September 2022, UACC exercised its option to repurchase the 2020-1 securitization debt for a total redemption price of $46.9 million. The final scheduled payment date represents final legal maturity of the remaining balance sheet securitization debt. Securitization debt is expected to become due and to be paid prior to those dates, based on amortization of the finance receivables pledged to the Trusts. Expected payments, which will depend on the performance of such receivables, as to which there can be no assurance, are $41.7 million in 2023, $26.7 million in 2024, $12.6 million in 2025 and $1.5 million in 2026.</w:t>
      </w:r>
    </w:p>
    <w:p>
      <w:pPr>
        <w:spacing w:after="0" w:line="192" w:lineRule="exact"/>
        <w:rPr>
          <w:sz w:val="20"/>
          <w:szCs w:val="20"/>
          <w:color w:val="auto"/>
        </w:rPr>
      </w:pPr>
    </w:p>
    <w:p>
      <w:pPr>
        <w:ind w:right="40" w:firstLine="764"/>
        <w:spacing w:after="0" w:line="245" w:lineRule="auto"/>
        <w:rPr>
          <w:sz w:val="20"/>
          <w:szCs w:val="20"/>
          <w:color w:val="auto"/>
        </w:rPr>
      </w:pPr>
      <w:r>
        <w:rPr>
          <w:rFonts w:ascii="Arial" w:cs="Arial" w:eastAsia="Arial" w:hAnsi="Arial"/>
          <w:sz w:val="18"/>
          <w:szCs w:val="18"/>
          <w:color w:val="auto"/>
        </w:rPr>
        <w:t>The aggregate principal balance and the fair value of finance receivables pledged to the securitization debt consists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 2022</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Aggregate Principal Balance</w:t>
            </w:r>
          </w:p>
        </w:tc>
        <w:tc>
          <w:tcPr>
            <w:tcW w:w="3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Auto Credit 2021-1</w:t>
            </w:r>
          </w:p>
        </w:tc>
        <w:tc>
          <w:tcPr>
            <w:tcW w:w="24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84,477</w:t>
            </w:r>
          </w:p>
        </w:tc>
        <w:tc>
          <w:tcPr>
            <w:tcW w:w="3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Total finance receivables of CFEs</w:t>
            </w:r>
          </w:p>
        </w:tc>
        <w:tc>
          <w:tcPr>
            <w:tcW w:w="3220" w:type="dxa"/>
            <w:vAlign w:val="bottom"/>
            <w:gridSpan w:val="2"/>
          </w:tcPr>
          <w:p>
            <w:pPr>
              <w:jc w:val="right"/>
              <w:ind w:right="579"/>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84,477</w:t>
            </w:r>
          </w:p>
        </w:tc>
        <w:tc>
          <w:tcPr>
            <w:tcW w:w="106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40" w:type="dxa"/>
            <w:vAlign w:val="bottom"/>
            <w:vMerge w:val="restart"/>
          </w:tcPr>
          <w:p>
            <w:pPr>
              <w:jc w:val="right"/>
              <w:ind w:right="650"/>
              <w:spacing w:after="0"/>
              <w:rPr>
                <w:sz w:val="20"/>
                <w:szCs w:val="20"/>
                <w:color w:val="auto"/>
              </w:rPr>
            </w:pPr>
            <w:r>
              <w:rPr>
                <w:rFonts w:ascii="Arial" w:cs="Arial" w:eastAsia="Arial" w:hAnsi="Arial"/>
                <w:sz w:val="18"/>
                <w:szCs w:val="18"/>
                <w:color w:val="auto"/>
              </w:rPr>
              <w:t>124</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40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080" w:type="dxa"/>
            <w:vAlign w:val="bottom"/>
            <w:tcBorders>
              <w:bottom w:val="single" w:sz="8" w:color="9A9A9A"/>
            </w:tcBorders>
          </w:tcPr>
          <w:p>
            <w:pPr>
              <w:spacing w:after="0"/>
              <w:rPr>
                <w:sz w:val="7"/>
                <w:szCs w:val="7"/>
                <w:color w:val="auto"/>
              </w:rPr>
            </w:pPr>
          </w:p>
        </w:tc>
        <w:tc>
          <w:tcPr>
            <w:tcW w:w="24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-650240</wp:posOffset>
            </wp:positionV>
            <wp:extent cx="68580" cy="1797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1797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Debentures</w:t>
      </w:r>
    </w:p>
    <w:p>
      <w:pPr>
        <w:spacing w:after="0" w:line="220" w:lineRule="exact"/>
        <w:rPr>
          <w:sz w:val="20"/>
          <w:szCs w:val="20"/>
          <w:color w:val="auto"/>
        </w:rPr>
      </w:pPr>
    </w:p>
    <w:p>
      <w:pPr>
        <w:ind w:right="320" w:firstLine="764"/>
        <w:spacing w:after="0" w:line="238" w:lineRule="auto"/>
        <w:rPr>
          <w:sz w:val="20"/>
          <w:szCs w:val="20"/>
          <w:color w:val="auto"/>
        </w:rPr>
      </w:pPr>
      <w:r>
        <w:rPr>
          <w:rFonts w:ascii="Arial" w:cs="Arial" w:eastAsia="Arial" w:hAnsi="Arial"/>
          <w:sz w:val="18"/>
          <w:szCs w:val="18"/>
          <w:color w:val="auto"/>
        </w:rPr>
        <w:t>On July 31, 2003, UACC issued junior subordinated debentures (trust preferred securities) of $10.0 million through a subsidiary, UPFC Trust I. The trust issuer is a 100 percent owned finance subsidiary and the securities are fully and unconditionally guaranteed by UACC. The interest is paid quarterly at a variable rate, equal to the three-month LIBOR plus 3.05 percent. The final maturity of these securities is on October 7, 2033; however, they can be called at par any time at the Company’s discretion.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0" w:lineRule="exact"/>
        <w:rPr>
          <w:sz w:val="20"/>
          <w:szCs w:val="20"/>
          <w:color w:val="auto"/>
        </w:rPr>
      </w:pPr>
    </w:p>
    <w:p>
      <w:pPr>
        <w:ind w:right="100" w:firstLine="761"/>
        <w:spacing w:after="0" w:line="236" w:lineRule="auto"/>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p>
    <w:p>
      <w:pPr>
        <w:spacing w:after="0" w:line="192" w:lineRule="exact"/>
        <w:rPr>
          <w:sz w:val="20"/>
          <w:szCs w:val="20"/>
          <w:color w:val="auto"/>
        </w:rPr>
      </w:pPr>
    </w:p>
    <w:p>
      <w:pPr>
        <w:ind w:firstLine="761"/>
        <w:spacing w:after="0" w:line="235" w:lineRule="auto"/>
        <w:rPr>
          <w:sz w:val="20"/>
          <w:szCs w:val="20"/>
          <w:color w:val="auto"/>
        </w:rPr>
      </w:pPr>
      <w:r>
        <w:rPr>
          <w:rFonts w:ascii="Arial" w:cs="Arial" w:eastAsia="Arial" w:hAnsi="Arial"/>
          <w:sz w:val="18"/>
          <w:szCs w:val="18"/>
          <w:color w:val="auto"/>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196" w:lineRule="exact"/>
        <w:rPr>
          <w:sz w:val="20"/>
          <w:szCs w:val="20"/>
          <w:color w:val="auto"/>
        </w:rPr>
      </w:pPr>
    </w:p>
    <w:p>
      <w:pPr>
        <w:ind w:right="60" w:firstLine="761"/>
        <w:spacing w:after="0" w:line="252" w:lineRule="auto"/>
        <w:rPr>
          <w:sz w:val="20"/>
          <w:szCs w:val="20"/>
          <w:color w:val="auto"/>
        </w:rPr>
      </w:pPr>
      <w:r>
        <w:rPr>
          <w:rFonts w:ascii="Arial" w:cs="Arial" w:eastAsia="Arial" w:hAnsi="Arial"/>
          <w:sz w:val="17"/>
          <w:szCs w:val="17"/>
          <w:color w:val="auto"/>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spacing w:after="0" w:line="181" w:lineRule="exact"/>
        <w:rPr>
          <w:sz w:val="20"/>
          <w:szCs w:val="20"/>
          <w:color w:val="auto"/>
        </w:rPr>
      </w:pPr>
    </w:p>
    <w:p>
      <w:pPr>
        <w:ind w:right="240" w:firstLine="599"/>
        <w:spacing w:after="0" w:line="238" w:lineRule="auto"/>
        <w:rPr>
          <w:sz w:val="20"/>
          <w:szCs w:val="20"/>
          <w:color w:val="auto"/>
        </w:rPr>
      </w:pPr>
      <w:r>
        <w:rPr>
          <w:rFonts w:ascii="Arial" w:cs="Arial" w:eastAsia="Arial" w:hAnsi="Arial"/>
          <w:sz w:val="18"/>
          <w:szCs w:val="18"/>
          <w:color w:val="auto"/>
        </w:rPr>
        <w:t>In April 2022, one of the Company’s stockholders filed a purported shareholder derivative lawsuit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both"/>
        <w:ind w:right="500"/>
        <w:spacing w:after="0"/>
        <w:rPr>
          <w:sz w:val="20"/>
          <w:szCs w:val="20"/>
          <w:color w:val="auto"/>
        </w:rPr>
      </w:pPr>
      <w:r>
        <w:rPr>
          <w:rFonts w:ascii="Arial" w:cs="Arial" w:eastAsia="Arial" w:hAnsi="Arial"/>
          <w:sz w:val="18"/>
          <w:szCs w:val="18"/>
          <w:color w:val="auto"/>
        </w:rPr>
        <w:t>Inc. Securities Litigation. The case is captioned Godlu v. Hennessy et al., Case No. 22-cv-569, and the court has approved the parties’ stipulation that the case would remain stayed pending final resolution of In re: Vroom, Inc. Securities Litigation. This lawsuit remains in preliminary stages and there have been no substantive developments.</w:t>
      </w:r>
    </w:p>
    <w:p>
      <w:pPr>
        <w:spacing w:after="0" w:line="188"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Vroom Automotive, LLC and the Attorney General of the State of Texas have agreed to a temporary injunction in which Vroom Automotive, LLC agrees to adhere to its existing practice of possessing title for all vehicles it sells or advertises as available for sale on its ecommerce platform. Vroom continues to work cooperatively with the office of the Attorney General of the State of Texas towards a resolution. Because the case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88"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In July 2022 and August 2022, respectively, certain plaintiffs filed two putative class action lawsuits in the District Court of Cleveland County, Oklahoma and the New York State Supreme Court, respectively, against Vroom, Inc., and Vroom Automotive LLC as defendants, alleging, among other things, deficiencies in Vroom’s titling and registration of sold vehicles: Blake Sonne, individually and on behalf of all others similar situated, v. Vroom Automotive, LLC and Vroom, Inc., No. CJ-2022-822 and Emely Reyes Martinez, on behalf of all others similarly situated, v. Vroom Automotive, LLC and Vroom Inc</w:t>
      </w:r>
      <w:r>
        <w:rPr>
          <w:rFonts w:ascii="Arial" w:cs="Arial" w:eastAsia="Arial" w:hAnsi="Arial"/>
          <w:sz w:val="18"/>
          <w:szCs w:val="18"/>
          <w:i w:val="1"/>
          <w:iCs w:val="1"/>
          <w:color w:val="auto"/>
        </w:rPr>
        <w:t>.</w:t>
      </w:r>
      <w:r>
        <w:rPr>
          <w:rFonts w:ascii="Arial" w:cs="Arial" w:eastAsia="Arial" w:hAnsi="Arial"/>
          <w:sz w:val="18"/>
          <w:szCs w:val="18"/>
          <w:color w:val="auto"/>
        </w:rPr>
        <w:t>, No. 652684/2022. The Company removed the cases to the U.S. District Court for the Western District of Oklahoma (Case No. 22-cv-761) and the U.S. District Court for the Southern District of New York (Case No. 22-cv-7631), respectively, and has filed motions to compel arbitration of all claims in both cases. Because these cases are at early stages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90" w:lineRule="exact"/>
        <w:rPr>
          <w:sz w:val="20"/>
          <w:szCs w:val="20"/>
          <w:color w:val="auto"/>
        </w:rPr>
      </w:pPr>
    </w:p>
    <w:p>
      <w:pPr>
        <w:ind w:right="80" w:firstLine="749"/>
        <w:spacing w:after="0" w:line="253" w:lineRule="auto"/>
        <w:rPr>
          <w:sz w:val="20"/>
          <w:szCs w:val="20"/>
          <w:color w:val="auto"/>
        </w:rPr>
      </w:pPr>
      <w:r>
        <w:rPr>
          <w:rFonts w:ascii="Arial" w:cs="Arial" w:eastAsia="Arial" w:hAnsi="Arial"/>
          <w:sz w:val="17"/>
          <w:szCs w:val="17"/>
          <w:color w:val="auto"/>
        </w:rPr>
        <w:t>As previously disclosed, the Company has been subject to audits, requests for information, investigations and other inquiries from its regulators relating to increased customer complaints concerning the same or similar matters alleged in the State of Texas petition. These regulatory matters could continue to progress into legal proceedings as well as enforcement actions. The Company has incurred fines in certain states and could continue to incur fines, penalties, restitution, or alterations in the Company's business practices, which in turn, could lead to increased business expenses, additional limitations on the Company's business activities and further reputational damage, although to date such expenses have not had a material adverse effect on the Company’s financial condition, cash flows, or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0"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ind w:right="3300" w:firstLine="3291"/>
        <w:spacing w:after="0" w:line="386" w:lineRule="auto"/>
        <w:rPr>
          <w:sz w:val="20"/>
          <w:szCs w:val="20"/>
          <w:color w:val="auto"/>
        </w:rPr>
      </w:pPr>
      <w:r>
        <w:rPr>
          <w:rFonts w:ascii="Arial" w:cs="Arial" w:eastAsia="Arial" w:hAnsi="Arial"/>
          <w:sz w:val="18"/>
          <w:szCs w:val="18"/>
          <w:b w:val="1"/>
          <w:bCs w:val="1"/>
          <w:color w:val="auto"/>
        </w:rPr>
        <w:t>NOTES TO CONSOLIDATED FINANCIAL STATEMENTS 15. Preferred Stock and Stockholders’ Equity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0" w:lineRule="exact"/>
        <w:rPr>
          <w:sz w:val="20"/>
          <w:szCs w:val="20"/>
          <w:color w:val="auto"/>
        </w:rPr>
      </w:pPr>
    </w:p>
    <w:p>
      <w:pPr>
        <w:ind w:right="420" w:firstLine="637"/>
        <w:spacing w:after="0" w:line="245" w:lineRule="auto"/>
        <w:rPr>
          <w:sz w:val="20"/>
          <w:szCs w:val="20"/>
          <w:color w:val="auto"/>
        </w:rPr>
      </w:pPr>
      <w:r>
        <w:rPr>
          <w:rFonts w:ascii="Arial" w:cs="Arial" w:eastAsia="Arial" w:hAnsi="Arial"/>
          <w:sz w:val="18"/>
          <w:szCs w:val="18"/>
          <w:color w:val="auto"/>
        </w:rPr>
        <w:t>On June 11, 2020, the Company amended its certificate of incorporation to authorize the issuance of up to 10,000,000 shares of Preferred Stock. As of December 31, 2022, there was no preferred stock issued or outstanding.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0" w:lineRule="exact"/>
        <w:rPr>
          <w:sz w:val="20"/>
          <w:szCs w:val="20"/>
          <w:color w:val="auto"/>
        </w:rPr>
      </w:pPr>
    </w:p>
    <w:p>
      <w:pPr>
        <w:ind w:right="380" w:firstLine="637"/>
        <w:spacing w:after="0" w:line="238" w:lineRule="auto"/>
        <w:rPr>
          <w:sz w:val="20"/>
          <w:szCs w:val="20"/>
          <w:color w:val="auto"/>
        </w:rPr>
      </w:pPr>
      <w:r>
        <w:rPr>
          <w:rFonts w:ascii="Arial" w:cs="Arial" w:eastAsia="Arial" w:hAnsi="Arial"/>
          <w:sz w:val="18"/>
          <w:szCs w:val="18"/>
          <w:color w:val="auto"/>
        </w:rPr>
        <w:t>On June 11, 2020, the Company amended its certificate of incorporation to effect a 2-for-1 forward stock split of shares of the Company’s outstanding common stock, such that each share of common stock, $0.001 par value became two shares of common stock, $0.001 par value per share. The shares of common stock authorized for issuance was increased to 500,000,000. Each share of common stock entitles the holder to one vote on all matters submitted to a vote of the Company’s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Compensation</w:t>
      </w:r>
    </w:p>
    <w:p>
      <w:pPr>
        <w:spacing w:after="0" w:line="220" w:lineRule="exact"/>
        <w:rPr>
          <w:sz w:val="20"/>
          <w:szCs w:val="20"/>
          <w:color w:val="auto"/>
        </w:rPr>
      </w:pPr>
    </w:p>
    <w:p>
      <w:pPr>
        <w:jc w:val="both"/>
        <w:ind w:right="120" w:firstLine="761"/>
        <w:spacing w:after="0" w:line="259" w:lineRule="auto"/>
        <w:rPr>
          <w:sz w:val="20"/>
          <w:szCs w:val="20"/>
          <w:color w:val="auto"/>
        </w:rPr>
      </w:pPr>
      <w:r>
        <w:rPr>
          <w:rFonts w:ascii="Arial" w:cs="Arial" w:eastAsia="Arial" w:hAnsi="Arial"/>
          <w:sz w:val="17"/>
          <w:szCs w:val="17"/>
          <w:color w:val="auto"/>
        </w:rPr>
        <w:t>On May 28, 2020, the Company adopted the 2020 Incentive Award Plan (“the 2020 Plan”), which authorized the issuance of (i) up to 3,019,108 shares of the Company’s common stock, (ii) up to 4% of an annual increase on the first day of each year beginning on January 1, 2022 and ending on January 1, 2030, and (iii) any shares of the Company’s common stock subject to awards under the 2014 Plan which</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are forfeited or lapse unexercised and which following the effective date are not issued under the 2014 Plan. Awards may be issued in the form of restricted stock units, restricted stock, stock appreciation rights, and stock options. On February 28, 2022, the Company registered an additional 5,483,716 shares of the Company's common stock to be issued pursuant to the 2020 Plan. As of December 31, 2022, there were 2,535,711 shares available for future issuance under the 2020 Plan.</w:t>
      </w:r>
    </w:p>
    <w:p>
      <w:pPr>
        <w:spacing w:after="0" w:line="187"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On May 20, 2022, the Company adopted the 2022 Inducement Award Plan (the “Inducement Award Plan”). Awards under the Inducement Award Plan may only be granted to a newly hired employee who has not previously been an employee or a member of the Board or an employee who is being rehired following a bona fide period of non-employment by the Company, in each case as a material inducement to the employee’s entering into employment. An aggregate of 3,000,000 shares of the Company’s common stock are reserved for issuance under the Inducement Award Plan. As of December 31, 2022, there were 2,430,646 shares available for future issuance under the Inducement Award Plan.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stock option activity for the year ended December 31,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r>
      <w:tr>
        <w:trPr>
          <w:trHeight w:val="162"/>
        </w:trPr>
        <w:tc>
          <w:tcPr>
            <w:tcW w:w="6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6"/>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r>
      <w:tr>
        <w:trPr>
          <w:trHeight w:val="162"/>
        </w:trPr>
        <w:tc>
          <w:tcPr>
            <w:tcW w:w="6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6"/>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14"/>
                <w:szCs w:val="14"/>
                <w:color w:val="auto"/>
              </w:rPr>
            </w:pPr>
          </w:p>
        </w:tc>
      </w:tr>
      <w:tr>
        <w:trPr>
          <w:trHeight w:val="189"/>
        </w:trPr>
        <w:tc>
          <w:tcPr>
            <w:tcW w:w="6620" w:type="dxa"/>
            <w:vAlign w:val="bottom"/>
          </w:tcPr>
          <w:p>
            <w:pPr>
              <w:spacing w:after="0"/>
              <w:rPr>
                <w:sz w:val="16"/>
                <w:szCs w:val="16"/>
                <w:color w:val="auto"/>
              </w:rPr>
            </w:pP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Contractual Life</w:t>
            </w:r>
          </w:p>
        </w:tc>
        <w:tc>
          <w:tcPr>
            <w:tcW w:w="100" w:type="dxa"/>
            <w:vAlign w:val="bottom"/>
          </w:tcPr>
          <w:p>
            <w:pPr>
              <w:spacing w:after="0"/>
              <w:rPr>
                <w:sz w:val="16"/>
                <w:szCs w:val="16"/>
                <w:color w:val="auto"/>
              </w:rPr>
            </w:pPr>
          </w:p>
        </w:tc>
      </w:tr>
      <w:tr>
        <w:trPr>
          <w:trHeight w:val="26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2021</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4,076,542</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FF0FC"/>
          </w:tcPr>
          <w:p>
            <w:pPr>
              <w:spacing w:after="0"/>
              <w:rPr>
                <w:sz w:val="22"/>
                <w:szCs w:val="22"/>
                <w:color w:val="auto"/>
              </w:rPr>
            </w:pPr>
          </w:p>
        </w:tc>
      </w:tr>
      <w:tr>
        <w:trPr>
          <w:trHeight w:val="210"/>
        </w:trPr>
        <w:tc>
          <w:tcPr>
            <w:tcW w:w="6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1,275,000</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Borders>
              <w:top w:val="single" w:sz="8" w:color="CFF0F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Forfeited / cancelled</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(2,494,366 )</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2,857,176</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8"/>
                <w:szCs w:val="18"/>
                <w:color w:val="auto"/>
              </w:rPr>
              <w:t>Vested and exercisable as of December 31, 2021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2,964,534</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 and exercisable as of December 31, 2022</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1,319,498</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-984250</wp:posOffset>
            </wp:positionV>
            <wp:extent cx="2080895" cy="1714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080895"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-367665</wp:posOffset>
            </wp:positionV>
            <wp:extent cx="2080895" cy="1968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080895" cy="1968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-24765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-7620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The Company recognized $1.5 million, $2.2 million and $2.2 million of stock-based compensation expense related to stock options for the years ended December 31, 2022, 2021, and 2020, respectively. As of December 31, 2022 and 2021, the Company had $1.6 million and $2.5 million, respectively, of unrecognized stock-based compensation expense that is expected to be recognized over a weighted-average period of 1.9 years and 1.7 years, respectively.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980" w:firstLine="761"/>
        <w:spacing w:after="0" w:line="245" w:lineRule="auto"/>
        <w:rPr>
          <w:sz w:val="20"/>
          <w:szCs w:val="20"/>
          <w:color w:val="auto"/>
        </w:rPr>
      </w:pPr>
      <w:r>
        <w:rPr>
          <w:rFonts w:ascii="Arial" w:cs="Arial" w:eastAsia="Arial" w:hAnsi="Arial"/>
          <w:sz w:val="18"/>
          <w:szCs w:val="18"/>
          <w:color w:val="auto"/>
        </w:rPr>
        <w:t>There were no options exercised during the year ended December 31, 2022, and the aggregate intrinsic value of options outstanding and options exercisable as of December 31, 2022 was not material.</w:t>
      </w:r>
    </w:p>
    <w:p>
      <w:pPr>
        <w:spacing w:after="0" w:line="184" w:lineRule="exact"/>
        <w:rPr>
          <w:sz w:val="20"/>
          <w:szCs w:val="20"/>
          <w:color w:val="auto"/>
        </w:rPr>
      </w:pPr>
    </w:p>
    <w:p>
      <w:pPr>
        <w:ind w:right="120" w:firstLine="761"/>
        <w:spacing w:after="0" w:line="237" w:lineRule="auto"/>
        <w:rPr>
          <w:sz w:val="20"/>
          <w:szCs w:val="20"/>
          <w:color w:val="auto"/>
        </w:rPr>
      </w:pPr>
      <w:r>
        <w:rPr>
          <w:rFonts w:ascii="Arial" w:cs="Arial" w:eastAsia="Arial" w:hAnsi="Arial"/>
          <w:sz w:val="18"/>
          <w:szCs w:val="18"/>
          <w:color w:val="auto"/>
        </w:rPr>
        <w:t>On May 9, 2022 and May 20, 2022, 600,000 stock options having a fair value of $0.83 per share were granted to the CEO and an aggregate of 650,000 stock options having a grant date fair value of $1.14 per share were granted to certain members of key management, respectively. The exercise price of the stock options is $7.50 per share. The stock options vest ratably over a three-year period subject to continued employment through each applicable vesting date. During the year ended December 31, 2022, 75,000 of these stock options were forfeited as a result of employee separations.</w:t>
      </w:r>
    </w:p>
    <w:p>
      <w:pPr>
        <w:spacing w:after="0" w:line="192" w:lineRule="exact"/>
        <w:rPr>
          <w:sz w:val="20"/>
          <w:szCs w:val="20"/>
          <w:color w:val="auto"/>
        </w:rPr>
      </w:pPr>
    </w:p>
    <w:p>
      <w:pPr>
        <w:ind w:right="460" w:firstLine="761"/>
        <w:spacing w:after="0" w:line="245" w:lineRule="auto"/>
        <w:rPr>
          <w:sz w:val="20"/>
          <w:szCs w:val="20"/>
          <w:color w:val="auto"/>
        </w:rPr>
      </w:pPr>
      <w:r>
        <w:rPr>
          <w:rFonts w:ascii="Arial" w:cs="Arial" w:eastAsia="Arial" w:hAnsi="Arial"/>
          <w:sz w:val="18"/>
          <w:szCs w:val="18"/>
          <w:color w:val="auto"/>
        </w:rPr>
        <w:t>The grant date fair value of stock options granted during the year ended December 31, 2022 was estimated at the time of grant using the Black-Scholes option-pricing model and utilized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May 20, 2022</w:t>
            </w:r>
          </w:p>
        </w:tc>
        <w:tc>
          <w:tcPr>
            <w:tcW w:w="280" w:type="dxa"/>
            <w:vAlign w:val="bottom"/>
          </w:tcPr>
          <w:p>
            <w:pPr>
              <w:spacing w:after="0"/>
              <w:rPr>
                <w:sz w:val="16"/>
                <w:szCs w:val="16"/>
                <w:color w:val="auto"/>
              </w:rPr>
            </w:pPr>
          </w:p>
        </w:tc>
        <w:tc>
          <w:tcPr>
            <w:tcW w:w="16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May 9, 2022</w:t>
            </w:r>
          </w:p>
        </w:tc>
      </w:tr>
      <w:tr>
        <w:trPr>
          <w:trHeight w:val="22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common stock (per share)</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4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2.78 %</w:t>
            </w:r>
          </w:p>
        </w:tc>
        <w:tc>
          <w:tcPr>
            <w:tcW w:w="28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3.05 %</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100.00 %</w:t>
            </w:r>
          </w:p>
        </w:tc>
        <w:tc>
          <w:tcPr>
            <w:tcW w:w="28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100.00 %</w:t>
            </w:r>
          </w:p>
        </w:tc>
      </w:tr>
      <w:tr>
        <w:trPr>
          <w:trHeight w:val="22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 yield</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restricted stock unit ("RSUs") activity for the year ended December 31,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57"/>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4"/>
                <w:szCs w:val="14"/>
                <w:color w:val="auto"/>
              </w:rPr>
            </w:pP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57"/>
              <w:spacing w:after="0"/>
              <w:rPr>
                <w:sz w:val="20"/>
                <w:szCs w:val="20"/>
                <w:color w:val="auto"/>
              </w:rPr>
            </w:pPr>
            <w:r>
              <w:rPr>
                <w:rFonts w:ascii="Arial" w:cs="Arial" w:eastAsia="Arial" w:hAnsi="Arial"/>
                <w:sz w:val="14"/>
                <w:szCs w:val="14"/>
                <w:b w:val="1"/>
                <w:bCs w:val="1"/>
                <w:color w:val="auto"/>
              </w:rPr>
              <w:t>Grant Date Fair</w:t>
            </w:r>
          </w:p>
        </w:tc>
        <w:tc>
          <w:tcPr>
            <w:tcW w:w="100" w:type="dxa"/>
            <w:vAlign w:val="bottom"/>
          </w:tcPr>
          <w:p>
            <w:pPr>
              <w:spacing w:after="0"/>
              <w:rPr>
                <w:sz w:val="14"/>
                <w:szCs w:val="14"/>
                <w:color w:val="auto"/>
              </w:rPr>
            </w:pPr>
          </w:p>
        </w:tc>
      </w:tr>
      <w:tr>
        <w:trPr>
          <w:trHeight w:val="189"/>
        </w:trPr>
        <w:tc>
          <w:tcPr>
            <w:tcW w:w="7720" w:type="dxa"/>
            <w:vAlign w:val="bottom"/>
          </w:tcPr>
          <w:p>
            <w:pPr>
              <w:spacing w:after="0"/>
              <w:rPr>
                <w:sz w:val="16"/>
                <w:szCs w:val="16"/>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440" w:type="dxa"/>
            <w:vAlign w:val="bottom"/>
          </w:tcPr>
          <w:p>
            <w:pPr>
              <w:jc w:val="center"/>
              <w:ind w:right="57"/>
              <w:spacing w:after="0"/>
              <w:rPr>
                <w:sz w:val="20"/>
                <w:szCs w:val="20"/>
                <w:color w:val="auto"/>
              </w:rPr>
            </w:pPr>
            <w:r>
              <w:rPr>
                <w:rFonts w:ascii="Arial" w:cs="Arial" w:eastAsia="Arial" w:hAnsi="Arial"/>
                <w:sz w:val="14"/>
                <w:szCs w:val="14"/>
                <w:b w:val="1"/>
                <w:bCs w:val="1"/>
                <w:color w:val="auto"/>
              </w:rPr>
              <w:t>Value per Share</w:t>
            </w:r>
          </w:p>
        </w:tc>
        <w:tc>
          <w:tcPr>
            <w:tcW w:w="100" w:type="dxa"/>
            <w:vAlign w:val="bottom"/>
          </w:tcPr>
          <w:p>
            <w:pPr>
              <w:spacing w:after="0"/>
              <w:rPr>
                <w:sz w:val="16"/>
                <w:szCs w:val="16"/>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and outstanding as of December 31, 2021</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2,269,813</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9,349,754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(1,109,012 )</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Forfeited / cancelled</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(1,849,130 )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and outstanding as of December 31, 2022</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8,661,425</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-641350</wp:posOffset>
            </wp:positionV>
            <wp:extent cx="1241425" cy="1714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41425"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120" w:firstLine="761"/>
        <w:spacing w:after="0" w:line="238" w:lineRule="auto"/>
        <w:rPr>
          <w:sz w:val="20"/>
          <w:szCs w:val="20"/>
          <w:color w:val="auto"/>
        </w:rPr>
      </w:pPr>
      <w:r>
        <w:rPr>
          <w:rFonts w:ascii="Arial" w:cs="Arial" w:eastAsia="Arial" w:hAnsi="Arial"/>
          <w:sz w:val="18"/>
          <w:szCs w:val="18"/>
          <w:color w:val="auto"/>
        </w:rPr>
        <w:t>The Company recognized $10.5 million, $11.2 million, and $10.9 million of stock-based compensation expense related to RSUs for the years ended December 31, 2022, 2021, and 2020, respectively. As of December 31, 2022 and 2021, the Company had $18.2 million and $21.7 million, respectively, of unrecognized stock-based compensation expense that is expected to be recognized over a weighted-average period of 1.9 and 2.1 years, respectively.</w:t>
      </w:r>
    </w:p>
    <w:p>
      <w:pPr>
        <w:spacing w:after="0" w:line="190" w:lineRule="exact"/>
        <w:rPr>
          <w:sz w:val="20"/>
          <w:szCs w:val="20"/>
          <w:color w:val="auto"/>
        </w:rPr>
      </w:pPr>
    </w:p>
    <w:p>
      <w:pPr>
        <w:ind w:right="80" w:firstLine="761"/>
        <w:spacing w:after="0" w:line="236" w:lineRule="auto"/>
        <w:rPr>
          <w:sz w:val="20"/>
          <w:szCs w:val="20"/>
          <w:color w:val="auto"/>
        </w:rPr>
      </w:pPr>
      <w:r>
        <w:rPr>
          <w:rFonts w:ascii="Arial" w:cs="Arial" w:eastAsia="Arial" w:hAnsi="Arial"/>
          <w:sz w:val="18"/>
          <w:szCs w:val="18"/>
          <w:color w:val="auto"/>
        </w:rPr>
        <w:t>On May 9, 2022 and May 20, 2022, 1,200,000 RSUs having a grant date fair value of $1.08 per share were granted to the CEO and an aggregate of 3,190,000 RSUs having a grant date fair value of $1.45 per share were granted to certain members of the management team. On July 25, 2022, 140,000 RSUs having a grant date fair value of $1.64 per share were granted to a member of the management team. The RSUs were issued under the 2020 Plan and will vest on the third anniversary of the grant date, subject to continued employment through that date. The vesting of RSUs will accelerate in one-third increments if the Company's common stock achieves a closing price at or above $7.50 per share for twenty consecutive trading days during the three-year vesting period; a closing price at or above $15.00 per share for twenty consecutive trading days in the second or third years of the vesting period; and a closing price at or above $21.00 per share for twenty consecutive trading days during the third year of the vesting period. During the year ended December 31, 2022, 355,000 of these RSUs were forfeited as a result of employee separations and became eligible for future issuance under the 2020 Plan. As of December 31, 2022, the accelerated vesting conditions were not met.</w:t>
      </w:r>
    </w:p>
    <w:p>
      <w:pPr>
        <w:spacing w:after="0" w:line="190" w:lineRule="exact"/>
        <w:rPr>
          <w:sz w:val="20"/>
          <w:szCs w:val="20"/>
          <w:color w:val="auto"/>
        </w:rPr>
      </w:pPr>
    </w:p>
    <w:p>
      <w:pPr>
        <w:ind w:right="260" w:firstLine="761"/>
        <w:spacing w:after="0" w:line="245" w:lineRule="auto"/>
        <w:rPr>
          <w:sz w:val="20"/>
          <w:szCs w:val="20"/>
          <w:color w:val="auto"/>
        </w:rPr>
      </w:pPr>
      <w:r>
        <w:rPr>
          <w:rFonts w:ascii="Arial" w:cs="Arial" w:eastAsia="Arial" w:hAnsi="Arial"/>
          <w:sz w:val="18"/>
          <w:szCs w:val="18"/>
          <w:color w:val="auto"/>
        </w:rPr>
        <w:t>Certain of the Company’s RSU grants are subject to acceleration upon a change of control and termination within 12 months, and upon death, disability, retirement and certain “good leaver” circumstances.</w:t>
      </w:r>
    </w:p>
    <w:p>
      <w:pPr>
        <w:spacing w:after="0" w:line="40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and Fair Value Measurements</w:t>
      </w:r>
    </w:p>
    <w:p>
      <w:pPr>
        <w:spacing w:after="0" w:line="220"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3" w:lineRule="exact"/>
        <w:rPr>
          <w:sz w:val="20"/>
          <w:szCs w:val="20"/>
          <w:color w:val="auto"/>
        </w:rPr>
      </w:pPr>
    </w:p>
    <w:p>
      <w:pPr>
        <w:jc w:val="both"/>
        <w:ind w:left="760" w:right="140"/>
        <w:spacing w:after="0"/>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94" w:lineRule="exact"/>
        <w:rPr>
          <w:sz w:val="20"/>
          <w:szCs w:val="20"/>
          <w:color w:val="auto"/>
        </w:rPr>
      </w:pPr>
    </w:p>
    <w:p>
      <w:pPr>
        <w:ind w:left="760" w:right="100"/>
        <w:spacing w:after="0" w:line="245"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220" w:lineRule="exact"/>
        <w:rPr>
          <w:sz w:val="20"/>
          <w:szCs w:val="20"/>
          <w:color w:val="auto"/>
        </w:rPr>
      </w:pPr>
    </w:p>
    <w:p>
      <w:pPr>
        <w:ind w:right="160" w:firstLine="761"/>
        <w:spacing w:after="0" w:line="237" w:lineRule="auto"/>
        <w:rPr>
          <w:sz w:val="20"/>
          <w:szCs w:val="20"/>
          <w:color w:val="auto"/>
        </w:rPr>
      </w:pPr>
      <w:r>
        <w:rPr>
          <w:rFonts w:ascii="Arial" w:cs="Arial" w:eastAsia="Arial" w:hAnsi="Arial"/>
          <w:sz w:val="18"/>
          <w:szCs w:val="18"/>
          <w:color w:val="auto"/>
        </w:rPr>
        <w:t>The Company holds certain financial assets that are required to be measured at fair value on a recurring basis. Additionally, the Company elected the fair value option for the financial assets and liabilities of UACC’s consolidated CFEs, beneficial interests in the 2022-1 and 2022-2 securitizations, certain of UACC’s finance receivables that are ineligible to be sold as of the acquisition date, and certain other finance receivables. Under the fair value option allowable under ASC 825, “Financial Instruments” (“ASC 825”), the Company may elect to measure at fair value financial assets and liabilities that are not otherwise required to be carried at fair value. Subsequent changes in fair value for designated items are reported in earnings.</w:t>
      </w:r>
    </w:p>
    <w:p>
      <w:pPr>
        <w:spacing w:after="0" w:line="189" w:lineRule="exact"/>
        <w:rPr>
          <w:sz w:val="20"/>
          <w:szCs w:val="20"/>
          <w:color w:val="auto"/>
        </w:rPr>
      </w:pPr>
    </w:p>
    <w:p>
      <w:pPr>
        <w:ind w:right="920" w:firstLine="761"/>
        <w:spacing w:after="0" w:line="245" w:lineRule="auto"/>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As of December 31, 2022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2"/>
        </w:trPr>
        <w:tc>
          <w:tcPr>
            <w:tcW w:w="4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17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182,687</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182,687</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CFE assets:</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receivables</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77,904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77,904</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Finance receivables at fair value</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75,270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75,270</w:t>
            </w:r>
          </w:p>
        </w:tc>
      </w:tr>
      <w:tr>
        <w:trPr>
          <w:trHeight w:val="229"/>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Beneficial interests in securitizations</w:t>
            </w:r>
          </w:p>
        </w:tc>
        <w:tc>
          <w:tcPr>
            <w:tcW w:w="1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20,592</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20,592</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182,687</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20,592</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153,174</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356,453</w:t>
            </w:r>
          </w:p>
        </w:tc>
      </w:tr>
      <w:tr>
        <w:trPr>
          <w:trHeight w:val="20"/>
        </w:trPr>
        <w:tc>
          <w:tcPr>
            <w:tcW w:w="4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CFE liabilities:</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Securitization debt of consolidated VIEs</w:t>
            </w:r>
          </w:p>
        </w:tc>
        <w:tc>
          <w:tcPr>
            <w:tcW w:w="1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79,829</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79,829</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15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79,829</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79,829</w:t>
            </w:r>
          </w:p>
        </w:tc>
      </w:tr>
      <w:tr>
        <w:trPr>
          <w:trHeight w:val="20"/>
        </w:trPr>
        <w:tc>
          <w:tcPr>
            <w:tcW w:w="4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98"/>
        </w:trPr>
        <w:tc>
          <w:tcPr>
            <w:tcW w:w="4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As of December 31, 2021</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82"/>
        </w:trPr>
        <w:tc>
          <w:tcPr>
            <w:tcW w:w="4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17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601,807</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601,807</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149,974</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149,974</w:t>
            </w:r>
          </w:p>
        </w:tc>
      </w:tr>
      <w:tr>
        <w:trPr>
          <w:trHeight w:val="26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17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601,807</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149,974</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751,781</w:t>
            </w:r>
          </w:p>
        </w:tc>
      </w:tr>
      <w:tr>
        <w:trPr>
          <w:trHeight w:val="614"/>
        </w:trPr>
        <w:tc>
          <w:tcPr>
            <w:tcW w:w="4340" w:type="dxa"/>
            <w:vAlign w:val="bottom"/>
            <w:tcBorders>
              <w:top w:val="single" w:sz="8" w:color="CFF0FC"/>
            </w:tcBorders>
          </w:tcPr>
          <w:p>
            <w:pPr>
              <w:spacing w:after="0"/>
              <w:rPr>
                <w:sz w:val="24"/>
                <w:szCs w:val="24"/>
                <w:color w:val="auto"/>
              </w:rPr>
            </w:pPr>
          </w:p>
        </w:tc>
        <w:tc>
          <w:tcPr>
            <w:tcW w:w="15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101"/>
        </w:trPr>
        <w:tc>
          <w:tcPr>
            <w:tcW w:w="434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-2439670</wp:posOffset>
            </wp:positionV>
            <wp:extent cx="85725" cy="1797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-2439670</wp:posOffset>
            </wp:positionV>
            <wp:extent cx="85725" cy="1797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-2439670</wp:posOffset>
            </wp:positionV>
            <wp:extent cx="85725" cy="1797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-1823085</wp:posOffset>
            </wp:positionV>
            <wp:extent cx="85725" cy="3251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5725" cy="32512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-1823085</wp:posOffset>
            </wp:positionV>
            <wp:extent cx="85725" cy="3251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5725" cy="32512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-1823085</wp:posOffset>
            </wp:positionV>
            <wp:extent cx="85725" cy="3251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5725" cy="325120"/>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-504825</wp:posOffset>
            </wp:positionV>
            <wp:extent cx="857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-487680</wp:posOffset>
            </wp:positionV>
            <wp:extent cx="857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-504825</wp:posOffset>
            </wp:positionV>
            <wp:extent cx="857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-487680</wp:posOffset>
            </wp:positionV>
            <wp:extent cx="857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-504825</wp:posOffset>
            </wp:positionV>
            <wp:extent cx="857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-487680</wp:posOffset>
            </wp:positionV>
            <wp:extent cx="857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 of Financial Instruments Measured at Fair Value on a Recurring Basis</w:t>
      </w:r>
    </w:p>
    <w:p>
      <w:pPr>
        <w:spacing w:after="0" w:line="220" w:lineRule="exact"/>
        <w:rPr>
          <w:sz w:val="20"/>
          <w:szCs w:val="20"/>
          <w:color w:val="auto"/>
        </w:rPr>
      </w:pPr>
    </w:p>
    <w:p>
      <w:pPr>
        <w:ind w:right="440" w:firstLine="749"/>
        <w:spacing w:after="0"/>
        <w:rPr>
          <w:sz w:val="20"/>
          <w:szCs w:val="20"/>
          <w:color w:val="auto"/>
        </w:rPr>
      </w:pPr>
      <w:r>
        <w:rPr>
          <w:rFonts w:ascii="Arial" w:cs="Arial" w:eastAsia="Arial" w:hAnsi="Arial"/>
          <w:sz w:val="18"/>
          <w:szCs w:val="18"/>
          <w:color w:val="auto"/>
        </w:rPr>
        <w:t>The following is a description of the valuation methodologies used for financial instruments carried at fair value. These methodologies are applied to financial assets and liabilities across the fair value levels discussed above, and it is the observability of the inputs used that determines the appropriate level in the fair value hierarchy for the respective asset or liability.</w:t>
      </w:r>
    </w:p>
    <w:p>
      <w:pPr>
        <w:spacing w:after="0" w:line="170" w:lineRule="exact"/>
        <w:rPr>
          <w:sz w:val="20"/>
          <w:szCs w:val="20"/>
          <w:color w:val="auto"/>
        </w:rPr>
      </w:pPr>
    </w:p>
    <w:p>
      <w:pPr>
        <w:ind w:right="40" w:firstLine="749"/>
        <w:spacing w:after="0" w:line="250"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Money market funds primarily consist of investments in highly liquid U.S. treasury securities, with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and are classified as Level 1. The Company determines the fair value of cash equivalents based on quoted prices in active markets.</w:t>
      </w:r>
    </w:p>
    <w:p>
      <w:pPr>
        <w:spacing w:after="0" w:line="162" w:lineRule="exact"/>
        <w:rPr>
          <w:sz w:val="20"/>
          <w:szCs w:val="20"/>
          <w:color w:val="auto"/>
        </w:rPr>
      </w:pPr>
    </w:p>
    <w:p>
      <w:pPr>
        <w:jc w:val="both"/>
        <w:ind w:right="340" w:firstLine="749"/>
        <w:spacing w:after="0" w:line="250" w:lineRule="auto"/>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Commercial paper consists of unsecured promissory notes issued by companies, with original maturities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or less and is classified as Level 2. Commercial paper is issued at a discount to face value and is priced to reflect prevailing market interest rates.</w:t>
      </w:r>
    </w:p>
    <w:p>
      <w:pPr>
        <w:spacing w:after="0" w:line="162" w:lineRule="exact"/>
        <w:rPr>
          <w:sz w:val="20"/>
          <w:szCs w:val="20"/>
          <w:color w:val="auto"/>
        </w:rPr>
      </w:pPr>
    </w:p>
    <w:p>
      <w:pPr>
        <w:ind w:right="140" w:firstLine="749"/>
        <w:spacing w:after="0" w:line="245" w:lineRule="auto"/>
        <w:rPr>
          <w:sz w:val="20"/>
          <w:szCs w:val="20"/>
          <w:color w:val="auto"/>
        </w:rPr>
      </w:pPr>
      <w:r>
        <w:rPr>
          <w:rFonts w:ascii="Arial" w:cs="Arial" w:eastAsia="Arial" w:hAnsi="Arial"/>
          <w:sz w:val="18"/>
          <w:szCs w:val="18"/>
          <w:i w:val="1"/>
          <w:iCs w:val="1"/>
          <w:color w:val="auto"/>
        </w:rPr>
        <w:t xml:space="preserve">Financial assets and liabilities of CFEs: </w:t>
      </w:r>
      <w:r>
        <w:rPr>
          <w:rFonts w:ascii="Arial" w:cs="Arial" w:eastAsia="Arial" w:hAnsi="Arial"/>
          <w:sz w:val="18"/>
          <w:szCs w:val="18"/>
          <w:color w:val="auto"/>
        </w:rPr>
        <w:t>In connection with the UACC Acquisition, as described in Note 5– Acquisitions,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acquired certain financial assets and liabilities of consolidated VIE subsidiaries related to securitization transactions that were deemed to be CFEs. The Company elected the fair value option for the assets and liabilities of its consolidated VIEs related to the 2020 and 2021 historical securitizations acquired from UACC.</w:t>
      </w:r>
    </w:p>
    <w:p>
      <w:pPr>
        <w:spacing w:after="0" w:line="184"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As of the Acquisition Date, in accordance with ASC 825, the Company has elected the fair value option, for the eligible financial assets and liabilities of these consolidated CFEs in order to mitigate potential accounting mismatches between the carrying value of the financial assets and liabilities. To eliminate potential measurement differences, the Company elected the measurement alternative included in ASU 2014-13, allowing the Company to measure both the financial assets and liabilities of a qualifying CFE using the fair value of either the CFE’s financial assets or liabilities, whichever is more observable. Under the measurement alternative prescribed by ASU 2014-13, the Company recognizes changes in the CFE’s net assets, including changes in fair value adjustments and net interest earned, in its consolidated statements of operations.</w:t>
      </w:r>
    </w:p>
    <w:p>
      <w:pPr>
        <w:spacing w:after="0" w:line="193" w:lineRule="exact"/>
        <w:rPr>
          <w:sz w:val="20"/>
          <w:szCs w:val="20"/>
          <w:color w:val="auto"/>
        </w:rPr>
      </w:pPr>
    </w:p>
    <w:p>
      <w:pPr>
        <w:ind w:right="100" w:firstLine="749"/>
        <w:spacing w:after="0" w:line="237" w:lineRule="auto"/>
        <w:rPr>
          <w:sz w:val="20"/>
          <w:szCs w:val="20"/>
          <w:color w:val="auto"/>
        </w:rPr>
      </w:pPr>
      <w:r>
        <w:rPr>
          <w:rFonts w:ascii="Arial" w:cs="Arial" w:eastAsia="Arial" w:hAnsi="Arial"/>
          <w:sz w:val="18"/>
          <w:szCs w:val="18"/>
          <w:color w:val="auto"/>
        </w:rPr>
        <w:t>The Company is required to determine whether the fair value of the financial assets or the fair value of the financial liabilities of the eligible CFEs are more observable, but in either case, the methodology results in the fair value of the financial assets of the securitization trust being equal to the fair value of their liabilities The Company determined that the fair value of the liabilities of the securitization CFEs are more observable, since market prices of their liabilities are based on non-binding quoted prices provided by broker dealers who make markets in similar financial instruments. The assets of the securitization CFEs are not readily marketable, and their fair value measurement requires information that may be limited in availability.</w:t>
      </w:r>
    </w:p>
    <w:p>
      <w:pPr>
        <w:spacing w:after="0" w:line="189"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In determining the fair value of the securitization debt of consolidated CFEs,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an internal model is utilized using unobservable inputs or if the Company has multiple quotes that are not within determined range, it classified the securitization debt as Level 3 of the fair value hierarchy.</w:t>
      </w:r>
    </w:p>
    <w:p>
      <w:pPr>
        <w:spacing w:after="0" w:line="192" w:lineRule="exact"/>
        <w:rPr>
          <w:sz w:val="20"/>
          <w:szCs w:val="20"/>
          <w:color w:val="auto"/>
        </w:rPr>
      </w:pPr>
    </w:p>
    <w:p>
      <w:pPr>
        <w:ind w:right="680" w:firstLine="749"/>
        <w:spacing w:after="0" w:line="277" w:lineRule="auto"/>
        <w:rPr>
          <w:sz w:val="20"/>
          <w:szCs w:val="20"/>
          <w:color w:val="auto"/>
        </w:rPr>
      </w:pPr>
      <w:r>
        <w:rPr>
          <w:rFonts w:ascii="Arial" w:cs="Arial" w:eastAsia="Arial" w:hAnsi="Arial"/>
          <w:sz w:val="18"/>
          <w:szCs w:val="18"/>
          <w:color w:val="auto"/>
        </w:rPr>
        <w:t>The financial assets of the consolidated CFEs are an aggregate value derived from the fair value of the CFEs liabilities. The Company determined that CFEs finance receivables in their entirety should be classified as Level 3 of the fair value hierarchy.</w:t>
      </w:r>
    </w:p>
    <w:p>
      <w:pPr>
        <w:spacing w:after="0" w:line="151" w:lineRule="exact"/>
        <w:rPr>
          <w:sz w:val="20"/>
          <w:szCs w:val="20"/>
          <w:color w:val="auto"/>
        </w:rPr>
      </w:pPr>
    </w:p>
    <w:p>
      <w:pPr>
        <w:ind w:right="120" w:firstLine="749"/>
        <w:spacing w:after="0" w:line="245" w:lineRule="auto"/>
        <w:rPr>
          <w:sz w:val="20"/>
          <w:szCs w:val="20"/>
          <w:color w:val="auto"/>
        </w:rPr>
      </w:pPr>
      <w:r>
        <w:rPr>
          <w:rFonts w:ascii="Arial" w:cs="Arial" w:eastAsia="Arial" w:hAnsi="Arial"/>
          <w:sz w:val="18"/>
          <w:szCs w:val="18"/>
          <w:i w:val="1"/>
          <w:iCs w:val="1"/>
          <w:color w:val="auto"/>
        </w:rPr>
        <w:t xml:space="preserve">Finance receivables at fair value: </w:t>
      </w:r>
      <w:r>
        <w:rPr>
          <w:rFonts w:ascii="Arial" w:cs="Arial" w:eastAsia="Arial" w:hAnsi="Arial"/>
          <w:sz w:val="18"/>
          <w:szCs w:val="18"/>
          <w:color w:val="auto"/>
        </w:rPr>
        <w:t>In connection with the UACC Acquisition as described in Note 5 – Acquisitions,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certain finance receivables for which it elected the fair value option in accordance with ASC 825. These receivables primarily relate to finance receivables that are not eligible to be sold in the immediate future due to various factors such as: delinquencies, bankruptcy, etc. The Company estimates the fair value of these receivables using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a discounted cash flow model and incorporates key inputs that include performance rate, default rate, recovery rate, and weighted average coupon rates, as well as certain macroeconomics events the Company believes market participants would consider relevant.</w:t>
      </w:r>
    </w:p>
    <w:p>
      <w:pPr>
        <w:spacing w:after="0" w:line="166" w:lineRule="exact"/>
        <w:rPr>
          <w:sz w:val="20"/>
          <w:szCs w:val="20"/>
          <w:color w:val="auto"/>
        </w:rPr>
      </w:pPr>
    </w:p>
    <w:p>
      <w:pPr>
        <w:ind w:right="160" w:firstLine="749"/>
        <w:spacing w:after="0" w:line="272" w:lineRule="auto"/>
        <w:rPr>
          <w:sz w:val="20"/>
          <w:szCs w:val="20"/>
          <w:color w:val="auto"/>
        </w:rPr>
      </w:pPr>
      <w:r>
        <w:rPr>
          <w:rFonts w:ascii="Arial" w:cs="Arial" w:eastAsia="Arial" w:hAnsi="Arial"/>
          <w:sz w:val="17"/>
          <w:szCs w:val="17"/>
          <w:i w:val="1"/>
          <w:iCs w:val="1"/>
          <w:color w:val="auto"/>
        </w:rPr>
        <w:t xml:space="preserve">Beneficial interests in securitization: </w:t>
      </w:r>
      <w:r>
        <w:rPr>
          <w:rFonts w:ascii="Arial" w:cs="Arial" w:eastAsia="Arial" w:hAnsi="Arial"/>
          <w:sz w:val="17"/>
          <w:szCs w:val="17"/>
          <w:color w:val="auto"/>
        </w:rPr>
        <w:t>Beneficial interests in securitization relate to the United Auto Credit 2022-1 securitization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completed in February 2022 and the 2022-2 securitization completed in July 2022 and include rated notes as well as certificates. Refer to Note 4 – Variable Interest Entities and Securitizations. The Company elected the fair value option on its beneficial interests in securitization.</w:t>
      </w:r>
    </w:p>
    <w:p>
      <w:pPr>
        <w:spacing w:after="0" w:line="162" w:lineRule="exact"/>
        <w:rPr>
          <w:sz w:val="20"/>
          <w:szCs w:val="20"/>
          <w:color w:val="auto"/>
        </w:rPr>
      </w:pPr>
    </w:p>
    <w:p>
      <w:pPr>
        <w:ind w:right="40" w:firstLine="749"/>
        <w:spacing w:after="0" w:line="235" w:lineRule="auto"/>
        <w:rPr>
          <w:sz w:val="20"/>
          <w:szCs w:val="20"/>
          <w:color w:val="auto"/>
        </w:rPr>
      </w:pPr>
      <w:r>
        <w:rPr>
          <w:rFonts w:ascii="Arial" w:cs="Arial" w:eastAsia="Arial" w:hAnsi="Arial"/>
          <w:sz w:val="18"/>
          <w:szCs w:val="18"/>
          <w:color w:val="auto"/>
        </w:rPr>
        <w:t>Beneficial interests may initially be classified as Level 2 if the transactions occur within close proximity to the end of each respective reporting period. Subsequently, similar to the securitization debt described above, fair value is determined by requesting a non-binding quote from broker dealers, or by utilizing market acceptable valuation models, such as discounted cash flows. Broker dealer quotes may be based on an income approach, which converts expected future cash flows to a single present value amount, with specific consideration of inputs relevant to particular security types. Such inputs may include ratings, collateral types, geographic concentrations, underlying loan vintages, delinquencies and defaults, loss severity assumptions, prepayments, and weighted average coupons and maturities. When the volume or level of market activity for a security is limited, certain inputs used to determine fair value may not be observable in the market. Broker dealer quotes may also be based on a market approach that considers recent transactions involving identical or similar securities.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the Company utilizes an internally developed model using unobservable inputs. If internally developed models are utilized or if the Company has multiple quotes that are not within a consensus range of each other, the Company deems these securities to be classified as Level 3 of the fair value hierarchy.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a reconciliation of the financial assets, which were measured at fair value on a recurring basis using</w:t>
      </w:r>
    </w:p>
    <w:p>
      <w:pPr>
        <w:spacing w:after="0"/>
        <w:rPr>
          <w:sz w:val="20"/>
          <w:szCs w:val="20"/>
          <w:color w:val="auto"/>
        </w:rPr>
      </w:pPr>
      <w:r>
        <w:rPr>
          <w:rFonts w:ascii="Arial" w:cs="Arial" w:eastAsia="Arial" w:hAnsi="Arial"/>
          <w:sz w:val="18"/>
          <w:szCs w:val="18"/>
          <w:color w:val="auto"/>
        </w:rPr>
        <w:t>Level 3 inputs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0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Finance Receivables of</w:t>
            </w:r>
          </w:p>
        </w:tc>
        <w:tc>
          <w:tcPr>
            <w:tcW w:w="2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Finance Receivables at</w:t>
            </w:r>
          </w:p>
        </w:tc>
        <w:tc>
          <w:tcPr>
            <w:tcW w:w="140" w:type="dxa"/>
            <w:vAlign w:val="bottom"/>
          </w:tcPr>
          <w:p>
            <w:pPr>
              <w:spacing w:after="0"/>
              <w:rPr>
                <w:sz w:val="14"/>
                <w:szCs w:val="14"/>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Securitization Debt of</w:t>
            </w:r>
          </w:p>
        </w:tc>
      </w:tr>
      <w:tr>
        <w:trPr>
          <w:trHeight w:val="189"/>
        </w:trPr>
        <w:tc>
          <w:tcPr>
            <w:tcW w:w="5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Consolidated CFEs</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Consolidated CFEs</w:t>
            </w:r>
          </w:p>
        </w:tc>
        <w:tc>
          <w:tcPr>
            <w:tcW w:w="100" w:type="dxa"/>
            <w:vAlign w:val="bottom"/>
          </w:tcPr>
          <w:p>
            <w:pPr>
              <w:spacing w:after="0"/>
              <w:rPr>
                <w:sz w:val="16"/>
                <w:szCs w:val="16"/>
                <w:color w:val="auto"/>
              </w:rPr>
            </w:pPr>
          </w:p>
        </w:tc>
      </w:tr>
      <w:tr>
        <w:trPr>
          <w:trHeight w:val="22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as of January 1, 2022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Acquired in business combination</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262,644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34,283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275,394</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Transfer out of Level 3</w:t>
            </w: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(275,394 )</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Transfer within Level 3 categories</w:t>
            </w: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(51,330 )</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51,330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Losses included in other income</w:t>
            </w: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(29,825 )</w:t>
            </w:r>
          </w:p>
        </w:tc>
        <w:tc>
          <w:tcPr>
            <w:tcW w:w="3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(14,388 )</w:t>
            </w: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Issuances, net of discount</w:t>
            </w:r>
          </w:p>
        </w:tc>
        <w:tc>
          <w:tcPr>
            <w:tcW w:w="180" w:type="dxa"/>
            <w:vAlign w:val="bottom"/>
          </w:tcPr>
          <w:p>
            <w:pPr>
              <w:spacing w:after="0"/>
              <w:rPr>
                <w:sz w:val="19"/>
                <w:szCs w:val="19"/>
                <w:color w:val="auto"/>
              </w:rPr>
            </w:pPr>
          </w:p>
        </w:tc>
        <w:tc>
          <w:tcPr>
            <w:tcW w:w="1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56,484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(24,312 )</w:t>
            </w:r>
          </w:p>
        </w:tc>
        <w:tc>
          <w:tcPr>
            <w:tcW w:w="3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(14,114 )</w:t>
            </w: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Paydowns</w:t>
            </w: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(90,410 )</w:t>
            </w:r>
          </w:p>
        </w:tc>
        <w:tc>
          <w:tcPr>
            <w:tcW w:w="3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(41,980 )</w:t>
            </w:r>
          </w:p>
        </w:tc>
        <w:tc>
          <w:tcPr>
            <w:tcW w:w="14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11,137</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3,655</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Fair value as of December 31, 2022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77,904</w:t>
            </w:r>
          </w:p>
        </w:tc>
        <w:tc>
          <w:tcPr>
            <w:tcW w:w="260" w:type="dxa"/>
            <w:vAlign w:val="bottom"/>
          </w:tcPr>
          <w:p>
            <w:pPr>
              <w:spacing w:after="0"/>
              <w:rPr>
                <w:sz w:val="19"/>
                <w:szCs w:val="19"/>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75,270</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-179070</wp:posOffset>
            </wp:positionV>
            <wp:extent cx="68580" cy="1797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-179070</wp:posOffset>
            </wp:positionV>
            <wp:extent cx="68580" cy="1797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out of Level 3</w:t>
      </w:r>
    </w:p>
    <w:p>
      <w:pPr>
        <w:spacing w:after="0" w:line="220" w:lineRule="exact"/>
        <w:rPr>
          <w:sz w:val="20"/>
          <w:szCs w:val="20"/>
          <w:color w:val="auto"/>
        </w:rPr>
      </w:pPr>
    </w:p>
    <w:p>
      <w:pPr>
        <w:jc w:val="both"/>
        <w:ind w:right="40" w:firstLine="764"/>
        <w:spacing w:after="0"/>
        <w:rPr>
          <w:sz w:val="20"/>
          <w:szCs w:val="20"/>
          <w:color w:val="auto"/>
        </w:rPr>
      </w:pPr>
      <w:r>
        <w:rPr>
          <w:rFonts w:ascii="Arial" w:cs="Arial" w:eastAsia="Arial" w:hAnsi="Arial"/>
          <w:sz w:val="18"/>
          <w:szCs w:val="18"/>
          <w:color w:val="auto"/>
        </w:rPr>
        <w:t>The Company's transfers between levels of the fair value hierarchy are assumed to have occurred at the beginning of the reporting period on a quarterly basis, except for assets and liabilities acquired during the period as described below. There were no transfers into Level 3 during the year ended December 31, 2022.</w:t>
      </w:r>
    </w:p>
    <w:p>
      <w:pPr>
        <w:spacing w:after="0" w:line="188" w:lineRule="exact"/>
        <w:rPr>
          <w:sz w:val="20"/>
          <w:szCs w:val="20"/>
          <w:color w:val="auto"/>
        </w:rPr>
      </w:pPr>
    </w:p>
    <w:p>
      <w:pPr>
        <w:ind w:right="60" w:firstLine="764"/>
        <w:spacing w:after="0" w:line="237" w:lineRule="auto"/>
        <w:rPr>
          <w:sz w:val="20"/>
          <w:szCs w:val="20"/>
          <w:color w:val="auto"/>
        </w:rPr>
      </w:pPr>
      <w:r>
        <w:rPr>
          <w:rFonts w:ascii="Arial" w:cs="Arial" w:eastAsia="Arial" w:hAnsi="Arial"/>
          <w:sz w:val="18"/>
          <w:szCs w:val="18"/>
          <w:color w:val="auto"/>
        </w:rPr>
        <w:t>During the year ended December 31, 2022, transfers out of Level 3 liabilities related to securitization debt of consolidated CFEs. The transfer out of Level 3 was the result of achieving consensus pricing from third -party broker dealers who utilize market observable inputs to price the liabilities. Upon acquisition, the Company utilized unobservable pricing information and an internal discounted cash flows model to value the CFEs liabilities. The Company obtained consensus broker dealers quotes as of December 31, 2022. For the CFEs liabilities acquired during the period, the transfer was presumed to occur immediately after the Acquisition Date.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840" w:firstLine="764"/>
        <w:spacing w:after="0" w:line="469" w:lineRule="auto"/>
        <w:rPr>
          <w:sz w:val="20"/>
          <w:szCs w:val="20"/>
          <w:color w:val="auto"/>
        </w:rPr>
      </w:pPr>
      <w:r>
        <w:rPr>
          <w:rFonts w:ascii="Arial" w:cs="Arial" w:eastAsia="Arial" w:hAnsi="Arial"/>
          <w:sz w:val="18"/>
          <w:szCs w:val="18"/>
          <w:color w:val="auto"/>
        </w:rPr>
        <w:t xml:space="preserve">As of December 31, 2021, there were no financial assets or liabilities measured using Level 3 inputs on a recurring basis. </w:t>
      </w:r>
      <w:r>
        <w:rPr>
          <w:rFonts w:ascii="Arial" w:cs="Arial" w:eastAsia="Arial" w:hAnsi="Arial"/>
          <w:sz w:val="18"/>
          <w:szCs w:val="18"/>
          <w:b w:val="1"/>
          <w:bCs w:val="1"/>
          <w:i w:val="1"/>
          <w:iCs w:val="1"/>
          <w:color w:val="auto"/>
        </w:rPr>
        <w:t>Other Relevant Data for Financial Assets and Liabilities for which FVO Was Elected</w:t>
      </w:r>
    </w:p>
    <w:p>
      <w:pPr>
        <w:ind w:right="80" w:firstLine="749"/>
        <w:spacing w:after="0" w:line="245" w:lineRule="auto"/>
        <w:rPr>
          <w:sz w:val="20"/>
          <w:szCs w:val="20"/>
          <w:color w:val="auto"/>
        </w:rPr>
      </w:pPr>
      <w:r>
        <w:rPr>
          <w:rFonts w:ascii="Arial" w:cs="Arial" w:eastAsia="Arial" w:hAnsi="Arial"/>
          <w:sz w:val="18"/>
          <w:szCs w:val="18"/>
          <w:color w:val="auto"/>
        </w:rPr>
        <w:t>The following table presents the gains or losses recorded in "Other loss (income), net" in the consolidated statements of operations related to the eligible financial instruments for which the fair value option was elected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Year Ended</w:t>
            </w:r>
          </w:p>
        </w:tc>
      </w:tr>
      <w:tr>
        <w:trPr>
          <w:trHeight w:val="189"/>
        </w:trPr>
        <w:tc>
          <w:tcPr>
            <w:tcW w:w="8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December 31, 2022</w:t>
            </w:r>
          </w:p>
        </w:tc>
      </w:tr>
      <w:tr>
        <w:trPr>
          <w:trHeight w:val="223"/>
        </w:trPr>
        <w:tc>
          <w:tcPr>
            <w:tcW w:w="8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w:t>
            </w:r>
          </w:p>
        </w:tc>
        <w:tc>
          <w:tcPr>
            <w:tcW w:w="360" w:type="dxa"/>
            <w:vAlign w:val="bottom"/>
            <w:tcBorders>
              <w:top w:val="single" w:sz="8" w:color="auto"/>
            </w:tcBorders>
            <w:shd w:val="clear" w:color="auto" w:fill="CFF0FC"/>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660" w:type="dxa"/>
            <w:vAlign w:val="bottom"/>
          </w:tcPr>
          <w:p>
            <w:pPr>
              <w:ind w:left="280"/>
              <w:spacing w:after="0"/>
              <w:rPr>
                <w:sz w:val="20"/>
                <w:szCs w:val="20"/>
                <w:color w:val="auto"/>
              </w:rPr>
            </w:pPr>
            <w:r>
              <w:rPr>
                <w:rFonts w:ascii="Arial" w:cs="Arial" w:eastAsia="Arial" w:hAnsi="Arial"/>
                <w:sz w:val="18"/>
                <w:szCs w:val="18"/>
                <w:color w:val="auto"/>
              </w:rPr>
              <w:t>Finance receivables of CFEs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24,231</w:t>
            </w:r>
          </w:p>
        </w:tc>
        <w:tc>
          <w:tcPr>
            <w:tcW w:w="100" w:type="dxa"/>
            <w:vAlign w:val="bottom"/>
          </w:tcPr>
          <w:p>
            <w:pPr>
              <w:spacing w:after="0"/>
              <w:rPr>
                <w:sz w:val="19"/>
                <w:szCs w:val="19"/>
                <w:color w:val="auto"/>
              </w:rPr>
            </w:pPr>
          </w:p>
        </w:tc>
      </w:tr>
      <w:tr>
        <w:trPr>
          <w:trHeight w:val="229"/>
        </w:trPr>
        <w:tc>
          <w:tcPr>
            <w:tcW w:w="8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receivables at fair value</w:t>
            </w:r>
          </w:p>
        </w:tc>
        <w:tc>
          <w:tcPr>
            <w:tcW w:w="36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100" w:type="dxa"/>
            <w:vAlign w:val="bottom"/>
            <w:shd w:val="clear" w:color="auto" w:fill="CFF0FC"/>
          </w:tcPr>
          <w:p>
            <w:pPr>
              <w:spacing w:after="0"/>
              <w:rPr>
                <w:sz w:val="19"/>
                <w:szCs w:val="19"/>
                <w:color w:val="auto"/>
              </w:rPr>
            </w:pPr>
          </w:p>
        </w:tc>
      </w:tr>
      <w:tr>
        <w:trPr>
          <w:trHeight w:val="229"/>
        </w:trPr>
        <w:tc>
          <w:tcPr>
            <w:tcW w:w="8660" w:type="dxa"/>
            <w:vAlign w:val="bottom"/>
          </w:tcPr>
          <w:p>
            <w:pPr>
              <w:ind w:left="280"/>
              <w:spacing w:after="0"/>
              <w:rPr>
                <w:sz w:val="20"/>
                <w:szCs w:val="20"/>
                <w:color w:val="auto"/>
              </w:rPr>
            </w:pPr>
            <w:r>
              <w:rPr>
                <w:rFonts w:ascii="Arial" w:cs="Arial" w:eastAsia="Arial" w:hAnsi="Arial"/>
                <w:sz w:val="18"/>
                <w:szCs w:val="18"/>
                <w:color w:val="auto"/>
              </w:rPr>
              <w:t>Beneficial interests in securitizations</w:t>
            </w: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9"/>
                <w:szCs w:val="19"/>
                <w:color w:val="auto"/>
              </w:rPr>
            </w:pPr>
          </w:p>
        </w:tc>
      </w:tr>
      <w:tr>
        <w:trPr>
          <w:trHeight w:val="229"/>
        </w:trPr>
        <w:tc>
          <w:tcPr>
            <w:tcW w:w="8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Liabilities</w:t>
            </w:r>
          </w:p>
        </w:tc>
        <w:tc>
          <w:tcPr>
            <w:tcW w:w="36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660" w:type="dxa"/>
            <w:vAlign w:val="bottom"/>
          </w:tcPr>
          <w:p>
            <w:pPr>
              <w:ind w:left="20"/>
              <w:spacing w:after="0"/>
              <w:rPr>
                <w:sz w:val="20"/>
                <w:szCs w:val="20"/>
                <w:color w:val="auto"/>
              </w:rPr>
            </w:pPr>
            <w:r>
              <w:rPr>
                <w:rFonts w:ascii="Arial" w:cs="Arial" w:eastAsia="Arial" w:hAnsi="Arial"/>
                <w:sz w:val="18"/>
                <w:szCs w:val="18"/>
                <w:color w:val="auto"/>
              </w:rPr>
              <w:t>Debt of securitized VIEs</w:t>
            </w:r>
          </w:p>
        </w:tc>
        <w:tc>
          <w:tcPr>
            <w:tcW w:w="360" w:type="dxa"/>
            <w:vAlign w:val="bottom"/>
          </w:tcPr>
          <w:p>
            <w:pPr>
              <w:spacing w:after="0"/>
              <w:rPr>
                <w:sz w:val="19"/>
                <w:szCs w:val="19"/>
                <w:color w:val="auto"/>
              </w:rPr>
            </w:pPr>
          </w:p>
        </w:tc>
        <w:tc>
          <w:tcPr>
            <w:tcW w:w="2220" w:type="dxa"/>
            <w:vAlign w:val="bottom"/>
            <w:gridSpan w:val="2"/>
          </w:tcPr>
          <w:p>
            <w:pPr>
              <w:jc w:val="right"/>
              <w:ind w:right="40"/>
              <w:spacing w:after="0"/>
              <w:rPr>
                <w:sz w:val="20"/>
                <w:szCs w:val="20"/>
                <w:color w:val="auto"/>
              </w:rPr>
            </w:pPr>
            <w:r>
              <w:rPr>
                <w:rFonts w:ascii="Arial" w:cs="Arial" w:eastAsia="Arial" w:hAnsi="Arial"/>
                <w:sz w:val="18"/>
                <w:szCs w:val="18"/>
                <w:color w:val="auto"/>
              </w:rPr>
              <w:t>(2,727 )</w:t>
            </w:r>
          </w:p>
        </w:tc>
      </w:tr>
      <w:tr>
        <w:trPr>
          <w:trHeight w:val="263"/>
        </w:trPr>
        <w:tc>
          <w:tcPr>
            <w:tcW w:w="8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loss included in other income</w:t>
            </w: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34,277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other relevant data related to the finance receivables carried at fair value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Finance Receivables of CFEs</w:t>
            </w:r>
          </w:p>
        </w:tc>
        <w:tc>
          <w:tcPr>
            <w:tcW w:w="240" w:type="dxa"/>
            <w:vAlign w:val="bottom"/>
          </w:tcPr>
          <w:p>
            <w:pPr>
              <w:spacing w:after="0"/>
              <w:rPr>
                <w:sz w:val="14"/>
                <w:szCs w:val="14"/>
                <w:color w:val="auto"/>
              </w:rPr>
            </w:pP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Finance Receivables at Fair</w:t>
            </w:r>
          </w:p>
        </w:tc>
        <w:tc>
          <w:tcPr>
            <w:tcW w:w="100" w:type="dxa"/>
            <w:vAlign w:val="bottom"/>
          </w:tcPr>
          <w:p>
            <w:pPr>
              <w:spacing w:after="0"/>
              <w:rPr>
                <w:sz w:val="14"/>
                <w:szCs w:val="14"/>
                <w:color w:val="auto"/>
              </w:rPr>
            </w:pPr>
          </w:p>
        </w:tc>
      </w:tr>
      <w:tr>
        <w:trPr>
          <w:trHeight w:val="189"/>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at Fair Value</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208"/>
        </w:trPr>
        <w:tc>
          <w:tcPr>
            <w:tcW w:w="6760" w:type="dxa"/>
            <w:vAlign w:val="bottom"/>
            <w:shd w:val="clear" w:color="auto" w:fill="CFF0FC"/>
          </w:tcPr>
          <w:p>
            <w:pPr>
              <w:ind w:left="60"/>
              <w:spacing w:after="0"/>
              <w:rPr>
                <w:sz w:val="20"/>
                <w:szCs w:val="20"/>
                <w:color w:val="auto"/>
              </w:rPr>
            </w:pPr>
            <w:r>
              <w:rPr>
                <w:rFonts w:ascii="Arial" w:cs="Arial" w:eastAsia="Arial" w:hAnsi="Arial"/>
                <w:sz w:val="18"/>
                <w:szCs w:val="18"/>
                <w:color w:val="auto"/>
              </w:rPr>
              <w:t>Aggregate unpaid principal balance included within finance receivables that are</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reported at fair value</w:t>
            </w:r>
          </w:p>
        </w:tc>
        <w:tc>
          <w:tcPr>
            <w:tcW w:w="5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84,477</w:t>
            </w:r>
          </w:p>
        </w:tc>
        <w:tc>
          <w:tcPr>
            <w:tcW w:w="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89,068</w:t>
            </w:r>
          </w:p>
        </w:tc>
        <w:tc>
          <w:tcPr>
            <w:tcW w:w="100" w:type="dxa"/>
            <w:vAlign w:val="bottom"/>
            <w:shd w:val="clear" w:color="auto" w:fill="CFF0FC"/>
          </w:tcPr>
          <w:p>
            <w:pPr>
              <w:spacing w:after="0"/>
              <w:rPr>
                <w:sz w:val="18"/>
                <w:szCs w:val="18"/>
                <w:color w:val="auto"/>
              </w:rPr>
            </w:pPr>
          </w:p>
        </w:tc>
      </w:tr>
      <w:tr>
        <w:trPr>
          <w:trHeight w:val="229"/>
        </w:trPr>
        <w:tc>
          <w:tcPr>
            <w:tcW w:w="6760" w:type="dxa"/>
            <w:vAlign w:val="bottom"/>
          </w:tcPr>
          <w:p>
            <w:pPr>
              <w:ind w:left="60"/>
              <w:spacing w:after="0"/>
              <w:rPr>
                <w:sz w:val="20"/>
                <w:szCs w:val="20"/>
                <w:color w:val="auto"/>
              </w:rPr>
            </w:pPr>
            <w:r>
              <w:rPr>
                <w:rFonts w:ascii="Arial" w:cs="Arial" w:eastAsia="Arial" w:hAnsi="Arial"/>
                <w:sz w:val="18"/>
                <w:szCs w:val="18"/>
                <w:color w:val="auto"/>
              </w:rPr>
              <w:t>Aggregate fair value of finance receivables that are reported at fair value</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77,904</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75,270</w:t>
            </w:r>
          </w:p>
        </w:tc>
        <w:tc>
          <w:tcPr>
            <w:tcW w:w="100" w:type="dxa"/>
            <w:vAlign w:val="bottom"/>
          </w:tcPr>
          <w:p>
            <w:pPr>
              <w:spacing w:after="0"/>
              <w:rPr>
                <w:sz w:val="19"/>
                <w:szCs w:val="19"/>
                <w:color w:val="auto"/>
              </w:rPr>
            </w:pPr>
          </w:p>
        </w:tc>
      </w:tr>
      <w:tr>
        <w:trPr>
          <w:trHeight w:val="215"/>
        </w:trPr>
        <w:tc>
          <w:tcPr>
            <w:tcW w:w="6760" w:type="dxa"/>
            <w:vAlign w:val="bottom"/>
            <w:shd w:val="clear" w:color="auto" w:fill="CFF0FC"/>
          </w:tcPr>
          <w:p>
            <w:pPr>
              <w:ind w:left="80"/>
              <w:spacing w:after="0"/>
              <w:rPr>
                <w:sz w:val="20"/>
                <w:szCs w:val="20"/>
                <w:color w:val="auto"/>
              </w:rPr>
            </w:pPr>
            <w:r>
              <w:rPr>
                <w:rFonts w:ascii="Arial" w:cs="Arial" w:eastAsia="Arial" w:hAnsi="Arial"/>
                <w:sz w:val="18"/>
                <w:szCs w:val="18"/>
                <w:color w:val="auto"/>
              </w:rPr>
              <w:t>Unpaid principal balance of receivables within finance receivables that are reported</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at fair value and are on nonaccrual status (90 days or more past due)</w:t>
            </w:r>
          </w:p>
        </w:tc>
        <w:tc>
          <w:tcPr>
            <w:tcW w:w="5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FF0FC"/>
          </w:tcPr>
          <w:p>
            <w:pPr>
              <w:spacing w:after="0"/>
              <w:rPr>
                <w:sz w:val="18"/>
                <w:szCs w:val="18"/>
                <w:color w:val="auto"/>
              </w:rPr>
            </w:pPr>
          </w:p>
        </w:tc>
      </w:tr>
      <w:tr>
        <w:trPr>
          <w:trHeight w:val="215"/>
        </w:trPr>
        <w:tc>
          <w:tcPr>
            <w:tcW w:w="6760" w:type="dxa"/>
            <w:vAlign w:val="bottom"/>
          </w:tcPr>
          <w:p>
            <w:pPr>
              <w:ind w:left="60"/>
              <w:spacing w:after="0"/>
              <w:rPr>
                <w:sz w:val="20"/>
                <w:szCs w:val="20"/>
                <w:color w:val="auto"/>
              </w:rPr>
            </w:pPr>
            <w:r>
              <w:rPr>
                <w:rFonts w:ascii="Arial" w:cs="Arial" w:eastAsia="Arial" w:hAnsi="Arial"/>
                <w:sz w:val="18"/>
                <w:szCs w:val="18"/>
                <w:color w:val="auto"/>
              </w:rPr>
              <w:t>Aggregate fair value of receivables carried at fair value that are on nonaccrual</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8"/>
                <w:szCs w:val="18"/>
                <w:color w:val="auto"/>
              </w:rPr>
              <w:t>status (90 days or more past due)</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985</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8"/>
                <w:szCs w:val="18"/>
                <w:color w:val="auto"/>
              </w:rPr>
            </w:pPr>
          </w:p>
        </w:tc>
      </w:tr>
    </w:tbl>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finance receivables of CFEs are pledged to the CFEs trusts.</w:t>
      </w:r>
    </w:p>
    <w:p>
      <w:pPr>
        <w:spacing w:after="0" w:line="198" w:lineRule="exact"/>
        <w:rPr>
          <w:sz w:val="20"/>
          <w:szCs w:val="20"/>
          <w:color w:val="auto"/>
        </w:rPr>
      </w:pPr>
    </w:p>
    <w:p>
      <w:pPr>
        <w:ind w:right="880" w:firstLine="749"/>
        <w:spacing w:after="0" w:line="245" w:lineRule="auto"/>
        <w:rPr>
          <w:sz w:val="20"/>
          <w:szCs w:val="20"/>
          <w:color w:val="auto"/>
        </w:rPr>
      </w:pPr>
      <w:r>
        <w:rPr>
          <w:rFonts w:ascii="Arial" w:cs="Arial" w:eastAsia="Arial" w:hAnsi="Arial"/>
          <w:sz w:val="18"/>
          <w:szCs w:val="18"/>
          <w:color w:val="auto"/>
        </w:rPr>
        <w:t>The following table presents other relevant data related to securitization debt of consolidated VIEs carried at fair value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Securitization debt of consolidated</w:t>
            </w:r>
          </w:p>
        </w:tc>
        <w:tc>
          <w:tcPr>
            <w:tcW w:w="100" w:type="dxa"/>
            <w:vAlign w:val="bottom"/>
          </w:tcPr>
          <w:p>
            <w:pPr>
              <w:spacing w:after="0"/>
              <w:rPr>
                <w:sz w:val="14"/>
                <w:szCs w:val="14"/>
                <w:color w:val="auto"/>
              </w:rPr>
            </w:pPr>
          </w:p>
        </w:tc>
      </w:tr>
      <w:tr>
        <w:trPr>
          <w:trHeight w:val="18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32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VIEs at Fair Value</w:t>
            </w:r>
          </w:p>
        </w:tc>
        <w:tc>
          <w:tcPr>
            <w:tcW w:w="100" w:type="dxa"/>
            <w:vAlign w:val="bottom"/>
          </w:tcPr>
          <w:p>
            <w:pPr>
              <w:spacing w:after="0"/>
              <w:rPr>
                <w:sz w:val="16"/>
                <w:szCs w:val="16"/>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unpaid principal balance of debt of securitized VIEs</w:t>
            </w:r>
          </w:p>
        </w:tc>
        <w:tc>
          <w:tcPr>
            <w:tcW w:w="37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82,556</w:t>
            </w:r>
          </w:p>
        </w:tc>
        <w:tc>
          <w:tcPr>
            <w:tcW w:w="100" w:type="dxa"/>
            <w:vAlign w:val="bottom"/>
            <w:shd w:val="clear" w:color="auto" w:fill="CCEEFF"/>
          </w:tcPr>
          <w:p>
            <w:pPr>
              <w:spacing w:after="0"/>
              <w:rPr>
                <w:sz w:val="19"/>
                <w:szCs w:val="19"/>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Aggregate fair value of debt of securitized VIEs</w:t>
            </w:r>
          </w:p>
        </w:tc>
        <w:tc>
          <w:tcPr>
            <w:tcW w:w="376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79,829</w:t>
            </w:r>
          </w:p>
        </w:tc>
        <w:tc>
          <w:tcPr>
            <w:tcW w:w="100" w:type="dxa"/>
            <w:vAlign w:val="bottom"/>
          </w:tcPr>
          <w:p>
            <w:pPr>
              <w:spacing w:after="0"/>
              <w:rPr>
                <w:sz w:val="19"/>
                <w:szCs w:val="19"/>
                <w:color w:val="auto"/>
              </w:rPr>
            </w:pPr>
          </w:p>
        </w:tc>
      </w:tr>
      <w:tr>
        <w:trPr>
          <w:trHeight w:val="634"/>
        </w:trPr>
        <w:tc>
          <w:tcPr>
            <w:tcW w:w="5220" w:type="dxa"/>
            <w:vAlign w:val="bottom"/>
          </w:tcPr>
          <w:p>
            <w:pPr>
              <w:spacing w:after="0"/>
              <w:rPr>
                <w:sz w:val="24"/>
                <w:szCs w:val="24"/>
                <w:color w:val="auto"/>
              </w:rPr>
            </w:pPr>
          </w:p>
        </w:tc>
        <w:tc>
          <w:tcPr>
            <w:tcW w:w="3200" w:type="dxa"/>
            <w:vAlign w:val="bottom"/>
          </w:tcPr>
          <w:p>
            <w:pPr>
              <w:jc w:val="right"/>
              <w:ind w:right="255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5220" w:type="dxa"/>
            <w:vAlign w:val="bottom"/>
            <w:tcBorders>
              <w:bottom w:val="single" w:sz="8" w:color="9A9A9A"/>
            </w:tcBorders>
          </w:tcPr>
          <w:p>
            <w:pPr>
              <w:spacing w:after="0"/>
              <w:rPr>
                <w:sz w:val="7"/>
                <w:szCs w:val="7"/>
                <w:color w:val="auto"/>
              </w:rPr>
            </w:pPr>
          </w:p>
        </w:tc>
        <w:tc>
          <w:tcPr>
            <w:tcW w:w="32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2021, there were no financial assets or liabilities for which the fair value option was elected.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Not Carried at Fair Value</w:t>
      </w:r>
    </w:p>
    <w:p>
      <w:pPr>
        <w:spacing w:after="0" w:line="220"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The carrying amounts of restricted cash, accounts receivable, accounts payable and accrued liabilities approximate fair value due to their short-term nature. The carrying value of the 2022 Vehicle Floorplan Facility and the Warehouse Credit Facilities was determined to approximate fair value due to its short-term duration and variable interest rate that approximates prevailing interest rates as of each reporting period.</w:t>
      </w:r>
    </w:p>
    <w:p>
      <w:pPr>
        <w:spacing w:after="0" w:line="172" w:lineRule="exact"/>
        <w:rPr>
          <w:sz w:val="20"/>
          <w:szCs w:val="20"/>
          <w:color w:val="auto"/>
        </w:rPr>
      </w:pPr>
    </w:p>
    <w:p>
      <w:pPr>
        <w:ind w:right="100" w:firstLine="749"/>
        <w:spacing w:after="0" w:line="264" w:lineRule="auto"/>
        <w:rPr>
          <w:sz w:val="20"/>
          <w:szCs w:val="20"/>
          <w:color w:val="auto"/>
        </w:rPr>
      </w:pPr>
      <w:r>
        <w:rPr>
          <w:rFonts w:ascii="Arial" w:cs="Arial" w:eastAsia="Arial" w:hAnsi="Arial"/>
          <w:sz w:val="17"/>
          <w:szCs w:val="17"/>
          <w:i w:val="1"/>
          <w:iCs w:val="1"/>
          <w:color w:val="auto"/>
        </w:rPr>
        <w:t xml:space="preserve">Finance receivables held for sale, net: </w:t>
      </w:r>
      <w:r>
        <w:rPr>
          <w:rFonts w:ascii="Arial" w:cs="Arial" w:eastAsia="Arial" w:hAnsi="Arial"/>
          <w:sz w:val="17"/>
          <w:szCs w:val="17"/>
          <w:color w:val="auto"/>
        </w:rPr>
        <w:t>For finance receivables eligible to be sold, the Company determines the fair value of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receivables utilizing sales prices based on estimated securitization transactions, adjusted for transformation costs, risk and a normal profit margin associated with securitization transactions. Such fair value measurement of finance receivables held for sale, net is considered Level 3 of the fair value hierarchy. The carrying value and fair value of the finance receivables held for sale, net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right"/>
              <w:ind w:right="97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182"/>
        </w:trPr>
        <w:tc>
          <w:tcPr>
            <w:tcW w:w="80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jc w:val="right"/>
              <w:ind w:right="12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8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Carrying value</w:t>
            </w:r>
          </w:p>
        </w:tc>
        <w:tc>
          <w:tcPr>
            <w:tcW w:w="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299,235</w:t>
            </w:r>
          </w:p>
        </w:tc>
        <w:tc>
          <w:tcPr>
            <w:tcW w:w="100" w:type="dxa"/>
            <w:vAlign w:val="bottom"/>
            <w:shd w:val="clear" w:color="auto" w:fill="CFF0FC"/>
          </w:tcPr>
          <w:p>
            <w:pPr>
              <w:spacing w:after="0"/>
              <w:rPr>
                <w:sz w:val="19"/>
                <w:szCs w:val="19"/>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299,925</w:t>
            </w:r>
          </w:p>
        </w:tc>
        <w:tc>
          <w:tcPr>
            <w:tcW w:w="100" w:type="dxa"/>
            <w:vAlign w:val="bottom"/>
          </w:tcPr>
          <w:p>
            <w:pPr>
              <w:spacing w:after="0"/>
              <w:rPr>
                <w:sz w:val="19"/>
                <w:szCs w:val="19"/>
                <w:color w:val="auto"/>
              </w:rPr>
            </w:pPr>
          </w:p>
        </w:tc>
      </w:tr>
    </w:tbl>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2021, the Company did not have any finance receivables held for sale.</w:t>
      </w:r>
    </w:p>
    <w:p>
      <w:pPr>
        <w:spacing w:after="0" w:line="180"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18"/>
          <w:szCs w:val="18"/>
          <w:i w:val="1"/>
          <w:iCs w:val="1"/>
          <w:color w:val="auto"/>
        </w:rPr>
        <w:t xml:space="preserve">Convertible Senior Notes: </w:t>
      </w:r>
      <w:r>
        <w:rPr>
          <w:rFonts w:ascii="Arial" w:cs="Arial" w:eastAsia="Arial" w:hAnsi="Arial"/>
          <w:sz w:val="18"/>
          <w:szCs w:val="18"/>
          <w:color w:val="auto"/>
        </w:rPr>
        <w:t>The fair value of the Notes, which are not carried at fair value on the accompanying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 was determined utilizing actual bids and offer prices of the Notes in markets that are not active and are classified within Level 2 of the fair value hierarchy.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23"/>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Carrying value</w:t>
            </w: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359,254</w:t>
            </w:r>
          </w:p>
        </w:tc>
        <w:tc>
          <w:tcPr>
            <w:tcW w:w="106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610,618</w:t>
            </w:r>
          </w:p>
        </w:tc>
        <w:tc>
          <w:tcPr>
            <w:tcW w:w="100" w:type="dxa"/>
            <w:vAlign w:val="bottom"/>
            <w:shd w:val="clear" w:color="auto" w:fill="CFF0FC"/>
          </w:tcPr>
          <w:p>
            <w:pPr>
              <w:spacing w:after="0"/>
              <w:rPr>
                <w:sz w:val="19"/>
                <w:szCs w:val="19"/>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128,026</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386,100</w:t>
            </w:r>
          </w:p>
        </w:tc>
        <w:tc>
          <w:tcPr>
            <w:tcW w:w="100" w:type="dxa"/>
            <w:vAlign w:val="bottom"/>
          </w:tcPr>
          <w:p>
            <w:pPr>
              <w:spacing w:after="0"/>
              <w:rPr>
                <w:sz w:val="19"/>
                <w:szCs w:val="19"/>
                <w:color w:val="auto"/>
              </w:rPr>
            </w:pPr>
          </w:p>
        </w:tc>
      </w:tr>
    </w:tbl>
    <w:p>
      <w:pPr>
        <w:spacing w:after="0" w:line="183" w:lineRule="exact"/>
        <w:rPr>
          <w:sz w:val="20"/>
          <w:szCs w:val="20"/>
          <w:color w:val="auto"/>
        </w:rPr>
      </w:pPr>
    </w:p>
    <w:p>
      <w:pPr>
        <w:ind w:right="140" w:firstLine="749"/>
        <w:spacing w:after="0" w:line="250" w:lineRule="auto"/>
        <w:rPr>
          <w:sz w:val="20"/>
          <w:szCs w:val="20"/>
          <w:color w:val="auto"/>
        </w:rPr>
      </w:pPr>
      <w:r>
        <w:rPr>
          <w:rFonts w:ascii="Arial" w:cs="Arial" w:eastAsia="Arial" w:hAnsi="Arial"/>
          <w:sz w:val="18"/>
          <w:szCs w:val="18"/>
          <w:i w:val="1"/>
          <w:iCs w:val="1"/>
          <w:color w:val="auto"/>
        </w:rPr>
        <w:t xml:space="preserve">Junior Subordinated Debentures: </w:t>
      </w:r>
      <w:r>
        <w:rPr>
          <w:rFonts w:ascii="Arial" w:cs="Arial" w:eastAsia="Arial" w:hAnsi="Arial"/>
          <w:sz w:val="18"/>
          <w:szCs w:val="18"/>
          <w:color w:val="auto"/>
        </w:rPr>
        <w:t>The fair value of the junior subordinated debentures, which are not carried at fair value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consolidated balance sheets, approximated their carrying value as of December 31, 2022 and are classified within Level 3 of the fair value hierarchy.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on a Nonrecurring Basis</w:t>
      </w:r>
    </w:p>
    <w:p>
      <w:pPr>
        <w:spacing w:after="0" w:line="220" w:lineRule="exact"/>
        <w:rPr>
          <w:sz w:val="20"/>
          <w:szCs w:val="20"/>
          <w:color w:val="auto"/>
        </w:rPr>
      </w:pPr>
    </w:p>
    <w:p>
      <w:pPr>
        <w:jc w:val="both"/>
        <w:ind w:right="140" w:firstLine="749"/>
        <w:spacing w:after="0"/>
        <w:rPr>
          <w:sz w:val="20"/>
          <w:szCs w:val="20"/>
          <w:color w:val="auto"/>
        </w:rPr>
      </w:pPr>
      <w:r>
        <w:rPr>
          <w:rFonts w:ascii="Arial" w:cs="Arial" w:eastAsia="Arial" w:hAnsi="Arial"/>
          <w:sz w:val="18"/>
          <w:szCs w:val="18"/>
          <w:color w:val="auto"/>
        </w:rPr>
        <w:t>Assets and liabilities acquired as part of a business combination and goodwill attributable to each of the Company's reporting units are recorded at fair value on a nonrecurring basis. Refer to Note 5 – Acquisitions and Note 8 – Goodwill and Intangible Assets for additional information.</w:t>
      </w:r>
    </w:p>
    <w:p>
      <w:pPr>
        <w:spacing w:after="0" w:line="188" w:lineRule="exact"/>
        <w:rPr>
          <w:sz w:val="20"/>
          <w:szCs w:val="20"/>
          <w:color w:val="auto"/>
        </w:rPr>
      </w:pPr>
    </w:p>
    <w:p>
      <w:pPr>
        <w:ind w:right="140" w:firstLine="749"/>
        <w:spacing w:after="0" w:line="237" w:lineRule="auto"/>
        <w:rPr>
          <w:sz w:val="20"/>
          <w:szCs w:val="20"/>
          <w:color w:val="auto"/>
        </w:rPr>
      </w:pPr>
      <w:r>
        <w:rPr>
          <w:rFonts w:ascii="Arial" w:cs="Arial" w:eastAsia="Arial" w:hAnsi="Arial"/>
          <w:sz w:val="18"/>
          <w:szCs w:val="18"/>
          <w:color w:val="auto"/>
        </w:rPr>
        <w:t>From time to time the Company may mark certain receivables classified as held for sale to fair value and classified as financial instruments recorded at fair value on a non-recurring basis. As of December 31, 2022, there were $22.4 million of finance receivables that were marked to fair value on a non-recurring basis. These are finance receivables that became delinquent and no longer meet the expected sales criteria. The Company uses a discounted cash flow model to estimate the present value of future recoveries for finance receivables. Such fair value measurement of finance receivables held for sale, net is considered Level 3 of the fair value hierarchy.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Restructuring Activities</w:t>
      </w:r>
    </w:p>
    <w:p>
      <w:pPr>
        <w:spacing w:after="0" w:line="220" w:lineRule="exact"/>
        <w:rPr>
          <w:sz w:val="20"/>
          <w:szCs w:val="20"/>
          <w:color w:val="auto"/>
        </w:rPr>
      </w:pPr>
    </w:p>
    <w:p>
      <w:pPr>
        <w:ind w:right="700" w:firstLine="761"/>
        <w:spacing w:after="0" w:line="245" w:lineRule="auto"/>
        <w:rPr>
          <w:sz w:val="20"/>
          <w:szCs w:val="20"/>
          <w:color w:val="auto"/>
        </w:rPr>
      </w:pPr>
      <w:r>
        <w:rPr>
          <w:rFonts w:ascii="Arial" w:cs="Arial" w:eastAsia="Arial" w:hAnsi="Arial"/>
          <w:sz w:val="18"/>
          <w:szCs w:val="18"/>
          <w:color w:val="auto"/>
        </w:rPr>
        <w:t>On May 5, 2022, the Company approved the Realignment Plan, which was designed to position the Company for long-term profitable growth by prioritizing unit economics, reducing operating expenses and maximizing liquidity.</w:t>
      </w:r>
    </w:p>
    <w:p>
      <w:pPr>
        <w:spacing w:after="0" w:line="184" w:lineRule="exact"/>
        <w:rPr>
          <w:sz w:val="20"/>
          <w:szCs w:val="20"/>
          <w:color w:val="auto"/>
        </w:rPr>
      </w:pPr>
    </w:p>
    <w:p>
      <w:pPr>
        <w:ind w:right="240" w:firstLine="761"/>
        <w:spacing w:after="0" w:line="245" w:lineRule="auto"/>
        <w:rPr>
          <w:sz w:val="20"/>
          <w:szCs w:val="20"/>
          <w:color w:val="auto"/>
        </w:rPr>
      </w:pPr>
      <w:r>
        <w:rPr>
          <w:rFonts w:ascii="Arial" w:cs="Arial" w:eastAsia="Arial" w:hAnsi="Arial"/>
          <w:sz w:val="18"/>
          <w:szCs w:val="18"/>
          <w:color w:val="auto"/>
        </w:rPr>
        <w:t>In connection with the Realignment Plan, the Company reduced headcount across the organization and closed its New York City, Detroit, and one of its Houston office locations as well as several Sell Us Your Car® center facilities.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Additionally, the Company streamlined TDA's operations and closed its service center. The service center was repurposed to replace the reconditioning facility in Stafford, Texas, which was also closed. The Company also restructured its network of logistics hubs in order to align with reduced unit volume and its regional operating model.</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restructuring activities associated with the Realignment Plan were substantially completed during 2022.</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components of the restructuring charges: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r>
      <w:tr>
        <w:trPr>
          <w:trHeight w:val="182"/>
        </w:trPr>
        <w:tc>
          <w:tcPr>
            <w:tcW w:w="76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jc w:val="right"/>
              <w:ind w:right="1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36"/>
        </w:trPr>
        <w:tc>
          <w:tcPr>
            <w:tcW w:w="7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Charges by Activity:</w:t>
            </w:r>
          </w:p>
        </w:tc>
        <w:tc>
          <w:tcPr>
            <w:tcW w:w="500" w:type="dxa"/>
            <w:vAlign w:val="bottom"/>
            <w:shd w:val="clear" w:color="auto" w:fill="CFF0FC"/>
          </w:tcPr>
          <w:p>
            <w:pPr>
              <w:spacing w:after="0"/>
              <w:rPr>
                <w:sz w:val="19"/>
                <w:szCs w:val="19"/>
                <w:color w:val="auto"/>
              </w:rPr>
            </w:pP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Severance and termination benefits </w:t>
            </w:r>
            <w:r>
              <w:rPr>
                <w:rFonts w:ascii="Arial" w:cs="Arial" w:eastAsia="Arial" w:hAnsi="Arial"/>
                <w:sz w:val="24"/>
                <w:szCs w:val="24"/>
                <w:color w:val="auto"/>
                <w:vertAlign w:val="superscript"/>
              </w:rPr>
              <w:t>(1)</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7,358</w:t>
            </w:r>
          </w:p>
        </w:tc>
        <w:tc>
          <w:tcPr>
            <w:tcW w:w="100" w:type="dxa"/>
            <w:vAlign w:val="bottom"/>
          </w:tcPr>
          <w:p>
            <w:pPr>
              <w:spacing w:after="0"/>
              <w:rPr>
                <w:sz w:val="19"/>
                <w:szCs w:val="19"/>
                <w:color w:val="auto"/>
              </w:rPr>
            </w:pPr>
          </w:p>
        </w:tc>
      </w:tr>
      <w:tr>
        <w:trPr>
          <w:trHeight w:val="243"/>
        </w:trPr>
        <w:tc>
          <w:tcPr>
            <w:tcW w:w="7660" w:type="dxa"/>
            <w:vAlign w:val="bottom"/>
            <w:shd w:val="clear" w:color="auto" w:fill="CFF0FC"/>
          </w:tcPr>
          <w:p>
            <w:pPr>
              <w:ind w:left="180"/>
              <w:spacing w:after="0" w:line="243" w:lineRule="exact"/>
              <w:rPr>
                <w:sz w:val="20"/>
                <w:szCs w:val="20"/>
                <w:color w:val="auto"/>
              </w:rPr>
            </w:pPr>
            <w:r>
              <w:rPr>
                <w:rFonts w:ascii="Arial" w:cs="Arial" w:eastAsia="Arial" w:hAnsi="Arial"/>
                <w:sz w:val="18"/>
                <w:szCs w:val="18"/>
                <w:color w:val="auto"/>
              </w:rPr>
              <w:t xml:space="preserve">Impairment of operating lease right-of-use assets </w:t>
            </w:r>
            <w:r>
              <w:rPr>
                <w:rFonts w:ascii="Arial" w:cs="Arial" w:eastAsia="Arial" w:hAnsi="Arial"/>
                <w:sz w:val="24"/>
                <w:szCs w:val="24"/>
                <w:color w:val="auto"/>
                <w:vertAlign w:val="superscript"/>
              </w:rPr>
              <w:t>(2)</w:t>
            </w:r>
          </w:p>
        </w:tc>
        <w:tc>
          <w:tcPr>
            <w:tcW w:w="500" w:type="dxa"/>
            <w:vAlign w:val="bottom"/>
            <w:shd w:val="clear" w:color="auto" w:fill="CFF0FC"/>
          </w:tcPr>
          <w:p>
            <w:pPr>
              <w:spacing w:after="0"/>
              <w:rPr>
                <w:sz w:val="21"/>
                <w:szCs w:val="21"/>
                <w:color w:val="auto"/>
              </w:rPr>
            </w:pPr>
          </w:p>
        </w:tc>
        <w:tc>
          <w:tcPr>
            <w:tcW w:w="2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6,491</w:t>
            </w:r>
          </w:p>
        </w:tc>
        <w:tc>
          <w:tcPr>
            <w:tcW w:w="100" w:type="dxa"/>
            <w:vAlign w:val="bottom"/>
            <w:shd w:val="clear" w:color="auto" w:fill="CFF0FC"/>
          </w:tcPr>
          <w:p>
            <w:pPr>
              <w:spacing w:after="0"/>
              <w:rPr>
                <w:sz w:val="21"/>
                <w:szCs w:val="21"/>
                <w:color w:val="auto"/>
              </w:rPr>
            </w:pPr>
          </w:p>
        </w:tc>
      </w:tr>
      <w:tr>
        <w:trPr>
          <w:trHeight w:val="229"/>
        </w:trPr>
        <w:tc>
          <w:tcPr>
            <w:tcW w:w="766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Other costs </w:t>
            </w:r>
            <w:r>
              <w:rPr>
                <w:rFonts w:ascii="Arial" w:cs="Arial" w:eastAsia="Arial" w:hAnsi="Arial"/>
                <w:sz w:val="24"/>
                <w:szCs w:val="24"/>
                <w:color w:val="auto"/>
                <w:vertAlign w:val="superscript"/>
              </w:rPr>
              <w:t>(3)</w:t>
            </w:r>
          </w:p>
        </w:tc>
        <w:tc>
          <w:tcPr>
            <w:tcW w:w="5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r>
      <w:tr>
        <w:trPr>
          <w:trHeight w:val="26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Restructuring and Related Charges</w:t>
            </w: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2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15,025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ind w:left="940" w:hanging="172"/>
        <w:spacing w:after="0"/>
        <w:tabs>
          <w:tab w:leader="none" w:pos="9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Severance and termination costs consist of severance costs provided to employees who have been terminated as well outplacement costs and COBRA benefits.</w:t>
      </w:r>
    </w:p>
    <w:p>
      <w:pPr>
        <w:spacing w:after="0" w:line="37" w:lineRule="exact"/>
        <w:rPr>
          <w:rFonts w:ascii="Arial" w:cs="Arial" w:eastAsia="Arial" w:hAnsi="Arial"/>
          <w:sz w:val="12"/>
          <w:szCs w:val="12"/>
          <w:color w:val="auto"/>
        </w:rPr>
      </w:pPr>
    </w:p>
    <w:p>
      <w:pPr>
        <w:ind w:right="180" w:firstLine="768"/>
        <w:spacing w:after="0" w:line="304" w:lineRule="auto"/>
        <w:tabs>
          <w:tab w:leader="none" w:pos="941" w:val="left"/>
        </w:tabs>
        <w:numPr>
          <w:ilvl w:val="0"/>
          <w:numId w:val="41"/>
        </w:numPr>
        <w:rPr>
          <w:rFonts w:ascii="Arial" w:cs="Arial" w:eastAsia="Arial" w:hAnsi="Arial"/>
          <w:sz w:val="12"/>
          <w:szCs w:val="12"/>
          <w:color w:val="auto"/>
        </w:rPr>
      </w:pPr>
      <w:r>
        <w:rPr>
          <w:rFonts w:ascii="Arial" w:cs="Arial" w:eastAsia="Arial" w:hAnsi="Arial"/>
          <w:sz w:val="12"/>
          <w:szCs w:val="12"/>
          <w:color w:val="auto"/>
        </w:rPr>
        <w:t>Impairment of operating lease right-of-use assets consist of costs associated with planned facility closures of $8.6 million, net of applicable sublease income of $2.1 million, for the year ended December 31, 2022, that will continue to be incurred under the contract for its remaining term without economic benefit to the Company.</w:t>
      </w:r>
    </w:p>
    <w:p>
      <w:pPr>
        <w:spacing w:after="0" w:line="1" w:lineRule="exact"/>
        <w:rPr>
          <w:rFonts w:ascii="Arial" w:cs="Arial" w:eastAsia="Arial" w:hAnsi="Arial"/>
          <w:sz w:val="12"/>
          <w:szCs w:val="12"/>
          <w:color w:val="auto"/>
        </w:rPr>
      </w:pPr>
    </w:p>
    <w:p>
      <w:pPr>
        <w:ind w:right="200" w:firstLine="768"/>
        <w:spacing w:after="0" w:line="317" w:lineRule="auto"/>
        <w:tabs>
          <w:tab w:leader="none" w:pos="941" w:val="left"/>
        </w:tabs>
        <w:numPr>
          <w:ilvl w:val="0"/>
          <w:numId w:val="41"/>
        </w:numPr>
        <w:rPr>
          <w:rFonts w:ascii="Arial" w:cs="Arial" w:eastAsia="Arial" w:hAnsi="Arial"/>
          <w:sz w:val="12"/>
          <w:szCs w:val="12"/>
          <w:color w:val="auto"/>
        </w:rPr>
      </w:pPr>
      <w:r>
        <w:rPr>
          <w:rFonts w:ascii="Arial" w:cs="Arial" w:eastAsia="Arial" w:hAnsi="Arial"/>
          <w:sz w:val="12"/>
          <w:szCs w:val="12"/>
          <w:color w:val="auto"/>
        </w:rPr>
        <w:t>Other costs consist of legal expenses of $0.6 million incurred in connection with the Realignment Plan and acceleration of depreciation of property and equipment of $0.6 million related to the planned facility closures.</w:t>
      </w:r>
    </w:p>
    <w:p>
      <w:pPr>
        <w:spacing w:after="0" w:line="189"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Severance and termination benefits and other costs are included in "Selling, general, and administrative expenses" and impairment of operating lease right-of-use assets are included in "Impairment charges" in the consolidated statements of operations for the year ended December 31, 2022.</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is a reconciliation of the beginning and ending restructuring liability for the year ended December 31,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2021</w:t>
            </w:r>
          </w:p>
        </w:tc>
        <w:tc>
          <w:tcPr>
            <w:tcW w:w="100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Accrual and accrual adjustments</w:t>
            </w:r>
          </w:p>
        </w:tc>
        <w:tc>
          <w:tcPr>
            <w:tcW w:w="10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7,941</w:t>
            </w:r>
          </w:p>
        </w:tc>
        <w:tc>
          <w:tcPr>
            <w:tcW w:w="100" w:type="dxa"/>
            <w:vAlign w:val="bottom"/>
          </w:tcPr>
          <w:p>
            <w:pPr>
              <w:spacing w:after="0"/>
              <w:rPr>
                <w:sz w:val="19"/>
                <w:szCs w:val="19"/>
                <w:color w:val="auto"/>
              </w:rPr>
            </w:pPr>
          </w:p>
        </w:tc>
      </w:tr>
      <w:tr>
        <w:trPr>
          <w:trHeight w:val="229"/>
        </w:trPr>
        <w:tc>
          <w:tcPr>
            <w:tcW w:w="8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payments</w:t>
            </w:r>
          </w:p>
        </w:tc>
        <w:tc>
          <w:tcPr>
            <w:tcW w:w="10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(7,131 )</w:t>
            </w:r>
          </w:p>
        </w:tc>
      </w:tr>
      <w:tr>
        <w:trPr>
          <w:trHeight w:val="223"/>
        </w:trPr>
        <w:tc>
          <w:tcPr>
            <w:tcW w:w="8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December 31, 2022</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top w:val="single" w:sz="8" w:color="CFF0FC"/>
            </w:tcBorders>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1"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The restructuring liability for severance and termination benefits is reflected in "Accrued Expenses" in the consolidated balance sheet as of December 31, 2022. On January 18, 2023, the Company executed a reduction in force, refer to Note 23 – Subsequent Events for further details.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220" w:lineRule="exact"/>
        <w:rPr>
          <w:sz w:val="20"/>
          <w:szCs w:val="20"/>
          <w:color w:val="auto"/>
        </w:rPr>
      </w:pPr>
    </w:p>
    <w:p>
      <w:pPr>
        <w:ind w:right="100" w:firstLine="761"/>
        <w:spacing w:after="0" w:line="237" w:lineRule="auto"/>
        <w:rPr>
          <w:sz w:val="20"/>
          <w:szCs w:val="20"/>
          <w:color w:val="auto"/>
        </w:rPr>
      </w:pPr>
      <w:r>
        <w:rPr>
          <w:rFonts w:ascii="Arial" w:cs="Arial" w:eastAsia="Arial" w:hAnsi="Arial"/>
          <w:sz w:val="18"/>
          <w:szCs w:val="18"/>
          <w:color w:val="auto"/>
        </w:rPr>
        <w:t>As part of the Realignment Plan, initiated in the second quarter of 2022, the Company streamlined TDA's operations and closed its service center. The Company also reevaluated its reporting segments based on relative revenue and gross profit and significance in the Company's long term strategy. As a result of the quantitative analysis, the Company determined to no longer report TDA as a separate segment. The Company now presents three reportable segments: Ecommerce, Wholesale, and Retail Financing. The Company reclassified TDA revenue and TDA gross profit for the comparative period from the TDA reportable segment to the “All Other” category to conform to current year presentation. No operating segments have been aggregated to form the reportable segments.</w:t>
      </w:r>
    </w:p>
    <w:p>
      <w:pPr>
        <w:spacing w:after="0" w:line="189"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enterprise-wide group basis. Accordingly, the Company does not report segment asset information. As of December 31, 2022 and December 31, 2021, long-lived assets were predominantly located in the United States.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The Ecommerce reportable segment represents retail sales of used vehicles through the Company’s ecommerce platform, revenue earned on vehicle financing originated by UACC or the Company's third-party financing sources and sales of value-added products associated with those vehicles sales. The Wholesale reportable segment represents sales of used vehicles through wholesale channels. The Retail Financing reportable segment represents UACC’s operations with its network of third-party dealership customers, including the purchases and servicing of vehicle installment contracts. Revenues within the "All Other" category consist of retail sales of used vehicles from TDA and fees earned on sales of value-added products associated with those vehicles sales and the CarStory business.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the Company’s reportable segments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7"/>
          </w:tcPr>
          <w:p>
            <w:pPr>
              <w:jc w:val="center"/>
              <w:ind w:right="76"/>
              <w:spacing w:after="0"/>
              <w:rPr>
                <w:sz w:val="20"/>
                <w:szCs w:val="20"/>
                <w:color w:val="auto"/>
              </w:rPr>
            </w:pPr>
            <w:r>
              <w:rPr>
                <w:rFonts w:ascii="Arial" w:cs="Arial" w:eastAsia="Arial" w:hAnsi="Arial"/>
                <w:sz w:val="14"/>
                <w:szCs w:val="14"/>
                <w:b w:val="1"/>
                <w:bCs w:val="1"/>
                <w:color w:val="auto"/>
              </w:rPr>
              <w:t>Year Ended December 31, 2022</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119"/>
              <w:spacing w:after="0" w:line="155" w:lineRule="exact"/>
              <w:rPr>
                <w:sz w:val="20"/>
                <w:szCs w:val="20"/>
                <w:color w:val="auto"/>
              </w:rPr>
            </w:pPr>
            <w:r>
              <w:rPr>
                <w:rFonts w:ascii="Arial" w:cs="Arial" w:eastAsia="Arial" w:hAnsi="Arial"/>
                <w:sz w:val="14"/>
                <w:szCs w:val="14"/>
                <w:b w:val="1"/>
                <w:bCs w:val="1"/>
                <w:color w:val="auto"/>
              </w:rPr>
              <w:t>Retail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Ecommerce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Wholesale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Financing</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1,364,195</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293,528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152,542</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138,636</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1,948,901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99,973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(10,620 )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138,381</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17,053</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center"/>
              <w:ind w:right="76"/>
              <w:spacing w:after="0"/>
              <w:rPr>
                <w:sz w:val="20"/>
                <w:szCs w:val="20"/>
                <w:color w:val="auto"/>
              </w:rPr>
            </w:pPr>
            <w:r>
              <w:rPr>
                <w:rFonts w:ascii="Arial" w:cs="Arial" w:eastAsia="Arial" w:hAnsi="Arial"/>
                <w:sz w:val="14"/>
                <w:szCs w:val="14"/>
                <w:b w:val="1"/>
                <w:bCs w:val="1"/>
                <w:color w:val="auto"/>
              </w:rPr>
              <w:t>Year Ended December 31, 2021</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119"/>
              <w:spacing w:after="0" w:line="155" w:lineRule="exact"/>
              <w:rPr>
                <w:sz w:val="20"/>
                <w:szCs w:val="20"/>
                <w:color w:val="auto"/>
              </w:rPr>
            </w:pPr>
            <w:r>
              <w:rPr>
                <w:rFonts w:ascii="Arial" w:cs="Arial" w:eastAsia="Arial" w:hAnsi="Arial"/>
                <w:sz w:val="14"/>
                <w:szCs w:val="14"/>
                <w:b w:val="1"/>
                <w:bCs w:val="1"/>
                <w:color w:val="auto"/>
              </w:rPr>
              <w:t>Retail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9"/>
              </w:rPr>
              <w:t>All Other</w:t>
            </w:r>
            <w:r>
              <w:rPr>
                <w:rFonts w:ascii="Arial" w:cs="Arial" w:eastAsia="Arial" w:hAnsi="Arial"/>
                <w:sz w:val="19"/>
                <w:szCs w:val="19"/>
                <w:b w:val="1"/>
                <w:bCs w:val="1"/>
                <w:color w:val="auto"/>
                <w:w w:val="99"/>
                <w:vertAlign w:val="superscript"/>
              </w:rPr>
              <w:t>(1)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Ecommerce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Wholesale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Financing</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2,442,369</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498,981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242,905</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3,184,255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164,746</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18,120</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19,233</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center"/>
              <w:ind w:right="76"/>
              <w:spacing w:after="0"/>
              <w:rPr>
                <w:sz w:val="20"/>
                <w:szCs w:val="20"/>
                <w:color w:val="auto"/>
              </w:rPr>
            </w:pPr>
            <w:r>
              <w:rPr>
                <w:rFonts w:ascii="Arial" w:cs="Arial" w:eastAsia="Arial" w:hAnsi="Arial"/>
                <w:sz w:val="14"/>
                <w:szCs w:val="14"/>
                <w:b w:val="1"/>
                <w:bCs w:val="1"/>
                <w:color w:val="auto"/>
              </w:rPr>
              <w:t>Year Ended December 31, 2020</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119"/>
              <w:spacing w:after="0" w:line="155" w:lineRule="exact"/>
              <w:rPr>
                <w:sz w:val="20"/>
                <w:szCs w:val="20"/>
                <w:color w:val="auto"/>
              </w:rPr>
            </w:pPr>
            <w:r>
              <w:rPr>
                <w:rFonts w:ascii="Arial" w:cs="Arial" w:eastAsia="Arial" w:hAnsi="Arial"/>
                <w:sz w:val="14"/>
                <w:szCs w:val="14"/>
                <w:b w:val="1"/>
                <w:bCs w:val="1"/>
                <w:color w:val="auto"/>
              </w:rPr>
              <w:t>Retail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9"/>
              </w:rPr>
              <w:t>All Other</w:t>
            </w:r>
            <w:r>
              <w:rPr>
                <w:rFonts w:ascii="Arial" w:cs="Arial" w:eastAsia="Arial" w:hAnsi="Arial"/>
                <w:sz w:val="19"/>
                <w:szCs w:val="19"/>
                <w:b w:val="1"/>
                <w:bCs w:val="1"/>
                <w:color w:val="auto"/>
                <w:w w:val="99"/>
                <w:vertAlign w:val="superscript"/>
              </w:rPr>
              <w:t>(1)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Ecommerce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Wholesale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Financing</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915,451</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245,580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196,669</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60,861</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(1,432 )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12,116</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1140" w:right="660" w:hanging="383"/>
        <w:spacing w:after="0" w:line="257" w:lineRule="auto"/>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Company reclassified TDA revenue and TDA gross profit from the TDA reportable segment to the “All Other” category to conform to current year presentation.</w:t>
      </w:r>
    </w:p>
    <w:p>
      <w:pPr>
        <w:spacing w:after="0" w:line="243" w:lineRule="exact"/>
        <w:rPr>
          <w:sz w:val="20"/>
          <w:szCs w:val="20"/>
          <w:color w:val="auto"/>
        </w:rPr>
      </w:pPr>
    </w:p>
    <w:p>
      <w:pPr>
        <w:ind w:right="200" w:firstLine="764"/>
        <w:spacing w:after="0" w:line="245" w:lineRule="auto"/>
        <w:rPr>
          <w:sz w:val="20"/>
          <w:szCs w:val="20"/>
          <w:color w:val="auto"/>
        </w:rPr>
      </w:pPr>
      <w:r>
        <w:rPr>
          <w:rFonts w:ascii="Arial" w:cs="Arial" w:eastAsia="Arial" w:hAnsi="Arial"/>
          <w:sz w:val="18"/>
          <w:szCs w:val="18"/>
          <w:color w:val="auto"/>
        </w:rPr>
        <w:t>The reconciliation between reportable segment gross profit to consolidated loss before provision for income taxes is as follows (in thousands):</w:t>
      </w:r>
    </w:p>
    <w:p>
      <w:pPr>
        <w:spacing w:after="0" w:line="226"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Reconciliation to consolidated total revenue</w:t>
            </w: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Total reportable segment revenue</w:t>
            </w: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1,810,265</w:t>
            </w:r>
          </w:p>
        </w:tc>
        <w:tc>
          <w:tcPr>
            <w:tcW w:w="2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2,941,350</w:t>
            </w:r>
          </w:p>
        </w:tc>
        <w:tc>
          <w:tcPr>
            <w:tcW w:w="2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1,161,031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 revenues</w:t>
            </w:r>
          </w:p>
        </w:tc>
        <w:tc>
          <w:tcPr>
            <w:tcW w:w="4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138,636</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242,905</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Consolidated total revenue</w:t>
            </w: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1,948,901</w:t>
            </w:r>
          </w:p>
        </w:tc>
        <w:tc>
          <w:tcPr>
            <w:tcW w:w="2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3,184,255</w:t>
            </w:r>
          </w:p>
        </w:tc>
        <w:tc>
          <w:tcPr>
            <w:tcW w:w="2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1,357,700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460" w:type="dxa"/>
            <w:vAlign w:val="bottom"/>
            <w:shd w:val="clear" w:color="auto" w:fill="CFF0FC"/>
          </w:tcPr>
          <w:p>
            <w:pPr>
              <w:ind w:left="20"/>
              <w:spacing w:after="0" w:line="173" w:lineRule="exact"/>
              <w:rPr>
                <w:sz w:val="20"/>
                <w:szCs w:val="20"/>
                <w:color w:val="auto"/>
              </w:rPr>
            </w:pPr>
            <w:r>
              <w:rPr>
                <w:rFonts w:ascii="Arial" w:cs="Arial" w:eastAsia="Arial" w:hAnsi="Arial"/>
                <w:sz w:val="18"/>
                <w:szCs w:val="18"/>
                <w:b w:val="1"/>
                <w:bCs w:val="1"/>
                <w:color w:val="auto"/>
                <w:w w:val="99"/>
              </w:rPr>
              <w:t>Reconciliation to consolidated loss before provision for income</w:t>
            </w:r>
          </w:p>
        </w:tc>
        <w:tc>
          <w:tcPr>
            <w:tcW w:w="4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taxes</w:t>
            </w:r>
          </w:p>
        </w:tc>
        <w:tc>
          <w:tcPr>
            <w:tcW w:w="4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Total reportable segment gross profit</w:t>
            </w: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227,734</w:t>
            </w:r>
          </w:p>
        </w:tc>
        <w:tc>
          <w:tcPr>
            <w:tcW w:w="2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182,866</w:t>
            </w:r>
          </w:p>
        </w:tc>
        <w:tc>
          <w:tcPr>
            <w:tcW w:w="2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 Other gross profit</w:t>
            </w: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566,387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547,823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38,290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211,873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debt extinguishment</w:t>
            </w: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(164,684 )</w:t>
            </w: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40,693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21,948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(19,363 )</w:t>
            </w: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(10,341 )</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(5,896 )</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Revaluation of preferred stock warrant</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loss (income), net</w:t>
            </w: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43,181</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(65 )</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0"/>
        </w:trPr>
        <w:tc>
          <w:tcPr>
            <w:tcW w:w="546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Consolidated loss before provision for income taxes</w:t>
            </w:r>
          </w:p>
        </w:tc>
        <w:tc>
          <w:tcPr>
            <w:tcW w:w="4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(471,590 )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(370,157 )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(202,715 )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135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2"/>
        </w:trPr>
        <w:tc>
          <w:tcPr>
            <w:tcW w:w="546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-2636520</wp:posOffset>
            </wp:positionV>
            <wp:extent cx="68580" cy="1797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-2636520</wp:posOffset>
            </wp:positionV>
            <wp:extent cx="68580" cy="1797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-2636520</wp:posOffset>
            </wp:positionV>
            <wp:extent cx="68580" cy="1797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-727075</wp:posOffset>
            </wp:positionV>
            <wp:extent cx="68580" cy="1797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-727075</wp:posOffset>
            </wp:positionV>
            <wp:extent cx="68580" cy="1797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-727075</wp:posOffset>
            </wp:positionV>
            <wp:extent cx="68580" cy="1797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Domestic and foreign pretax income (loss) are as follows for the years ended December 31, 2022, 2021, and 2020 (in thousands):</w:t>
      </w:r>
    </w:p>
    <w:p>
      <w:pPr>
        <w:spacing w:after="0" w:line="199"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4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59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Domestic</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(472,203 )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(370,640 )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(202,715 )</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43"/>
        </w:trPr>
        <w:tc>
          <w:tcPr>
            <w:tcW w:w="59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(471,590 )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(370,157 )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(202,715 )</w:t>
            </w:r>
          </w:p>
        </w:tc>
      </w:tr>
      <w:tr>
        <w:trPr>
          <w:trHeight w:val="20"/>
        </w:trPr>
        <w:tc>
          <w:tcPr>
            <w:tcW w:w="59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99"/>
        </w:trPr>
        <w:tc>
          <w:tcPr>
            <w:tcW w:w="7780" w:type="dxa"/>
            <w:vAlign w:val="bottom"/>
            <w:gridSpan w:val="4"/>
          </w:tcPr>
          <w:p>
            <w:pPr>
              <w:ind w:left="760"/>
              <w:spacing w:after="0"/>
              <w:rPr>
                <w:sz w:val="20"/>
                <w:szCs w:val="20"/>
                <w:color w:val="auto"/>
              </w:rPr>
            </w:pPr>
            <w:r>
              <w:rPr>
                <w:rFonts w:ascii="Arial" w:cs="Arial" w:eastAsia="Arial" w:hAnsi="Arial"/>
                <w:sz w:val="18"/>
                <w:szCs w:val="18"/>
                <w:color w:val="auto"/>
              </w:rPr>
              <w:t>The components of the provision for income taxes are as follows (in thousands):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5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5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9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59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Borders>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State and local</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4,083</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Borders>
              <w:right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Total current tax expense</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4,175</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6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Deferred tax (benefit):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40" w:type="dxa"/>
            <w:vAlign w:val="bottom"/>
            <w:tcBorders>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FF0FC"/>
          </w:tcPr>
          <w:p>
            <w:pPr>
              <w:spacing w:after="0"/>
              <w:rPr>
                <w:sz w:val="19"/>
                <w:szCs w:val="19"/>
                <w:color w:val="auto"/>
              </w:rPr>
            </w:pPr>
          </w:p>
        </w:tc>
        <w:tc>
          <w:tcPr>
            <w:tcW w:w="14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(20,472 )</w:t>
            </w:r>
          </w:p>
        </w:tc>
        <w:tc>
          <w:tcPr>
            <w:tcW w:w="2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(3,383 )</w:t>
            </w:r>
          </w:p>
        </w:tc>
        <w:tc>
          <w:tcPr>
            <w:tcW w:w="20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Borders>
              <w:bottom w:val="single" w:sz="8" w:color="CFF0FC"/>
              <w:right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940" w:type="dxa"/>
            <w:vAlign w:val="bottom"/>
          </w:tcPr>
          <w:p>
            <w:pPr>
              <w:ind w:left="320"/>
              <w:spacing w:after="0"/>
              <w:rPr>
                <w:sz w:val="20"/>
                <w:szCs w:val="20"/>
                <w:color w:val="auto"/>
              </w:rPr>
            </w:pPr>
            <w:r>
              <w:rPr>
                <w:rFonts w:ascii="Arial" w:cs="Arial" w:eastAsia="Arial" w:hAnsi="Arial"/>
                <w:sz w:val="18"/>
                <w:szCs w:val="18"/>
                <w:color w:val="auto"/>
              </w:rPr>
              <w:t>Total deferred tax (benefit)</w:t>
            </w: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(23,855 )</w:t>
            </w:r>
          </w:p>
        </w:tc>
        <w:tc>
          <w:tcPr>
            <w:tcW w:w="20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9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(Benefit) provision for income taxes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(19,680 )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21"/>
                <w:szCs w:val="21"/>
                <w:color w:val="auto"/>
              </w:rPr>
            </w:pPr>
          </w:p>
        </w:tc>
      </w:tr>
      <w:tr>
        <w:trPr>
          <w:trHeight w:val="20"/>
        </w:trPr>
        <w:tc>
          <w:tcPr>
            <w:tcW w:w="59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-2422525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-2405380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-2422525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-2405380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-2422525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-2405380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-333375</wp:posOffset>
            </wp:positionV>
            <wp:extent cx="68580" cy="1625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-333375</wp:posOffset>
            </wp:positionV>
            <wp:extent cx="68580" cy="1625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25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-24765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-7620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On August 16, 2022, the Inflation Reduction Act of 2022 ("IRA") was signed into law. The IRA includes implementation of a new alternative minimum tax, an excise tax on stock buybacks, and significant tax incentives for energy and climate initiatives, among other provisions. The Company is evaluating the provisions included under the IRA and does not expect the provisions to have a material impact to the Company's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 Reconciliation</w:t>
      </w:r>
    </w:p>
    <w:p>
      <w:pPr>
        <w:spacing w:after="0" w:line="220"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The Company’s effective tax rate for the years ended December 31, 2022, 2021, and 2020 was 4.17%, (0.20)%, and (0.04)%, respectively. The increase in effective tax rate for the year ended December 31, 2022 was primarily driven by a deferred tax benefit recorded for the decrease of Valuation Allowance resulting from the acquisition of Unitas Holdings Corp. (now known as Vroom Finance Corporation) that occurred during the period, of $23.9 million.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ind w:right="460" w:firstLine="749"/>
        <w:spacing w:after="0" w:line="245" w:lineRule="auto"/>
        <w:rPr>
          <w:sz w:val="20"/>
          <w:szCs w:val="20"/>
          <w:color w:val="auto"/>
        </w:rPr>
      </w:pPr>
      <w:r>
        <w:rPr>
          <w:rFonts w:ascii="Arial" w:cs="Arial" w:eastAsia="Arial" w:hAnsi="Arial"/>
          <w:sz w:val="18"/>
          <w:szCs w:val="18"/>
          <w:color w:val="auto"/>
        </w:rPr>
        <w:t>A reconciliation of the provision for income taxes at the statutory rate to the amount reflected in the consolidated statements of operations is as follows (in thousands):</w:t>
      </w:r>
    </w:p>
    <w:p>
      <w:pPr>
        <w:spacing w:after="0" w:line="185"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223"/>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taxes at statutory rate</w:t>
            </w:r>
          </w:p>
        </w:tc>
        <w:tc>
          <w:tcPr>
            <w:tcW w:w="94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4"/>
              </w:rPr>
              <w:t>(99,034 )</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(77,733 )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(42,570 )</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9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(3,529 )</w:t>
            </w:r>
          </w:p>
        </w:tc>
        <w:tc>
          <w:tcPr>
            <w:tcW w:w="3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(8,251 )</w:t>
            </w:r>
          </w:p>
        </w:tc>
        <w:tc>
          <w:tcPr>
            <w:tcW w:w="3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(5,417 )</w:t>
            </w:r>
          </w:p>
        </w:tc>
      </w:tr>
      <w:tr>
        <w:trPr>
          <w:trHeight w:val="229"/>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Rate Differential</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(129 )</w:t>
            </w: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(26 )</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Permanent differences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(4,800 )</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r>
      <w:tr>
        <w:trPr>
          <w:trHeight w:val="229"/>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impairment</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41,241</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Deferred tax adjustment for acquisition of business</w:t>
            </w:r>
          </w:p>
        </w:tc>
        <w:tc>
          <w:tcPr>
            <w:tcW w:w="9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(23,855 )</w:t>
            </w:r>
          </w:p>
        </w:tc>
        <w:tc>
          <w:tcPr>
            <w:tcW w:w="36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valuation allowance</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66,634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94,158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46,901</w:t>
            </w:r>
          </w:p>
        </w:tc>
        <w:tc>
          <w:tcPr>
            <w:tcW w:w="100" w:type="dxa"/>
            <w:vAlign w:val="bottom"/>
            <w:shd w:val="clear" w:color="auto" w:fill="CFF0FC"/>
          </w:tcPr>
          <w:p>
            <w:pPr>
              <w:spacing w:after="0"/>
              <w:rPr>
                <w:sz w:val="19"/>
                <w:szCs w:val="19"/>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(2,518 )</w:t>
            </w:r>
          </w:p>
        </w:tc>
        <w:tc>
          <w:tcPr>
            <w:tcW w:w="3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(2,594 )</w:t>
            </w:r>
          </w:p>
        </w:tc>
        <w:tc>
          <w:tcPr>
            <w:tcW w:w="3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(94 )</w:t>
            </w:r>
          </w:p>
        </w:tc>
      </w:tr>
      <w:tr>
        <w:trPr>
          <w:trHeight w:val="20"/>
        </w:trPr>
        <w:tc>
          <w:tcPr>
            <w:tcW w:w="5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 provision for income taxes</w:t>
            </w:r>
          </w:p>
        </w:tc>
        <w:tc>
          <w:tcPr>
            <w:tcW w:w="94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4"/>
              </w:rPr>
              <w:t>(19,680 )</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21"/>
                <w:szCs w:val="21"/>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-24765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-7620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(Liabilities)</w:t>
      </w:r>
    </w:p>
    <w:p>
      <w:pPr>
        <w:spacing w:after="0" w:line="220" w:lineRule="exact"/>
        <w:rPr>
          <w:sz w:val="20"/>
          <w:szCs w:val="20"/>
          <w:color w:val="auto"/>
        </w:rPr>
      </w:pPr>
    </w:p>
    <w:p>
      <w:pPr>
        <w:ind w:right="20" w:firstLine="761"/>
        <w:spacing w:after="0" w:line="236" w:lineRule="auto"/>
        <w:rPr>
          <w:sz w:val="20"/>
          <w:szCs w:val="20"/>
          <w:color w:val="auto"/>
        </w:rPr>
      </w:pPr>
      <w:r>
        <w:rPr>
          <w:rFonts w:ascii="Arial" w:cs="Arial" w:eastAsia="Arial" w:hAnsi="Arial"/>
          <w:sz w:val="18"/>
          <w:szCs w:val="18"/>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for December 31, 2022 and 2021 because the Company has determined that is it more likely than not that these assets will not be fully realized based on a current evaluation of expected future taxable income and the Company is in a cumulative loss position. As of December 31, 2022, 2021, 2020 and 2019 the valuation allowance balance was $258.8 million, $216.0 million, $121.9 million and $75.0 million, respectively.</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Significant components of the Company’s deferred tax assets and liabilities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4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3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3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265,927</w:t>
            </w:r>
          </w:p>
        </w:tc>
        <w:tc>
          <w:tcPr>
            <w:tcW w:w="2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203,170</w:t>
            </w:r>
          </w:p>
        </w:tc>
        <w:tc>
          <w:tcPr>
            <w:tcW w:w="100" w:type="dxa"/>
            <w:vAlign w:val="bottom"/>
          </w:tcPr>
          <w:p>
            <w:pPr>
              <w:spacing w:after="0"/>
              <w:rPr>
                <w:sz w:val="19"/>
                <w:szCs w:val="19"/>
                <w:color w:val="auto"/>
              </w:rPr>
            </w:pPr>
          </w:p>
        </w:tc>
      </w:tr>
      <w:tr>
        <w:trPr>
          <w:trHeight w:val="229"/>
        </w:trPr>
        <w:tc>
          <w:tcPr>
            <w:tcW w:w="4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Inventory reserves</w:t>
            </w:r>
          </w:p>
        </w:tc>
        <w:tc>
          <w:tcPr>
            <w:tcW w:w="3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9,395</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12,278</w:t>
            </w:r>
          </w:p>
        </w:tc>
        <w:tc>
          <w:tcPr>
            <w:tcW w:w="100" w:type="dxa"/>
            <w:vAlign w:val="bottom"/>
            <w:shd w:val="clear" w:color="auto" w:fill="CFF0FC"/>
          </w:tcPr>
          <w:p>
            <w:pPr>
              <w:spacing w:after="0"/>
              <w:rPr>
                <w:sz w:val="19"/>
                <w:szCs w:val="19"/>
                <w:color w:val="auto"/>
              </w:rPr>
            </w:pP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3,067</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Pr>
          <w:p>
            <w:pPr>
              <w:spacing w:after="0"/>
              <w:rPr>
                <w:sz w:val="19"/>
                <w:szCs w:val="19"/>
                <w:color w:val="auto"/>
              </w:rPr>
            </w:pPr>
          </w:p>
        </w:tc>
      </w:tr>
      <w:tr>
        <w:trPr>
          <w:trHeight w:val="229"/>
        </w:trPr>
        <w:tc>
          <w:tcPr>
            <w:tcW w:w="41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Accrued Expense</w:t>
            </w:r>
          </w:p>
        </w:tc>
        <w:tc>
          <w:tcPr>
            <w:tcW w:w="3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rPr>
              <w:t>Right of Use Asset</w:t>
            </w:r>
          </w:p>
        </w:tc>
        <w:tc>
          <w:tcPr>
            <w:tcW w:w="3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7,086</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19"/>
                <w:szCs w:val="19"/>
                <w:color w:val="auto"/>
              </w:rPr>
            </w:pPr>
          </w:p>
        </w:tc>
      </w:tr>
      <w:tr>
        <w:trPr>
          <w:trHeight w:val="229"/>
        </w:trPr>
        <w:tc>
          <w:tcPr>
            <w:tcW w:w="4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Unrealized Gains/Losses</w:t>
            </w:r>
          </w:p>
        </w:tc>
        <w:tc>
          <w:tcPr>
            <w:tcW w:w="3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10,549</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3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8,342</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9"/>
                <w:szCs w:val="19"/>
                <w:color w:val="auto"/>
              </w:rPr>
            </w:pPr>
          </w:p>
        </w:tc>
      </w:tr>
      <w:tr>
        <w:trPr>
          <w:trHeight w:val="229"/>
        </w:trPr>
        <w:tc>
          <w:tcPr>
            <w:tcW w:w="4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w:t>
            </w:r>
          </w:p>
        </w:tc>
        <w:tc>
          <w:tcPr>
            <w:tcW w:w="36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2,612</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306,978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227,458</w:t>
            </w:r>
          </w:p>
        </w:tc>
        <w:tc>
          <w:tcPr>
            <w:tcW w:w="100" w:type="dxa"/>
            <w:vAlign w:val="bottom"/>
          </w:tcPr>
          <w:p>
            <w:pPr>
              <w:spacing w:after="0"/>
              <w:rPr>
                <w:sz w:val="19"/>
                <w:szCs w:val="19"/>
                <w:color w:val="auto"/>
              </w:rPr>
            </w:pPr>
          </w:p>
        </w:tc>
      </w:tr>
      <w:tr>
        <w:trPr>
          <w:trHeight w:val="229"/>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valuation allowance</w:t>
            </w:r>
          </w:p>
        </w:tc>
        <w:tc>
          <w:tcPr>
            <w:tcW w:w="3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(258,796 )</w:t>
            </w: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(216,017 )</w:t>
            </w:r>
          </w:p>
        </w:tc>
      </w:tr>
      <w:tr>
        <w:trPr>
          <w:trHeight w:val="223"/>
        </w:trPr>
        <w:tc>
          <w:tcPr>
            <w:tcW w:w="412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Net deferred tax assets</w:t>
            </w:r>
          </w:p>
        </w:tc>
        <w:tc>
          <w:tcPr>
            <w:tcW w:w="362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48,182</w:t>
            </w:r>
          </w:p>
        </w:tc>
        <w:tc>
          <w:tcPr>
            <w:tcW w:w="280" w:type="dxa"/>
            <w:vAlign w:val="bottom"/>
            <w:tcBorders>
              <w:top w:val="single" w:sz="8" w:color="CFF0FC"/>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11,441</w:t>
            </w:r>
          </w:p>
        </w:tc>
        <w:tc>
          <w:tcPr>
            <w:tcW w:w="100" w:type="dxa"/>
            <w:vAlign w:val="bottom"/>
            <w:tcBorders>
              <w:top w:val="single" w:sz="8" w:color="CFF0FC"/>
            </w:tcBorders>
          </w:tcPr>
          <w:p>
            <w:pPr>
              <w:spacing w:after="0"/>
              <w:rPr>
                <w:sz w:val="19"/>
                <w:szCs w:val="19"/>
                <w:color w:val="auto"/>
              </w:rPr>
            </w:pPr>
          </w:p>
        </w:tc>
      </w:tr>
      <w:tr>
        <w:trPr>
          <w:trHeight w:val="229"/>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3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rPr>
              <w:t>Intangible amortization</w:t>
            </w:r>
          </w:p>
        </w:tc>
        <w:tc>
          <w:tcPr>
            <w:tcW w:w="3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(37,377 )</w:t>
            </w:r>
          </w:p>
        </w:tc>
        <w:tc>
          <w:tcPr>
            <w:tcW w:w="5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(6,793 )</w:t>
            </w:r>
          </w:p>
        </w:tc>
      </w:tr>
      <w:tr>
        <w:trPr>
          <w:trHeight w:val="229"/>
        </w:trPr>
        <w:tc>
          <w:tcPr>
            <w:tcW w:w="4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Depreciation</w:t>
            </w:r>
          </w:p>
        </w:tc>
        <w:tc>
          <w:tcPr>
            <w:tcW w:w="3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(3,017 )</w:t>
            </w: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(1,088 )</w:t>
            </w: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rPr>
              <w:t>Repo Expenses</w:t>
            </w:r>
          </w:p>
        </w:tc>
        <w:tc>
          <w:tcPr>
            <w:tcW w:w="3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(2,194 )</w:t>
            </w:r>
          </w:p>
        </w:tc>
        <w:tc>
          <w:tcPr>
            <w:tcW w:w="5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Lease Liability</w:t>
            </w:r>
          </w:p>
        </w:tc>
        <w:tc>
          <w:tcPr>
            <w:tcW w:w="3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(5,594 )</w:t>
            </w: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(3,560 )</w:t>
            </w:r>
          </w:p>
        </w:tc>
      </w:tr>
      <w:tr>
        <w:trPr>
          <w:trHeight w:val="20"/>
        </w:trPr>
        <w:tc>
          <w:tcPr>
            <w:tcW w:w="4120" w:type="dxa"/>
            <w:vAlign w:val="bottom"/>
            <w:shd w:val="clear" w:color="auto" w:fill="CFF0FC"/>
          </w:tcPr>
          <w:p>
            <w:pPr>
              <w:spacing w:after="0" w:line="20" w:lineRule="exact"/>
              <w:rPr>
                <w:sz w:val="1"/>
                <w:szCs w:val="1"/>
                <w:color w:val="auto"/>
              </w:rPr>
            </w:pPr>
          </w:p>
        </w:tc>
        <w:tc>
          <w:tcPr>
            <w:tcW w:w="36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3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(48,182 )</w:t>
            </w:r>
          </w:p>
        </w:tc>
        <w:tc>
          <w:tcPr>
            <w:tcW w:w="5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(11,441 )</w:t>
            </w:r>
          </w:p>
        </w:tc>
      </w:tr>
      <w:tr>
        <w:trPr>
          <w:trHeight w:val="269"/>
        </w:trPr>
        <w:tc>
          <w:tcPr>
            <w:tcW w:w="4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deferred income taxes</w:t>
            </w:r>
          </w:p>
        </w:tc>
        <w:tc>
          <w:tcPr>
            <w:tcW w:w="3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614"/>
        </w:trPr>
        <w:tc>
          <w:tcPr>
            <w:tcW w:w="4120" w:type="dxa"/>
            <w:vAlign w:val="bottom"/>
            <w:tcBorders>
              <w:top w:val="single" w:sz="8" w:color="CFF0FC"/>
            </w:tcBorders>
          </w:tcPr>
          <w:p>
            <w:pPr>
              <w:spacing w:after="0"/>
              <w:rPr>
                <w:sz w:val="24"/>
                <w:szCs w:val="24"/>
                <w:color w:val="auto"/>
              </w:rPr>
            </w:pPr>
          </w:p>
        </w:tc>
        <w:tc>
          <w:tcPr>
            <w:tcW w:w="3620" w:type="dxa"/>
            <w:vAlign w:val="bottom"/>
            <w:tcBorders>
              <w:top w:val="single" w:sz="8" w:color="CFF0FC"/>
            </w:tcBorders>
          </w:tcPr>
          <w:p>
            <w:pPr>
              <w:jc w:val="right"/>
              <w:ind w:right="1870"/>
              <w:spacing w:after="0"/>
              <w:rPr>
                <w:sz w:val="20"/>
                <w:szCs w:val="20"/>
                <w:color w:val="auto"/>
              </w:rPr>
            </w:pPr>
            <w:r>
              <w:rPr>
                <w:rFonts w:ascii="Arial" w:cs="Arial" w:eastAsia="Arial" w:hAnsi="Arial"/>
                <w:sz w:val="18"/>
                <w:szCs w:val="18"/>
                <w:color w:val="auto"/>
              </w:rPr>
              <w:t>137</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88"/>
        </w:trPr>
        <w:tc>
          <w:tcPr>
            <w:tcW w:w="4120" w:type="dxa"/>
            <w:vAlign w:val="bottom"/>
            <w:tcBorders>
              <w:bottom w:val="single" w:sz="8" w:color="9A9A9A"/>
            </w:tcBorders>
          </w:tcPr>
          <w:p>
            <w:pPr>
              <w:spacing w:after="0"/>
              <w:rPr>
                <w:sz w:val="7"/>
                <w:szCs w:val="7"/>
                <w:color w:val="auto"/>
              </w:rPr>
            </w:pPr>
          </w:p>
        </w:tc>
        <w:tc>
          <w:tcPr>
            <w:tcW w:w="36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-1977390</wp:posOffset>
            </wp:positionV>
            <wp:extent cx="68580" cy="1543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-1977390</wp:posOffset>
            </wp:positionV>
            <wp:extent cx="68580" cy="1543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-1677670</wp:posOffset>
            </wp:positionV>
            <wp:extent cx="68580" cy="1543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15430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-795655</wp:posOffset>
            </wp:positionV>
            <wp:extent cx="68580" cy="1543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1543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-495935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-478790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Losses</w:t>
      </w:r>
    </w:p>
    <w:p>
      <w:pPr>
        <w:spacing w:after="0" w:line="220"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As of December 31, 2022, the Company had total net operating loss carryforwards for U.S. federal income tax purposes of $1,143.4 million, of which $168.5 million expire from 2028 through 2042 and $950.7 million do not expire. The Company has net operating loss carryforwards for state income tax purposes of $500.5 million, which expire from 2034 through 2041.</w:t>
      </w:r>
    </w:p>
    <w:p>
      <w:pPr>
        <w:spacing w:after="0" w:line="188"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Company is subject to tax in the United States and many state and local jurisdictions. The Company, with certain exceptions, is no longer subject to income tax examinations by U.S. federal, state and local for tax years 2016 and prior. The company is not currently under audit for any US federal or state income tax audits.</w:t>
      </w:r>
    </w:p>
    <w:p>
      <w:pPr>
        <w:spacing w:after="0" w:line="188" w:lineRule="exact"/>
        <w:rPr>
          <w:sz w:val="20"/>
          <w:szCs w:val="20"/>
          <w:color w:val="auto"/>
        </w:rPr>
      </w:pPr>
    </w:p>
    <w:p>
      <w:pPr>
        <w:ind w:right="160" w:firstLine="761"/>
        <w:spacing w:after="0" w:line="237" w:lineRule="auto"/>
        <w:rPr>
          <w:sz w:val="20"/>
          <w:szCs w:val="20"/>
          <w:color w:val="auto"/>
        </w:rPr>
      </w:pPr>
      <w:r>
        <w:rPr>
          <w:rFonts w:ascii="Arial" w:cs="Arial" w:eastAsia="Arial" w:hAnsi="Arial"/>
          <w:sz w:val="18"/>
          <w:szCs w:val="18"/>
          <w:color w:val="auto"/>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four ownership changes the most recent of which was April 2021. These changes will substantially limit the use of the net operating losses generated before the change in control.</w:t>
      </w:r>
    </w:p>
    <w:p>
      <w:pPr>
        <w:spacing w:after="0" w:line="192"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The Company acquired Unitas Holdings Corp. (now known as Vroom Finance Corporation) on February 1, 2022 in a stock acquisition and Vast Holdings, Inc. on January 7, 2021 in a stock acquisition, refer to Note 5 – Acquisitions for additional information. The NOLs and other tax attributes acquired will be subject to Section 382 limitations. The Company is in the process of determining the amount of attributes that will be available for use.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0"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The Company has not identified any uncertain tax positions as of December 31, 2022 or 2021. Any interest and penalties related to uncertain tax positions shall be recorded as a component of income tax expense. To date, no interest or penalties have been accrued in relation to uncertain tax positions.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Net Loss Per Share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9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(451,910 )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(370,911 )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(202,799 )</w:t>
            </w:r>
          </w:p>
        </w:tc>
        <w:tc>
          <w:tcPr>
            <w:tcW w:w="0" w:type="dxa"/>
            <w:vAlign w:val="bottom"/>
          </w:tcPr>
          <w:p>
            <w:pPr>
              <w:spacing w:after="0"/>
              <w:rPr>
                <w:sz w:val="1"/>
                <w:szCs w:val="1"/>
                <w:color w:val="auto"/>
              </w:rPr>
            </w:pPr>
          </w:p>
        </w:tc>
      </w:tr>
      <w:tr>
        <w:trPr>
          <w:trHeight w:val="208"/>
        </w:trPr>
        <w:tc>
          <w:tcPr>
            <w:tcW w:w="59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number of shares outstanding used to compute net</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137,907,444</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136,429,791</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73,345,569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20"/>
              <w:spacing w:after="0" w:line="203" w:lineRule="exact"/>
              <w:rPr>
                <w:sz w:val="20"/>
                <w:szCs w:val="20"/>
                <w:color w:val="auto"/>
              </w:rPr>
            </w:pPr>
            <w:r>
              <w:rPr>
                <w:rFonts w:ascii="Arial" w:cs="Arial" w:eastAsia="Arial" w:hAnsi="Arial"/>
                <w:sz w:val="18"/>
                <w:szCs w:val="18"/>
                <w:color w:val="auto"/>
              </w:rPr>
              <w:t>loss per share attributable to common stockholders, basic and diluted</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common stockholders, basic and</w:t>
            </w:r>
          </w:p>
        </w:tc>
        <w:tc>
          <w:tcPr>
            <w:tcW w:w="34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(3.28 )</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(2.72 )</w:t>
            </w:r>
          </w:p>
        </w:tc>
        <w:tc>
          <w:tcPr>
            <w:tcW w:w="38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196"/>
        </w:trPr>
        <w:tc>
          <w:tcPr>
            <w:tcW w:w="59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diluted</w:t>
            </w:r>
          </w:p>
        </w:tc>
        <w:tc>
          <w:tcPr>
            <w:tcW w:w="340" w:type="dxa"/>
            <w:vAlign w:val="bottom"/>
            <w:vMerge w:val="continue"/>
            <w:shd w:val="clear" w:color="auto" w:fill="CFF0FC"/>
          </w:tcPr>
          <w:p>
            <w:pPr>
              <w:spacing w:after="0"/>
              <w:rPr>
                <w:sz w:val="17"/>
                <w:szCs w:val="17"/>
                <w:color w:val="auto"/>
              </w:rPr>
            </w:pPr>
          </w:p>
        </w:tc>
        <w:tc>
          <w:tcPr>
            <w:tcW w:w="1500" w:type="dxa"/>
            <w:vAlign w:val="bottom"/>
            <w:gridSpan w:val="2"/>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1600" w:type="dxa"/>
            <w:vAlign w:val="bottom"/>
            <w:gridSpan w:val="2"/>
            <w:vMerge w:val="continue"/>
            <w:shd w:val="clear" w:color="auto" w:fill="CFF0FC"/>
          </w:tcPr>
          <w:p>
            <w:pPr>
              <w:spacing w:after="0"/>
              <w:rPr>
                <w:sz w:val="17"/>
                <w:szCs w:val="17"/>
                <w:color w:val="auto"/>
              </w:rPr>
            </w:pPr>
          </w:p>
        </w:tc>
        <w:tc>
          <w:tcPr>
            <w:tcW w:w="380" w:type="dxa"/>
            <w:vAlign w:val="bottom"/>
            <w:vMerge w:val="continue"/>
            <w:shd w:val="clear" w:color="auto" w:fill="CFF0FC"/>
          </w:tcPr>
          <w:p>
            <w:pPr>
              <w:spacing w:after="0"/>
              <w:rPr>
                <w:sz w:val="17"/>
                <w:szCs w:val="17"/>
                <w:color w:val="auto"/>
              </w:rPr>
            </w:pPr>
          </w:p>
        </w:tc>
        <w:tc>
          <w:tcPr>
            <w:tcW w:w="13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-555625</wp:posOffset>
            </wp:positionV>
            <wp:extent cx="68580" cy="2825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-555625</wp:posOffset>
            </wp:positionV>
            <wp:extent cx="68580" cy="2825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-555625</wp:posOffset>
            </wp:positionV>
            <wp:extent cx="68580" cy="2825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-24765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-7620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120" w:firstLine="761"/>
        <w:spacing w:after="0" w:line="245"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7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164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3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senior notes</w:t>
            </w:r>
          </w:p>
        </w:tc>
        <w:tc>
          <w:tcPr>
            <w:tcW w:w="41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6,530,762</w:t>
            </w:r>
          </w:p>
        </w:tc>
        <w:tc>
          <w:tcPr>
            <w:tcW w:w="1780" w:type="dxa"/>
            <w:vAlign w:val="bottom"/>
            <w:gridSpan w:val="2"/>
            <w:shd w:val="clear" w:color="auto" w:fill="CFF0FC"/>
          </w:tcPr>
          <w:p>
            <w:pPr>
              <w:jc w:val="right"/>
              <w:ind w:right="42"/>
              <w:spacing w:after="0"/>
              <w:rPr>
                <w:sz w:val="20"/>
                <w:szCs w:val="20"/>
                <w:color w:val="auto"/>
              </w:rPr>
            </w:pPr>
            <w:r>
              <w:rPr>
                <w:rFonts w:ascii="Arial" w:cs="Arial" w:eastAsia="Arial" w:hAnsi="Arial"/>
                <w:sz w:val="18"/>
                <w:szCs w:val="18"/>
                <w:color w:val="auto"/>
              </w:rPr>
              <w:t>11,158,722</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4140" w:type="dxa"/>
            <w:vAlign w:val="bottom"/>
            <w:gridSpan w:val="2"/>
          </w:tcPr>
          <w:p>
            <w:pPr>
              <w:jc w:val="right"/>
              <w:ind w:right="39"/>
              <w:spacing w:after="0"/>
              <w:rPr>
                <w:sz w:val="20"/>
                <w:szCs w:val="20"/>
                <w:color w:val="auto"/>
              </w:rPr>
            </w:pPr>
            <w:r>
              <w:rPr>
                <w:rFonts w:ascii="Arial" w:cs="Arial" w:eastAsia="Arial" w:hAnsi="Arial"/>
                <w:sz w:val="18"/>
                <w:szCs w:val="18"/>
                <w:color w:val="auto"/>
              </w:rPr>
              <w:t>2,857,176</w:t>
            </w:r>
          </w:p>
        </w:tc>
        <w:tc>
          <w:tcPr>
            <w:tcW w:w="1780" w:type="dxa"/>
            <w:vAlign w:val="bottom"/>
            <w:gridSpan w:val="2"/>
          </w:tcPr>
          <w:p>
            <w:pPr>
              <w:jc w:val="right"/>
              <w:ind w:right="42"/>
              <w:spacing w:after="0"/>
              <w:rPr>
                <w:sz w:val="20"/>
                <w:szCs w:val="20"/>
                <w:color w:val="auto"/>
              </w:rPr>
            </w:pPr>
            <w:r>
              <w:rPr>
                <w:rFonts w:ascii="Arial" w:cs="Arial" w:eastAsia="Arial" w:hAnsi="Arial"/>
                <w:sz w:val="18"/>
                <w:szCs w:val="18"/>
                <w:color w:val="auto"/>
              </w:rPr>
              <w:t>4,076,542</w:t>
            </w:r>
          </w:p>
        </w:tc>
        <w:tc>
          <w:tcPr>
            <w:tcW w:w="1600" w:type="dxa"/>
            <w:vAlign w:val="bottom"/>
            <w:gridSpan w:val="2"/>
          </w:tcPr>
          <w:p>
            <w:pPr>
              <w:jc w:val="right"/>
              <w:ind w:right="36"/>
              <w:spacing w:after="0"/>
              <w:rPr>
                <w:sz w:val="20"/>
                <w:szCs w:val="20"/>
                <w:color w:val="auto"/>
              </w:rPr>
            </w:pPr>
            <w:r>
              <w:rPr>
                <w:rFonts w:ascii="Arial" w:cs="Arial" w:eastAsia="Arial" w:hAnsi="Arial"/>
                <w:sz w:val="18"/>
                <w:szCs w:val="18"/>
                <w:color w:val="auto"/>
              </w:rPr>
              <w:t>5,617,568</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units</w:t>
            </w:r>
          </w:p>
        </w:tc>
        <w:tc>
          <w:tcPr>
            <w:tcW w:w="2460" w:type="dxa"/>
            <w:vAlign w:val="bottom"/>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8,661,425</w:t>
            </w:r>
          </w:p>
        </w:tc>
        <w:tc>
          <w:tcPr>
            <w:tcW w:w="14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1,853,150</w:t>
            </w:r>
          </w:p>
        </w:tc>
        <w:tc>
          <w:tcPr>
            <w:tcW w:w="10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1,867,660</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Total</w:t>
            </w:r>
          </w:p>
        </w:tc>
        <w:tc>
          <w:tcPr>
            <w:tcW w:w="4140" w:type="dxa"/>
            <w:vAlign w:val="bottom"/>
            <w:gridSpan w:val="2"/>
          </w:tcPr>
          <w:p>
            <w:pPr>
              <w:jc w:val="right"/>
              <w:ind w:right="39"/>
              <w:spacing w:after="0"/>
              <w:rPr>
                <w:sz w:val="20"/>
                <w:szCs w:val="20"/>
                <w:color w:val="auto"/>
              </w:rPr>
            </w:pPr>
            <w:r>
              <w:rPr>
                <w:rFonts w:ascii="Arial" w:cs="Arial" w:eastAsia="Arial" w:hAnsi="Arial"/>
                <w:sz w:val="18"/>
                <w:szCs w:val="18"/>
                <w:color w:val="auto"/>
              </w:rPr>
              <w:t>18,049,363</w:t>
            </w:r>
          </w:p>
        </w:tc>
        <w:tc>
          <w:tcPr>
            <w:tcW w:w="1780" w:type="dxa"/>
            <w:vAlign w:val="bottom"/>
            <w:gridSpan w:val="2"/>
          </w:tcPr>
          <w:p>
            <w:pPr>
              <w:jc w:val="right"/>
              <w:ind w:right="42"/>
              <w:spacing w:after="0"/>
              <w:rPr>
                <w:sz w:val="20"/>
                <w:szCs w:val="20"/>
                <w:color w:val="auto"/>
              </w:rPr>
            </w:pPr>
            <w:r>
              <w:rPr>
                <w:rFonts w:ascii="Arial" w:cs="Arial" w:eastAsia="Arial" w:hAnsi="Arial"/>
                <w:sz w:val="18"/>
                <w:szCs w:val="18"/>
                <w:color w:val="auto"/>
              </w:rPr>
              <w:t>17,088,414</w:t>
            </w:r>
          </w:p>
        </w:tc>
        <w:tc>
          <w:tcPr>
            <w:tcW w:w="1600" w:type="dxa"/>
            <w:vAlign w:val="bottom"/>
            <w:gridSpan w:val="2"/>
          </w:tcPr>
          <w:p>
            <w:pPr>
              <w:jc w:val="right"/>
              <w:ind w:right="36"/>
              <w:spacing w:after="0"/>
              <w:rPr>
                <w:sz w:val="20"/>
                <w:szCs w:val="20"/>
                <w:color w:val="auto"/>
              </w:rPr>
            </w:pPr>
            <w:r>
              <w:rPr>
                <w:rFonts w:ascii="Arial" w:cs="Arial" w:eastAsia="Arial" w:hAnsi="Arial"/>
                <w:sz w:val="18"/>
                <w:szCs w:val="18"/>
                <w:color w:val="auto"/>
              </w:rPr>
              <w:t>7,485,228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460" w:type="dxa"/>
            <w:vAlign w:val="bottom"/>
            <w:vMerge w:val="restart"/>
          </w:tcPr>
          <w:p>
            <w:pPr>
              <w:jc w:val="right"/>
              <w:ind w:right="310"/>
              <w:spacing w:after="0"/>
              <w:rPr>
                <w:sz w:val="20"/>
                <w:szCs w:val="20"/>
                <w:color w:val="auto"/>
              </w:rPr>
            </w:pPr>
            <w:r>
              <w:rPr>
                <w:rFonts w:ascii="Arial" w:cs="Arial" w:eastAsia="Arial" w:hAnsi="Arial"/>
                <w:sz w:val="18"/>
                <w:szCs w:val="18"/>
                <w:color w:val="auto"/>
              </w:rPr>
              <w:t>138</w:t>
            </w: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372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246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Related Party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220" w:lineRule="exact"/>
        <w:rPr>
          <w:sz w:val="20"/>
          <w:szCs w:val="20"/>
          <w:color w:val="auto"/>
        </w:rPr>
      </w:pPr>
    </w:p>
    <w:p>
      <w:pPr>
        <w:ind w:right="80" w:firstLine="761"/>
        <w:spacing w:after="0" w:line="237" w:lineRule="auto"/>
        <w:rPr>
          <w:sz w:val="20"/>
          <w:szCs w:val="20"/>
          <w:color w:val="auto"/>
        </w:rPr>
      </w:pPr>
      <w:r>
        <w:rPr>
          <w:rFonts w:ascii="Arial" w:cs="Arial" w:eastAsia="Arial" w:hAnsi="Arial"/>
          <w:sz w:val="18"/>
          <w:szCs w:val="18"/>
          <w:color w:val="auto"/>
        </w:rPr>
        <w:t>In July 2015, the Company entered into a management services agreement (“MSA”) with Catterton Management Company, L.L.C. (“Catterton Management”), an affiliate of L Catterton (“Catterton”), a holder of more than 5% of the Company’s outstanding capital stock, pursuant to which Catterton Management agreed to provide consulting services on certain business and financial matters. Under the MSA, the Company agreed to pay Catterton Management an annual fee of $0.3 million until the expiration of the MSA upon the earlier of (i) termination by mutual consent of the parties and (ii) such time that Catterton and/or its affiliates cease to be one of the Company’s stockholders. For the year ended December 31, 2020, payment of the annual fee was waived. In May 2020, the MSA was terminated.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AutoNation Reconditioning Agreement</w:t>
      </w:r>
    </w:p>
    <w:p>
      <w:pPr>
        <w:spacing w:after="0" w:line="220" w:lineRule="exact"/>
        <w:rPr>
          <w:sz w:val="20"/>
          <w:szCs w:val="20"/>
          <w:color w:val="auto"/>
        </w:rPr>
      </w:pPr>
    </w:p>
    <w:p>
      <w:pPr>
        <w:ind w:firstLine="761"/>
        <w:spacing w:after="0" w:line="259" w:lineRule="auto"/>
        <w:rPr>
          <w:sz w:val="20"/>
          <w:szCs w:val="20"/>
          <w:color w:val="auto"/>
        </w:rPr>
      </w:pPr>
      <w:r>
        <w:rPr>
          <w:rFonts w:ascii="Arial" w:cs="Arial" w:eastAsia="Arial" w:hAnsi="Arial"/>
          <w:sz w:val="17"/>
          <w:szCs w:val="17"/>
          <w:color w:val="auto"/>
        </w:rPr>
        <w:t>In January 2019, the Company entered into a vendor agreement (“Vendor Agreement”) with AutoNation, Inc. (“AutoNation”), an affiliate of Auto Holdings, Inc., a holder of more than 5% of the Company’s outstanding capital stock, pursuant to which AutoNation agreed to provide certain reconditioning and repair services for vehicles owned by the Company. Amounts due under the Vendor Agreement for parts</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supplied and services performed by AutoNation become due and payable as they accrued. The Vendor Agreement was terminated in February 2020.</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220" w:lineRule="exact"/>
        <w:rPr>
          <w:sz w:val="20"/>
          <w:szCs w:val="20"/>
          <w:color w:val="auto"/>
        </w:rPr>
      </w:pPr>
    </w:p>
    <w:p>
      <w:pPr>
        <w:ind w:right="260" w:firstLine="761"/>
        <w:spacing w:after="0" w:line="238" w:lineRule="auto"/>
        <w:rPr>
          <w:sz w:val="20"/>
          <w:szCs w:val="20"/>
          <w:color w:val="auto"/>
        </w:rPr>
      </w:pPr>
      <w:r>
        <w:rPr>
          <w:rFonts w:ascii="Arial" w:cs="Arial" w:eastAsia="Arial" w:hAnsi="Arial"/>
          <w:sz w:val="18"/>
          <w:szCs w:val="18"/>
          <w:color w:val="auto"/>
        </w:rPr>
        <w:t>On January 18, 2023, the Company executed a reduction in force as part of the continued focus on reducing variable and fixed costs. The Company reduced Vroom’s headcount by approximately 275 employees based on our assessment of the Company's business needs, key initiatives, and long-term success and profitable growth. In the first quarter of 2023, the Company expects to incur expenses of approximately $4.0 million, primarily consisting of severance.</w:t>
      </w:r>
    </w:p>
    <w:p>
      <w:pPr>
        <w:spacing w:after="0" w:line="190"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In January 2023, UACC sold approximately $238.7 million of rated asset-backed securities in an auto loan securitization transaction from a securitization trust, established and sponsored by UACC for proceeds of $237.8 million. The trust is collateralized by finance receivables with an aggregate principal balance of $326.4 million. These finance receivables are serviced by UACC. As a result of current market conditions, which led to unfavorable pricing, the Company retained the non-investment grade securities and residual interests, which will require the Company to account for the 2023-1 securitization as secured borrowings and remain on balance sheet pending the sale of such retained interests.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0" w:lineRule="exact"/>
        <w:rPr>
          <w:sz w:val="20"/>
          <w:szCs w:val="20"/>
          <w:color w:val="auto"/>
        </w:rPr>
      </w:pPr>
    </w:p>
    <w:p>
      <w:pPr>
        <w:ind w:right="40" w:firstLine="761"/>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ind w:right="660" w:firstLine="761"/>
        <w:spacing w:after="0"/>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December 31, 2022.</w:t>
      </w:r>
    </w:p>
    <w:p>
      <w:pPr>
        <w:spacing w:after="0" w:line="188"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Based on that evaluation, our Principal Executive Officer and Principal Financial Officer have concluded that, as of December 31, 2022, our disclosure controls and procedures were effective at the reasonable assurance level.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0" w:lineRule="exact"/>
        <w:rPr>
          <w:sz w:val="20"/>
          <w:szCs w:val="20"/>
          <w:color w:val="auto"/>
        </w:rPr>
      </w:pPr>
    </w:p>
    <w:p>
      <w:pPr>
        <w:jc w:val="both"/>
        <w:ind w:firstLine="761"/>
        <w:spacing w:after="0" w:line="237"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Rules 13a-15(f) and 15d-15(f). Management has assessed the effectiveness of the Company’s internal control over financial reporting as of December 31, 2022, using the criteria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framework) issued by the Committee of Sponsoring Organizations of the Treadway Commission (COSO). Based on this evaluation, our management concluded that the Company’s internal control over financial reporting was effective as of December 31, 2022.</w:t>
      </w:r>
    </w:p>
    <w:p>
      <w:pPr>
        <w:spacing w:after="0" w:line="192"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Management excluded Unitas Holdings Corp., including its wholly owned subsidiaries United PanAm Financial Corp. and United Auto Credit Corporation, from its assessment of internal control over financial reporting as of December 31, 2022 because it was acquired in a business combination on February 1, 2022. Total assets and total revenue that were excluded from management's assessment represented approximately 34% and 9%, respectively, of consolidated total assets and total revenue, as of and for the year ended December 31, 2022.</w:t>
      </w:r>
    </w:p>
    <w:p>
      <w:pPr>
        <w:spacing w:after="0" w:line="192" w:lineRule="exact"/>
        <w:rPr>
          <w:sz w:val="20"/>
          <w:szCs w:val="20"/>
          <w:color w:val="auto"/>
        </w:rPr>
      </w:pPr>
    </w:p>
    <w:p>
      <w:pPr>
        <w:ind w:right="420" w:firstLine="761"/>
        <w:spacing w:after="0"/>
        <w:rPr>
          <w:sz w:val="20"/>
          <w:szCs w:val="20"/>
          <w:color w:val="auto"/>
        </w:rPr>
      </w:pPr>
      <w:r>
        <w:rPr>
          <w:rFonts w:ascii="Arial" w:cs="Arial" w:eastAsia="Arial" w:hAnsi="Arial"/>
          <w:sz w:val="18"/>
          <w:szCs w:val="18"/>
          <w:color w:val="auto"/>
        </w:rPr>
        <w:t>The effectiveness of the Company’s internal control over financial reporting as of December 31, 2022 has been audited by PricewaterhouseCoopers LLP, an independent registered public accounting firm, as stated in their report which appears in Item 8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ind w:right="320" w:firstLine="761"/>
        <w:spacing w:after="0"/>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quarterly period ended December 31, 2022,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0"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 xml:space="preserve">We have adopted a written code of ethics, entitled “Code of Business Conduct and Ethics,” that applies to all of our directors, executive officers and employees, including our principal executive officer, principal financial officer, principal accounting officer and controller, or persons performing similar functions. We make available our code of ethics free of charge through our investor relations website which is located at </w:t>
      </w:r>
      <w:r>
        <w:rPr>
          <w:rFonts w:ascii="Arial" w:cs="Arial" w:eastAsia="Arial" w:hAnsi="Arial"/>
          <w:sz w:val="18"/>
          <w:szCs w:val="18"/>
          <w:i w:val="1"/>
          <w:iCs w:val="1"/>
          <w:color w:val="auto"/>
        </w:rPr>
        <w:t>ir.vroom.com</w:t>
      </w:r>
      <w:r>
        <w:rPr>
          <w:rFonts w:ascii="Arial" w:cs="Arial" w:eastAsia="Arial" w:hAnsi="Arial"/>
          <w:sz w:val="18"/>
          <w:szCs w:val="18"/>
          <w:color w:val="auto"/>
        </w:rPr>
        <w:t>. We intend to post on our website all disclosures that are required by law or Nasdaq listing standards concerning any amendments to, or waivers from, any provision of our code of ethics.</w:t>
      </w:r>
    </w:p>
    <w:p>
      <w:pPr>
        <w:spacing w:after="0" w:line="192"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The information concerning our executive offers and directors required by this Item 10 is contained under the caption “Information about our Executive Officers and Directors” at the end of Part I of this Annual Report on Form 10-K. The remaining information required by this item is incorporated by reference to Vroom’s Proxy Statement for its 2023 Annual Meeting of Stockholders to be filed with the SEC within 120 days after the end of the fiscal year ended December 31, 2022, under the headings "Our Board of Directors," "Our Executive Officers," "Corporate Governance," and, if applicable, "Delinquent Section 16(a) Reports".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0" w:lineRule="exact"/>
        <w:rPr>
          <w:sz w:val="20"/>
          <w:szCs w:val="20"/>
          <w:color w:val="auto"/>
        </w:rPr>
      </w:pPr>
    </w:p>
    <w:p>
      <w:pPr>
        <w:ind w:right="560" w:firstLine="749"/>
        <w:spacing w:after="0"/>
        <w:rPr>
          <w:sz w:val="20"/>
          <w:szCs w:val="20"/>
          <w:color w:val="auto"/>
        </w:rPr>
      </w:pPr>
      <w:r>
        <w:rPr>
          <w:rFonts w:ascii="Arial" w:cs="Arial" w:eastAsia="Arial" w:hAnsi="Arial"/>
          <w:sz w:val="18"/>
          <w:szCs w:val="18"/>
          <w:color w:val="auto"/>
        </w:rPr>
        <w:t>The information required by this item is incorporated by reference to Vroom’s Proxy Statement for its 2023 Annual Meeting of Stockholders to be filed with the SEC within 120 days after the end of the fiscal year ended December 31, 2022, under the headings "Executive Compensation" and "Compensation Committee Interlocks and Insider Participation".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0" w:lineRule="exact"/>
        <w:rPr>
          <w:sz w:val="20"/>
          <w:szCs w:val="20"/>
          <w:color w:val="auto"/>
        </w:rPr>
      </w:pPr>
    </w:p>
    <w:p>
      <w:pPr>
        <w:ind w:right="300" w:firstLine="749"/>
        <w:spacing w:after="0" w:line="238" w:lineRule="auto"/>
        <w:rPr>
          <w:sz w:val="20"/>
          <w:szCs w:val="20"/>
          <w:color w:val="auto"/>
        </w:rPr>
      </w:pPr>
      <w:r>
        <w:rPr>
          <w:rFonts w:ascii="Arial" w:cs="Arial" w:eastAsia="Arial" w:hAnsi="Arial"/>
          <w:sz w:val="18"/>
          <w:szCs w:val="18"/>
          <w:color w:val="auto"/>
        </w:rPr>
        <w:t>The information required by this item is incorporated by reference to Vroom’s Proxy Statement for its 2023 Annual Meeting of Stockholders to be filed with the SEC within 120 days after the end of the fiscal year ended December 31, 2022, under the headings "Security Ownership of Certain Beneficial Owners and Management" and "Securities Authorized for Issuance under Equity Compensation Plans".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0"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The information required by this item is incorporated by reference to Vroom’s Proxy Statement for its 2023 Annual Meeting of Stockholders to be filed with the SEC within 120 days after the end of the fiscal year ended December 31, 2022, under the headings "Certain Relationships and Related Person Transactions" and "Corporate Governance".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0" w:lineRule="exact"/>
        <w:rPr>
          <w:sz w:val="20"/>
          <w:szCs w:val="20"/>
          <w:color w:val="auto"/>
        </w:rPr>
      </w:pPr>
    </w:p>
    <w:p>
      <w:pPr>
        <w:jc w:val="both"/>
        <w:ind w:right="540" w:firstLine="749"/>
        <w:spacing w:after="0"/>
        <w:rPr>
          <w:sz w:val="20"/>
          <w:szCs w:val="20"/>
          <w:color w:val="auto"/>
        </w:rPr>
      </w:pPr>
      <w:r>
        <w:rPr>
          <w:rFonts w:ascii="Arial" w:cs="Arial" w:eastAsia="Arial" w:hAnsi="Arial"/>
          <w:sz w:val="18"/>
          <w:szCs w:val="18"/>
          <w:color w:val="auto"/>
        </w:rPr>
        <w:t>The information required by this item is incorporated by reference to Vroom’s Proxy Statement for its 2023 Annual Meeting of Stockholders to be filed with the SEC within 120 days after the end of the fiscal year ended December 31, 2022, under the subheading "Principal Accountant Fees and Services".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33" w:lineRule="exact"/>
        <w:rPr>
          <w:sz w:val="20"/>
          <w:szCs w:val="20"/>
          <w:color w:val="auto"/>
        </w:rPr>
      </w:pPr>
    </w:p>
    <w:p>
      <w:pPr>
        <w:ind w:left="760" w:right="20" w:hanging="378"/>
        <w:spacing w:after="0" w:line="245"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Statements: The Consolidated Financial Statements of Vroom are set forth in Part II, Item 8 of this Annual Report on Form 10-K.</w:t>
      </w:r>
    </w:p>
    <w:p>
      <w:pPr>
        <w:spacing w:after="0" w:line="197" w:lineRule="exact"/>
        <w:rPr>
          <w:rFonts w:ascii="Arial" w:cs="Arial" w:eastAsia="Arial" w:hAnsi="Arial"/>
          <w:sz w:val="18"/>
          <w:szCs w:val="18"/>
          <w:color w:val="auto"/>
        </w:rPr>
      </w:pPr>
    </w:p>
    <w:p>
      <w:pPr>
        <w:ind w:left="760" w:right="140" w:hanging="378"/>
        <w:spacing w:after="0" w:line="245"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Statement Schedules: All financial statement schedules have been omitted because they are not applicable, not material or the required information is shown in Part II, Item 8 of this Annual Report on Form 10-K.</w:t>
      </w:r>
    </w:p>
    <w:p>
      <w:pPr>
        <w:spacing w:after="0" w:line="197" w:lineRule="exact"/>
        <w:rPr>
          <w:rFonts w:ascii="Arial" w:cs="Arial" w:eastAsia="Arial" w:hAnsi="Arial"/>
          <w:sz w:val="18"/>
          <w:szCs w:val="18"/>
          <w:color w:val="auto"/>
        </w:rPr>
      </w:pPr>
    </w:p>
    <w:p>
      <w:pPr>
        <w:ind w:left="760" w:right="580" w:hanging="378"/>
        <w:spacing w:after="0" w:line="245"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Exhibits: The exhibits listed in the accompanying Exhibit Index are filed, furnished or incorporated by reference as part of this Annual Report on Form 10-K.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20" w:type="dxa"/>
            <w:vAlign w:val="bottom"/>
            <w:gridSpan w:val="22"/>
          </w:tcPr>
          <w:p>
            <w:pPr>
              <w:ind w:left="40"/>
              <w:spacing w:after="0"/>
              <w:rPr>
                <w:sz w:val="20"/>
                <w:szCs w:val="20"/>
                <w:color w:val="auto"/>
              </w:rPr>
            </w:pPr>
            <w:r>
              <w:rPr>
                <w:rFonts w:ascii="Arial" w:cs="Arial" w:eastAsia="Arial" w:hAnsi="Arial"/>
                <w:sz w:val="14"/>
                <w:szCs w:val="14"/>
                <w:b w:val="1"/>
                <w:bCs w:val="1"/>
                <w:color w:val="212529"/>
              </w:rPr>
              <w:t>Exhibit Description</w:t>
            </w:r>
          </w:p>
        </w:tc>
        <w:tc>
          <w:tcPr>
            <w:tcW w:w="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212529"/>
              </w:rPr>
              <w:t>Form</w:t>
            </w:r>
          </w:p>
        </w:tc>
        <w:tc>
          <w:tcPr>
            <w:tcW w:w="100" w:type="dxa"/>
            <w:vAlign w:val="bottom"/>
          </w:tcPr>
          <w:p>
            <w:pPr>
              <w:spacing w:after="0"/>
              <w:rPr>
                <w:sz w:val="14"/>
                <w:szCs w:val="14"/>
                <w:color w:val="auto"/>
              </w:rPr>
            </w:pPr>
          </w:p>
        </w:tc>
        <w:tc>
          <w:tcPr>
            <w:tcW w:w="1240" w:type="dxa"/>
            <w:vAlign w:val="bottom"/>
          </w:tcPr>
          <w:p>
            <w:pPr>
              <w:ind w:left="360"/>
              <w:spacing w:after="0"/>
              <w:rPr>
                <w:sz w:val="20"/>
                <w:szCs w:val="20"/>
                <w:color w:val="auto"/>
              </w:rPr>
            </w:pPr>
            <w:r>
              <w:rPr>
                <w:rFonts w:ascii="Arial" w:cs="Arial" w:eastAsia="Arial" w:hAnsi="Arial"/>
                <w:sz w:val="14"/>
                <w:szCs w:val="14"/>
                <w:b w:val="1"/>
                <w:bCs w:val="1"/>
                <w:color w:val="212529"/>
              </w:rPr>
              <w:t>File No.</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212529"/>
              </w:rPr>
              <w:t>Exhibit</w:t>
            </w: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212529"/>
              </w:rPr>
              <w:t>Filing</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212529"/>
                <w:w w:val="97"/>
              </w:rPr>
              <w:t>Filed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212529"/>
              </w:rPr>
              <w:t>Furnished</w:t>
            </w:r>
          </w:p>
        </w:tc>
      </w:tr>
      <w:tr>
        <w:trPr>
          <w:trHeight w:val="189"/>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Date</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r>
      <w:tr>
        <w:trPr>
          <w:trHeight w:val="304"/>
        </w:trPr>
        <w:tc>
          <w:tcPr>
            <w:tcW w:w="860" w:type="dxa"/>
            <w:vAlign w:val="bottom"/>
          </w:tcPr>
          <w:p>
            <w:pPr>
              <w:ind w:left="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3040" w:type="dxa"/>
            <w:vAlign w:val="bottom"/>
            <w:tcBorders>
              <w:bottom w:val="single" w:sz="8" w:color="0000FF"/>
            </w:tcBorders>
            <w:gridSpan w:val="17"/>
          </w:tcPr>
          <w:p>
            <w:pPr>
              <w:spacing w:after="0"/>
              <w:rPr>
                <w:rFonts w:ascii="Arial" w:cs="Arial" w:eastAsia="Arial" w:hAnsi="Arial"/>
                <w:sz w:val="18"/>
                <w:szCs w:val="18"/>
                <w:color w:val="0000FF"/>
              </w:rPr>
            </w:pPr>
            <w:hyperlink r:id="rId533">
              <w:r>
                <w:rPr>
                  <w:rFonts w:ascii="Arial" w:cs="Arial" w:eastAsia="Arial" w:hAnsi="Arial"/>
                  <w:sz w:val="18"/>
                  <w:szCs w:val="18"/>
                  <w:color w:val="0000FF"/>
                </w:rPr>
                <w:t>Agreement and Plan of Merger, dated</w:t>
              </w:r>
            </w:hyperlink>
          </w:p>
        </w:tc>
        <w:tc>
          <w:tcPr>
            <w:tcW w:w="200" w:type="dxa"/>
            <w:vAlign w:val="bottom"/>
            <w:gridSpan w:val="6"/>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October 12,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tcBorders>
              <w:bottom w:val="single" w:sz="8" w:color="0000FF"/>
            </w:tcBorders>
            <w:gridSpan w:val="21"/>
          </w:tcPr>
          <w:p>
            <w:pPr>
              <w:spacing w:after="0" w:line="182" w:lineRule="exact"/>
              <w:rPr>
                <w:rFonts w:ascii="Arial" w:cs="Arial" w:eastAsia="Arial" w:hAnsi="Arial"/>
                <w:sz w:val="18"/>
                <w:szCs w:val="18"/>
                <w:color w:val="0000FF"/>
              </w:rPr>
            </w:pPr>
            <w:hyperlink r:id="rId533">
              <w:r>
                <w:rPr>
                  <w:rFonts w:ascii="Arial" w:cs="Arial" w:eastAsia="Arial" w:hAnsi="Arial"/>
                  <w:sz w:val="18"/>
                  <w:szCs w:val="18"/>
                  <w:color w:val="0000FF"/>
                </w:rPr>
                <w:t>as of October 11, 2021, by and among</w:t>
              </w:r>
            </w:hyperlink>
          </w:p>
        </w:tc>
        <w:tc>
          <w:tcPr>
            <w:tcW w:w="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533">
              <w:r>
                <w:rPr>
                  <w:rFonts w:ascii="Arial" w:cs="Arial" w:eastAsia="Arial" w:hAnsi="Arial"/>
                  <w:sz w:val="18"/>
                  <w:szCs w:val="18"/>
                  <w:color w:val="0000FF"/>
                  <w:w w:val="99"/>
                </w:rPr>
                <w:t>Vroom, Inc., Vroom Finance</w:t>
              </w:r>
            </w:hyperlink>
          </w:p>
        </w:tc>
        <w:tc>
          <w:tcPr>
            <w:tcW w:w="980" w:type="dxa"/>
            <w:vAlign w:val="bottom"/>
            <w:gridSpan w:val="17"/>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tcBorders>
              <w:bottom w:val="single" w:sz="8" w:color="0000FF"/>
            </w:tcBorders>
            <w:gridSpan w:val="22"/>
          </w:tcPr>
          <w:p>
            <w:pPr>
              <w:spacing w:after="0" w:line="182" w:lineRule="exact"/>
              <w:rPr>
                <w:rFonts w:ascii="Arial" w:cs="Arial" w:eastAsia="Arial" w:hAnsi="Arial"/>
                <w:sz w:val="18"/>
                <w:szCs w:val="18"/>
                <w:color w:val="0000FF"/>
              </w:rPr>
            </w:pPr>
            <w:hyperlink r:id="rId533">
              <w:r>
                <w:rPr>
                  <w:rFonts w:ascii="Arial" w:cs="Arial" w:eastAsia="Arial" w:hAnsi="Arial"/>
                  <w:sz w:val="18"/>
                  <w:szCs w:val="18"/>
                  <w:color w:val="0000FF"/>
                </w:rPr>
                <w:t>Corporation, Unitas Holdings Corp. and</w:t>
              </w:r>
            </w:hyperlink>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Borders>
              <w:bottom w:val="single" w:sz="8" w:color="0000FF"/>
            </w:tcBorders>
            <w:gridSpan w:val="10"/>
          </w:tcPr>
          <w:p>
            <w:pPr>
              <w:spacing w:after="0" w:line="182" w:lineRule="exact"/>
              <w:rPr>
                <w:rFonts w:ascii="Arial" w:cs="Arial" w:eastAsia="Arial" w:hAnsi="Arial"/>
                <w:sz w:val="18"/>
                <w:szCs w:val="18"/>
                <w:color w:val="0000FF"/>
              </w:rPr>
            </w:pPr>
            <w:hyperlink r:id="rId533">
              <w:r>
                <w:rPr>
                  <w:rFonts w:ascii="Arial" w:cs="Arial" w:eastAsia="Arial" w:hAnsi="Arial"/>
                  <w:sz w:val="18"/>
                  <w:szCs w:val="18"/>
                  <w:color w:val="0000FF"/>
                </w:rPr>
                <w:t>Fortis Advisors LLC, solely in its</w:t>
              </w:r>
            </w:hyperlink>
          </w:p>
        </w:tc>
        <w:tc>
          <w:tcPr>
            <w:tcW w:w="660" w:type="dxa"/>
            <w:vAlign w:val="bottom"/>
            <w:gridSpan w:val="13"/>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tcBorders>
              <w:bottom w:val="single" w:sz="8" w:color="0000FF"/>
            </w:tcBorders>
            <w:gridSpan w:val="8"/>
          </w:tcPr>
          <w:p>
            <w:pPr>
              <w:spacing w:after="0" w:line="182" w:lineRule="exact"/>
              <w:rPr>
                <w:rFonts w:ascii="Arial" w:cs="Arial" w:eastAsia="Arial" w:hAnsi="Arial"/>
                <w:sz w:val="18"/>
                <w:szCs w:val="18"/>
                <w:color w:val="0000FF"/>
              </w:rPr>
            </w:pPr>
            <w:hyperlink r:id="rId533">
              <w:r>
                <w:rPr>
                  <w:rFonts w:ascii="Arial" w:cs="Arial" w:eastAsia="Arial" w:hAnsi="Arial"/>
                  <w:sz w:val="18"/>
                  <w:szCs w:val="18"/>
                  <w:color w:val="0000FF"/>
                </w:rPr>
                <w:t>capacity as the equityholders'</w:t>
              </w:r>
            </w:hyperlink>
          </w:p>
        </w:tc>
        <w:tc>
          <w:tcPr>
            <w:tcW w:w="840" w:type="dxa"/>
            <w:vAlign w:val="bottom"/>
            <w:gridSpan w:val="15"/>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533">
              <w:r>
                <w:rPr>
                  <w:rFonts w:ascii="Arial" w:cs="Arial" w:eastAsia="Arial" w:hAnsi="Arial"/>
                  <w:sz w:val="18"/>
                  <w:szCs w:val="18"/>
                  <w:color w:val="0000FF"/>
                  <w:w w:val="98"/>
                </w:rPr>
                <w:t>representative</w:t>
              </w:r>
            </w:hyperlink>
          </w:p>
        </w:tc>
        <w:tc>
          <w:tcPr>
            <w:tcW w:w="2100" w:type="dxa"/>
            <w:vAlign w:val="bottom"/>
            <w:gridSpan w:val="20"/>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641"/>
        </w:trPr>
        <w:tc>
          <w:tcPr>
            <w:tcW w:w="86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2980" w:type="dxa"/>
            <w:vAlign w:val="bottom"/>
            <w:tcBorders>
              <w:bottom w:val="single" w:sz="8" w:color="0000FF"/>
            </w:tcBorders>
            <w:gridSpan w:val="14"/>
          </w:tcPr>
          <w:p>
            <w:pPr>
              <w:spacing w:after="0"/>
              <w:rPr>
                <w:rFonts w:ascii="Arial" w:cs="Arial" w:eastAsia="Arial" w:hAnsi="Arial"/>
                <w:sz w:val="18"/>
                <w:szCs w:val="18"/>
                <w:color w:val="0000FF"/>
              </w:rPr>
            </w:pPr>
            <w:hyperlink r:id="rId534">
              <w:r>
                <w:rPr>
                  <w:rFonts w:ascii="Arial" w:cs="Arial" w:eastAsia="Arial" w:hAnsi="Arial"/>
                  <w:sz w:val="18"/>
                  <w:szCs w:val="18"/>
                  <w:color w:val="0000FF"/>
                </w:rPr>
                <w:t>Amended and Restated Certificate of</w:t>
              </w:r>
            </w:hyperlink>
          </w:p>
        </w:tc>
        <w:tc>
          <w:tcPr>
            <w:tcW w:w="260" w:type="dxa"/>
            <w:vAlign w:val="bottom"/>
            <w:gridSpan w:val="9"/>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720" w:type="dxa"/>
            <w:vAlign w:val="bottom"/>
          </w:tcPr>
          <w:p>
            <w:pPr>
              <w:ind w:left="260"/>
              <w:spacing w:after="0"/>
              <w:rPr>
                <w:sz w:val="20"/>
                <w:szCs w:val="20"/>
                <w:color w:val="auto"/>
              </w:rPr>
            </w:pPr>
            <w:r>
              <w:rPr>
                <w:rFonts w:ascii="Arial" w:cs="Arial" w:eastAsia="Arial" w:hAnsi="Arial"/>
                <w:sz w:val="18"/>
                <w:szCs w:val="18"/>
                <w:color w:val="auto"/>
              </w:rPr>
              <w:t>August 13,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23"/>
          </w:tcPr>
          <w:p>
            <w:pPr>
              <w:spacing w:after="0" w:line="182" w:lineRule="exact"/>
              <w:rPr>
                <w:rFonts w:ascii="Arial" w:cs="Arial" w:eastAsia="Arial" w:hAnsi="Arial"/>
                <w:sz w:val="18"/>
                <w:szCs w:val="18"/>
                <w:color w:val="0000FF"/>
              </w:rPr>
            </w:pPr>
            <w:hyperlink r:id="rId534">
              <w:r>
                <w:rPr>
                  <w:rFonts w:ascii="Arial" w:cs="Arial" w:eastAsia="Arial" w:hAnsi="Arial"/>
                  <w:sz w:val="18"/>
                  <w:szCs w:val="18"/>
                  <w:color w:val="0000FF"/>
                </w:rPr>
                <w:t>Incorporation of Vroom, Inc.</w:t>
              </w:r>
            </w:hyperlink>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1"/>
        </w:trPr>
        <w:tc>
          <w:tcPr>
            <w:tcW w:w="86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740" w:type="dxa"/>
            <w:vAlign w:val="bottom"/>
            <w:tcBorders>
              <w:bottom w:val="single" w:sz="8" w:color="0000FF"/>
            </w:tcBorders>
            <w:gridSpan w:val="11"/>
          </w:tcPr>
          <w:p>
            <w:pPr>
              <w:spacing w:after="0"/>
              <w:rPr>
                <w:rFonts w:ascii="Arial" w:cs="Arial" w:eastAsia="Arial" w:hAnsi="Arial"/>
                <w:sz w:val="18"/>
                <w:szCs w:val="18"/>
                <w:color w:val="0000FF"/>
              </w:rPr>
            </w:pPr>
            <w:hyperlink r:id="rId535">
              <w:r>
                <w:rPr>
                  <w:rFonts w:ascii="Arial" w:cs="Arial" w:eastAsia="Arial" w:hAnsi="Arial"/>
                  <w:sz w:val="18"/>
                  <w:szCs w:val="18"/>
                  <w:color w:val="0000FF"/>
                </w:rPr>
                <w:t>Amended and Restated Bylaws of</w:t>
              </w:r>
            </w:hyperlink>
          </w:p>
        </w:tc>
        <w:tc>
          <w:tcPr>
            <w:tcW w:w="500" w:type="dxa"/>
            <w:vAlign w:val="bottom"/>
            <w:gridSpan w:val="12"/>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720" w:type="dxa"/>
            <w:vAlign w:val="bottom"/>
          </w:tcPr>
          <w:p>
            <w:pPr>
              <w:ind w:left="260"/>
              <w:spacing w:after="0"/>
              <w:rPr>
                <w:sz w:val="20"/>
                <w:szCs w:val="20"/>
                <w:color w:val="auto"/>
              </w:rPr>
            </w:pPr>
            <w:r>
              <w:rPr>
                <w:rFonts w:ascii="Arial" w:cs="Arial" w:eastAsia="Arial" w:hAnsi="Arial"/>
                <w:sz w:val="18"/>
                <w:szCs w:val="18"/>
                <w:color w:val="auto"/>
              </w:rPr>
              <w:t>August 13,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23"/>
          </w:tcPr>
          <w:p>
            <w:pPr>
              <w:spacing w:after="0" w:line="182" w:lineRule="exact"/>
              <w:rPr>
                <w:rFonts w:ascii="Arial" w:cs="Arial" w:eastAsia="Arial" w:hAnsi="Arial"/>
                <w:sz w:val="18"/>
                <w:szCs w:val="18"/>
                <w:color w:val="0000FF"/>
              </w:rPr>
            </w:pPr>
            <w:hyperlink r:id="rId535">
              <w:r>
                <w:rPr>
                  <w:rFonts w:ascii="Arial" w:cs="Arial" w:eastAsia="Arial" w:hAnsi="Arial"/>
                  <w:sz w:val="18"/>
                  <w:szCs w:val="18"/>
                  <w:color w:val="0000FF"/>
                </w:rPr>
                <w:t>Vroom, Inc.</w:t>
              </w:r>
            </w:hyperlink>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1"/>
        </w:trPr>
        <w:tc>
          <w:tcPr>
            <w:tcW w:w="86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100" w:type="dxa"/>
            <w:vAlign w:val="bottom"/>
            <w:tcBorders>
              <w:bottom w:val="single" w:sz="8" w:color="0000FF"/>
            </w:tcBorders>
            <w:gridSpan w:val="20"/>
          </w:tcPr>
          <w:p>
            <w:pPr>
              <w:spacing w:after="0"/>
              <w:rPr>
                <w:rFonts w:ascii="Arial" w:cs="Arial" w:eastAsia="Arial" w:hAnsi="Arial"/>
                <w:sz w:val="18"/>
                <w:szCs w:val="18"/>
                <w:color w:val="0000FF"/>
              </w:rPr>
            </w:pPr>
            <w:hyperlink r:id="rId536">
              <w:r>
                <w:rPr>
                  <w:rFonts w:ascii="Arial" w:cs="Arial" w:eastAsia="Arial" w:hAnsi="Arial"/>
                  <w:sz w:val="18"/>
                  <w:szCs w:val="18"/>
                  <w:color w:val="0000FF"/>
                </w:rPr>
                <w:t>Specimen Stock Certificate evidencing</w:t>
              </w:r>
            </w:hyperlink>
          </w:p>
        </w:tc>
        <w:tc>
          <w:tcPr>
            <w:tcW w:w="1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333-238482</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June 1,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Borders>
              <w:bottom w:val="single" w:sz="8" w:color="0000FF"/>
            </w:tcBorders>
            <w:gridSpan w:val="5"/>
          </w:tcPr>
          <w:p>
            <w:pPr>
              <w:spacing w:after="0" w:line="182" w:lineRule="exact"/>
              <w:rPr>
                <w:rFonts w:ascii="Arial" w:cs="Arial" w:eastAsia="Arial" w:hAnsi="Arial"/>
                <w:sz w:val="18"/>
                <w:szCs w:val="18"/>
                <w:color w:val="0000FF"/>
                <w:w w:val="98"/>
              </w:rPr>
            </w:pPr>
            <w:hyperlink r:id="rId536">
              <w:r>
                <w:rPr>
                  <w:rFonts w:ascii="Arial" w:cs="Arial" w:eastAsia="Arial" w:hAnsi="Arial"/>
                  <w:sz w:val="18"/>
                  <w:szCs w:val="18"/>
                  <w:color w:val="0000FF"/>
                  <w:w w:val="98"/>
                </w:rPr>
                <w:t>the shares of common stock</w:t>
              </w:r>
            </w:hyperlink>
          </w:p>
        </w:tc>
        <w:tc>
          <w:tcPr>
            <w:tcW w:w="1000" w:type="dxa"/>
            <w:vAlign w:val="bottom"/>
            <w:gridSpan w:val="18"/>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843"/>
        </w:trPr>
        <w:tc>
          <w:tcPr>
            <w:tcW w:w="86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3020" w:type="dxa"/>
            <w:vAlign w:val="bottom"/>
            <w:tcBorders>
              <w:bottom w:val="single" w:sz="8" w:color="0000FF"/>
            </w:tcBorders>
            <w:gridSpan w:val="16"/>
          </w:tcPr>
          <w:p>
            <w:pPr>
              <w:spacing w:after="0"/>
              <w:rPr>
                <w:rFonts w:ascii="Arial" w:cs="Arial" w:eastAsia="Arial" w:hAnsi="Arial"/>
                <w:sz w:val="18"/>
                <w:szCs w:val="18"/>
                <w:color w:val="0000FF"/>
              </w:rPr>
            </w:pPr>
            <w:hyperlink r:id="rId537">
              <w:r>
                <w:rPr>
                  <w:rFonts w:ascii="Arial" w:cs="Arial" w:eastAsia="Arial" w:hAnsi="Arial"/>
                  <w:sz w:val="18"/>
                  <w:szCs w:val="18"/>
                  <w:color w:val="0000FF"/>
                </w:rPr>
                <w:t>Indenture, dated as of June 18, 2021,</w:t>
              </w:r>
            </w:hyperlink>
          </w:p>
        </w:tc>
        <w:tc>
          <w:tcPr>
            <w:tcW w:w="220" w:type="dxa"/>
            <w:vAlign w:val="bottom"/>
            <w:gridSpan w:val="7"/>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June 21,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tcBorders>
              <w:bottom w:val="single" w:sz="8" w:color="0000FF"/>
            </w:tcBorders>
            <w:gridSpan w:val="12"/>
          </w:tcPr>
          <w:p>
            <w:pPr>
              <w:spacing w:after="0" w:line="182" w:lineRule="exact"/>
              <w:rPr>
                <w:rFonts w:ascii="Arial" w:cs="Arial" w:eastAsia="Arial" w:hAnsi="Arial"/>
                <w:sz w:val="18"/>
                <w:szCs w:val="18"/>
                <w:color w:val="0000FF"/>
              </w:rPr>
            </w:pPr>
            <w:hyperlink r:id="rId537">
              <w:r>
                <w:rPr>
                  <w:rFonts w:ascii="Arial" w:cs="Arial" w:eastAsia="Arial" w:hAnsi="Arial"/>
                  <w:sz w:val="18"/>
                  <w:szCs w:val="18"/>
                  <w:color w:val="0000FF"/>
                </w:rPr>
                <w:t>between Vroom, Inc. and U.S. Bank</w:t>
              </w:r>
            </w:hyperlink>
          </w:p>
        </w:tc>
        <w:tc>
          <w:tcPr>
            <w:tcW w:w="320" w:type="dxa"/>
            <w:vAlign w:val="bottom"/>
            <w:gridSpan w:val="11"/>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23"/>
          </w:tcPr>
          <w:p>
            <w:pPr>
              <w:spacing w:after="0" w:line="182" w:lineRule="exact"/>
              <w:rPr>
                <w:rFonts w:ascii="Arial" w:cs="Arial" w:eastAsia="Arial" w:hAnsi="Arial"/>
                <w:sz w:val="18"/>
                <w:szCs w:val="18"/>
                <w:color w:val="0000FF"/>
              </w:rPr>
            </w:pPr>
            <w:hyperlink r:id="rId537">
              <w:r>
                <w:rPr>
                  <w:rFonts w:ascii="Arial" w:cs="Arial" w:eastAsia="Arial" w:hAnsi="Arial"/>
                  <w:sz w:val="18"/>
                  <w:szCs w:val="18"/>
                  <w:color w:val="0000FF"/>
                </w:rPr>
                <w:t>National Association, as trustee</w:t>
              </w:r>
            </w:hyperlink>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641"/>
        </w:trPr>
        <w:tc>
          <w:tcPr>
            <w:tcW w:w="860" w:type="dxa"/>
            <w:vAlign w:val="bottom"/>
          </w:tcPr>
          <w:p>
            <w:pPr>
              <w:ind w:left="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3000" w:type="dxa"/>
            <w:vAlign w:val="bottom"/>
            <w:tcBorders>
              <w:bottom w:val="single" w:sz="8" w:color="0000FF"/>
            </w:tcBorders>
            <w:gridSpan w:val="15"/>
          </w:tcPr>
          <w:p>
            <w:pPr>
              <w:spacing w:after="0"/>
              <w:rPr>
                <w:rFonts w:ascii="Arial" w:cs="Arial" w:eastAsia="Arial" w:hAnsi="Arial"/>
                <w:sz w:val="18"/>
                <w:szCs w:val="18"/>
                <w:color w:val="0000FF"/>
              </w:rPr>
            </w:pPr>
            <w:hyperlink r:id="rId537">
              <w:r>
                <w:rPr>
                  <w:rFonts w:ascii="Arial" w:cs="Arial" w:eastAsia="Arial" w:hAnsi="Arial"/>
                  <w:sz w:val="18"/>
                  <w:szCs w:val="18"/>
                  <w:color w:val="0000FF"/>
                </w:rPr>
                <w:t>Form of Global Note representing the</w:t>
              </w:r>
            </w:hyperlink>
          </w:p>
        </w:tc>
        <w:tc>
          <w:tcPr>
            <w:tcW w:w="240" w:type="dxa"/>
            <w:vAlign w:val="bottom"/>
            <w:gridSpan w:val="8"/>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June 21,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tcBorders>
              <w:bottom w:val="single" w:sz="8" w:color="0000FF"/>
            </w:tcBorders>
            <w:gridSpan w:val="17"/>
          </w:tcPr>
          <w:p>
            <w:pPr>
              <w:spacing w:after="0" w:line="182" w:lineRule="exact"/>
              <w:rPr>
                <w:rFonts w:ascii="Arial" w:cs="Arial" w:eastAsia="Arial" w:hAnsi="Arial"/>
                <w:sz w:val="18"/>
                <w:szCs w:val="18"/>
                <w:color w:val="0000FF"/>
              </w:rPr>
            </w:pPr>
            <w:hyperlink r:id="rId537">
              <w:r>
                <w:rPr>
                  <w:rFonts w:ascii="Arial" w:cs="Arial" w:eastAsia="Arial" w:hAnsi="Arial"/>
                  <w:sz w:val="18"/>
                  <w:szCs w:val="18"/>
                  <w:color w:val="0000FF"/>
                </w:rPr>
                <w:t>0.</w:t>
              </w:r>
              <w:r>
                <w:rPr>
                  <w:rFonts w:ascii="Arial" w:cs="Arial" w:eastAsia="Arial" w:hAnsi="Arial"/>
                  <w:sz w:val="18"/>
                  <w:szCs w:val="18"/>
                  <w:u w:val="single" w:color="auto"/>
                  <w:color w:val="0000FF"/>
                </w:rPr>
                <w:t>750%</w:t>
              </w:r>
              <w:r>
                <w:rPr>
                  <w:rFonts w:ascii="Arial" w:cs="Arial" w:eastAsia="Arial" w:hAnsi="Arial"/>
                  <w:sz w:val="18"/>
                  <w:szCs w:val="18"/>
                  <w:color w:val="0000FF"/>
                </w:rPr>
                <w:t xml:space="preserve"> Convertible Senior Notes due</w:t>
              </w:r>
            </w:hyperlink>
          </w:p>
        </w:tc>
        <w:tc>
          <w:tcPr>
            <w:tcW w:w="200" w:type="dxa"/>
            <w:vAlign w:val="bottom"/>
            <w:gridSpan w:val="6"/>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537">
              <w:r>
                <w:rPr>
                  <w:rFonts w:ascii="Arial" w:cs="Arial" w:eastAsia="Arial" w:hAnsi="Arial"/>
                  <w:sz w:val="18"/>
                  <w:szCs w:val="18"/>
                  <w:color w:val="0000FF"/>
                  <w:w w:val="99"/>
                </w:rPr>
                <w:t>2026 (included in Exhibit 4.2)</w:t>
              </w:r>
            </w:hyperlink>
          </w:p>
        </w:tc>
        <w:tc>
          <w:tcPr>
            <w:tcW w:w="920" w:type="dxa"/>
            <w:vAlign w:val="bottom"/>
            <w:gridSpan w:val="16"/>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072"/>
        </w:trPr>
        <w:tc>
          <w:tcPr>
            <w:tcW w:w="860" w:type="dxa"/>
            <w:vAlign w:val="bottom"/>
          </w:tcPr>
          <w:p>
            <w:pPr>
              <w:ind w:left="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2500" w:type="dxa"/>
            <w:vAlign w:val="bottom"/>
            <w:tcBorders>
              <w:bottom w:val="single" w:sz="8" w:color="0000FF"/>
            </w:tcBorders>
            <w:gridSpan w:val="9"/>
          </w:tcPr>
          <w:p>
            <w:pPr>
              <w:spacing w:after="0"/>
              <w:rPr>
                <w:rFonts w:ascii="Arial" w:cs="Arial" w:eastAsia="Arial" w:hAnsi="Arial"/>
                <w:sz w:val="18"/>
                <w:szCs w:val="18"/>
                <w:color w:val="0000FF"/>
              </w:rPr>
            </w:pPr>
            <w:hyperlink r:id="rId538">
              <w:r>
                <w:rPr>
                  <w:rFonts w:ascii="Arial" w:cs="Arial" w:eastAsia="Arial" w:hAnsi="Arial"/>
                  <w:sz w:val="18"/>
                  <w:szCs w:val="18"/>
                  <w:color w:val="0000FF"/>
                </w:rPr>
                <w:t>Eighth Amended and Restated</w:t>
              </w:r>
            </w:hyperlink>
          </w:p>
        </w:tc>
        <w:tc>
          <w:tcPr>
            <w:tcW w:w="740" w:type="dxa"/>
            <w:vAlign w:val="bottom"/>
            <w:gridSpan w:val="14"/>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333-238482</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May 18,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80" w:type="dxa"/>
            <w:vAlign w:val="bottom"/>
            <w:tcBorders>
              <w:bottom w:val="single" w:sz="8" w:color="0000FF"/>
            </w:tcBorders>
            <w:gridSpan w:val="19"/>
          </w:tcPr>
          <w:p>
            <w:pPr>
              <w:spacing w:after="0" w:line="182" w:lineRule="exact"/>
              <w:rPr>
                <w:rFonts w:ascii="Arial" w:cs="Arial" w:eastAsia="Arial" w:hAnsi="Arial"/>
                <w:sz w:val="18"/>
                <w:szCs w:val="18"/>
                <w:color w:val="0000FF"/>
              </w:rPr>
            </w:pPr>
            <w:hyperlink r:id="rId538">
              <w:r>
                <w:rPr>
                  <w:rFonts w:ascii="Arial" w:cs="Arial" w:eastAsia="Arial" w:hAnsi="Arial"/>
                  <w:sz w:val="18"/>
                  <w:szCs w:val="18"/>
                  <w:color w:val="0000FF"/>
                </w:rPr>
                <w:t>Investors’ Rights Agreement, dated as</w:t>
              </w:r>
            </w:hyperlink>
          </w:p>
        </w:tc>
        <w:tc>
          <w:tcPr>
            <w:tcW w:w="160" w:type="dxa"/>
            <w:vAlign w:val="bottom"/>
            <w:gridSpan w:val="4"/>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tcBorders>
              <w:bottom w:val="single" w:sz="8" w:color="0000FF"/>
            </w:tcBorders>
            <w:gridSpan w:val="18"/>
          </w:tcPr>
          <w:p>
            <w:pPr>
              <w:spacing w:after="0" w:line="182" w:lineRule="exact"/>
              <w:rPr>
                <w:rFonts w:ascii="Arial" w:cs="Arial" w:eastAsia="Arial" w:hAnsi="Arial"/>
                <w:sz w:val="18"/>
                <w:szCs w:val="18"/>
                <w:color w:val="0000FF"/>
              </w:rPr>
            </w:pPr>
            <w:hyperlink r:id="rId538">
              <w:r>
                <w:rPr>
                  <w:rFonts w:ascii="Arial" w:cs="Arial" w:eastAsia="Arial" w:hAnsi="Arial"/>
                  <w:sz w:val="18"/>
                  <w:szCs w:val="18"/>
                  <w:color w:val="0000FF"/>
                </w:rPr>
                <w:t>of November 21, 2019, by and among</w:t>
              </w:r>
            </w:hyperlink>
          </w:p>
        </w:tc>
        <w:tc>
          <w:tcPr>
            <w:tcW w:w="180" w:type="dxa"/>
            <w:vAlign w:val="bottom"/>
            <w:gridSpan w:val="5"/>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538">
              <w:r>
                <w:rPr>
                  <w:rFonts w:ascii="Arial" w:cs="Arial" w:eastAsia="Arial" w:hAnsi="Arial"/>
                  <w:sz w:val="18"/>
                  <w:szCs w:val="18"/>
                  <w:color w:val="0000FF"/>
                </w:rPr>
                <w:t>Vroom, Inc. and certain holders of its</w:t>
              </w:r>
            </w:hyperlink>
          </w:p>
        </w:tc>
        <w:tc>
          <w:tcPr>
            <w:tcW w:w="280" w:type="dxa"/>
            <w:vAlign w:val="bottom"/>
            <w:gridSpan w:val="10"/>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2"/>
        </w:trPr>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23"/>
          </w:tcPr>
          <w:p>
            <w:pPr>
              <w:spacing w:after="0" w:line="182" w:lineRule="exact"/>
              <w:rPr>
                <w:rFonts w:ascii="Arial" w:cs="Arial" w:eastAsia="Arial" w:hAnsi="Arial"/>
                <w:sz w:val="18"/>
                <w:szCs w:val="18"/>
                <w:color w:val="0000FF"/>
              </w:rPr>
            </w:pPr>
            <w:hyperlink r:id="rId538">
              <w:r>
                <w:rPr>
                  <w:rFonts w:ascii="Arial" w:cs="Arial" w:eastAsia="Arial" w:hAnsi="Arial"/>
                  <w:sz w:val="18"/>
                  <w:szCs w:val="18"/>
                  <w:color w:val="0000FF"/>
                </w:rPr>
                <w:t>capital stock</w:t>
              </w:r>
            </w:hyperlink>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1920" w:type="dxa"/>
            <w:vAlign w:val="bottom"/>
            <w:gridSpan w:val="10"/>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829"/>
        </w:trPr>
        <w:tc>
          <w:tcPr>
            <w:tcW w:w="860" w:type="dxa"/>
            <w:vAlign w:val="bottom"/>
          </w:tcPr>
          <w:p>
            <w:pPr>
              <w:ind w:left="8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3240" w:type="dxa"/>
            <w:vAlign w:val="bottom"/>
            <w:gridSpan w:val="23"/>
          </w:tcPr>
          <w:p>
            <w:pPr>
              <w:spacing w:after="0"/>
              <w:rPr>
                <w:rFonts w:ascii="Arial" w:cs="Arial" w:eastAsia="Arial" w:hAnsi="Arial"/>
                <w:sz w:val="18"/>
                <w:szCs w:val="18"/>
                <w:color w:val="0000FF"/>
              </w:rPr>
            </w:pPr>
            <w:hyperlink r:id="rId539">
              <w:r>
                <w:rPr>
                  <w:rFonts w:ascii="Arial" w:cs="Arial" w:eastAsia="Arial" w:hAnsi="Arial"/>
                  <w:sz w:val="18"/>
                  <w:szCs w:val="18"/>
                  <w:color w:val="0000FF"/>
                </w:rPr>
                <w:t>Description of Registrant’s Securities</w:t>
              </w:r>
            </w:hyperlink>
          </w:p>
        </w:tc>
        <w:tc>
          <w:tcPr>
            <w:tcW w:w="2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March 3,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207"/>
        </w:trPr>
        <w:tc>
          <w:tcPr>
            <w:tcW w:w="4160" w:type="dxa"/>
            <w:vAlign w:val="bottom"/>
            <w:gridSpan w:val="18"/>
          </w:tcPr>
          <w:p>
            <w:pPr>
              <w:spacing w:after="0"/>
              <w:rPr>
                <w:sz w:val="20"/>
                <w:szCs w:val="20"/>
                <w:color w:val="auto"/>
              </w:rPr>
            </w:pPr>
            <w:r>
              <w:rPr>
                <w:rFonts w:ascii="Arial" w:cs="Arial" w:eastAsia="Arial" w:hAnsi="Arial"/>
                <w:sz w:val="18"/>
                <w:szCs w:val="18"/>
                <w:color w:val="0000FF"/>
              </w:rPr>
              <w:t>Table of Contents</w:t>
            </w: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0"/>
        </w:trPr>
        <w:tc>
          <w:tcPr>
            <w:tcW w:w="10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870"/>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3140" w:type="dxa"/>
            <w:vAlign w:val="bottom"/>
            <w:gridSpan w:val="17"/>
          </w:tcPr>
          <w:p>
            <w:pPr>
              <w:spacing w:after="0"/>
              <w:rPr>
                <w:rFonts w:ascii="Arial" w:cs="Arial" w:eastAsia="Arial" w:hAnsi="Arial"/>
                <w:sz w:val="18"/>
                <w:szCs w:val="18"/>
                <w:color w:val="0000FF"/>
              </w:rPr>
            </w:pPr>
            <w:hyperlink r:id="rId541">
              <w:r>
                <w:rPr>
                  <w:rFonts w:ascii="Arial" w:cs="Arial" w:eastAsia="Arial" w:hAnsi="Arial"/>
                  <w:sz w:val="18"/>
                  <w:szCs w:val="18"/>
                  <w:color w:val="0000FF"/>
                </w:rPr>
                <w:t>Second Amended &amp; Restated 2014</w:t>
              </w:r>
            </w:hyperlink>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8"/>
              </w:rPr>
              <w:t>May 18, 2020</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41">
              <w:r>
                <w:rPr>
                  <w:rFonts w:ascii="Arial" w:cs="Arial" w:eastAsia="Arial" w:hAnsi="Arial"/>
                  <w:sz w:val="18"/>
                  <w:szCs w:val="18"/>
                  <w:color w:val="0000FF"/>
                </w:rPr>
                <w:t>Equity Incentive Plan, as amended</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829"/>
        </w:trPr>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3140" w:type="dxa"/>
            <w:vAlign w:val="bottom"/>
            <w:gridSpan w:val="17"/>
          </w:tcPr>
          <w:p>
            <w:pPr>
              <w:spacing w:after="0"/>
              <w:rPr>
                <w:rFonts w:ascii="Arial" w:cs="Arial" w:eastAsia="Arial" w:hAnsi="Arial"/>
                <w:sz w:val="18"/>
                <w:szCs w:val="18"/>
                <w:color w:val="0000FF"/>
              </w:rPr>
            </w:pPr>
            <w:hyperlink r:id="rId542">
              <w:r>
                <w:rPr>
                  <w:rFonts w:ascii="Arial" w:cs="Arial" w:eastAsia="Arial" w:hAnsi="Arial"/>
                  <w:sz w:val="18"/>
                  <w:szCs w:val="18"/>
                  <w:color w:val="0000FF"/>
                </w:rPr>
                <w:t>First Amendment to the Second</w:t>
              </w:r>
            </w:hyperlink>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10.3</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rPr>
              <w:t>August 13, 2020</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42">
              <w:r>
                <w:rPr>
                  <w:rFonts w:ascii="Arial" w:cs="Arial" w:eastAsia="Arial" w:hAnsi="Arial"/>
                  <w:sz w:val="18"/>
                  <w:szCs w:val="18"/>
                  <w:color w:val="0000FF"/>
                </w:rPr>
                <w:t>Amended and Restated Vroom, Inc.</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42">
              <w:r>
                <w:rPr>
                  <w:rFonts w:ascii="Arial" w:cs="Arial" w:eastAsia="Arial" w:hAnsi="Arial"/>
                  <w:sz w:val="18"/>
                  <w:szCs w:val="18"/>
                  <w:color w:val="0000FF"/>
                </w:rPr>
                <w:t>2014 Equity Incentive Award Plan</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10.3†</w:t>
            </w:r>
          </w:p>
        </w:tc>
        <w:tc>
          <w:tcPr>
            <w:tcW w:w="3140" w:type="dxa"/>
            <w:vAlign w:val="bottom"/>
            <w:gridSpan w:val="17"/>
          </w:tcPr>
          <w:p>
            <w:pPr>
              <w:spacing w:after="0"/>
              <w:rPr>
                <w:rFonts w:ascii="Arial" w:cs="Arial" w:eastAsia="Arial" w:hAnsi="Arial"/>
                <w:sz w:val="18"/>
                <w:szCs w:val="18"/>
                <w:color w:val="0000FF"/>
              </w:rPr>
            </w:pPr>
            <w:hyperlink r:id="rId543">
              <w:r>
                <w:rPr>
                  <w:rFonts w:ascii="Arial" w:cs="Arial" w:eastAsia="Arial" w:hAnsi="Arial"/>
                  <w:sz w:val="18"/>
                  <w:szCs w:val="18"/>
                  <w:color w:val="0000FF"/>
                </w:rPr>
                <w:t>Second Amendment to the Second</w:t>
              </w:r>
            </w:hyperlink>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10.4</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rPr>
              <w:t>August 13, 2020</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43">
              <w:r>
                <w:rPr>
                  <w:rFonts w:ascii="Arial" w:cs="Arial" w:eastAsia="Arial" w:hAnsi="Arial"/>
                  <w:sz w:val="18"/>
                  <w:szCs w:val="18"/>
                  <w:color w:val="0000FF"/>
                </w:rPr>
                <w:t>Amended and Restated Vroom, Inc.</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43">
              <w:r>
                <w:rPr>
                  <w:rFonts w:ascii="Arial" w:cs="Arial" w:eastAsia="Arial" w:hAnsi="Arial"/>
                  <w:sz w:val="18"/>
                  <w:szCs w:val="18"/>
                  <w:color w:val="0000FF"/>
                </w:rPr>
                <w:t>2014 Equity Incentive Award Plan</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3140" w:type="dxa"/>
            <w:vAlign w:val="bottom"/>
            <w:gridSpan w:val="17"/>
          </w:tcPr>
          <w:p>
            <w:pPr>
              <w:spacing w:after="0"/>
              <w:rPr>
                <w:rFonts w:ascii="Arial" w:cs="Arial" w:eastAsia="Arial" w:hAnsi="Arial"/>
                <w:sz w:val="18"/>
                <w:szCs w:val="18"/>
                <w:color w:val="0000FF"/>
              </w:rPr>
            </w:pPr>
            <w:hyperlink r:id="rId544">
              <w:r>
                <w:rPr>
                  <w:rFonts w:ascii="Arial" w:cs="Arial" w:eastAsia="Arial" w:hAnsi="Arial"/>
                  <w:sz w:val="18"/>
                  <w:szCs w:val="18"/>
                  <w:color w:val="0000FF"/>
                </w:rPr>
                <w:t>Form of Stock Option Agreement</w:t>
              </w:r>
            </w:hyperlink>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10.4</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rPr>
              <w:t>March 3, 2021</w:t>
            </w:r>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44">
              <w:r>
                <w:rPr>
                  <w:rFonts w:ascii="Arial" w:cs="Arial" w:eastAsia="Arial" w:hAnsi="Arial"/>
                  <w:sz w:val="18"/>
                  <w:szCs w:val="18"/>
                  <w:color w:val="0000FF"/>
                </w:rPr>
                <w:t>pursuant to the Second Amended and</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44">
              <w:r>
                <w:rPr>
                  <w:rFonts w:ascii="Arial" w:cs="Arial" w:eastAsia="Arial" w:hAnsi="Arial"/>
                  <w:sz w:val="18"/>
                  <w:szCs w:val="18"/>
                  <w:color w:val="0000FF"/>
                </w:rPr>
                <w:t>Restated 2014 Equity Incentive Award</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44">
              <w:r>
                <w:rPr>
                  <w:rFonts w:ascii="Arial" w:cs="Arial" w:eastAsia="Arial" w:hAnsi="Arial"/>
                  <w:sz w:val="18"/>
                  <w:szCs w:val="18"/>
                  <w:color w:val="0000FF"/>
                </w:rPr>
                <w:t>Plan</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10.5†</w:t>
            </w:r>
          </w:p>
        </w:tc>
        <w:tc>
          <w:tcPr>
            <w:tcW w:w="3140" w:type="dxa"/>
            <w:vAlign w:val="bottom"/>
            <w:gridSpan w:val="17"/>
          </w:tcPr>
          <w:p>
            <w:pPr>
              <w:spacing w:after="0"/>
              <w:rPr>
                <w:rFonts w:ascii="Arial" w:cs="Arial" w:eastAsia="Arial" w:hAnsi="Arial"/>
                <w:sz w:val="18"/>
                <w:szCs w:val="18"/>
                <w:color w:val="0000FF"/>
              </w:rPr>
            </w:pPr>
            <w:hyperlink r:id="rId545">
              <w:r>
                <w:rPr>
                  <w:rFonts w:ascii="Arial" w:cs="Arial" w:eastAsia="Arial" w:hAnsi="Arial"/>
                  <w:sz w:val="18"/>
                  <w:szCs w:val="18"/>
                  <w:color w:val="0000FF"/>
                </w:rPr>
                <w:t>Form of Restricted Stock Unit</w:t>
              </w:r>
            </w:hyperlink>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10.5</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rPr>
              <w:t>March 3, 2021</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45">
              <w:r>
                <w:rPr>
                  <w:rFonts w:ascii="Arial" w:cs="Arial" w:eastAsia="Arial" w:hAnsi="Arial"/>
                  <w:sz w:val="18"/>
                  <w:szCs w:val="18"/>
                  <w:color w:val="0000FF"/>
                </w:rPr>
                <w:t>Agreement pursuant to the Second</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45">
              <w:r>
                <w:rPr>
                  <w:rFonts w:ascii="Arial" w:cs="Arial" w:eastAsia="Arial" w:hAnsi="Arial"/>
                  <w:sz w:val="18"/>
                  <w:szCs w:val="18"/>
                  <w:color w:val="0000FF"/>
                </w:rPr>
                <w:t>Amended and Restated 2014 Equity</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45">
              <w:r>
                <w:rPr>
                  <w:rFonts w:ascii="Arial" w:cs="Arial" w:eastAsia="Arial" w:hAnsi="Arial"/>
                  <w:sz w:val="18"/>
                  <w:szCs w:val="18"/>
                  <w:color w:val="0000FF"/>
                </w:rPr>
                <w:t>Incentive Award Plan</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10.6†</w:t>
            </w:r>
          </w:p>
        </w:tc>
        <w:tc>
          <w:tcPr>
            <w:tcW w:w="3140" w:type="dxa"/>
            <w:vAlign w:val="bottom"/>
            <w:gridSpan w:val="17"/>
          </w:tcPr>
          <w:p>
            <w:pPr>
              <w:spacing w:after="0"/>
              <w:rPr>
                <w:rFonts w:ascii="Arial" w:cs="Arial" w:eastAsia="Arial" w:hAnsi="Arial"/>
                <w:sz w:val="18"/>
                <w:szCs w:val="18"/>
                <w:color w:val="0000FF"/>
              </w:rPr>
            </w:pPr>
            <w:hyperlink r:id="rId546">
              <w:r>
                <w:rPr>
                  <w:rFonts w:ascii="Arial" w:cs="Arial" w:eastAsia="Arial" w:hAnsi="Arial"/>
                  <w:sz w:val="18"/>
                  <w:szCs w:val="18"/>
                  <w:color w:val="0000FF"/>
                </w:rPr>
                <w:t>2019 Short Term Incentive Plan</w:t>
              </w:r>
            </w:hyperlink>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8"/>
              </w:rPr>
              <w:t>May 18, 2020</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11"/>
        </w:trPr>
        <w:tc>
          <w:tcPr>
            <w:tcW w:w="1020" w:type="dxa"/>
            <w:vAlign w:val="bottom"/>
          </w:tcPr>
          <w:p>
            <w:pPr>
              <w:ind w:left="20"/>
              <w:spacing w:after="0"/>
              <w:rPr>
                <w:sz w:val="20"/>
                <w:szCs w:val="20"/>
                <w:color w:val="auto"/>
              </w:rPr>
            </w:pPr>
            <w:r>
              <w:rPr>
                <w:rFonts w:ascii="Arial" w:cs="Arial" w:eastAsia="Arial" w:hAnsi="Arial"/>
                <w:sz w:val="18"/>
                <w:szCs w:val="18"/>
                <w:color w:val="auto"/>
              </w:rPr>
              <w:t>10.7†</w:t>
            </w:r>
          </w:p>
        </w:tc>
        <w:tc>
          <w:tcPr>
            <w:tcW w:w="3140" w:type="dxa"/>
            <w:vAlign w:val="bottom"/>
            <w:gridSpan w:val="17"/>
          </w:tcPr>
          <w:p>
            <w:pPr>
              <w:spacing w:after="0"/>
              <w:rPr>
                <w:rFonts w:ascii="Arial" w:cs="Arial" w:eastAsia="Arial" w:hAnsi="Arial"/>
                <w:sz w:val="18"/>
                <w:szCs w:val="18"/>
                <w:color w:val="0000FF"/>
              </w:rPr>
            </w:pPr>
            <w:hyperlink r:id="rId547">
              <w:r>
                <w:rPr>
                  <w:rFonts w:ascii="Arial" w:cs="Arial" w:eastAsia="Arial" w:hAnsi="Arial"/>
                  <w:sz w:val="18"/>
                  <w:szCs w:val="18"/>
                  <w:color w:val="0000FF"/>
                </w:rPr>
                <w:t>2020 Incentive Award Plan</w:t>
              </w:r>
            </w:hyperlink>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10.3</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9"/>
              </w:rPr>
              <w:t>June 1, 2020</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573"/>
        </w:trPr>
        <w:tc>
          <w:tcPr>
            <w:tcW w:w="1020" w:type="dxa"/>
            <w:vAlign w:val="bottom"/>
          </w:tcPr>
          <w:p>
            <w:pPr>
              <w:ind w:left="20"/>
              <w:spacing w:after="0"/>
              <w:rPr>
                <w:sz w:val="20"/>
                <w:szCs w:val="20"/>
                <w:color w:val="auto"/>
              </w:rPr>
            </w:pPr>
            <w:r>
              <w:rPr>
                <w:rFonts w:ascii="Arial" w:cs="Arial" w:eastAsia="Arial" w:hAnsi="Arial"/>
                <w:sz w:val="18"/>
                <w:szCs w:val="18"/>
                <w:color w:val="auto"/>
              </w:rPr>
              <w:t>10.8†</w:t>
            </w:r>
          </w:p>
        </w:tc>
        <w:tc>
          <w:tcPr>
            <w:tcW w:w="3140" w:type="dxa"/>
            <w:vAlign w:val="bottom"/>
            <w:gridSpan w:val="17"/>
          </w:tcPr>
          <w:p>
            <w:pPr>
              <w:spacing w:after="0"/>
              <w:rPr>
                <w:rFonts w:ascii="Arial" w:cs="Arial" w:eastAsia="Arial" w:hAnsi="Arial"/>
                <w:sz w:val="18"/>
                <w:szCs w:val="18"/>
                <w:color w:val="0000FF"/>
              </w:rPr>
            </w:pPr>
            <w:hyperlink r:id="rId548">
              <w:r>
                <w:rPr>
                  <w:rFonts w:ascii="Arial" w:cs="Arial" w:eastAsia="Arial" w:hAnsi="Arial"/>
                  <w:sz w:val="18"/>
                  <w:szCs w:val="18"/>
                  <w:color w:val="0000FF"/>
                </w:rPr>
                <w:t>Form of Restricted Stock Unit</w:t>
              </w:r>
            </w:hyperlink>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rPr>
              <w:t>August 13, 2020</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48">
              <w:r>
                <w:rPr>
                  <w:rFonts w:ascii="Arial" w:cs="Arial" w:eastAsia="Arial" w:hAnsi="Arial"/>
                  <w:sz w:val="18"/>
                  <w:szCs w:val="18"/>
                  <w:color w:val="0000FF"/>
                </w:rPr>
                <w:t>Agreement pursuant to the 2020</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48">
              <w:r>
                <w:rPr>
                  <w:rFonts w:ascii="Arial" w:cs="Arial" w:eastAsia="Arial" w:hAnsi="Arial"/>
                  <w:sz w:val="18"/>
                  <w:szCs w:val="18"/>
                  <w:color w:val="0000FF"/>
                </w:rPr>
                <w:t>Incentive Award Plan</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38"/>
        </w:trPr>
        <w:tc>
          <w:tcPr>
            <w:tcW w:w="1020" w:type="dxa"/>
            <w:vAlign w:val="bottom"/>
          </w:tcPr>
          <w:p>
            <w:pPr>
              <w:ind w:left="20"/>
              <w:spacing w:after="0"/>
              <w:rPr>
                <w:sz w:val="20"/>
                <w:szCs w:val="20"/>
                <w:color w:val="auto"/>
              </w:rPr>
            </w:pPr>
            <w:r>
              <w:rPr>
                <w:rFonts w:ascii="Arial" w:cs="Arial" w:eastAsia="Arial" w:hAnsi="Arial"/>
                <w:sz w:val="18"/>
                <w:szCs w:val="18"/>
                <w:color w:val="auto"/>
              </w:rPr>
              <w:t>10.9†</w:t>
            </w:r>
          </w:p>
        </w:tc>
        <w:tc>
          <w:tcPr>
            <w:tcW w:w="3140" w:type="dxa"/>
            <w:vAlign w:val="bottom"/>
            <w:gridSpan w:val="17"/>
          </w:tcPr>
          <w:p>
            <w:pPr>
              <w:spacing w:after="0"/>
              <w:rPr>
                <w:rFonts w:ascii="Arial" w:cs="Arial" w:eastAsia="Arial" w:hAnsi="Arial"/>
                <w:sz w:val="18"/>
                <w:szCs w:val="18"/>
                <w:color w:val="0000FF"/>
                <w:w w:val="99"/>
              </w:rPr>
            </w:pPr>
            <w:hyperlink r:id="rId549">
              <w:r>
                <w:rPr>
                  <w:rFonts w:ascii="Arial" w:cs="Arial" w:eastAsia="Arial" w:hAnsi="Arial"/>
                  <w:sz w:val="18"/>
                  <w:szCs w:val="18"/>
                  <w:color w:val="0000FF"/>
                  <w:w w:val="99"/>
                </w:rPr>
                <w:t>Form of Stock Option Grant Notice and</w:t>
              </w:r>
            </w:hyperlink>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10.4</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9"/>
              </w:rPr>
              <w:t>August 8, 2022</w:t>
            </w: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w w:val="96"/>
              </w:rPr>
            </w:pPr>
            <w:hyperlink r:id="rId549">
              <w:r>
                <w:rPr>
                  <w:rFonts w:ascii="Arial" w:cs="Arial" w:eastAsia="Arial" w:hAnsi="Arial"/>
                  <w:sz w:val="18"/>
                  <w:szCs w:val="18"/>
                  <w:color w:val="0000FF"/>
                  <w:w w:val="96"/>
                </w:rPr>
                <w:t>Stock Option Agreement pursuant to the</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49">
              <w:r>
                <w:rPr>
                  <w:rFonts w:ascii="Arial" w:cs="Arial" w:eastAsia="Arial" w:hAnsi="Arial"/>
                  <w:sz w:val="18"/>
                  <w:szCs w:val="18"/>
                  <w:color w:val="0000FF"/>
                </w:rPr>
                <w:t>2020 Incentive Award Plan</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38"/>
        </w:trPr>
        <w:tc>
          <w:tcPr>
            <w:tcW w:w="1020" w:type="dxa"/>
            <w:vAlign w:val="bottom"/>
          </w:tcPr>
          <w:p>
            <w:pPr>
              <w:ind w:left="20"/>
              <w:spacing w:after="0"/>
              <w:rPr>
                <w:sz w:val="20"/>
                <w:szCs w:val="20"/>
                <w:color w:val="auto"/>
              </w:rPr>
            </w:pPr>
            <w:r>
              <w:rPr>
                <w:rFonts w:ascii="Arial" w:cs="Arial" w:eastAsia="Arial" w:hAnsi="Arial"/>
                <w:sz w:val="18"/>
                <w:szCs w:val="18"/>
                <w:color w:val="auto"/>
              </w:rPr>
              <w:t>10.10†</w:t>
            </w:r>
          </w:p>
        </w:tc>
        <w:tc>
          <w:tcPr>
            <w:tcW w:w="3140" w:type="dxa"/>
            <w:vAlign w:val="bottom"/>
            <w:gridSpan w:val="17"/>
          </w:tcPr>
          <w:p>
            <w:pPr>
              <w:spacing w:after="0"/>
              <w:rPr>
                <w:rFonts w:ascii="Arial" w:cs="Arial" w:eastAsia="Arial" w:hAnsi="Arial"/>
                <w:sz w:val="18"/>
                <w:szCs w:val="18"/>
                <w:color w:val="0000FF"/>
              </w:rPr>
            </w:pPr>
            <w:hyperlink r:id="rId550">
              <w:r>
                <w:rPr>
                  <w:rFonts w:ascii="Arial" w:cs="Arial" w:eastAsia="Arial" w:hAnsi="Arial"/>
                  <w:sz w:val="18"/>
                  <w:szCs w:val="18"/>
                  <w:color w:val="0000FF"/>
                </w:rPr>
                <w:t>2022 Inducement Award Plan</w:t>
              </w:r>
            </w:hyperlink>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9"/>
              </w:rPr>
              <w:t>S-8</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333-265233</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99.1</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8"/>
              </w:rPr>
              <w:t>May 26, 2022</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38"/>
        </w:trPr>
        <w:tc>
          <w:tcPr>
            <w:tcW w:w="1020" w:type="dxa"/>
            <w:vAlign w:val="bottom"/>
          </w:tcPr>
          <w:p>
            <w:pPr>
              <w:ind w:left="20"/>
              <w:spacing w:after="0"/>
              <w:rPr>
                <w:sz w:val="20"/>
                <w:szCs w:val="20"/>
                <w:color w:val="auto"/>
              </w:rPr>
            </w:pPr>
            <w:r>
              <w:rPr>
                <w:rFonts w:ascii="Arial" w:cs="Arial" w:eastAsia="Arial" w:hAnsi="Arial"/>
                <w:sz w:val="18"/>
                <w:szCs w:val="18"/>
                <w:color w:val="auto"/>
              </w:rPr>
              <w:t>10.11†</w:t>
            </w:r>
          </w:p>
        </w:tc>
        <w:tc>
          <w:tcPr>
            <w:tcW w:w="3140" w:type="dxa"/>
            <w:vAlign w:val="bottom"/>
            <w:gridSpan w:val="17"/>
          </w:tcPr>
          <w:p>
            <w:pPr>
              <w:spacing w:after="0"/>
              <w:rPr>
                <w:rFonts w:ascii="Arial" w:cs="Arial" w:eastAsia="Arial" w:hAnsi="Arial"/>
                <w:sz w:val="18"/>
                <w:szCs w:val="18"/>
                <w:color w:val="0000FF"/>
              </w:rPr>
            </w:pPr>
            <w:hyperlink r:id="rId551">
              <w:r>
                <w:rPr>
                  <w:rFonts w:ascii="Arial" w:cs="Arial" w:eastAsia="Arial" w:hAnsi="Arial"/>
                  <w:sz w:val="18"/>
                  <w:szCs w:val="18"/>
                  <w:color w:val="0000FF"/>
                </w:rPr>
                <w:t>Form of Restricted Stock Unit</w:t>
              </w:r>
            </w:hyperlink>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9"/>
              </w:rPr>
              <w:t>S-8</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333-265233</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99.2</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8"/>
              </w:rPr>
              <w:t>May 26, 2022</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51">
              <w:r>
                <w:rPr>
                  <w:rFonts w:ascii="Arial" w:cs="Arial" w:eastAsia="Arial" w:hAnsi="Arial"/>
                  <w:sz w:val="18"/>
                  <w:szCs w:val="18"/>
                  <w:color w:val="0000FF"/>
                </w:rPr>
                <w:t>Agreement pursuant to the 2022</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51">
              <w:r>
                <w:rPr>
                  <w:rFonts w:ascii="Arial" w:cs="Arial" w:eastAsia="Arial" w:hAnsi="Arial"/>
                  <w:sz w:val="18"/>
                  <w:szCs w:val="18"/>
                  <w:color w:val="0000FF"/>
                </w:rPr>
                <w:t>Inducement Award Plan</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38"/>
        </w:trPr>
        <w:tc>
          <w:tcPr>
            <w:tcW w:w="1020" w:type="dxa"/>
            <w:vAlign w:val="bottom"/>
          </w:tcPr>
          <w:p>
            <w:pPr>
              <w:ind w:left="20"/>
              <w:spacing w:after="0"/>
              <w:rPr>
                <w:sz w:val="20"/>
                <w:szCs w:val="20"/>
                <w:color w:val="auto"/>
              </w:rPr>
            </w:pPr>
            <w:r>
              <w:rPr>
                <w:rFonts w:ascii="Arial" w:cs="Arial" w:eastAsia="Arial" w:hAnsi="Arial"/>
                <w:sz w:val="18"/>
                <w:szCs w:val="18"/>
                <w:color w:val="auto"/>
              </w:rPr>
              <w:t>10.12†</w:t>
            </w:r>
          </w:p>
        </w:tc>
        <w:tc>
          <w:tcPr>
            <w:tcW w:w="3140" w:type="dxa"/>
            <w:vAlign w:val="bottom"/>
            <w:gridSpan w:val="17"/>
          </w:tcPr>
          <w:p>
            <w:pPr>
              <w:spacing w:after="0"/>
              <w:rPr>
                <w:rFonts w:ascii="Arial" w:cs="Arial" w:eastAsia="Arial" w:hAnsi="Arial"/>
                <w:sz w:val="18"/>
                <w:szCs w:val="18"/>
                <w:color w:val="0000FF"/>
              </w:rPr>
            </w:pPr>
            <w:hyperlink r:id="rId552">
              <w:r>
                <w:rPr>
                  <w:rFonts w:ascii="Arial" w:cs="Arial" w:eastAsia="Arial" w:hAnsi="Arial"/>
                  <w:sz w:val="18"/>
                  <w:szCs w:val="18"/>
                  <w:color w:val="0000FF"/>
                </w:rPr>
                <w:t>Form of Stock Option Agreement</w:t>
              </w:r>
            </w:hyperlink>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9"/>
              </w:rPr>
              <w:t>S-8</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333-265233</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99.3</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8"/>
              </w:rPr>
              <w:t>May 26, 2022</w:t>
            </w: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w w:val="96"/>
              </w:rPr>
            </w:pPr>
            <w:hyperlink r:id="rId552">
              <w:r>
                <w:rPr>
                  <w:rFonts w:ascii="Arial" w:cs="Arial" w:eastAsia="Arial" w:hAnsi="Arial"/>
                  <w:sz w:val="18"/>
                  <w:szCs w:val="18"/>
                  <w:color w:val="0000FF"/>
                  <w:w w:val="96"/>
                </w:rPr>
                <w:t>pursuant to the 2022 Inducement Award</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52">
              <w:r>
                <w:rPr>
                  <w:rFonts w:ascii="Arial" w:cs="Arial" w:eastAsia="Arial" w:hAnsi="Arial"/>
                  <w:sz w:val="18"/>
                  <w:szCs w:val="18"/>
                  <w:color w:val="0000FF"/>
                </w:rPr>
                <w:t>Plan</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38"/>
        </w:trPr>
        <w:tc>
          <w:tcPr>
            <w:tcW w:w="1020" w:type="dxa"/>
            <w:vAlign w:val="bottom"/>
          </w:tcPr>
          <w:p>
            <w:pPr>
              <w:ind w:left="20"/>
              <w:spacing w:after="0"/>
              <w:rPr>
                <w:sz w:val="20"/>
                <w:szCs w:val="20"/>
                <w:color w:val="auto"/>
              </w:rPr>
            </w:pPr>
            <w:r>
              <w:rPr>
                <w:rFonts w:ascii="Arial" w:cs="Arial" w:eastAsia="Arial" w:hAnsi="Arial"/>
                <w:sz w:val="18"/>
                <w:szCs w:val="18"/>
                <w:color w:val="auto"/>
              </w:rPr>
              <w:t>10.13†</w:t>
            </w:r>
          </w:p>
        </w:tc>
        <w:tc>
          <w:tcPr>
            <w:tcW w:w="3140" w:type="dxa"/>
            <w:vAlign w:val="bottom"/>
            <w:gridSpan w:val="17"/>
          </w:tcPr>
          <w:p>
            <w:pPr>
              <w:spacing w:after="0"/>
              <w:rPr>
                <w:rFonts w:ascii="Arial" w:cs="Arial" w:eastAsia="Arial" w:hAnsi="Arial"/>
                <w:sz w:val="18"/>
                <w:szCs w:val="18"/>
                <w:color w:val="0000FF"/>
                <w:w w:val="98"/>
              </w:rPr>
            </w:pPr>
            <w:hyperlink r:id="rId553">
              <w:r>
                <w:rPr>
                  <w:rFonts w:ascii="Arial" w:cs="Arial" w:eastAsia="Arial" w:hAnsi="Arial"/>
                  <w:sz w:val="18"/>
                  <w:szCs w:val="18"/>
                  <w:color w:val="0000FF"/>
                  <w:w w:val="98"/>
                </w:rPr>
                <w:t>Amended and Restated Non-Employee</w:t>
              </w:r>
            </w:hyperlink>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10.9</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9"/>
              </w:rPr>
              <w:t>August 8, 2022</w:t>
            </w: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53">
              <w:r>
                <w:rPr>
                  <w:rFonts w:ascii="Arial" w:cs="Arial" w:eastAsia="Arial" w:hAnsi="Arial"/>
                  <w:sz w:val="18"/>
                  <w:szCs w:val="18"/>
                  <w:color w:val="0000FF"/>
                </w:rPr>
                <w:t>Director Compensation Policy</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gridSpan w:val="4"/>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641"/>
        </w:trPr>
        <w:tc>
          <w:tcPr>
            <w:tcW w:w="1020" w:type="dxa"/>
            <w:vAlign w:val="bottom"/>
          </w:tcPr>
          <w:p>
            <w:pPr>
              <w:ind w:left="20"/>
              <w:spacing w:after="0"/>
              <w:rPr>
                <w:sz w:val="20"/>
                <w:szCs w:val="20"/>
                <w:color w:val="auto"/>
              </w:rPr>
            </w:pPr>
            <w:r>
              <w:rPr>
                <w:rFonts w:ascii="Arial" w:cs="Arial" w:eastAsia="Arial" w:hAnsi="Arial"/>
                <w:sz w:val="18"/>
                <w:szCs w:val="18"/>
                <w:color w:val="auto"/>
              </w:rPr>
              <w:t>10.14†</w:t>
            </w:r>
          </w:p>
        </w:tc>
        <w:tc>
          <w:tcPr>
            <w:tcW w:w="3140" w:type="dxa"/>
            <w:vAlign w:val="bottom"/>
            <w:gridSpan w:val="17"/>
          </w:tcPr>
          <w:p>
            <w:pPr>
              <w:spacing w:after="0"/>
              <w:rPr>
                <w:rFonts w:ascii="Arial" w:cs="Arial" w:eastAsia="Arial" w:hAnsi="Arial"/>
                <w:sz w:val="18"/>
                <w:szCs w:val="18"/>
                <w:color w:val="0000FF"/>
              </w:rPr>
            </w:pPr>
            <w:hyperlink r:id="rId554">
              <w:r>
                <w:rPr>
                  <w:rFonts w:ascii="Arial" w:cs="Arial" w:eastAsia="Arial" w:hAnsi="Arial"/>
                  <w:sz w:val="18"/>
                  <w:szCs w:val="18"/>
                  <w:color w:val="0000FF"/>
                </w:rPr>
                <w:t>Form of Indemnification Agreement</w:t>
              </w:r>
            </w:hyperlink>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10.5</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9"/>
              </w:rPr>
              <w:t>June 1, 2020</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8"/>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573"/>
        </w:trPr>
        <w:tc>
          <w:tcPr>
            <w:tcW w:w="1020" w:type="dxa"/>
            <w:vAlign w:val="bottom"/>
          </w:tcPr>
          <w:p>
            <w:pPr>
              <w:ind w:left="20"/>
              <w:spacing w:after="0"/>
              <w:rPr>
                <w:sz w:val="20"/>
                <w:szCs w:val="20"/>
                <w:color w:val="auto"/>
              </w:rPr>
            </w:pPr>
            <w:r>
              <w:rPr>
                <w:rFonts w:ascii="Arial" w:cs="Arial" w:eastAsia="Arial" w:hAnsi="Arial"/>
                <w:sz w:val="18"/>
                <w:szCs w:val="18"/>
                <w:color w:val="auto"/>
              </w:rPr>
              <w:t>10.15†</w:t>
            </w:r>
          </w:p>
        </w:tc>
        <w:tc>
          <w:tcPr>
            <w:tcW w:w="3140" w:type="dxa"/>
            <w:vAlign w:val="bottom"/>
            <w:gridSpan w:val="17"/>
          </w:tcPr>
          <w:p>
            <w:pPr>
              <w:spacing w:after="0"/>
              <w:rPr>
                <w:rFonts w:ascii="Arial" w:cs="Arial" w:eastAsia="Arial" w:hAnsi="Arial"/>
                <w:sz w:val="18"/>
                <w:szCs w:val="18"/>
                <w:color w:val="0000FF"/>
              </w:rPr>
            </w:pPr>
            <w:hyperlink r:id="rId555">
              <w:r>
                <w:rPr>
                  <w:rFonts w:ascii="Arial" w:cs="Arial" w:eastAsia="Arial" w:hAnsi="Arial"/>
                  <w:sz w:val="18"/>
                  <w:szCs w:val="18"/>
                  <w:color w:val="0000FF"/>
                </w:rPr>
                <w:t>Amended and Restated Executive</w:t>
              </w:r>
            </w:hyperlink>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8"/>
              </w:rPr>
              <w:t>May 26, 2022</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8"/>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55">
              <w:r>
                <w:rPr>
                  <w:rFonts w:ascii="Arial" w:cs="Arial" w:eastAsia="Arial" w:hAnsi="Arial"/>
                  <w:sz w:val="18"/>
                  <w:szCs w:val="18"/>
                  <w:color w:val="0000FF"/>
                </w:rPr>
                <w:t>Severance Plan</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1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10.16</w:t>
            </w:r>
          </w:p>
        </w:tc>
        <w:tc>
          <w:tcPr>
            <w:tcW w:w="3140" w:type="dxa"/>
            <w:vAlign w:val="bottom"/>
            <w:gridSpan w:val="17"/>
          </w:tcPr>
          <w:p>
            <w:pPr>
              <w:spacing w:after="0"/>
              <w:rPr>
                <w:rFonts w:ascii="Arial" w:cs="Arial" w:eastAsia="Arial" w:hAnsi="Arial"/>
                <w:sz w:val="18"/>
                <w:szCs w:val="18"/>
                <w:color w:val="0000FF"/>
              </w:rPr>
            </w:pPr>
            <w:hyperlink r:id="rId556">
              <w:r>
                <w:rPr>
                  <w:rFonts w:ascii="Arial" w:cs="Arial" w:eastAsia="Arial" w:hAnsi="Arial"/>
                  <w:sz w:val="18"/>
                  <w:szCs w:val="18"/>
                  <w:color w:val="0000FF"/>
                </w:rPr>
                <w:t>Commercial Lease Agreement, dated</w:t>
              </w:r>
            </w:hyperlink>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10.6</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9"/>
              </w:rPr>
              <w:t>June 1, 2020</w:t>
            </w: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gridSpan w:val="1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40" w:type="dxa"/>
            <w:vAlign w:val="bottom"/>
            <w:gridSpan w:val="17"/>
          </w:tcPr>
          <w:p>
            <w:pPr>
              <w:spacing w:after="0" w:line="182" w:lineRule="exact"/>
              <w:rPr>
                <w:rFonts w:ascii="Arial" w:cs="Arial" w:eastAsia="Arial" w:hAnsi="Arial"/>
                <w:sz w:val="18"/>
                <w:szCs w:val="18"/>
                <w:color w:val="0000FF"/>
              </w:rPr>
            </w:pPr>
            <w:hyperlink r:id="rId556">
              <w:r>
                <w:rPr>
                  <w:rFonts w:ascii="Arial" w:cs="Arial" w:eastAsia="Arial" w:hAnsi="Arial"/>
                  <w:sz w:val="18"/>
                  <w:szCs w:val="18"/>
                  <w:color w:val="0000FF"/>
                </w:rPr>
                <w:t>August 10, 2009, as</w:t>
              </w:r>
            </w:hyperlink>
          </w:p>
        </w:tc>
        <w:tc>
          <w:tcPr>
            <w:tcW w:w="1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439"/>
        </w:trPr>
        <w:tc>
          <w:tcPr>
            <w:tcW w:w="10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jc w:val="right"/>
              <w:ind w:right="850"/>
              <w:spacing w:after="0"/>
              <w:rPr>
                <w:sz w:val="20"/>
                <w:szCs w:val="20"/>
                <w:color w:val="auto"/>
              </w:rPr>
            </w:pPr>
            <w:r>
              <w:rPr>
                <w:rFonts w:ascii="Arial" w:cs="Arial" w:eastAsia="Arial" w:hAnsi="Arial"/>
                <w:sz w:val="18"/>
                <w:szCs w:val="18"/>
                <w:color w:val="auto"/>
              </w:rPr>
              <w:t>144</w:t>
            </w:r>
          </w:p>
        </w:tc>
        <w:tc>
          <w:tcPr>
            <w:tcW w:w="8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01"/>
        </w:trPr>
        <w:tc>
          <w:tcPr>
            <w:tcW w:w="10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26" w:lineRule="exact"/>
        <w:rPr>
          <w:sz w:val="20"/>
          <w:szCs w:val="20"/>
          <w:color w:val="auto"/>
        </w:rPr>
      </w:pPr>
    </w:p>
    <w:p>
      <w:pPr>
        <w:ind w:left="1000"/>
        <w:spacing w:after="0"/>
        <w:rPr>
          <w:rFonts w:ascii="Arial" w:cs="Arial" w:eastAsia="Arial" w:hAnsi="Arial"/>
          <w:sz w:val="18"/>
          <w:szCs w:val="18"/>
          <w:u w:val="single" w:color="auto"/>
          <w:color w:val="0000FF"/>
        </w:rPr>
      </w:pPr>
      <w:hyperlink r:id="rId556">
        <w:r>
          <w:rPr>
            <w:rFonts w:ascii="Arial" w:cs="Arial" w:eastAsia="Arial" w:hAnsi="Arial"/>
            <w:sz w:val="18"/>
            <w:szCs w:val="18"/>
            <w:u w:val="single" w:color="auto"/>
            <w:color w:val="0000FF"/>
          </w:rPr>
          <w:t>amended, by and between Texas Direct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-15875</wp:posOffset>
            </wp:positionV>
            <wp:extent cx="203581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0">
                      <a:extLst>
                        <a:ext uri="{28A0092B-C50C-407E-A947-70E740481C1C}"/>
                      </a:extLst>
                    </a:blip>
                    <a:srcRect/>
                    <a:stretch>
                      <a:fillRect/>
                    </a:stretch>
                  </pic:blipFill>
                  <pic:spPr bwMode="auto">
                    <a:xfrm>
                      <a:off x="0" y="0"/>
                      <a:ext cx="2035810" cy="8255"/>
                    </a:xfrm>
                    <a:prstGeom prst="rect">
                      <a:avLst/>
                    </a:prstGeom>
                    <a:noFill/>
                  </pic:spPr>
                </pic:pic>
              </a:graphicData>
            </a:graphic>
          </wp:anchor>
        </w:drawing>
      </w:r>
    </w:p>
    <w:p>
      <w:pPr>
        <w:ind w:left="1000"/>
        <w:spacing w:after="0"/>
        <w:rPr>
          <w:rFonts w:ascii="Arial" w:cs="Arial" w:eastAsia="Arial" w:hAnsi="Arial"/>
          <w:sz w:val="18"/>
          <w:szCs w:val="18"/>
          <w:u w:val="single" w:color="auto"/>
          <w:color w:val="0000FF"/>
        </w:rPr>
      </w:pPr>
      <w:hyperlink r:id="rId556">
        <w:r>
          <w:rPr>
            <w:rFonts w:ascii="Arial" w:cs="Arial" w:eastAsia="Arial" w:hAnsi="Arial"/>
            <w:sz w:val="18"/>
            <w:szCs w:val="18"/>
            <w:u w:val="single" w:color="auto"/>
            <w:color w:val="0000FF"/>
          </w:rPr>
          <w:t>Auto and Robert P. Archer, ETAL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-19050</wp:posOffset>
            </wp:positionV>
            <wp:extent cx="165798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1">
                      <a:extLst>
                        <a:ext uri="{28A0092B-C50C-407E-A947-70E740481C1C}"/>
                      </a:extLst>
                    </a:blip>
                    <a:srcRect/>
                    <a:stretch>
                      <a:fillRect/>
                    </a:stretch>
                  </pic:blipFill>
                  <pic:spPr bwMode="auto">
                    <a:xfrm>
                      <a:off x="0" y="0"/>
                      <a:ext cx="1657985"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Arial" w:cs="Arial" w:eastAsia="Arial" w:hAnsi="Arial"/>
                <w:sz w:val="18"/>
                <w:szCs w:val="18"/>
                <w:color w:val="auto"/>
              </w:rPr>
              <w:t>10.17</w:t>
            </w:r>
          </w:p>
        </w:tc>
        <w:tc>
          <w:tcPr>
            <w:tcW w:w="3160" w:type="dxa"/>
            <w:vAlign w:val="bottom"/>
            <w:gridSpan w:val="12"/>
          </w:tcPr>
          <w:p>
            <w:pPr>
              <w:spacing w:after="0"/>
              <w:rPr>
                <w:rFonts w:ascii="Arial" w:cs="Arial" w:eastAsia="Arial" w:hAnsi="Arial"/>
                <w:sz w:val="18"/>
                <w:szCs w:val="18"/>
                <w:color w:val="0000FF"/>
              </w:rPr>
            </w:pPr>
            <w:hyperlink r:id="rId562">
              <w:r>
                <w:rPr>
                  <w:rFonts w:ascii="Arial" w:cs="Arial" w:eastAsia="Arial" w:hAnsi="Arial"/>
                  <w:sz w:val="18"/>
                  <w:szCs w:val="18"/>
                  <w:color w:val="0000FF"/>
                </w:rPr>
                <w:t>Development Agreement, dated June</w:t>
              </w:r>
            </w:hyperlink>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7"/>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3660" w:type="dxa"/>
            <w:vAlign w:val="bottom"/>
          </w:tcPr>
          <w:p>
            <w:pPr>
              <w:jc w:val="center"/>
              <w:ind w:right="1650"/>
              <w:spacing w:after="0"/>
              <w:rPr>
                <w:sz w:val="20"/>
                <w:szCs w:val="20"/>
                <w:color w:val="auto"/>
              </w:rPr>
            </w:pPr>
            <w:r>
              <w:rPr>
                <w:rFonts w:ascii="Arial" w:cs="Arial" w:eastAsia="Arial" w:hAnsi="Arial"/>
                <w:sz w:val="18"/>
                <w:szCs w:val="18"/>
                <w:color w:val="auto"/>
                <w:w w:val="99"/>
              </w:rPr>
              <w:t>June 1, 2020</w:t>
            </w: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w w:val="98"/>
              </w:rPr>
            </w:pPr>
            <w:hyperlink r:id="rId562">
              <w:r>
                <w:rPr>
                  <w:rFonts w:ascii="Arial" w:cs="Arial" w:eastAsia="Arial" w:hAnsi="Arial"/>
                  <w:sz w:val="18"/>
                  <w:szCs w:val="18"/>
                  <w:color w:val="0000FF"/>
                  <w:w w:val="98"/>
                </w:rPr>
                <w:t>28, 2011, as amended, by and between</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w w:val="99"/>
              </w:rPr>
            </w:pPr>
            <w:hyperlink r:id="rId562">
              <w:r>
                <w:rPr>
                  <w:rFonts w:ascii="Arial" w:cs="Arial" w:eastAsia="Arial" w:hAnsi="Arial"/>
                  <w:sz w:val="18"/>
                  <w:szCs w:val="18"/>
                  <w:color w:val="0000FF"/>
                  <w:w w:val="99"/>
                </w:rPr>
                <w:t>The City of Meadows Place, Texas and</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2">
              <w:r>
                <w:rPr>
                  <w:rFonts w:ascii="Arial" w:cs="Arial" w:eastAsia="Arial" w:hAnsi="Arial"/>
                  <w:sz w:val="18"/>
                  <w:szCs w:val="18"/>
                  <w:color w:val="0000FF"/>
                </w:rPr>
                <w:t>Left Gate Property Holding, Inc. d/b/a</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2">
              <w:r>
                <w:rPr>
                  <w:rFonts w:ascii="Arial" w:cs="Arial" w:eastAsia="Arial" w:hAnsi="Arial"/>
                  <w:sz w:val="18"/>
                  <w:szCs w:val="18"/>
                  <w:color w:val="0000FF"/>
                </w:rPr>
                <w:t>Texas Direct Auto and Vroom</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438"/>
        </w:trPr>
        <w:tc>
          <w:tcPr>
            <w:tcW w:w="1020" w:type="dxa"/>
            <w:vAlign w:val="bottom"/>
          </w:tcPr>
          <w:p>
            <w:pPr>
              <w:ind w:left="20"/>
              <w:spacing w:after="0"/>
              <w:rPr>
                <w:sz w:val="20"/>
                <w:szCs w:val="20"/>
                <w:color w:val="auto"/>
              </w:rPr>
            </w:pPr>
            <w:r>
              <w:rPr>
                <w:rFonts w:ascii="Arial" w:cs="Arial" w:eastAsia="Arial" w:hAnsi="Arial"/>
                <w:sz w:val="18"/>
                <w:szCs w:val="18"/>
                <w:color w:val="auto"/>
              </w:rPr>
              <w:t>10.18#</w:t>
            </w:r>
          </w:p>
        </w:tc>
        <w:tc>
          <w:tcPr>
            <w:tcW w:w="3160" w:type="dxa"/>
            <w:vAlign w:val="bottom"/>
            <w:gridSpan w:val="12"/>
          </w:tcPr>
          <w:p>
            <w:pPr>
              <w:spacing w:after="0"/>
              <w:rPr>
                <w:rFonts w:ascii="Arial" w:cs="Arial" w:eastAsia="Arial" w:hAnsi="Arial"/>
                <w:sz w:val="18"/>
                <w:szCs w:val="18"/>
                <w:color w:val="0000FF"/>
              </w:rPr>
            </w:pPr>
            <w:hyperlink r:id="rId563">
              <w:r>
                <w:rPr>
                  <w:rFonts w:ascii="Arial" w:cs="Arial" w:eastAsia="Arial" w:hAnsi="Arial"/>
                  <w:sz w:val="18"/>
                  <w:szCs w:val="18"/>
                  <w:color w:val="0000FF"/>
                </w:rPr>
                <w:t>Inventory Financing and Security</w:t>
              </w:r>
            </w:hyperlink>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7"/>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80" w:type="dxa"/>
            <w:vAlign w:val="bottom"/>
          </w:tcPr>
          <w:p>
            <w:pPr>
              <w:jc w:val="center"/>
              <w:spacing w:after="0"/>
              <w:rPr>
                <w:sz w:val="20"/>
                <w:szCs w:val="20"/>
                <w:color w:val="auto"/>
              </w:rPr>
            </w:pPr>
            <w:r>
              <w:rPr>
                <w:rFonts w:ascii="Arial" w:cs="Arial" w:eastAsia="Arial" w:hAnsi="Arial"/>
                <w:sz w:val="18"/>
                <w:szCs w:val="18"/>
                <w:color w:val="auto"/>
              </w:rPr>
              <w:t>10.10</w:t>
            </w:r>
          </w:p>
        </w:tc>
        <w:tc>
          <w:tcPr>
            <w:tcW w:w="3660" w:type="dxa"/>
            <w:vAlign w:val="bottom"/>
          </w:tcPr>
          <w:p>
            <w:pPr>
              <w:jc w:val="center"/>
              <w:ind w:right="1650"/>
              <w:spacing w:after="0"/>
              <w:rPr>
                <w:sz w:val="20"/>
                <w:szCs w:val="20"/>
                <w:color w:val="auto"/>
              </w:rPr>
            </w:pPr>
            <w:r>
              <w:rPr>
                <w:rFonts w:ascii="Arial" w:cs="Arial" w:eastAsia="Arial" w:hAnsi="Arial"/>
                <w:sz w:val="18"/>
                <w:szCs w:val="18"/>
                <w:color w:val="auto"/>
                <w:w w:val="98"/>
              </w:rPr>
              <w:t>May 18, 2020</w:t>
            </w: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3">
              <w:r>
                <w:rPr>
                  <w:rFonts w:ascii="Arial" w:cs="Arial" w:eastAsia="Arial" w:hAnsi="Arial"/>
                  <w:sz w:val="18"/>
                  <w:szCs w:val="18"/>
                  <w:color w:val="0000FF"/>
                </w:rPr>
                <w:t>Agreement, dated March 6, 2020, by</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3">
              <w:r>
                <w:rPr>
                  <w:rFonts w:ascii="Arial" w:cs="Arial" w:eastAsia="Arial" w:hAnsi="Arial"/>
                  <w:sz w:val="18"/>
                  <w:szCs w:val="18"/>
                  <w:color w:val="0000FF"/>
                </w:rPr>
                <w:t>and among Ally Bank, Ally Financial</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3">
              <w:r>
                <w:rPr>
                  <w:rFonts w:ascii="Arial" w:cs="Arial" w:eastAsia="Arial" w:hAnsi="Arial"/>
                  <w:sz w:val="18"/>
                  <w:szCs w:val="18"/>
                  <w:color w:val="0000FF"/>
                </w:rPr>
                <w:t>Inc., Left Gate Property Holding, LLC</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3">
              <w:r>
                <w:rPr>
                  <w:rFonts w:ascii="Arial" w:cs="Arial" w:eastAsia="Arial" w:hAnsi="Arial"/>
                  <w:sz w:val="18"/>
                  <w:szCs w:val="18"/>
                  <w:color w:val="0000FF"/>
                </w:rPr>
                <w:t>and Vroom, Inc.</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10.19#</w:t>
            </w:r>
          </w:p>
        </w:tc>
        <w:tc>
          <w:tcPr>
            <w:tcW w:w="3160" w:type="dxa"/>
            <w:vAlign w:val="bottom"/>
            <w:gridSpan w:val="12"/>
          </w:tcPr>
          <w:p>
            <w:pPr>
              <w:spacing w:after="0"/>
              <w:rPr>
                <w:rFonts w:ascii="Arial" w:cs="Arial" w:eastAsia="Arial" w:hAnsi="Arial"/>
                <w:sz w:val="18"/>
                <w:szCs w:val="18"/>
                <w:color w:val="0000FF"/>
                <w:w w:val="97"/>
              </w:rPr>
            </w:pPr>
            <w:hyperlink r:id="rId564">
              <w:r>
                <w:rPr>
                  <w:rFonts w:ascii="Arial" w:cs="Arial" w:eastAsia="Arial" w:hAnsi="Arial"/>
                  <w:sz w:val="18"/>
                  <w:szCs w:val="18"/>
                  <w:color w:val="0000FF"/>
                  <w:w w:val="97"/>
                </w:rPr>
                <w:t>First Amendment to Inventory Financing</w:t>
              </w:r>
            </w:hyperlink>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3660" w:type="dxa"/>
            <w:vAlign w:val="bottom"/>
          </w:tcPr>
          <w:p>
            <w:pPr>
              <w:jc w:val="center"/>
              <w:ind w:right="1650"/>
              <w:spacing w:after="0"/>
              <w:rPr>
                <w:sz w:val="20"/>
                <w:szCs w:val="20"/>
                <w:color w:val="auto"/>
              </w:rPr>
            </w:pPr>
            <w:r>
              <w:rPr>
                <w:rFonts w:ascii="Arial" w:cs="Arial" w:eastAsia="Arial" w:hAnsi="Arial"/>
                <w:sz w:val="18"/>
                <w:szCs w:val="18"/>
                <w:color w:val="auto"/>
              </w:rPr>
              <w:t>August 13, 2020</w:t>
            </w:r>
          </w:p>
        </w:tc>
      </w:tr>
      <w:tr>
        <w:trPr>
          <w:trHeight w:val="20"/>
        </w:trPr>
        <w:tc>
          <w:tcPr>
            <w:tcW w:w="1020" w:type="dxa"/>
            <w:vAlign w:val="bottom"/>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w w:val="96"/>
              </w:rPr>
            </w:pPr>
            <w:hyperlink r:id="rId564">
              <w:r>
                <w:rPr>
                  <w:rFonts w:ascii="Arial" w:cs="Arial" w:eastAsia="Arial" w:hAnsi="Arial"/>
                  <w:sz w:val="18"/>
                  <w:szCs w:val="18"/>
                  <w:color w:val="0000FF"/>
                  <w:w w:val="96"/>
                </w:rPr>
                <w:t>and Security Agreement, dated June 19,</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4">
              <w:r>
                <w:rPr>
                  <w:rFonts w:ascii="Arial" w:cs="Arial" w:eastAsia="Arial" w:hAnsi="Arial"/>
                  <w:sz w:val="18"/>
                  <w:szCs w:val="18"/>
                  <w:color w:val="0000FF"/>
                </w:rPr>
                <w:t>2020, by and among Ally Bank, Ally</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4">
              <w:r>
                <w:rPr>
                  <w:rFonts w:ascii="Arial" w:cs="Arial" w:eastAsia="Arial" w:hAnsi="Arial"/>
                  <w:sz w:val="18"/>
                  <w:szCs w:val="18"/>
                  <w:color w:val="0000FF"/>
                </w:rPr>
                <w:t>Financial Inc., Left Gate Property</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4">
              <w:r>
                <w:rPr>
                  <w:rFonts w:ascii="Arial" w:cs="Arial" w:eastAsia="Arial" w:hAnsi="Arial"/>
                  <w:sz w:val="18"/>
                  <w:szCs w:val="18"/>
                  <w:color w:val="0000FF"/>
                </w:rPr>
                <w:t>Holding, LLC and Vroom, Inc.</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411"/>
        </w:trPr>
        <w:tc>
          <w:tcPr>
            <w:tcW w:w="1020" w:type="dxa"/>
            <w:vAlign w:val="bottom"/>
          </w:tcPr>
          <w:p>
            <w:pPr>
              <w:ind w:left="20"/>
              <w:spacing w:after="0"/>
              <w:rPr>
                <w:sz w:val="20"/>
                <w:szCs w:val="20"/>
                <w:color w:val="auto"/>
              </w:rPr>
            </w:pPr>
            <w:r>
              <w:rPr>
                <w:rFonts w:ascii="Arial" w:cs="Arial" w:eastAsia="Arial" w:hAnsi="Arial"/>
                <w:sz w:val="18"/>
                <w:szCs w:val="18"/>
                <w:color w:val="auto"/>
              </w:rPr>
              <w:t>10.20#</w:t>
            </w:r>
          </w:p>
        </w:tc>
        <w:tc>
          <w:tcPr>
            <w:tcW w:w="3160" w:type="dxa"/>
            <w:vAlign w:val="bottom"/>
            <w:gridSpan w:val="12"/>
          </w:tcPr>
          <w:p>
            <w:pPr>
              <w:spacing w:after="0"/>
              <w:rPr>
                <w:rFonts w:ascii="Arial" w:cs="Arial" w:eastAsia="Arial" w:hAnsi="Arial"/>
                <w:sz w:val="18"/>
                <w:szCs w:val="18"/>
                <w:color w:val="0000FF"/>
              </w:rPr>
            </w:pPr>
            <w:hyperlink r:id="rId565">
              <w:r>
                <w:rPr>
                  <w:rFonts w:ascii="Arial" w:cs="Arial" w:eastAsia="Arial" w:hAnsi="Arial"/>
                  <w:sz w:val="18"/>
                  <w:szCs w:val="18"/>
                  <w:color w:val="0000FF"/>
                </w:rPr>
                <w:t>Second Amendment to Inventory</w:t>
              </w:r>
            </w:hyperlink>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3660" w:type="dxa"/>
            <w:vAlign w:val="bottom"/>
          </w:tcPr>
          <w:p>
            <w:pPr>
              <w:jc w:val="center"/>
              <w:ind w:right="1630"/>
              <w:spacing w:after="0"/>
              <w:rPr>
                <w:sz w:val="20"/>
                <w:szCs w:val="20"/>
                <w:color w:val="auto"/>
              </w:rPr>
            </w:pPr>
            <w:r>
              <w:rPr>
                <w:rFonts w:ascii="Arial" w:cs="Arial" w:eastAsia="Arial" w:hAnsi="Arial"/>
                <w:sz w:val="18"/>
                <w:szCs w:val="18"/>
                <w:color w:val="auto"/>
                <w:w w:val="99"/>
              </w:rPr>
              <w:t>November 12, 2020</w:t>
            </w:r>
          </w:p>
        </w:tc>
      </w:tr>
      <w:tr>
        <w:trPr>
          <w:trHeight w:val="20"/>
        </w:trPr>
        <w:tc>
          <w:tcPr>
            <w:tcW w:w="10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5">
              <w:r>
                <w:rPr>
                  <w:rFonts w:ascii="Arial" w:cs="Arial" w:eastAsia="Arial" w:hAnsi="Arial"/>
                  <w:sz w:val="18"/>
                  <w:szCs w:val="18"/>
                  <w:color w:val="0000FF"/>
                </w:rPr>
                <w:t>Financing and Security Agreement,</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5">
              <w:r>
                <w:rPr>
                  <w:rFonts w:ascii="Arial" w:cs="Arial" w:eastAsia="Arial" w:hAnsi="Arial"/>
                  <w:sz w:val="18"/>
                  <w:szCs w:val="18"/>
                  <w:color w:val="0000FF"/>
                </w:rPr>
                <w:t>dated October 1, 2020 by and among</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w w:val="99"/>
              </w:rPr>
            </w:pPr>
            <w:hyperlink r:id="rId565">
              <w:r>
                <w:rPr>
                  <w:rFonts w:ascii="Arial" w:cs="Arial" w:eastAsia="Arial" w:hAnsi="Arial"/>
                  <w:sz w:val="18"/>
                  <w:szCs w:val="18"/>
                  <w:color w:val="0000FF"/>
                  <w:w w:val="99"/>
                </w:rPr>
                <w:t>Ally Bank, Ally Financial, Inc., Left Gate</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5">
              <w:r>
                <w:rPr>
                  <w:rFonts w:ascii="Arial" w:cs="Arial" w:eastAsia="Arial" w:hAnsi="Arial"/>
                  <w:sz w:val="18"/>
                  <w:szCs w:val="18"/>
                  <w:color w:val="0000FF"/>
                </w:rPr>
                <w:t>Property Holding, LLC and Vroom, Inc.</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843"/>
        </w:trPr>
        <w:tc>
          <w:tcPr>
            <w:tcW w:w="1020" w:type="dxa"/>
            <w:vAlign w:val="bottom"/>
          </w:tcPr>
          <w:p>
            <w:pPr>
              <w:ind w:left="20"/>
              <w:spacing w:after="0"/>
              <w:rPr>
                <w:sz w:val="20"/>
                <w:szCs w:val="20"/>
                <w:color w:val="auto"/>
              </w:rPr>
            </w:pPr>
            <w:r>
              <w:rPr>
                <w:rFonts w:ascii="Arial" w:cs="Arial" w:eastAsia="Arial" w:hAnsi="Arial"/>
                <w:sz w:val="18"/>
                <w:szCs w:val="18"/>
                <w:color w:val="auto"/>
              </w:rPr>
              <w:t>10.21#</w:t>
            </w:r>
          </w:p>
        </w:tc>
        <w:tc>
          <w:tcPr>
            <w:tcW w:w="3160" w:type="dxa"/>
            <w:vAlign w:val="bottom"/>
            <w:gridSpan w:val="12"/>
          </w:tcPr>
          <w:p>
            <w:pPr>
              <w:spacing w:after="0"/>
              <w:rPr>
                <w:rFonts w:ascii="Arial" w:cs="Arial" w:eastAsia="Arial" w:hAnsi="Arial"/>
                <w:sz w:val="18"/>
                <w:szCs w:val="18"/>
                <w:color w:val="0000FF"/>
              </w:rPr>
            </w:pPr>
            <w:hyperlink r:id="rId566">
              <w:r>
                <w:rPr>
                  <w:rFonts w:ascii="Arial" w:cs="Arial" w:eastAsia="Arial" w:hAnsi="Arial"/>
                  <w:sz w:val="18"/>
                  <w:szCs w:val="18"/>
                  <w:color w:val="0000FF"/>
                </w:rPr>
                <w:t>Third Amendment to Inventory</w:t>
              </w:r>
            </w:hyperlink>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3660" w:type="dxa"/>
            <w:vAlign w:val="bottom"/>
          </w:tcPr>
          <w:p>
            <w:pPr>
              <w:jc w:val="center"/>
              <w:ind w:right="1630"/>
              <w:spacing w:after="0"/>
              <w:rPr>
                <w:sz w:val="20"/>
                <w:szCs w:val="20"/>
                <w:color w:val="auto"/>
              </w:rPr>
            </w:pPr>
            <w:r>
              <w:rPr>
                <w:rFonts w:ascii="Arial" w:cs="Arial" w:eastAsia="Arial" w:hAnsi="Arial"/>
                <w:sz w:val="18"/>
                <w:szCs w:val="18"/>
                <w:color w:val="auto"/>
                <w:w w:val="99"/>
              </w:rPr>
              <w:t>December 20, 2021</w:t>
            </w:r>
          </w:p>
        </w:tc>
      </w:tr>
      <w:tr>
        <w:trPr>
          <w:trHeight w:val="20"/>
        </w:trPr>
        <w:tc>
          <w:tcPr>
            <w:tcW w:w="10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6">
              <w:r>
                <w:rPr>
                  <w:rFonts w:ascii="Arial" w:cs="Arial" w:eastAsia="Arial" w:hAnsi="Arial"/>
                  <w:sz w:val="18"/>
                  <w:szCs w:val="18"/>
                  <w:color w:val="0000FF"/>
                </w:rPr>
                <w:t>Financing and Security Agreement,</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6">
              <w:r>
                <w:rPr>
                  <w:rFonts w:ascii="Arial" w:cs="Arial" w:eastAsia="Arial" w:hAnsi="Arial"/>
                  <w:sz w:val="18"/>
                  <w:szCs w:val="18"/>
                  <w:color w:val="0000FF"/>
                </w:rPr>
                <w:t>dated December 16, 2021 by and</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6">
              <w:r>
                <w:rPr>
                  <w:rFonts w:ascii="Arial" w:cs="Arial" w:eastAsia="Arial" w:hAnsi="Arial"/>
                  <w:sz w:val="18"/>
                  <w:szCs w:val="18"/>
                  <w:color w:val="0000FF"/>
                </w:rPr>
                <w:t>among Ally Bank, Ally Financial, Inc.,</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w w:val="96"/>
              </w:rPr>
            </w:pPr>
            <w:hyperlink r:id="rId566">
              <w:r>
                <w:rPr>
                  <w:rFonts w:ascii="Arial" w:cs="Arial" w:eastAsia="Arial" w:hAnsi="Arial"/>
                  <w:sz w:val="18"/>
                  <w:szCs w:val="18"/>
                  <w:color w:val="0000FF"/>
                  <w:w w:val="96"/>
                </w:rPr>
                <w:t>Vroom Automotive, LLC and Vroom, Inc.</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641"/>
        </w:trPr>
        <w:tc>
          <w:tcPr>
            <w:tcW w:w="1020" w:type="dxa"/>
            <w:vAlign w:val="bottom"/>
          </w:tcPr>
          <w:p>
            <w:pPr>
              <w:ind w:left="20"/>
              <w:spacing w:after="0"/>
              <w:rPr>
                <w:sz w:val="20"/>
                <w:szCs w:val="20"/>
                <w:color w:val="auto"/>
              </w:rPr>
            </w:pPr>
            <w:r>
              <w:rPr>
                <w:rFonts w:ascii="Arial" w:cs="Arial" w:eastAsia="Arial" w:hAnsi="Arial"/>
                <w:sz w:val="18"/>
                <w:szCs w:val="18"/>
                <w:color w:val="auto"/>
              </w:rPr>
              <w:t>10.22#</w:t>
            </w:r>
          </w:p>
        </w:tc>
        <w:tc>
          <w:tcPr>
            <w:tcW w:w="3160" w:type="dxa"/>
            <w:vAlign w:val="bottom"/>
            <w:gridSpan w:val="12"/>
          </w:tcPr>
          <w:p>
            <w:pPr>
              <w:spacing w:after="0"/>
              <w:rPr>
                <w:rFonts w:ascii="Arial" w:cs="Arial" w:eastAsia="Arial" w:hAnsi="Arial"/>
                <w:sz w:val="18"/>
                <w:szCs w:val="18"/>
                <w:color w:val="0000FF"/>
              </w:rPr>
            </w:pPr>
            <w:hyperlink r:id="rId567">
              <w:r>
                <w:rPr>
                  <w:rFonts w:ascii="Arial" w:cs="Arial" w:eastAsia="Arial" w:hAnsi="Arial"/>
                  <w:sz w:val="18"/>
                  <w:szCs w:val="18"/>
                  <w:color w:val="0000FF"/>
                </w:rPr>
                <w:t>Fourth Amendment to Inventory</w:t>
              </w:r>
            </w:hyperlink>
          </w:p>
        </w:tc>
        <w:tc>
          <w:tcPr>
            <w:tcW w:w="1100" w:type="dxa"/>
            <w:vAlign w:val="bottom"/>
          </w:tcPr>
          <w:p>
            <w:pPr>
              <w:jc w:val="center"/>
              <w:ind w:left="15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001-39315</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10.25</w:t>
            </w:r>
          </w:p>
        </w:tc>
        <w:tc>
          <w:tcPr>
            <w:tcW w:w="3660" w:type="dxa"/>
            <w:vAlign w:val="bottom"/>
          </w:tcPr>
          <w:p>
            <w:pPr>
              <w:jc w:val="center"/>
              <w:ind w:right="1590"/>
              <w:spacing w:after="0"/>
              <w:rPr>
                <w:sz w:val="20"/>
                <w:szCs w:val="20"/>
                <w:color w:val="auto"/>
              </w:rPr>
            </w:pPr>
            <w:r>
              <w:rPr>
                <w:rFonts w:ascii="Arial" w:cs="Arial" w:eastAsia="Arial" w:hAnsi="Arial"/>
                <w:sz w:val="18"/>
                <w:szCs w:val="18"/>
                <w:color w:val="auto"/>
                <w:w w:val="99"/>
              </w:rPr>
              <w:t>March 1, 2022</w:t>
            </w:r>
          </w:p>
        </w:tc>
      </w:tr>
      <w:tr>
        <w:trPr>
          <w:trHeight w:val="20"/>
        </w:trPr>
        <w:tc>
          <w:tcPr>
            <w:tcW w:w="10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7">
              <w:r>
                <w:rPr>
                  <w:rFonts w:ascii="Arial" w:cs="Arial" w:eastAsia="Arial" w:hAnsi="Arial"/>
                  <w:sz w:val="18"/>
                  <w:szCs w:val="18"/>
                  <w:color w:val="0000FF"/>
                </w:rPr>
                <w:t>Financing and Security Agreement,</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w w:val="98"/>
              </w:rPr>
            </w:pPr>
            <w:hyperlink r:id="rId567">
              <w:r>
                <w:rPr>
                  <w:rFonts w:ascii="Arial" w:cs="Arial" w:eastAsia="Arial" w:hAnsi="Arial"/>
                  <w:sz w:val="18"/>
                  <w:szCs w:val="18"/>
                  <w:color w:val="0000FF"/>
                  <w:w w:val="98"/>
                </w:rPr>
                <w:t>dated February 24, 2022 by and among</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7">
              <w:r>
                <w:rPr>
                  <w:rFonts w:ascii="Arial" w:cs="Arial" w:eastAsia="Arial" w:hAnsi="Arial"/>
                  <w:sz w:val="18"/>
                  <w:szCs w:val="18"/>
                  <w:color w:val="0000FF"/>
                </w:rPr>
                <w:t>Ally Bank, Ally Financial, Inc., Vroom</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7">
              <w:r>
                <w:rPr>
                  <w:rFonts w:ascii="Arial" w:cs="Arial" w:eastAsia="Arial" w:hAnsi="Arial"/>
                  <w:sz w:val="18"/>
                  <w:szCs w:val="18"/>
                  <w:color w:val="0000FF"/>
                </w:rPr>
                <w:t>Automotive, LLC and Vroom, Inc.</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438"/>
        </w:trPr>
        <w:tc>
          <w:tcPr>
            <w:tcW w:w="1020" w:type="dxa"/>
            <w:vAlign w:val="bottom"/>
          </w:tcPr>
          <w:p>
            <w:pPr>
              <w:ind w:left="20"/>
              <w:spacing w:after="0"/>
              <w:rPr>
                <w:sz w:val="20"/>
                <w:szCs w:val="20"/>
                <w:color w:val="auto"/>
              </w:rPr>
            </w:pPr>
            <w:r>
              <w:rPr>
                <w:rFonts w:ascii="Arial" w:cs="Arial" w:eastAsia="Arial" w:hAnsi="Arial"/>
                <w:sz w:val="18"/>
                <w:szCs w:val="18"/>
                <w:color w:val="auto"/>
              </w:rPr>
              <w:t>10.23#</w:t>
            </w:r>
          </w:p>
        </w:tc>
        <w:tc>
          <w:tcPr>
            <w:tcW w:w="3160" w:type="dxa"/>
            <w:vAlign w:val="bottom"/>
            <w:gridSpan w:val="12"/>
          </w:tcPr>
          <w:p>
            <w:pPr>
              <w:spacing w:after="0"/>
              <w:rPr>
                <w:rFonts w:ascii="Arial" w:cs="Arial" w:eastAsia="Arial" w:hAnsi="Arial"/>
                <w:sz w:val="18"/>
                <w:szCs w:val="18"/>
                <w:color w:val="0000FF"/>
              </w:rPr>
            </w:pPr>
            <w:hyperlink r:id="rId568">
              <w:r>
                <w:rPr>
                  <w:rFonts w:ascii="Arial" w:cs="Arial" w:eastAsia="Arial" w:hAnsi="Arial"/>
                  <w:sz w:val="18"/>
                  <w:szCs w:val="18"/>
                  <w:color w:val="0000FF"/>
                </w:rPr>
                <w:t>Amended and Restated Inventory</w:t>
              </w:r>
            </w:hyperlink>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3660" w:type="dxa"/>
            <w:vAlign w:val="bottom"/>
          </w:tcPr>
          <w:p>
            <w:pPr>
              <w:jc w:val="center"/>
              <w:ind w:right="1650"/>
              <w:spacing w:after="0"/>
              <w:rPr>
                <w:sz w:val="20"/>
                <w:szCs w:val="20"/>
                <w:color w:val="auto"/>
              </w:rPr>
            </w:pPr>
            <w:r>
              <w:rPr>
                <w:rFonts w:ascii="Arial" w:cs="Arial" w:eastAsia="Arial" w:hAnsi="Arial"/>
                <w:sz w:val="18"/>
                <w:szCs w:val="18"/>
                <w:color w:val="auto"/>
                <w:w w:val="99"/>
              </w:rPr>
              <w:t>November 7, 2022</w:t>
            </w:r>
          </w:p>
        </w:tc>
      </w:tr>
      <w:tr>
        <w:trPr>
          <w:trHeight w:val="20"/>
        </w:trPr>
        <w:tc>
          <w:tcPr>
            <w:tcW w:w="10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8">
              <w:r>
                <w:rPr>
                  <w:rFonts w:ascii="Arial" w:cs="Arial" w:eastAsia="Arial" w:hAnsi="Arial"/>
                  <w:sz w:val="18"/>
                  <w:szCs w:val="18"/>
                  <w:color w:val="0000FF"/>
                </w:rPr>
                <w:t>Financing and Security Agreement,</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w w:val="98"/>
              </w:rPr>
            </w:pPr>
            <w:hyperlink r:id="rId568">
              <w:r>
                <w:rPr>
                  <w:rFonts w:ascii="Arial" w:cs="Arial" w:eastAsia="Arial" w:hAnsi="Arial"/>
                  <w:sz w:val="18"/>
                  <w:szCs w:val="18"/>
                  <w:color w:val="0000FF"/>
                  <w:w w:val="98"/>
                </w:rPr>
                <w:t>dated November 4, 2022 by and among</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8">
              <w:r>
                <w:rPr>
                  <w:rFonts w:ascii="Arial" w:cs="Arial" w:eastAsia="Arial" w:hAnsi="Arial"/>
                  <w:sz w:val="18"/>
                  <w:szCs w:val="18"/>
                  <w:color w:val="0000FF"/>
                </w:rPr>
                <w:t>Ally Bank, Ally Financial Inc., Vroom</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8">
              <w:r>
                <w:rPr>
                  <w:rFonts w:ascii="Arial" w:cs="Arial" w:eastAsia="Arial" w:hAnsi="Arial"/>
                  <w:sz w:val="18"/>
                  <w:szCs w:val="18"/>
                  <w:color w:val="0000FF"/>
                </w:rPr>
                <w:t>Automotive, LLC and Vroom, Inc.</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10.24#</w:t>
            </w:r>
          </w:p>
        </w:tc>
        <w:tc>
          <w:tcPr>
            <w:tcW w:w="3160" w:type="dxa"/>
            <w:vAlign w:val="bottom"/>
            <w:gridSpan w:val="12"/>
          </w:tcPr>
          <w:p>
            <w:pPr>
              <w:spacing w:after="0"/>
              <w:rPr>
                <w:rFonts w:ascii="Arial" w:cs="Arial" w:eastAsia="Arial" w:hAnsi="Arial"/>
                <w:sz w:val="18"/>
                <w:szCs w:val="18"/>
                <w:color w:val="0000FF"/>
              </w:rPr>
            </w:pPr>
            <w:hyperlink r:id="rId569">
              <w:r>
                <w:rPr>
                  <w:rFonts w:ascii="Arial" w:cs="Arial" w:eastAsia="Arial" w:hAnsi="Arial"/>
                  <w:sz w:val="18"/>
                  <w:szCs w:val="18"/>
                  <w:color w:val="0000FF"/>
                </w:rPr>
                <w:t>Retail Reconditioning Services</w:t>
              </w:r>
            </w:hyperlink>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7"/>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80" w:type="dxa"/>
            <w:vAlign w:val="bottom"/>
          </w:tcPr>
          <w:p>
            <w:pPr>
              <w:jc w:val="center"/>
              <w:spacing w:after="0"/>
              <w:rPr>
                <w:sz w:val="20"/>
                <w:szCs w:val="20"/>
                <w:color w:val="auto"/>
              </w:rPr>
            </w:pPr>
            <w:r>
              <w:rPr>
                <w:rFonts w:ascii="Arial" w:cs="Arial" w:eastAsia="Arial" w:hAnsi="Arial"/>
                <w:sz w:val="18"/>
                <w:szCs w:val="18"/>
                <w:color w:val="auto"/>
              </w:rPr>
              <w:t>10.12</w:t>
            </w:r>
          </w:p>
        </w:tc>
        <w:tc>
          <w:tcPr>
            <w:tcW w:w="3660" w:type="dxa"/>
            <w:vAlign w:val="bottom"/>
          </w:tcPr>
          <w:p>
            <w:pPr>
              <w:jc w:val="center"/>
              <w:ind w:right="1650"/>
              <w:spacing w:after="0"/>
              <w:rPr>
                <w:sz w:val="20"/>
                <w:szCs w:val="20"/>
                <w:color w:val="auto"/>
              </w:rPr>
            </w:pPr>
            <w:r>
              <w:rPr>
                <w:rFonts w:ascii="Arial" w:cs="Arial" w:eastAsia="Arial" w:hAnsi="Arial"/>
                <w:sz w:val="18"/>
                <w:szCs w:val="18"/>
                <w:color w:val="auto"/>
                <w:w w:val="99"/>
              </w:rPr>
              <w:t>June 1, 2020</w:t>
            </w:r>
          </w:p>
        </w:tc>
      </w:tr>
      <w:tr>
        <w:trPr>
          <w:trHeight w:val="20"/>
        </w:trPr>
        <w:tc>
          <w:tcPr>
            <w:tcW w:w="10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w w:val="97"/>
              </w:rPr>
            </w:pPr>
            <w:hyperlink r:id="rId569">
              <w:r>
                <w:rPr>
                  <w:rFonts w:ascii="Arial" w:cs="Arial" w:eastAsia="Arial" w:hAnsi="Arial"/>
                  <w:sz w:val="18"/>
                  <w:szCs w:val="18"/>
                  <w:color w:val="0000FF"/>
                  <w:w w:val="97"/>
                </w:rPr>
                <w:t>Agreement, dated May 20, 2020, by and</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900" w:type="dxa"/>
            <w:vAlign w:val="bottom"/>
            <w:gridSpan w:val="9"/>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rPr>
            </w:pPr>
            <w:hyperlink r:id="rId569">
              <w:r>
                <w:rPr>
                  <w:rFonts w:ascii="Arial" w:cs="Arial" w:eastAsia="Arial" w:hAnsi="Arial"/>
                  <w:sz w:val="18"/>
                  <w:szCs w:val="18"/>
                  <w:color w:val="0000FF"/>
                </w:rPr>
                <w:t>between Manheim Remarketing, Inc</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900" w:type="dxa"/>
            <w:vAlign w:val="bottom"/>
            <w:gridSpan w:val="9"/>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w w:val="97"/>
              </w:rPr>
            </w:pPr>
            <w:hyperlink r:id="rId569">
              <w:r>
                <w:rPr>
                  <w:rFonts w:ascii="Arial" w:cs="Arial" w:eastAsia="Arial" w:hAnsi="Arial"/>
                  <w:sz w:val="18"/>
                  <w:szCs w:val="18"/>
                  <w:color w:val="0000FF"/>
                  <w:w w:val="97"/>
                </w:rPr>
                <w:t>d/b/a Manheim Retail Solutions and Left</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160" w:type="dxa"/>
            <w:vAlign w:val="bottom"/>
            <w:gridSpan w:val="12"/>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2"/>
          </w:tcPr>
          <w:p>
            <w:pPr>
              <w:spacing w:after="0" w:line="182" w:lineRule="exact"/>
              <w:rPr>
                <w:rFonts w:ascii="Arial" w:cs="Arial" w:eastAsia="Arial" w:hAnsi="Arial"/>
                <w:sz w:val="18"/>
                <w:szCs w:val="18"/>
                <w:color w:val="0000FF"/>
                <w:w w:val="96"/>
              </w:rPr>
            </w:pPr>
            <w:hyperlink r:id="rId569">
              <w:r>
                <w:rPr>
                  <w:rFonts w:ascii="Arial" w:cs="Arial" w:eastAsia="Arial" w:hAnsi="Arial"/>
                  <w:sz w:val="18"/>
                  <w:szCs w:val="18"/>
                  <w:color w:val="0000FF"/>
                  <w:w w:val="96"/>
                </w:rPr>
                <w:t>Gate Property Holding, LLC d/b/a Vroom</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439"/>
        </w:trPr>
        <w:tc>
          <w:tcPr>
            <w:tcW w:w="10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jc w:val="right"/>
              <w:ind w:right="830"/>
              <w:spacing w:after="0"/>
              <w:rPr>
                <w:sz w:val="20"/>
                <w:szCs w:val="20"/>
                <w:color w:val="auto"/>
              </w:rPr>
            </w:pPr>
            <w:r>
              <w:rPr>
                <w:rFonts w:ascii="Arial" w:cs="Arial" w:eastAsia="Arial" w:hAnsi="Arial"/>
                <w:sz w:val="18"/>
                <w:szCs w:val="18"/>
                <w:color w:val="auto"/>
              </w:rPr>
              <w:t>145</w:t>
            </w:r>
          </w:p>
        </w:tc>
        <w:tc>
          <w:tcPr>
            <w:tcW w:w="8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01"/>
        </w:trPr>
        <w:tc>
          <w:tcPr>
            <w:tcW w:w="10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4220" w:type="dxa"/>
            <w:vAlign w:val="bottom"/>
            <w:gridSpan w:val="18"/>
          </w:tcPr>
          <w:p>
            <w:pPr>
              <w:spacing w:after="0"/>
              <w:rPr>
                <w:sz w:val="20"/>
                <w:szCs w:val="20"/>
                <w:color w:val="auto"/>
              </w:rPr>
            </w:pPr>
            <w:r>
              <w:rPr>
                <w:rFonts w:ascii="Arial" w:cs="Arial" w:eastAsia="Arial" w:hAnsi="Arial"/>
                <w:sz w:val="18"/>
                <w:szCs w:val="18"/>
                <w:color w:val="0000FF"/>
              </w:rPr>
              <w:t>Table of Contents</w:t>
            </w: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10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600"/>
        </w:trPr>
        <w:tc>
          <w:tcPr>
            <w:tcW w:w="1020" w:type="dxa"/>
            <w:vAlign w:val="bottom"/>
          </w:tcPr>
          <w:p>
            <w:pPr>
              <w:ind w:left="20"/>
              <w:spacing w:after="0"/>
              <w:rPr>
                <w:sz w:val="20"/>
                <w:szCs w:val="20"/>
                <w:color w:val="auto"/>
              </w:rPr>
            </w:pPr>
            <w:r>
              <w:rPr>
                <w:rFonts w:ascii="Arial" w:cs="Arial" w:eastAsia="Arial" w:hAnsi="Arial"/>
                <w:sz w:val="18"/>
                <w:szCs w:val="18"/>
                <w:color w:val="auto"/>
              </w:rPr>
              <w:t>10.25</w:t>
            </w:r>
            <w:r>
              <w:rPr>
                <w:rFonts w:ascii="Arial" w:cs="Arial" w:eastAsia="Arial" w:hAnsi="Arial"/>
                <w:sz w:val="16"/>
                <w:szCs w:val="16"/>
                <w:color w:val="auto"/>
              </w:rPr>
              <w:t>†</w:t>
            </w:r>
          </w:p>
        </w:tc>
        <w:tc>
          <w:tcPr>
            <w:tcW w:w="3200" w:type="dxa"/>
            <w:vAlign w:val="bottom"/>
            <w:gridSpan w:val="17"/>
          </w:tcPr>
          <w:p>
            <w:pPr>
              <w:spacing w:after="0"/>
              <w:rPr>
                <w:rFonts w:ascii="Arial" w:cs="Arial" w:eastAsia="Arial" w:hAnsi="Arial"/>
                <w:sz w:val="18"/>
                <w:szCs w:val="18"/>
                <w:color w:val="0000FF"/>
              </w:rPr>
            </w:pPr>
            <w:hyperlink r:id="rId572">
              <w:r>
                <w:rPr>
                  <w:rFonts w:ascii="Arial" w:cs="Arial" w:eastAsia="Arial" w:hAnsi="Arial"/>
                  <w:sz w:val="18"/>
                  <w:szCs w:val="18"/>
                  <w:color w:val="0000FF"/>
                </w:rPr>
                <w:t>Employment Agreement, dated June 8,</w:t>
              </w:r>
            </w:hyperlink>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60" w:type="dxa"/>
            <w:vAlign w:val="bottom"/>
          </w:tcPr>
          <w:p>
            <w:pPr>
              <w:jc w:val="center"/>
              <w:spacing w:after="0"/>
              <w:rPr>
                <w:sz w:val="20"/>
                <w:szCs w:val="20"/>
                <w:color w:val="auto"/>
              </w:rPr>
            </w:pPr>
            <w:r>
              <w:rPr>
                <w:rFonts w:ascii="Arial" w:cs="Arial" w:eastAsia="Arial" w:hAnsi="Arial"/>
                <w:sz w:val="18"/>
                <w:szCs w:val="18"/>
                <w:color w:val="auto"/>
              </w:rPr>
              <w:t>10.13</w:t>
            </w:r>
          </w:p>
        </w:tc>
        <w:tc>
          <w:tcPr>
            <w:tcW w:w="1800" w:type="dxa"/>
            <w:vAlign w:val="bottom"/>
          </w:tcPr>
          <w:p>
            <w:pPr>
              <w:jc w:val="center"/>
              <w:ind w:left="70"/>
              <w:spacing w:after="0"/>
              <w:rPr>
                <w:sz w:val="20"/>
                <w:szCs w:val="20"/>
                <w:color w:val="auto"/>
              </w:rPr>
            </w:pPr>
            <w:r>
              <w:rPr>
                <w:rFonts w:ascii="Arial" w:cs="Arial" w:eastAsia="Arial" w:hAnsi="Arial"/>
                <w:sz w:val="18"/>
                <w:szCs w:val="18"/>
                <w:color w:val="auto"/>
                <w:w w:val="99"/>
              </w:rPr>
              <w:t>June 1, 2020</w:t>
            </w: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72">
              <w:r>
                <w:rPr>
                  <w:rFonts w:ascii="Arial" w:cs="Arial" w:eastAsia="Arial" w:hAnsi="Arial"/>
                  <w:sz w:val="18"/>
                  <w:szCs w:val="18"/>
                  <w:color w:val="0000FF"/>
                </w:rPr>
                <w:t>2016, by and between Vroom, Inc. and</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72">
              <w:r>
                <w:rPr>
                  <w:rFonts w:ascii="Arial" w:cs="Arial" w:eastAsia="Arial" w:hAnsi="Arial"/>
                  <w:sz w:val="18"/>
                  <w:szCs w:val="18"/>
                  <w:color w:val="0000FF"/>
                </w:rPr>
                <w:t>Paul J. Hennessy</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10.26</w:t>
            </w:r>
            <w:r>
              <w:rPr>
                <w:rFonts w:ascii="Arial" w:cs="Arial" w:eastAsia="Arial" w:hAnsi="Arial"/>
                <w:sz w:val="16"/>
                <w:szCs w:val="16"/>
                <w:color w:val="auto"/>
              </w:rPr>
              <w:t>†</w:t>
            </w:r>
          </w:p>
        </w:tc>
        <w:tc>
          <w:tcPr>
            <w:tcW w:w="3200" w:type="dxa"/>
            <w:vAlign w:val="bottom"/>
            <w:gridSpan w:val="17"/>
          </w:tcPr>
          <w:p>
            <w:pPr>
              <w:spacing w:after="0"/>
              <w:rPr>
                <w:rFonts w:ascii="Arial" w:cs="Arial" w:eastAsia="Arial" w:hAnsi="Arial"/>
                <w:sz w:val="18"/>
                <w:szCs w:val="18"/>
                <w:color w:val="0000FF"/>
                <w:w w:val="99"/>
              </w:rPr>
            </w:pPr>
            <w:hyperlink r:id="rId573">
              <w:r>
                <w:rPr>
                  <w:rFonts w:ascii="Arial" w:cs="Arial" w:eastAsia="Arial" w:hAnsi="Arial"/>
                  <w:sz w:val="18"/>
                  <w:szCs w:val="18"/>
                  <w:color w:val="0000FF"/>
                  <w:w w:val="99"/>
                </w:rPr>
                <w:t>Employment Offer Letter, dated January</w:t>
              </w:r>
            </w:hyperlink>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60" w:type="dxa"/>
            <w:vAlign w:val="bottom"/>
          </w:tcPr>
          <w:p>
            <w:pPr>
              <w:jc w:val="center"/>
              <w:spacing w:after="0"/>
              <w:rPr>
                <w:sz w:val="20"/>
                <w:szCs w:val="20"/>
                <w:color w:val="auto"/>
              </w:rPr>
            </w:pPr>
            <w:r>
              <w:rPr>
                <w:rFonts w:ascii="Arial" w:cs="Arial" w:eastAsia="Arial" w:hAnsi="Arial"/>
                <w:sz w:val="18"/>
                <w:szCs w:val="18"/>
                <w:color w:val="auto"/>
              </w:rPr>
              <w:t>10.15</w:t>
            </w:r>
          </w:p>
        </w:tc>
        <w:tc>
          <w:tcPr>
            <w:tcW w:w="1800" w:type="dxa"/>
            <w:vAlign w:val="bottom"/>
          </w:tcPr>
          <w:p>
            <w:pPr>
              <w:jc w:val="center"/>
              <w:ind w:left="70"/>
              <w:spacing w:after="0"/>
              <w:rPr>
                <w:sz w:val="20"/>
                <w:szCs w:val="20"/>
                <w:color w:val="auto"/>
              </w:rPr>
            </w:pPr>
            <w:r>
              <w:rPr>
                <w:rFonts w:ascii="Arial" w:cs="Arial" w:eastAsia="Arial" w:hAnsi="Arial"/>
                <w:sz w:val="18"/>
                <w:szCs w:val="18"/>
                <w:color w:val="auto"/>
                <w:w w:val="99"/>
              </w:rPr>
              <w:t>June 1, 2020</w:t>
            </w: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73">
              <w:r>
                <w:rPr>
                  <w:rFonts w:ascii="Arial" w:cs="Arial" w:eastAsia="Arial" w:hAnsi="Arial"/>
                  <w:sz w:val="18"/>
                  <w:szCs w:val="18"/>
                  <w:color w:val="0000FF"/>
                </w:rPr>
                <w:t>6, 2019, by and between Vroom, Inc.</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73">
              <w:r>
                <w:rPr>
                  <w:rFonts w:ascii="Arial" w:cs="Arial" w:eastAsia="Arial" w:hAnsi="Arial"/>
                  <w:sz w:val="18"/>
                  <w:szCs w:val="18"/>
                  <w:color w:val="0000FF"/>
                </w:rPr>
                <w:t>and Mark Roszkowski</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38"/>
        </w:trPr>
        <w:tc>
          <w:tcPr>
            <w:tcW w:w="1020" w:type="dxa"/>
            <w:vAlign w:val="bottom"/>
          </w:tcPr>
          <w:p>
            <w:pPr>
              <w:ind w:left="20"/>
              <w:spacing w:after="0"/>
              <w:rPr>
                <w:sz w:val="20"/>
                <w:szCs w:val="20"/>
                <w:color w:val="auto"/>
              </w:rPr>
            </w:pPr>
            <w:r>
              <w:rPr>
                <w:rFonts w:ascii="Arial" w:cs="Arial" w:eastAsia="Arial" w:hAnsi="Arial"/>
                <w:sz w:val="18"/>
                <w:szCs w:val="18"/>
                <w:color w:val="auto"/>
              </w:rPr>
              <w:t>10.27</w:t>
            </w:r>
            <w:r>
              <w:rPr>
                <w:rFonts w:ascii="Arial" w:cs="Arial" w:eastAsia="Arial" w:hAnsi="Arial"/>
                <w:sz w:val="16"/>
                <w:szCs w:val="16"/>
                <w:color w:val="auto"/>
              </w:rPr>
              <w:t>†</w:t>
            </w:r>
          </w:p>
        </w:tc>
        <w:tc>
          <w:tcPr>
            <w:tcW w:w="3200" w:type="dxa"/>
            <w:vAlign w:val="bottom"/>
            <w:gridSpan w:val="17"/>
          </w:tcPr>
          <w:p>
            <w:pPr>
              <w:spacing w:after="0"/>
              <w:rPr>
                <w:rFonts w:ascii="Arial" w:cs="Arial" w:eastAsia="Arial" w:hAnsi="Arial"/>
                <w:sz w:val="18"/>
                <w:szCs w:val="18"/>
                <w:color w:val="0000FF"/>
                <w:w w:val="98"/>
              </w:rPr>
            </w:pPr>
            <w:hyperlink r:id="rId574">
              <w:r>
                <w:rPr>
                  <w:rFonts w:ascii="Arial" w:cs="Arial" w:eastAsia="Arial" w:hAnsi="Arial"/>
                  <w:sz w:val="18"/>
                  <w:szCs w:val="18"/>
                  <w:color w:val="0000FF"/>
                  <w:w w:val="98"/>
                </w:rPr>
                <w:t>Separation Agreement, dated as of June</w:t>
              </w:r>
            </w:hyperlink>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800" w:type="dxa"/>
            <w:vAlign w:val="bottom"/>
          </w:tcPr>
          <w:p>
            <w:pPr>
              <w:jc w:val="center"/>
              <w:ind w:left="70"/>
              <w:spacing w:after="0"/>
              <w:rPr>
                <w:sz w:val="20"/>
                <w:szCs w:val="20"/>
                <w:color w:val="auto"/>
              </w:rPr>
            </w:pPr>
            <w:r>
              <w:rPr>
                <w:rFonts w:ascii="Arial" w:cs="Arial" w:eastAsia="Arial" w:hAnsi="Arial"/>
                <w:sz w:val="18"/>
                <w:szCs w:val="18"/>
                <w:color w:val="auto"/>
                <w:w w:val="98"/>
              </w:rPr>
              <w:t>July 1, 2022</w:t>
            </w: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74">
              <w:r>
                <w:rPr>
                  <w:rFonts w:ascii="Arial" w:cs="Arial" w:eastAsia="Arial" w:hAnsi="Arial"/>
                  <w:sz w:val="18"/>
                  <w:szCs w:val="18"/>
                  <w:color w:val="0000FF"/>
                </w:rPr>
                <w:t>30, 2022, by and between Mark E.</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74">
              <w:r>
                <w:rPr>
                  <w:rFonts w:ascii="Arial" w:cs="Arial" w:eastAsia="Arial" w:hAnsi="Arial"/>
                  <w:sz w:val="18"/>
                  <w:szCs w:val="18"/>
                  <w:color w:val="0000FF"/>
                </w:rPr>
                <w:t>Roszkowski and Vroom, Inc.</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10.28</w:t>
            </w:r>
            <w:r>
              <w:rPr>
                <w:rFonts w:ascii="Arial" w:cs="Arial" w:eastAsia="Arial" w:hAnsi="Arial"/>
                <w:sz w:val="16"/>
                <w:szCs w:val="16"/>
                <w:color w:val="auto"/>
              </w:rPr>
              <w:t>†</w:t>
            </w:r>
          </w:p>
        </w:tc>
        <w:tc>
          <w:tcPr>
            <w:tcW w:w="3200" w:type="dxa"/>
            <w:vAlign w:val="bottom"/>
            <w:gridSpan w:val="17"/>
          </w:tcPr>
          <w:p>
            <w:pPr>
              <w:spacing w:after="0"/>
              <w:rPr>
                <w:rFonts w:ascii="Arial" w:cs="Arial" w:eastAsia="Arial" w:hAnsi="Arial"/>
                <w:sz w:val="18"/>
                <w:szCs w:val="18"/>
                <w:color w:val="0000FF"/>
              </w:rPr>
            </w:pPr>
            <w:hyperlink r:id="rId575">
              <w:r>
                <w:rPr>
                  <w:rFonts w:ascii="Arial" w:cs="Arial" w:eastAsia="Arial" w:hAnsi="Arial"/>
                  <w:sz w:val="18"/>
                  <w:szCs w:val="18"/>
                  <w:color w:val="0000FF"/>
                </w:rPr>
                <w:t>Employment Offer Letter, dated</w:t>
              </w:r>
            </w:hyperlink>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60" w:type="dxa"/>
            <w:vAlign w:val="bottom"/>
          </w:tcPr>
          <w:p>
            <w:pPr>
              <w:jc w:val="center"/>
              <w:spacing w:after="0"/>
              <w:rPr>
                <w:sz w:val="20"/>
                <w:szCs w:val="20"/>
                <w:color w:val="auto"/>
              </w:rPr>
            </w:pPr>
            <w:r>
              <w:rPr>
                <w:rFonts w:ascii="Arial" w:cs="Arial" w:eastAsia="Arial" w:hAnsi="Arial"/>
                <w:sz w:val="18"/>
                <w:szCs w:val="18"/>
                <w:color w:val="auto"/>
              </w:rPr>
              <w:t>10.18</w:t>
            </w:r>
          </w:p>
        </w:tc>
        <w:tc>
          <w:tcPr>
            <w:tcW w:w="1800" w:type="dxa"/>
            <w:vAlign w:val="bottom"/>
          </w:tcPr>
          <w:p>
            <w:pPr>
              <w:jc w:val="center"/>
              <w:ind w:left="70"/>
              <w:spacing w:after="0"/>
              <w:rPr>
                <w:sz w:val="20"/>
                <w:szCs w:val="20"/>
                <w:color w:val="auto"/>
              </w:rPr>
            </w:pPr>
            <w:r>
              <w:rPr>
                <w:rFonts w:ascii="Arial" w:cs="Arial" w:eastAsia="Arial" w:hAnsi="Arial"/>
                <w:sz w:val="18"/>
                <w:szCs w:val="18"/>
                <w:color w:val="auto"/>
                <w:w w:val="99"/>
              </w:rPr>
              <w:t>September 8, 2020</w:t>
            </w: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75">
              <w:r>
                <w:rPr>
                  <w:rFonts w:ascii="Arial" w:cs="Arial" w:eastAsia="Arial" w:hAnsi="Arial"/>
                  <w:sz w:val="18"/>
                  <w:szCs w:val="18"/>
                  <w:color w:val="0000FF"/>
                </w:rPr>
                <w:t>December 29, 2018, by and between</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75">
              <w:r>
                <w:rPr>
                  <w:rFonts w:ascii="Arial" w:cs="Arial" w:eastAsia="Arial" w:hAnsi="Arial"/>
                  <w:sz w:val="18"/>
                  <w:szCs w:val="18"/>
                  <w:color w:val="0000FF"/>
                </w:rPr>
                <w:t>Vroom, Inc. and Patricia Moran</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10.29</w:t>
            </w:r>
            <w:r>
              <w:rPr>
                <w:rFonts w:ascii="Arial" w:cs="Arial" w:eastAsia="Arial" w:hAnsi="Arial"/>
                <w:sz w:val="16"/>
                <w:szCs w:val="16"/>
                <w:color w:val="auto"/>
              </w:rPr>
              <w:t>†</w:t>
            </w:r>
          </w:p>
        </w:tc>
        <w:tc>
          <w:tcPr>
            <w:tcW w:w="3200" w:type="dxa"/>
            <w:vAlign w:val="bottom"/>
            <w:gridSpan w:val="17"/>
          </w:tcPr>
          <w:p>
            <w:pPr>
              <w:spacing w:after="0"/>
              <w:rPr>
                <w:rFonts w:ascii="Arial" w:cs="Arial" w:eastAsia="Arial" w:hAnsi="Arial"/>
                <w:sz w:val="18"/>
                <w:szCs w:val="18"/>
                <w:color w:val="0000FF"/>
              </w:rPr>
            </w:pPr>
            <w:hyperlink r:id="rId576">
              <w:r>
                <w:rPr>
                  <w:rFonts w:ascii="Arial" w:cs="Arial" w:eastAsia="Arial" w:hAnsi="Arial"/>
                  <w:sz w:val="18"/>
                  <w:szCs w:val="18"/>
                  <w:color w:val="0000FF"/>
                </w:rPr>
                <w:t>Employment Offer Letter, dated</w:t>
              </w:r>
            </w:hyperlink>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60" w:type="dxa"/>
            <w:vAlign w:val="bottom"/>
          </w:tcPr>
          <w:p>
            <w:pPr>
              <w:jc w:val="center"/>
              <w:spacing w:after="0"/>
              <w:rPr>
                <w:sz w:val="20"/>
                <w:szCs w:val="20"/>
                <w:color w:val="auto"/>
              </w:rPr>
            </w:pPr>
            <w:r>
              <w:rPr>
                <w:rFonts w:ascii="Arial" w:cs="Arial" w:eastAsia="Arial" w:hAnsi="Arial"/>
                <w:sz w:val="18"/>
                <w:szCs w:val="18"/>
                <w:color w:val="auto"/>
              </w:rPr>
              <w:t>10.19</w:t>
            </w:r>
          </w:p>
        </w:tc>
        <w:tc>
          <w:tcPr>
            <w:tcW w:w="1800" w:type="dxa"/>
            <w:vAlign w:val="bottom"/>
          </w:tcPr>
          <w:p>
            <w:pPr>
              <w:jc w:val="center"/>
              <w:ind w:left="70"/>
              <w:spacing w:after="0"/>
              <w:rPr>
                <w:sz w:val="20"/>
                <w:szCs w:val="20"/>
                <w:color w:val="auto"/>
              </w:rPr>
            </w:pPr>
            <w:r>
              <w:rPr>
                <w:rFonts w:ascii="Arial" w:cs="Arial" w:eastAsia="Arial" w:hAnsi="Arial"/>
                <w:sz w:val="18"/>
                <w:szCs w:val="18"/>
                <w:color w:val="auto"/>
                <w:w w:val="99"/>
              </w:rPr>
              <w:t>September 8, 2020</w:t>
            </w: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76">
              <w:r>
                <w:rPr>
                  <w:rFonts w:ascii="Arial" w:cs="Arial" w:eastAsia="Arial" w:hAnsi="Arial"/>
                  <w:sz w:val="18"/>
                  <w:szCs w:val="18"/>
                  <w:color w:val="0000FF"/>
                </w:rPr>
                <w:t>November 3, 2016, by and between</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76">
              <w:r>
                <w:rPr>
                  <w:rFonts w:ascii="Arial" w:cs="Arial" w:eastAsia="Arial" w:hAnsi="Arial"/>
                  <w:sz w:val="18"/>
                  <w:szCs w:val="18"/>
                  <w:color w:val="0000FF"/>
                </w:rPr>
                <w:t>Vroom, Inc. and Carol Denise Stott</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10.30</w:t>
            </w:r>
            <w:r>
              <w:rPr>
                <w:rFonts w:ascii="Arial" w:cs="Arial" w:eastAsia="Arial" w:hAnsi="Arial"/>
                <w:sz w:val="16"/>
                <w:szCs w:val="16"/>
                <w:color w:val="auto"/>
              </w:rPr>
              <w:t>†</w:t>
            </w:r>
          </w:p>
        </w:tc>
        <w:tc>
          <w:tcPr>
            <w:tcW w:w="3200" w:type="dxa"/>
            <w:vAlign w:val="bottom"/>
            <w:gridSpan w:val="17"/>
          </w:tcPr>
          <w:p>
            <w:pPr>
              <w:spacing w:after="0"/>
              <w:rPr>
                <w:rFonts w:ascii="Arial" w:cs="Arial" w:eastAsia="Arial" w:hAnsi="Arial"/>
                <w:sz w:val="18"/>
                <w:szCs w:val="18"/>
                <w:color w:val="0000FF"/>
              </w:rPr>
            </w:pPr>
            <w:hyperlink r:id="rId577">
              <w:r>
                <w:rPr>
                  <w:rFonts w:ascii="Arial" w:cs="Arial" w:eastAsia="Arial" w:hAnsi="Arial"/>
                  <w:sz w:val="18"/>
                  <w:szCs w:val="18"/>
                  <w:color w:val="0000FF"/>
                </w:rPr>
                <w:t>Letter Agreement, dated as of</w:t>
              </w:r>
            </w:hyperlink>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800" w:type="dxa"/>
            <w:vAlign w:val="bottom"/>
          </w:tcPr>
          <w:p>
            <w:pPr>
              <w:jc w:val="center"/>
              <w:ind w:left="70"/>
              <w:spacing w:after="0"/>
              <w:rPr>
                <w:sz w:val="20"/>
                <w:szCs w:val="20"/>
                <w:color w:val="auto"/>
              </w:rPr>
            </w:pPr>
            <w:r>
              <w:rPr>
                <w:rFonts w:ascii="Arial" w:cs="Arial" w:eastAsia="Arial" w:hAnsi="Arial"/>
                <w:sz w:val="18"/>
                <w:szCs w:val="18"/>
                <w:color w:val="auto"/>
              </w:rPr>
              <w:t>September 13, 2021</w:t>
            </w: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77">
              <w:r>
                <w:rPr>
                  <w:rFonts w:ascii="Arial" w:cs="Arial" w:eastAsia="Arial" w:hAnsi="Arial"/>
                  <w:sz w:val="18"/>
                  <w:szCs w:val="18"/>
                  <w:color w:val="0000FF"/>
                </w:rPr>
                <w:t>September 13, 2021, by and between</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77">
              <w:r>
                <w:rPr>
                  <w:rFonts w:ascii="Arial" w:cs="Arial" w:eastAsia="Arial" w:hAnsi="Arial"/>
                  <w:sz w:val="18"/>
                  <w:szCs w:val="18"/>
                  <w:color w:val="0000FF"/>
                </w:rPr>
                <w:t>Robert Krakowiak and Vroom, Inc.</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641"/>
        </w:trPr>
        <w:tc>
          <w:tcPr>
            <w:tcW w:w="1020" w:type="dxa"/>
            <w:vAlign w:val="bottom"/>
          </w:tcPr>
          <w:p>
            <w:pPr>
              <w:ind w:left="20"/>
              <w:spacing w:after="0"/>
              <w:rPr>
                <w:sz w:val="20"/>
                <w:szCs w:val="20"/>
                <w:color w:val="auto"/>
              </w:rPr>
            </w:pPr>
            <w:r>
              <w:rPr>
                <w:rFonts w:ascii="Arial" w:cs="Arial" w:eastAsia="Arial" w:hAnsi="Arial"/>
                <w:sz w:val="18"/>
                <w:szCs w:val="18"/>
                <w:color w:val="auto"/>
              </w:rPr>
              <w:t>10.31</w:t>
            </w:r>
            <w:r>
              <w:rPr>
                <w:rFonts w:ascii="Arial" w:cs="Arial" w:eastAsia="Arial" w:hAnsi="Arial"/>
                <w:sz w:val="16"/>
                <w:szCs w:val="16"/>
                <w:color w:val="auto"/>
              </w:rPr>
              <w:t>†</w:t>
            </w:r>
          </w:p>
        </w:tc>
        <w:tc>
          <w:tcPr>
            <w:tcW w:w="3200" w:type="dxa"/>
            <w:vAlign w:val="bottom"/>
            <w:gridSpan w:val="17"/>
          </w:tcPr>
          <w:p>
            <w:pPr>
              <w:spacing w:after="0"/>
              <w:rPr>
                <w:rFonts w:ascii="Arial" w:cs="Arial" w:eastAsia="Arial" w:hAnsi="Arial"/>
                <w:sz w:val="18"/>
                <w:szCs w:val="18"/>
                <w:color w:val="0000FF"/>
              </w:rPr>
            </w:pPr>
            <w:hyperlink r:id="rId578">
              <w:r>
                <w:rPr>
                  <w:rFonts w:ascii="Arial" w:cs="Arial" w:eastAsia="Arial" w:hAnsi="Arial"/>
                  <w:sz w:val="18"/>
                  <w:szCs w:val="18"/>
                  <w:color w:val="0000FF"/>
                </w:rPr>
                <w:t>Amended Offer Letter, dated as of May</w:t>
              </w:r>
            </w:hyperlink>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800" w:type="dxa"/>
            <w:vAlign w:val="bottom"/>
          </w:tcPr>
          <w:p>
            <w:pPr>
              <w:jc w:val="center"/>
              <w:ind w:left="70"/>
              <w:spacing w:after="0"/>
              <w:rPr>
                <w:sz w:val="20"/>
                <w:szCs w:val="20"/>
                <w:color w:val="auto"/>
              </w:rPr>
            </w:pPr>
            <w:r>
              <w:rPr>
                <w:rFonts w:ascii="Arial" w:cs="Arial" w:eastAsia="Arial" w:hAnsi="Arial"/>
                <w:sz w:val="18"/>
                <w:szCs w:val="18"/>
                <w:color w:val="auto"/>
                <w:w w:val="98"/>
              </w:rPr>
              <w:t>May 26, 2022</w:t>
            </w: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78">
              <w:r>
                <w:rPr>
                  <w:rFonts w:ascii="Arial" w:cs="Arial" w:eastAsia="Arial" w:hAnsi="Arial"/>
                  <w:sz w:val="18"/>
                  <w:szCs w:val="18"/>
                  <w:color w:val="0000FF"/>
                </w:rPr>
                <w:t>20, 2022, by and between Robert R.</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78">
              <w:r>
                <w:rPr>
                  <w:rFonts w:ascii="Arial" w:cs="Arial" w:eastAsia="Arial" w:hAnsi="Arial"/>
                  <w:sz w:val="18"/>
                  <w:szCs w:val="18"/>
                  <w:color w:val="0000FF"/>
                </w:rPr>
                <w:t>Krakowiak and Vroom, Inc.</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25"/>
        </w:trPr>
        <w:tc>
          <w:tcPr>
            <w:tcW w:w="1020" w:type="dxa"/>
            <w:vAlign w:val="bottom"/>
          </w:tcPr>
          <w:p>
            <w:pPr>
              <w:ind w:left="20"/>
              <w:spacing w:after="0"/>
              <w:rPr>
                <w:sz w:val="20"/>
                <w:szCs w:val="20"/>
                <w:color w:val="auto"/>
              </w:rPr>
            </w:pPr>
            <w:r>
              <w:rPr>
                <w:rFonts w:ascii="Arial" w:cs="Arial" w:eastAsia="Arial" w:hAnsi="Arial"/>
                <w:sz w:val="18"/>
                <w:szCs w:val="18"/>
                <w:color w:val="auto"/>
              </w:rPr>
              <w:t>10.32†</w:t>
            </w:r>
          </w:p>
        </w:tc>
        <w:tc>
          <w:tcPr>
            <w:tcW w:w="3200" w:type="dxa"/>
            <w:vAlign w:val="bottom"/>
            <w:gridSpan w:val="17"/>
          </w:tcPr>
          <w:p>
            <w:pPr>
              <w:spacing w:after="0"/>
              <w:rPr>
                <w:rFonts w:ascii="Arial" w:cs="Arial" w:eastAsia="Arial" w:hAnsi="Arial"/>
                <w:sz w:val="18"/>
                <w:szCs w:val="18"/>
                <w:color w:val="0000FF"/>
              </w:rPr>
            </w:pPr>
            <w:hyperlink r:id="rId579">
              <w:r>
                <w:rPr>
                  <w:rFonts w:ascii="Arial" w:cs="Arial" w:eastAsia="Arial" w:hAnsi="Arial"/>
                  <w:sz w:val="18"/>
                  <w:szCs w:val="18"/>
                  <w:color w:val="0000FF"/>
                </w:rPr>
                <w:t>Letter Agreement, dated as of</w:t>
              </w:r>
            </w:hyperlink>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800" w:type="dxa"/>
            <w:vAlign w:val="bottom"/>
          </w:tcPr>
          <w:p>
            <w:pPr>
              <w:jc w:val="center"/>
              <w:ind w:left="90"/>
              <w:spacing w:after="0"/>
              <w:rPr>
                <w:sz w:val="20"/>
                <w:szCs w:val="20"/>
                <w:color w:val="auto"/>
              </w:rPr>
            </w:pPr>
            <w:r>
              <w:rPr>
                <w:rFonts w:ascii="Arial" w:cs="Arial" w:eastAsia="Arial" w:hAnsi="Arial"/>
                <w:sz w:val="18"/>
                <w:szCs w:val="18"/>
                <w:color w:val="auto"/>
                <w:w w:val="99"/>
              </w:rPr>
              <w:t>December 17, 2021</w:t>
            </w: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79">
              <w:r>
                <w:rPr>
                  <w:rFonts w:ascii="Arial" w:cs="Arial" w:eastAsia="Arial" w:hAnsi="Arial"/>
                  <w:sz w:val="18"/>
                  <w:szCs w:val="18"/>
                  <w:color w:val="0000FF"/>
                </w:rPr>
                <w:t>December 15, 2021, by and between</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79">
              <w:r>
                <w:rPr>
                  <w:rFonts w:ascii="Arial" w:cs="Arial" w:eastAsia="Arial" w:hAnsi="Arial"/>
                  <w:sz w:val="18"/>
                  <w:szCs w:val="18"/>
                  <w:color w:val="0000FF"/>
                </w:rPr>
                <w:t>Thomas Shortt and Vroom, Inc.</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38"/>
        </w:trPr>
        <w:tc>
          <w:tcPr>
            <w:tcW w:w="1020" w:type="dxa"/>
            <w:vAlign w:val="bottom"/>
          </w:tcPr>
          <w:p>
            <w:pPr>
              <w:ind w:left="20"/>
              <w:spacing w:after="0"/>
              <w:rPr>
                <w:sz w:val="20"/>
                <w:szCs w:val="20"/>
                <w:color w:val="auto"/>
              </w:rPr>
            </w:pPr>
            <w:r>
              <w:rPr>
                <w:rFonts w:ascii="Arial" w:cs="Arial" w:eastAsia="Arial" w:hAnsi="Arial"/>
                <w:sz w:val="18"/>
                <w:szCs w:val="18"/>
                <w:color w:val="auto"/>
              </w:rPr>
              <w:t>10.33</w:t>
            </w:r>
            <w:r>
              <w:rPr>
                <w:rFonts w:ascii="Arial" w:cs="Arial" w:eastAsia="Arial" w:hAnsi="Arial"/>
                <w:sz w:val="16"/>
                <w:szCs w:val="16"/>
                <w:color w:val="auto"/>
              </w:rPr>
              <w:t>†</w:t>
            </w:r>
          </w:p>
        </w:tc>
        <w:tc>
          <w:tcPr>
            <w:tcW w:w="3200" w:type="dxa"/>
            <w:vAlign w:val="bottom"/>
            <w:gridSpan w:val="17"/>
          </w:tcPr>
          <w:p>
            <w:pPr>
              <w:spacing w:after="0"/>
              <w:rPr>
                <w:rFonts w:ascii="Arial" w:cs="Arial" w:eastAsia="Arial" w:hAnsi="Arial"/>
                <w:sz w:val="18"/>
                <w:szCs w:val="18"/>
                <w:color w:val="0000FF"/>
              </w:rPr>
            </w:pPr>
            <w:hyperlink r:id="rId580">
              <w:r>
                <w:rPr>
                  <w:rFonts w:ascii="Arial" w:cs="Arial" w:eastAsia="Arial" w:hAnsi="Arial"/>
                  <w:sz w:val="18"/>
                  <w:szCs w:val="18"/>
                  <w:color w:val="0000FF"/>
                </w:rPr>
                <w:t>Employment Letter, dated as of May 9,</w:t>
              </w:r>
            </w:hyperlink>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800" w:type="dxa"/>
            <w:vAlign w:val="bottom"/>
          </w:tcPr>
          <w:p>
            <w:pPr>
              <w:jc w:val="center"/>
              <w:ind w:left="70"/>
              <w:spacing w:after="0"/>
              <w:rPr>
                <w:sz w:val="20"/>
                <w:szCs w:val="20"/>
                <w:color w:val="auto"/>
              </w:rPr>
            </w:pPr>
            <w:r>
              <w:rPr>
                <w:rFonts w:ascii="Arial" w:cs="Arial" w:eastAsia="Arial" w:hAnsi="Arial"/>
                <w:sz w:val="18"/>
                <w:szCs w:val="18"/>
                <w:color w:val="auto"/>
              </w:rPr>
              <w:t>May 9, 2022</w:t>
            </w: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80">
              <w:r>
                <w:rPr>
                  <w:rFonts w:ascii="Arial" w:cs="Arial" w:eastAsia="Arial" w:hAnsi="Arial"/>
                  <w:sz w:val="18"/>
                  <w:szCs w:val="18"/>
                  <w:color w:val="0000FF"/>
                </w:rPr>
                <w:t>2022, by and between Thomas Shortt</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80">
              <w:r>
                <w:rPr>
                  <w:rFonts w:ascii="Arial" w:cs="Arial" w:eastAsia="Arial" w:hAnsi="Arial"/>
                  <w:sz w:val="18"/>
                  <w:szCs w:val="18"/>
                  <w:color w:val="0000FF"/>
                </w:rPr>
                <w:t>and Vroom, Inc.</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25"/>
        </w:trPr>
        <w:tc>
          <w:tcPr>
            <w:tcW w:w="1020" w:type="dxa"/>
            <w:vAlign w:val="bottom"/>
          </w:tcPr>
          <w:p>
            <w:pPr>
              <w:ind w:left="20"/>
              <w:spacing w:after="0"/>
              <w:rPr>
                <w:sz w:val="20"/>
                <w:szCs w:val="20"/>
                <w:color w:val="auto"/>
              </w:rPr>
            </w:pPr>
            <w:r>
              <w:rPr>
                <w:rFonts w:ascii="Arial" w:cs="Arial" w:eastAsia="Arial" w:hAnsi="Arial"/>
                <w:sz w:val="18"/>
                <w:szCs w:val="18"/>
                <w:color w:val="auto"/>
              </w:rPr>
              <w:t>10.37</w:t>
            </w:r>
            <w:r>
              <w:rPr>
                <w:rFonts w:ascii="Arial" w:cs="Arial" w:eastAsia="Arial" w:hAnsi="Arial"/>
                <w:sz w:val="16"/>
                <w:szCs w:val="16"/>
                <w:color w:val="auto"/>
              </w:rPr>
              <w:t>†</w:t>
            </w:r>
          </w:p>
        </w:tc>
        <w:tc>
          <w:tcPr>
            <w:tcW w:w="3200" w:type="dxa"/>
            <w:vAlign w:val="bottom"/>
            <w:gridSpan w:val="17"/>
          </w:tcPr>
          <w:p>
            <w:pPr>
              <w:spacing w:after="0"/>
              <w:rPr>
                <w:rFonts w:ascii="Arial" w:cs="Arial" w:eastAsia="Arial" w:hAnsi="Arial"/>
                <w:sz w:val="18"/>
                <w:szCs w:val="18"/>
                <w:color w:val="0000FF"/>
              </w:rPr>
            </w:pPr>
            <w:hyperlink r:id="rId581">
              <w:r>
                <w:rPr>
                  <w:rFonts w:ascii="Arial" w:cs="Arial" w:eastAsia="Arial" w:hAnsi="Arial"/>
                  <w:sz w:val="18"/>
                  <w:szCs w:val="18"/>
                  <w:color w:val="0000FF"/>
                </w:rPr>
                <w:t>Nominee and Indemnity Agreement,</w:t>
              </w:r>
            </w:hyperlink>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60" w:type="dxa"/>
            <w:vAlign w:val="bottom"/>
          </w:tcPr>
          <w:p>
            <w:pPr>
              <w:jc w:val="center"/>
              <w:spacing w:after="0"/>
              <w:rPr>
                <w:sz w:val="20"/>
                <w:szCs w:val="20"/>
                <w:color w:val="auto"/>
              </w:rPr>
            </w:pPr>
            <w:r>
              <w:rPr>
                <w:rFonts w:ascii="Arial" w:cs="Arial" w:eastAsia="Arial" w:hAnsi="Arial"/>
                <w:sz w:val="18"/>
                <w:szCs w:val="18"/>
                <w:color w:val="auto"/>
              </w:rPr>
              <w:t>10.20</w:t>
            </w:r>
          </w:p>
        </w:tc>
        <w:tc>
          <w:tcPr>
            <w:tcW w:w="1800" w:type="dxa"/>
            <w:vAlign w:val="bottom"/>
          </w:tcPr>
          <w:p>
            <w:pPr>
              <w:jc w:val="center"/>
              <w:ind w:left="70"/>
              <w:spacing w:after="0"/>
              <w:rPr>
                <w:sz w:val="20"/>
                <w:szCs w:val="20"/>
                <w:color w:val="auto"/>
              </w:rPr>
            </w:pPr>
            <w:r>
              <w:rPr>
                <w:rFonts w:ascii="Arial" w:cs="Arial" w:eastAsia="Arial" w:hAnsi="Arial"/>
                <w:sz w:val="18"/>
                <w:szCs w:val="18"/>
                <w:color w:val="auto"/>
                <w:w w:val="99"/>
              </w:rPr>
              <w:t>September 8, 2020</w:t>
            </w:r>
          </w:p>
        </w:tc>
      </w:tr>
      <w:tr>
        <w:trPr>
          <w:trHeight w:val="20"/>
        </w:trPr>
        <w:tc>
          <w:tcPr>
            <w:tcW w:w="1020" w:type="dxa"/>
            <w:vAlign w:val="bottom"/>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81">
              <w:r>
                <w:rPr>
                  <w:rFonts w:ascii="Arial" w:cs="Arial" w:eastAsia="Arial" w:hAnsi="Arial"/>
                  <w:sz w:val="18"/>
                  <w:szCs w:val="18"/>
                  <w:color w:val="0000FF"/>
                </w:rPr>
                <w:t>dated September 1, 2020, by and</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81">
              <w:r>
                <w:rPr>
                  <w:rFonts w:ascii="Arial" w:cs="Arial" w:eastAsia="Arial" w:hAnsi="Arial"/>
                  <w:sz w:val="18"/>
                  <w:szCs w:val="18"/>
                  <w:color w:val="0000FF"/>
                </w:rPr>
                <w:t>among Catterton Management</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81">
              <w:r>
                <w:rPr>
                  <w:rFonts w:ascii="Arial" w:cs="Arial" w:eastAsia="Arial" w:hAnsi="Arial"/>
                  <w:sz w:val="18"/>
                  <w:szCs w:val="18"/>
                  <w:color w:val="0000FF"/>
                </w:rPr>
                <w:t>Company, L.L.C. as investment</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w w:val="98"/>
              </w:rPr>
            </w:pPr>
            <w:hyperlink r:id="rId581">
              <w:r>
                <w:rPr>
                  <w:rFonts w:ascii="Arial" w:cs="Arial" w:eastAsia="Arial" w:hAnsi="Arial"/>
                  <w:sz w:val="18"/>
                  <w:szCs w:val="18"/>
                  <w:color w:val="0000FF"/>
                  <w:w w:val="98"/>
                </w:rPr>
                <w:t>manager of CGP2 Lone Star, L.P., Scott</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1300" w:type="dxa"/>
            <w:vAlign w:val="bottom"/>
            <w:gridSpan w:val="1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81">
              <w:r>
                <w:rPr>
                  <w:rFonts w:ascii="Arial" w:cs="Arial" w:eastAsia="Arial" w:hAnsi="Arial"/>
                  <w:sz w:val="18"/>
                  <w:szCs w:val="18"/>
                  <w:color w:val="0000FF"/>
                </w:rPr>
                <w:t>Dahnke and Vroom, Inc.</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1300" w:type="dxa"/>
            <w:vAlign w:val="bottom"/>
            <w:gridSpan w:val="1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10.34</w:t>
            </w:r>
            <w:r>
              <w:rPr>
                <w:rFonts w:ascii="Arial" w:cs="Arial" w:eastAsia="Arial" w:hAnsi="Arial"/>
                <w:sz w:val="16"/>
                <w:szCs w:val="16"/>
                <w:color w:val="auto"/>
              </w:rPr>
              <w:t>†</w:t>
            </w:r>
          </w:p>
        </w:tc>
        <w:tc>
          <w:tcPr>
            <w:tcW w:w="3200" w:type="dxa"/>
            <w:vAlign w:val="bottom"/>
            <w:gridSpan w:val="17"/>
          </w:tcPr>
          <w:p>
            <w:pPr>
              <w:spacing w:after="0"/>
              <w:rPr>
                <w:rFonts w:ascii="Arial" w:cs="Arial" w:eastAsia="Arial" w:hAnsi="Arial"/>
                <w:sz w:val="18"/>
                <w:szCs w:val="18"/>
                <w:color w:val="0000FF"/>
              </w:rPr>
            </w:pPr>
            <w:hyperlink r:id="rId582">
              <w:r>
                <w:rPr>
                  <w:rFonts w:ascii="Arial" w:cs="Arial" w:eastAsia="Arial" w:hAnsi="Arial"/>
                  <w:sz w:val="18"/>
                  <w:szCs w:val="18"/>
                  <w:color w:val="0000FF"/>
                </w:rPr>
                <w:t>Nominee and Indemnity Agreement,</w:t>
              </w:r>
            </w:hyperlink>
          </w:p>
        </w:tc>
        <w:tc>
          <w:tcPr>
            <w:tcW w:w="1100" w:type="dxa"/>
            <w:vAlign w:val="bottom"/>
          </w:tcPr>
          <w:p>
            <w:pPr>
              <w:jc w:val="center"/>
              <w:ind w:left="130"/>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60" w:type="dxa"/>
            <w:vAlign w:val="bottom"/>
          </w:tcPr>
          <w:p>
            <w:pPr>
              <w:jc w:val="center"/>
              <w:spacing w:after="0"/>
              <w:rPr>
                <w:sz w:val="20"/>
                <w:szCs w:val="20"/>
                <w:color w:val="auto"/>
              </w:rPr>
            </w:pPr>
            <w:r>
              <w:rPr>
                <w:rFonts w:ascii="Arial" w:cs="Arial" w:eastAsia="Arial" w:hAnsi="Arial"/>
                <w:sz w:val="18"/>
                <w:szCs w:val="18"/>
                <w:color w:val="auto"/>
              </w:rPr>
              <w:t>10.21</w:t>
            </w:r>
          </w:p>
        </w:tc>
        <w:tc>
          <w:tcPr>
            <w:tcW w:w="1800" w:type="dxa"/>
            <w:vAlign w:val="bottom"/>
          </w:tcPr>
          <w:p>
            <w:pPr>
              <w:jc w:val="center"/>
              <w:ind w:left="70"/>
              <w:spacing w:after="0"/>
              <w:rPr>
                <w:sz w:val="20"/>
                <w:szCs w:val="20"/>
                <w:color w:val="auto"/>
              </w:rPr>
            </w:pPr>
            <w:r>
              <w:rPr>
                <w:rFonts w:ascii="Arial" w:cs="Arial" w:eastAsia="Arial" w:hAnsi="Arial"/>
                <w:sz w:val="18"/>
                <w:szCs w:val="18"/>
                <w:color w:val="auto"/>
                <w:w w:val="99"/>
              </w:rPr>
              <w:t>September 8, 2020</w:t>
            </w:r>
          </w:p>
        </w:tc>
      </w:tr>
      <w:tr>
        <w:trPr>
          <w:trHeight w:val="20"/>
        </w:trPr>
        <w:tc>
          <w:tcPr>
            <w:tcW w:w="1020" w:type="dxa"/>
            <w:vAlign w:val="bottom"/>
          </w:tcPr>
          <w:p>
            <w:pPr>
              <w:spacing w:after="0" w:line="20" w:lineRule="exact"/>
              <w:rPr>
                <w:sz w:val="1"/>
                <w:szCs w:val="1"/>
                <w:color w:val="auto"/>
              </w:rPr>
            </w:pPr>
          </w:p>
        </w:tc>
        <w:tc>
          <w:tcPr>
            <w:tcW w:w="2900" w:type="dxa"/>
            <w:vAlign w:val="bottom"/>
            <w:gridSpan w:val="14"/>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200" w:type="dxa"/>
            <w:vAlign w:val="bottom"/>
            <w:gridSpan w:val="17"/>
          </w:tcPr>
          <w:p>
            <w:pPr>
              <w:spacing w:after="0" w:line="182" w:lineRule="exact"/>
              <w:rPr>
                <w:rFonts w:ascii="Arial" w:cs="Arial" w:eastAsia="Arial" w:hAnsi="Arial"/>
                <w:sz w:val="18"/>
                <w:szCs w:val="18"/>
                <w:color w:val="0000FF"/>
              </w:rPr>
            </w:pPr>
            <w:hyperlink r:id="rId582">
              <w:r>
                <w:rPr>
                  <w:rFonts w:ascii="Arial" w:cs="Arial" w:eastAsia="Arial" w:hAnsi="Arial"/>
                  <w:sz w:val="18"/>
                  <w:szCs w:val="18"/>
                  <w:color w:val="0000FF"/>
                </w:rPr>
                <w:t>dated September 1, 2020, by and</w:t>
              </w:r>
            </w:hyperlink>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8" w:lineRule="exact"/>
        <w:rPr>
          <w:sz w:val="20"/>
          <w:szCs w:val="20"/>
          <w:color w:val="auto"/>
        </w:rPr>
      </w:pPr>
    </w:p>
    <w:p>
      <w:pPr>
        <w:ind w:left="1000"/>
        <w:spacing w:after="0"/>
        <w:rPr>
          <w:rFonts w:ascii="Arial" w:cs="Arial" w:eastAsia="Arial" w:hAnsi="Arial"/>
          <w:sz w:val="18"/>
          <w:szCs w:val="18"/>
          <w:u w:val="single" w:color="auto"/>
          <w:color w:val="0000FF"/>
        </w:rPr>
      </w:pPr>
      <w:hyperlink r:id="rId582">
        <w:r>
          <w:rPr>
            <w:rFonts w:ascii="Arial" w:cs="Arial" w:eastAsia="Arial" w:hAnsi="Arial"/>
            <w:sz w:val="18"/>
            <w:szCs w:val="18"/>
            <w:u w:val="single" w:color="auto"/>
            <w:color w:val="0000FF"/>
          </w:rPr>
          <w:t>among Catterton Management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-15875</wp:posOffset>
            </wp:positionV>
            <wp:extent cx="157924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3">
                      <a:extLst>
                        <a:ext uri="{28A0092B-C50C-407E-A947-70E740481C1C}"/>
                      </a:extLst>
                    </a:blip>
                    <a:srcRect/>
                    <a:stretch>
                      <a:fillRect/>
                    </a:stretch>
                  </pic:blipFill>
                  <pic:spPr bwMode="auto">
                    <a:xfrm>
                      <a:off x="0" y="0"/>
                      <a:ext cx="1579245" cy="8255"/>
                    </a:xfrm>
                    <a:prstGeom prst="rect">
                      <a:avLst/>
                    </a:prstGeom>
                    <a:noFill/>
                  </pic:spPr>
                </pic:pic>
              </a:graphicData>
            </a:graphic>
          </wp:anchor>
        </w:drawing>
      </w:r>
    </w:p>
    <w:p>
      <w:pPr>
        <w:ind w:left="1000"/>
        <w:spacing w:after="0" w:line="234" w:lineRule="auto"/>
        <w:rPr>
          <w:rFonts w:ascii="Arial" w:cs="Arial" w:eastAsia="Arial" w:hAnsi="Arial"/>
          <w:sz w:val="18"/>
          <w:szCs w:val="18"/>
          <w:u w:val="single" w:color="auto"/>
          <w:color w:val="0000FF"/>
        </w:rPr>
      </w:pPr>
      <w:hyperlink r:id="rId582">
        <w:r>
          <w:rPr>
            <w:rFonts w:ascii="Arial" w:cs="Arial" w:eastAsia="Arial" w:hAnsi="Arial"/>
            <w:sz w:val="18"/>
            <w:szCs w:val="18"/>
            <w:u w:val="single" w:color="auto"/>
            <w:color w:val="0000FF"/>
          </w:rPr>
          <w:t>Company, L.L.C. as investment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-15875</wp:posOffset>
            </wp:positionV>
            <wp:extent cx="161480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4">
                      <a:extLst>
                        <a:ext uri="{28A0092B-C50C-407E-A947-70E740481C1C}"/>
                      </a:extLst>
                    </a:blip>
                    <a:srcRect/>
                    <a:stretch>
                      <a:fillRect/>
                    </a:stretch>
                  </pic:blipFill>
                  <pic:spPr bwMode="auto">
                    <a:xfrm>
                      <a:off x="0" y="0"/>
                      <a:ext cx="1614805" cy="8255"/>
                    </a:xfrm>
                    <a:prstGeom prst="rect">
                      <a:avLst/>
                    </a:prstGeom>
                    <a:noFill/>
                  </pic:spPr>
                </pic:pic>
              </a:graphicData>
            </a:graphic>
          </wp:anchor>
        </w:drawing>
      </w:r>
    </w:p>
    <w:p>
      <w:pPr>
        <w:ind w:left="1000"/>
        <w:spacing w:after="0" w:line="235" w:lineRule="auto"/>
        <w:rPr>
          <w:rFonts w:ascii="Arial" w:cs="Arial" w:eastAsia="Arial" w:hAnsi="Arial"/>
          <w:sz w:val="18"/>
          <w:szCs w:val="18"/>
          <w:u w:val="single" w:color="auto"/>
          <w:color w:val="0000FF"/>
        </w:rPr>
      </w:pPr>
      <w:hyperlink r:id="rId582">
        <w:r>
          <w:rPr>
            <w:rFonts w:ascii="Arial" w:cs="Arial" w:eastAsia="Arial" w:hAnsi="Arial"/>
            <w:sz w:val="18"/>
            <w:szCs w:val="18"/>
            <w:u w:val="single" w:color="auto"/>
            <w:color w:val="0000FF"/>
          </w:rPr>
          <w:t>manager of CGP2 Lone Star,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-15875</wp:posOffset>
            </wp:positionV>
            <wp:extent cx="175514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5">
                      <a:extLst>
                        <a:ext uri="{28A0092B-C50C-407E-A947-70E740481C1C}"/>
                      </a:extLst>
                    </a:blip>
                    <a:srcRect/>
                    <a:stretch>
                      <a:fillRect/>
                    </a:stretch>
                  </pic:blipFill>
                  <pic:spPr bwMode="auto">
                    <a:xfrm>
                      <a:off x="0" y="0"/>
                      <a:ext cx="1755140" cy="8255"/>
                    </a:xfrm>
                    <a:prstGeom prst="rect">
                      <a:avLst/>
                    </a:prstGeom>
                    <a:noFill/>
                  </pic:spPr>
                </pic:pic>
              </a:graphicData>
            </a:graphic>
          </wp:anchor>
        </w:drawing>
      </w:r>
    </w:p>
    <w:p>
      <w:pPr>
        <w:ind w:left="1000"/>
        <w:spacing w:after="0"/>
        <w:rPr>
          <w:rFonts w:ascii="Arial" w:cs="Arial" w:eastAsia="Arial" w:hAnsi="Arial"/>
          <w:sz w:val="18"/>
          <w:szCs w:val="18"/>
          <w:u w:val="single" w:color="auto"/>
          <w:color w:val="0000FF"/>
        </w:rPr>
      </w:pPr>
      <w:hyperlink r:id="rId582">
        <w:r>
          <w:rPr>
            <w:rFonts w:ascii="Arial" w:cs="Arial" w:eastAsia="Arial" w:hAnsi="Arial"/>
            <w:sz w:val="18"/>
            <w:szCs w:val="18"/>
            <w:u w:val="single" w:color="auto"/>
            <w:color w:val="0000FF"/>
          </w:rPr>
          <w:t>Michael Farello and Vroom,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-19050</wp:posOffset>
            </wp:positionV>
            <wp:extent cx="160655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6">
                      <a:extLst>
                        <a:ext uri="{28A0092B-C50C-407E-A947-70E740481C1C}"/>
                      </a:extLst>
                    </a:blip>
                    <a:srcRect/>
                    <a:stretch>
                      <a:fillRect/>
                    </a:stretch>
                  </pic:blipFill>
                  <pic:spPr bwMode="auto">
                    <a:xfrm>
                      <a:off x="0" y="0"/>
                      <a:ext cx="16065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4180" w:type="dxa"/>
            <w:vAlign w:val="bottom"/>
            <w:gridSpan w:val="15"/>
          </w:tcPr>
          <w:p>
            <w:pPr>
              <w:spacing w:after="0"/>
              <w:rPr>
                <w:sz w:val="20"/>
                <w:szCs w:val="20"/>
                <w:color w:val="auto"/>
              </w:rPr>
            </w:pPr>
            <w:r>
              <w:rPr>
                <w:rFonts w:ascii="Arial" w:cs="Arial" w:eastAsia="Arial" w:hAnsi="Arial"/>
                <w:sz w:val="18"/>
                <w:szCs w:val="18"/>
                <w:color w:val="0000FF"/>
              </w:rPr>
              <w:t>Table of Contents</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10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38"/>
        </w:trPr>
        <w:tc>
          <w:tcPr>
            <w:tcW w:w="1020" w:type="dxa"/>
            <w:vAlign w:val="bottom"/>
          </w:tcPr>
          <w:p>
            <w:pPr>
              <w:ind w:left="20"/>
              <w:spacing w:after="0"/>
              <w:rPr>
                <w:sz w:val="20"/>
                <w:szCs w:val="20"/>
                <w:color w:val="auto"/>
              </w:rPr>
            </w:pPr>
            <w:r>
              <w:rPr>
                <w:rFonts w:ascii="Arial" w:cs="Arial" w:eastAsia="Arial" w:hAnsi="Arial"/>
                <w:sz w:val="18"/>
                <w:szCs w:val="18"/>
                <w:color w:val="auto"/>
              </w:rPr>
              <w:t>10.35</w:t>
            </w:r>
            <w:r>
              <w:rPr>
                <w:rFonts w:ascii="Arial" w:cs="Arial" w:eastAsia="Arial" w:hAnsi="Arial"/>
                <w:sz w:val="16"/>
                <w:szCs w:val="16"/>
                <w:color w:val="auto"/>
              </w:rPr>
              <w:t>†</w:t>
            </w:r>
          </w:p>
        </w:tc>
        <w:tc>
          <w:tcPr>
            <w:tcW w:w="3160" w:type="dxa"/>
            <w:vAlign w:val="bottom"/>
            <w:gridSpan w:val="14"/>
          </w:tcPr>
          <w:p>
            <w:pPr>
              <w:spacing w:after="0"/>
              <w:rPr>
                <w:rFonts w:ascii="Arial" w:cs="Arial" w:eastAsia="Arial" w:hAnsi="Arial"/>
                <w:sz w:val="18"/>
                <w:szCs w:val="18"/>
                <w:color w:val="0000FF"/>
                <w:w w:val="98"/>
              </w:rPr>
            </w:pPr>
            <w:hyperlink r:id="rId588">
              <w:r>
                <w:rPr>
                  <w:rFonts w:ascii="Arial" w:cs="Arial" w:eastAsia="Arial" w:hAnsi="Arial"/>
                  <w:sz w:val="18"/>
                  <w:szCs w:val="18"/>
                  <w:color w:val="0000FF"/>
                  <w:w w:val="98"/>
                </w:rPr>
                <w:t>Assignment of Contracts, dated July 29,</w:t>
              </w:r>
            </w:hyperlink>
          </w:p>
        </w:tc>
        <w:tc>
          <w:tcPr>
            <w:tcW w:w="1100" w:type="dxa"/>
            <w:vAlign w:val="bottom"/>
          </w:tcPr>
          <w:p>
            <w:pPr>
              <w:ind w:left="500"/>
              <w:spacing w:after="0"/>
              <w:rPr>
                <w:sz w:val="20"/>
                <w:szCs w:val="20"/>
                <w:color w:val="auto"/>
              </w:rPr>
            </w:pPr>
            <w:r>
              <w:rPr>
                <w:rFonts w:ascii="Arial" w:cs="Arial" w:eastAsia="Arial" w:hAnsi="Arial"/>
                <w:sz w:val="18"/>
                <w:szCs w:val="18"/>
                <w:color w:val="auto"/>
              </w:rPr>
              <w:t>10-Q</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001-39315</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1600" w:type="dxa"/>
            <w:vAlign w:val="bottom"/>
          </w:tcPr>
          <w:p>
            <w:pPr>
              <w:ind w:left="280"/>
              <w:spacing w:after="0"/>
              <w:rPr>
                <w:sz w:val="20"/>
                <w:szCs w:val="20"/>
                <w:color w:val="auto"/>
              </w:rPr>
            </w:pPr>
            <w:r>
              <w:rPr>
                <w:rFonts w:ascii="Arial" w:cs="Arial" w:eastAsia="Arial" w:hAnsi="Arial"/>
                <w:sz w:val="18"/>
                <w:szCs w:val="18"/>
                <w:color w:val="auto"/>
                <w:w w:val="99"/>
              </w:rPr>
              <w:t>August 11, 2021</w:t>
            </w: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rFonts w:ascii="Arial" w:cs="Arial" w:eastAsia="Arial" w:hAnsi="Arial"/>
                <w:sz w:val="18"/>
                <w:szCs w:val="18"/>
                <w:color w:val="0000FF"/>
                <w:w w:val="97"/>
              </w:rPr>
            </w:pPr>
            <w:hyperlink r:id="rId588">
              <w:r>
                <w:rPr>
                  <w:rFonts w:ascii="Arial" w:cs="Arial" w:eastAsia="Arial" w:hAnsi="Arial"/>
                  <w:sz w:val="18"/>
                  <w:szCs w:val="18"/>
                  <w:color w:val="0000FF"/>
                  <w:w w:val="97"/>
                </w:rPr>
                <w:t>2021, by and between CGP2 Lone Star,</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rFonts w:ascii="Arial" w:cs="Arial" w:eastAsia="Arial" w:hAnsi="Arial"/>
                <w:sz w:val="18"/>
                <w:szCs w:val="18"/>
                <w:color w:val="0000FF"/>
              </w:rPr>
            </w:pPr>
            <w:hyperlink r:id="rId588">
              <w:r>
                <w:rPr>
                  <w:rFonts w:ascii="Arial" w:cs="Arial" w:eastAsia="Arial" w:hAnsi="Arial"/>
                  <w:sz w:val="18"/>
                  <w:szCs w:val="18"/>
                  <w:color w:val="0000FF"/>
                </w:rPr>
                <w:t>LP as assignor and Catterton Growth</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rFonts w:ascii="Arial" w:cs="Arial" w:eastAsia="Arial" w:hAnsi="Arial"/>
                <w:sz w:val="18"/>
                <w:szCs w:val="18"/>
                <w:color w:val="0000FF"/>
              </w:rPr>
            </w:pPr>
            <w:hyperlink r:id="rId588">
              <w:r>
                <w:rPr>
                  <w:rFonts w:ascii="Arial" w:cs="Arial" w:eastAsia="Arial" w:hAnsi="Arial"/>
                  <w:sz w:val="18"/>
                  <w:szCs w:val="18"/>
                  <w:color w:val="0000FF"/>
                </w:rPr>
                <w:t>Partners II, L.P., Catterton Growth</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rFonts w:ascii="Arial" w:cs="Arial" w:eastAsia="Arial" w:hAnsi="Arial"/>
                <w:sz w:val="18"/>
                <w:szCs w:val="18"/>
                <w:color w:val="0000FF"/>
              </w:rPr>
            </w:pPr>
            <w:hyperlink r:id="rId588">
              <w:r>
                <w:rPr>
                  <w:rFonts w:ascii="Arial" w:cs="Arial" w:eastAsia="Arial" w:hAnsi="Arial"/>
                  <w:sz w:val="18"/>
                  <w:szCs w:val="18"/>
                  <w:color w:val="0000FF"/>
                </w:rPr>
                <w:t>Partners II Offshore, L.P., L Catterton</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rFonts w:ascii="Arial" w:cs="Arial" w:eastAsia="Arial" w:hAnsi="Arial"/>
                <w:sz w:val="18"/>
                <w:szCs w:val="18"/>
                <w:color w:val="0000FF"/>
                <w:w w:val="96"/>
              </w:rPr>
            </w:pPr>
            <w:hyperlink r:id="rId588">
              <w:r>
                <w:rPr>
                  <w:rFonts w:ascii="Arial" w:cs="Arial" w:eastAsia="Arial" w:hAnsi="Arial"/>
                  <w:sz w:val="18"/>
                  <w:szCs w:val="18"/>
                  <w:color w:val="0000FF"/>
                  <w:w w:val="96"/>
                </w:rPr>
                <w:t>Growth Partners III, L.P. and L Catterton</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rFonts w:ascii="Arial" w:cs="Arial" w:eastAsia="Arial" w:hAnsi="Arial"/>
                <w:sz w:val="18"/>
                <w:szCs w:val="18"/>
                <w:color w:val="0000FF"/>
              </w:rPr>
            </w:pPr>
            <w:hyperlink r:id="rId588">
              <w:r>
                <w:rPr>
                  <w:rFonts w:ascii="Arial" w:cs="Arial" w:eastAsia="Arial" w:hAnsi="Arial"/>
                  <w:sz w:val="18"/>
                  <w:szCs w:val="18"/>
                  <w:color w:val="0000FF"/>
                </w:rPr>
                <w:t>Growth Partners Offshore III, L.P. as</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rFonts w:ascii="Arial" w:cs="Arial" w:eastAsia="Arial" w:hAnsi="Arial"/>
                <w:sz w:val="18"/>
                <w:szCs w:val="18"/>
                <w:color w:val="0000FF"/>
              </w:rPr>
            </w:pPr>
            <w:hyperlink r:id="rId588">
              <w:r>
                <w:rPr>
                  <w:rFonts w:ascii="Arial" w:cs="Arial" w:eastAsia="Arial" w:hAnsi="Arial"/>
                  <w:sz w:val="18"/>
                  <w:szCs w:val="18"/>
                  <w:color w:val="0000FF"/>
                </w:rPr>
                <w:t>assignees, of the Nominee and</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rFonts w:ascii="Arial" w:cs="Arial" w:eastAsia="Arial" w:hAnsi="Arial"/>
                <w:sz w:val="18"/>
                <w:szCs w:val="18"/>
                <w:color w:val="0000FF"/>
              </w:rPr>
            </w:pPr>
            <w:hyperlink r:id="rId588">
              <w:r>
                <w:rPr>
                  <w:rFonts w:ascii="Arial" w:cs="Arial" w:eastAsia="Arial" w:hAnsi="Arial"/>
                  <w:sz w:val="18"/>
                  <w:szCs w:val="18"/>
                  <w:color w:val="0000FF"/>
                </w:rPr>
                <w:t>Indemnity Agreements, dated</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rFonts w:ascii="Arial" w:cs="Arial" w:eastAsia="Arial" w:hAnsi="Arial"/>
                <w:sz w:val="18"/>
                <w:szCs w:val="18"/>
                <w:color w:val="0000FF"/>
              </w:rPr>
            </w:pPr>
            <w:hyperlink r:id="rId588">
              <w:r>
                <w:rPr>
                  <w:rFonts w:ascii="Arial" w:cs="Arial" w:eastAsia="Arial" w:hAnsi="Arial"/>
                  <w:sz w:val="18"/>
                  <w:szCs w:val="18"/>
                  <w:color w:val="0000FF"/>
                </w:rPr>
                <w:t>September 1, 2020, of Scott Dahnke</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rFonts w:ascii="Arial" w:cs="Arial" w:eastAsia="Arial" w:hAnsi="Arial"/>
                <w:sz w:val="18"/>
                <w:szCs w:val="18"/>
                <w:color w:val="0000FF"/>
              </w:rPr>
            </w:pPr>
            <w:hyperlink r:id="rId588">
              <w:r>
                <w:rPr>
                  <w:rFonts w:ascii="Arial" w:cs="Arial" w:eastAsia="Arial" w:hAnsi="Arial"/>
                  <w:sz w:val="18"/>
                  <w:szCs w:val="18"/>
                  <w:color w:val="0000FF"/>
                </w:rPr>
                <w:t>and Michael Farello</w:t>
              </w:r>
            </w:hyperlink>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641"/>
        </w:trPr>
        <w:tc>
          <w:tcPr>
            <w:tcW w:w="1020" w:type="dxa"/>
            <w:vAlign w:val="bottom"/>
          </w:tcPr>
          <w:p>
            <w:pPr>
              <w:ind w:left="20"/>
              <w:spacing w:after="0"/>
              <w:rPr>
                <w:sz w:val="20"/>
                <w:szCs w:val="20"/>
                <w:color w:val="auto"/>
              </w:rPr>
            </w:pPr>
            <w:r>
              <w:rPr>
                <w:rFonts w:ascii="Arial" w:cs="Arial" w:eastAsia="Arial" w:hAnsi="Arial"/>
                <w:sz w:val="18"/>
                <w:szCs w:val="18"/>
                <w:color w:val="auto"/>
              </w:rPr>
              <w:t>21.1</w:t>
            </w:r>
          </w:p>
        </w:tc>
        <w:tc>
          <w:tcPr>
            <w:tcW w:w="3160" w:type="dxa"/>
            <w:vAlign w:val="bottom"/>
            <w:gridSpan w:val="14"/>
          </w:tcPr>
          <w:p>
            <w:pPr>
              <w:spacing w:after="0"/>
              <w:rPr>
                <w:sz w:val="20"/>
                <w:szCs w:val="20"/>
                <w:color w:val="auto"/>
              </w:rPr>
            </w:pPr>
            <w:r>
              <w:rPr>
                <w:rFonts w:ascii="Arial" w:cs="Arial" w:eastAsia="Arial" w:hAnsi="Arial"/>
                <w:sz w:val="18"/>
                <w:szCs w:val="18"/>
                <w:color w:val="0000FF"/>
              </w:rPr>
              <w:t>Subsidiaries of the Registrant</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1"/>
        </w:trPr>
        <w:tc>
          <w:tcPr>
            <w:tcW w:w="1020" w:type="dxa"/>
            <w:vAlign w:val="bottom"/>
          </w:tcPr>
          <w:p>
            <w:pPr>
              <w:ind w:left="20"/>
              <w:spacing w:after="0"/>
              <w:rPr>
                <w:sz w:val="20"/>
                <w:szCs w:val="20"/>
                <w:color w:val="auto"/>
              </w:rPr>
            </w:pPr>
            <w:r>
              <w:rPr>
                <w:rFonts w:ascii="Arial" w:cs="Arial" w:eastAsia="Arial" w:hAnsi="Arial"/>
                <w:sz w:val="18"/>
                <w:szCs w:val="18"/>
                <w:color w:val="auto"/>
              </w:rPr>
              <w:t>23.1</w:t>
            </w:r>
          </w:p>
        </w:tc>
        <w:tc>
          <w:tcPr>
            <w:tcW w:w="3160" w:type="dxa"/>
            <w:vAlign w:val="bottom"/>
            <w:gridSpan w:val="14"/>
          </w:tcPr>
          <w:p>
            <w:pPr>
              <w:spacing w:after="0"/>
              <w:rPr>
                <w:sz w:val="20"/>
                <w:szCs w:val="20"/>
                <w:color w:val="auto"/>
              </w:rPr>
            </w:pPr>
            <w:r>
              <w:rPr>
                <w:rFonts w:ascii="Arial" w:cs="Arial" w:eastAsia="Arial" w:hAnsi="Arial"/>
                <w:sz w:val="18"/>
                <w:szCs w:val="18"/>
                <w:color w:val="0000FF"/>
              </w:rPr>
              <w:t>Consent of PricewaterhouseCoopers</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sz w:val="20"/>
                <w:szCs w:val="20"/>
                <w:color w:val="auto"/>
              </w:rPr>
            </w:pPr>
            <w:r>
              <w:rPr>
                <w:rFonts w:ascii="Arial" w:cs="Arial" w:eastAsia="Arial" w:hAnsi="Arial"/>
                <w:sz w:val="18"/>
                <w:szCs w:val="18"/>
                <w:color w:val="0000FF"/>
              </w:rPr>
              <w:t>LLP</w:t>
            </w: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3160" w:type="dxa"/>
            <w:vAlign w:val="bottom"/>
            <w:gridSpan w:val="14"/>
          </w:tcPr>
          <w:p>
            <w:pPr>
              <w:spacing w:after="0"/>
              <w:rPr>
                <w:sz w:val="20"/>
                <w:szCs w:val="20"/>
                <w:color w:val="auto"/>
              </w:rPr>
            </w:pPr>
            <w:r>
              <w:rPr>
                <w:rFonts w:ascii="Arial" w:cs="Arial" w:eastAsia="Arial" w:hAnsi="Arial"/>
                <w:sz w:val="18"/>
                <w:szCs w:val="18"/>
                <w:color w:val="0000FF"/>
              </w:rPr>
              <w:t>Certification of Principal Executive</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22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sz w:val="20"/>
                <w:szCs w:val="20"/>
                <w:color w:val="auto"/>
              </w:rPr>
            </w:pPr>
            <w:r>
              <w:rPr>
                <w:rFonts w:ascii="Arial" w:cs="Arial" w:eastAsia="Arial" w:hAnsi="Arial"/>
                <w:sz w:val="18"/>
                <w:szCs w:val="18"/>
                <w:color w:val="0000FF"/>
                <w:w w:val="97"/>
              </w:rPr>
              <w:t>Officer Pursuant to Rules 13a-14(a) and</w:t>
            </w: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2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sz w:val="20"/>
                <w:szCs w:val="20"/>
                <w:color w:val="auto"/>
              </w:rPr>
            </w:pPr>
            <w:r>
              <w:rPr>
                <w:rFonts w:ascii="Arial" w:cs="Arial" w:eastAsia="Arial" w:hAnsi="Arial"/>
                <w:sz w:val="18"/>
                <w:szCs w:val="18"/>
                <w:color w:val="0000FF"/>
              </w:rPr>
              <w:t>15d-14(a) under the Securities</w:t>
            </w: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2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sz w:val="20"/>
                <w:szCs w:val="20"/>
                <w:color w:val="auto"/>
              </w:rPr>
            </w:pPr>
            <w:r>
              <w:rPr>
                <w:rFonts w:ascii="Arial" w:cs="Arial" w:eastAsia="Arial" w:hAnsi="Arial"/>
                <w:sz w:val="18"/>
                <w:szCs w:val="18"/>
                <w:color w:val="0000FF"/>
              </w:rPr>
              <w:t>Exchange Act of 1934, as Adopted</w:t>
            </w: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2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sz w:val="20"/>
                <w:szCs w:val="20"/>
                <w:color w:val="auto"/>
              </w:rPr>
            </w:pPr>
            <w:r>
              <w:rPr>
                <w:rFonts w:ascii="Arial" w:cs="Arial" w:eastAsia="Arial" w:hAnsi="Arial"/>
                <w:sz w:val="18"/>
                <w:szCs w:val="18"/>
                <w:color w:val="0000FF"/>
              </w:rPr>
              <w:t>Pursuant to Section 302 of the</w:t>
            </w: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sz w:val="20"/>
                <w:szCs w:val="20"/>
                <w:color w:val="auto"/>
              </w:rPr>
            </w:pPr>
            <w:r>
              <w:rPr>
                <w:rFonts w:ascii="Arial" w:cs="Arial" w:eastAsia="Arial" w:hAnsi="Arial"/>
                <w:sz w:val="18"/>
                <w:szCs w:val="18"/>
                <w:color w:val="0000FF"/>
              </w:rPr>
              <w:t>Sarbanes-Oxley Act of 2002</w:t>
            </w: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EE"/>
            </w:tcBorders>
            <w:gridSpan w:val="4"/>
            <w:shd w:val="clear" w:color="auto" w:fill="0000FF"/>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573"/>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3160" w:type="dxa"/>
            <w:vAlign w:val="bottom"/>
            <w:gridSpan w:val="14"/>
          </w:tcPr>
          <w:p>
            <w:pPr>
              <w:spacing w:after="0"/>
              <w:rPr>
                <w:sz w:val="20"/>
                <w:szCs w:val="20"/>
                <w:color w:val="auto"/>
              </w:rPr>
            </w:pPr>
            <w:r>
              <w:rPr>
                <w:rFonts w:ascii="Arial" w:cs="Arial" w:eastAsia="Arial" w:hAnsi="Arial"/>
                <w:sz w:val="18"/>
                <w:szCs w:val="18"/>
                <w:color w:val="0000FF"/>
                <w:w w:val="96"/>
              </w:rPr>
              <w:t>Certification of Principal Financial Officer</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2960" w:type="dxa"/>
            <w:vAlign w:val="bottom"/>
            <w:gridSpan w:val="1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sz w:val="20"/>
                <w:szCs w:val="20"/>
                <w:color w:val="auto"/>
              </w:rPr>
            </w:pPr>
            <w:r>
              <w:rPr>
                <w:rFonts w:ascii="Arial" w:cs="Arial" w:eastAsia="Arial" w:hAnsi="Arial"/>
                <w:sz w:val="18"/>
                <w:szCs w:val="18"/>
                <w:color w:val="0000FF"/>
              </w:rPr>
              <w:t>Pursuant to Rules 13a-14(a) and 15d-</w:t>
            </w: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960" w:type="dxa"/>
            <w:vAlign w:val="bottom"/>
            <w:gridSpan w:val="12"/>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sz w:val="20"/>
                <w:szCs w:val="20"/>
                <w:color w:val="auto"/>
              </w:rPr>
            </w:pPr>
            <w:r>
              <w:rPr>
                <w:rFonts w:ascii="Arial" w:cs="Arial" w:eastAsia="Arial" w:hAnsi="Arial"/>
                <w:sz w:val="18"/>
                <w:szCs w:val="18"/>
                <w:color w:val="0000FF"/>
                <w:w w:val="96"/>
              </w:rPr>
              <w:t>14(a) under the Securities Exchange Act</w:t>
            </w: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960" w:type="dxa"/>
            <w:vAlign w:val="bottom"/>
            <w:gridSpan w:val="1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sz w:val="20"/>
                <w:szCs w:val="20"/>
                <w:color w:val="auto"/>
              </w:rPr>
            </w:pPr>
            <w:r>
              <w:rPr>
                <w:rFonts w:ascii="Arial" w:cs="Arial" w:eastAsia="Arial" w:hAnsi="Arial"/>
                <w:sz w:val="18"/>
                <w:szCs w:val="18"/>
                <w:color w:val="0000FF"/>
                <w:w w:val="96"/>
              </w:rPr>
              <w:t>of 1934, as Adopted Pursuant to Section</w:t>
            </w: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960" w:type="dxa"/>
            <w:vAlign w:val="bottom"/>
            <w:gridSpan w:val="1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sz w:val="20"/>
                <w:szCs w:val="20"/>
                <w:color w:val="auto"/>
              </w:rPr>
            </w:pPr>
            <w:r>
              <w:rPr>
                <w:rFonts w:ascii="Arial" w:cs="Arial" w:eastAsia="Arial" w:hAnsi="Arial"/>
                <w:sz w:val="18"/>
                <w:szCs w:val="18"/>
                <w:color w:val="0000FF"/>
              </w:rPr>
              <w:t>302 of the Sarbanes-Oxley Act of 2002</w:t>
            </w: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960" w:type="dxa"/>
            <w:vAlign w:val="bottom"/>
            <w:gridSpan w:val="1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3160" w:type="dxa"/>
            <w:vAlign w:val="bottom"/>
            <w:gridSpan w:val="14"/>
          </w:tcPr>
          <w:p>
            <w:pPr>
              <w:spacing w:after="0"/>
              <w:rPr>
                <w:sz w:val="20"/>
                <w:szCs w:val="20"/>
                <w:color w:val="auto"/>
              </w:rPr>
            </w:pPr>
            <w:r>
              <w:rPr>
                <w:rFonts w:ascii="Arial" w:cs="Arial" w:eastAsia="Arial" w:hAnsi="Arial"/>
                <w:sz w:val="18"/>
                <w:szCs w:val="18"/>
                <w:color w:val="0000FF"/>
              </w:rPr>
              <w:t>Certification of Principal Executive</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2740" w:type="dxa"/>
            <w:vAlign w:val="bottom"/>
            <w:gridSpan w:val="8"/>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sz w:val="20"/>
                <w:szCs w:val="20"/>
                <w:color w:val="auto"/>
              </w:rPr>
            </w:pPr>
            <w:r>
              <w:rPr>
                <w:rFonts w:ascii="Arial" w:cs="Arial" w:eastAsia="Arial" w:hAnsi="Arial"/>
                <w:sz w:val="18"/>
                <w:szCs w:val="18"/>
                <w:color w:val="0000FF"/>
              </w:rPr>
              <w:t>Officer Pursuant to 18 U.S.C. Section</w:t>
            </w: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960" w:type="dxa"/>
            <w:vAlign w:val="bottom"/>
            <w:gridSpan w:val="1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sz w:val="20"/>
                <w:szCs w:val="20"/>
                <w:color w:val="auto"/>
              </w:rPr>
            </w:pPr>
            <w:r>
              <w:rPr>
                <w:rFonts w:ascii="Arial" w:cs="Arial" w:eastAsia="Arial" w:hAnsi="Arial"/>
                <w:sz w:val="18"/>
                <w:szCs w:val="18"/>
                <w:color w:val="0000FF"/>
              </w:rPr>
              <w:t>1350, as Adopted Pursuant to Section</w:t>
            </w: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040" w:type="dxa"/>
            <w:vAlign w:val="bottom"/>
            <w:gridSpan w:val="1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sz w:val="20"/>
                <w:szCs w:val="20"/>
                <w:color w:val="auto"/>
              </w:rPr>
            </w:pPr>
            <w:r>
              <w:rPr>
                <w:rFonts w:ascii="Arial" w:cs="Arial" w:eastAsia="Arial" w:hAnsi="Arial"/>
                <w:sz w:val="18"/>
                <w:szCs w:val="18"/>
                <w:color w:val="0000FF"/>
              </w:rPr>
              <w:t>906 of the Sarbanes-Oxley Act of 2002</w:t>
            </w: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040" w:type="dxa"/>
            <w:vAlign w:val="bottom"/>
            <w:gridSpan w:val="13"/>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3160" w:type="dxa"/>
            <w:vAlign w:val="bottom"/>
            <w:gridSpan w:val="14"/>
          </w:tcPr>
          <w:p>
            <w:pPr>
              <w:spacing w:after="0"/>
              <w:rPr>
                <w:sz w:val="20"/>
                <w:szCs w:val="20"/>
                <w:color w:val="auto"/>
              </w:rPr>
            </w:pPr>
            <w:r>
              <w:rPr>
                <w:rFonts w:ascii="Arial" w:cs="Arial" w:eastAsia="Arial" w:hAnsi="Arial"/>
                <w:sz w:val="18"/>
                <w:szCs w:val="18"/>
                <w:color w:val="0000FF"/>
                <w:w w:val="96"/>
              </w:rPr>
              <w:t>Certification of Principal Financial Officer</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3160" w:type="dxa"/>
            <w:vAlign w:val="bottom"/>
            <w:gridSpan w:val="14"/>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sz w:val="20"/>
                <w:szCs w:val="20"/>
                <w:color w:val="auto"/>
              </w:rPr>
            </w:pPr>
            <w:r>
              <w:rPr>
                <w:rFonts w:ascii="Arial" w:cs="Arial" w:eastAsia="Arial" w:hAnsi="Arial"/>
                <w:sz w:val="18"/>
                <w:szCs w:val="18"/>
                <w:color w:val="0000FF"/>
                <w:w w:val="99"/>
              </w:rPr>
              <w:t>Pursuant to 18 U.S.C. Section 1350, as</w:t>
            </w: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160" w:type="dxa"/>
            <w:vAlign w:val="bottom"/>
            <w:gridSpan w:val="14"/>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sz w:val="20"/>
                <w:szCs w:val="20"/>
                <w:color w:val="auto"/>
              </w:rPr>
            </w:pPr>
            <w:r>
              <w:rPr>
                <w:rFonts w:ascii="Arial" w:cs="Arial" w:eastAsia="Arial" w:hAnsi="Arial"/>
                <w:sz w:val="18"/>
                <w:szCs w:val="18"/>
                <w:color w:val="0000FF"/>
                <w:w w:val="99"/>
              </w:rPr>
              <w:t>Adopted Pursuant to Section 906 of the</w:t>
            </w: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160" w:type="dxa"/>
            <w:vAlign w:val="bottom"/>
            <w:gridSpan w:val="14"/>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3160" w:type="dxa"/>
            <w:vAlign w:val="bottom"/>
            <w:gridSpan w:val="14"/>
          </w:tcPr>
          <w:p>
            <w:pPr>
              <w:spacing w:after="0" w:line="182" w:lineRule="exact"/>
              <w:rPr>
                <w:sz w:val="20"/>
                <w:szCs w:val="20"/>
                <w:color w:val="auto"/>
              </w:rPr>
            </w:pPr>
            <w:r>
              <w:rPr>
                <w:rFonts w:ascii="Arial" w:cs="Arial" w:eastAsia="Arial" w:hAnsi="Arial"/>
                <w:sz w:val="18"/>
                <w:szCs w:val="18"/>
                <w:color w:val="0000FF"/>
              </w:rPr>
              <w:t>Sarbanes-Oxley Act of 2002</w:t>
            </w: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EE"/>
            </w:tcBorders>
            <w:gridSpan w:val="4"/>
            <w:shd w:val="clear" w:color="auto" w:fill="0000FF"/>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3160" w:type="dxa"/>
            <w:vAlign w:val="bottom"/>
            <w:gridSpan w:val="14"/>
          </w:tcPr>
          <w:p>
            <w:pPr>
              <w:spacing w:after="0"/>
              <w:rPr>
                <w:sz w:val="20"/>
                <w:szCs w:val="20"/>
                <w:color w:val="auto"/>
              </w:rPr>
            </w:pPr>
            <w:r>
              <w:rPr>
                <w:rFonts w:ascii="Arial" w:cs="Arial" w:eastAsia="Arial" w:hAnsi="Arial"/>
                <w:sz w:val="18"/>
                <w:szCs w:val="18"/>
                <w:color w:val="auto"/>
              </w:rPr>
              <w:t>Inline XBRL Instance Document</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538"/>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3160" w:type="dxa"/>
            <w:vAlign w:val="bottom"/>
            <w:gridSpan w:val="14"/>
          </w:tcPr>
          <w:p>
            <w:pPr>
              <w:spacing w:after="0"/>
              <w:rPr>
                <w:sz w:val="20"/>
                <w:szCs w:val="20"/>
                <w:color w:val="auto"/>
              </w:rPr>
            </w:pPr>
            <w:r>
              <w:rPr>
                <w:rFonts w:ascii="Arial" w:cs="Arial" w:eastAsia="Arial" w:hAnsi="Arial"/>
                <w:sz w:val="18"/>
                <w:szCs w:val="18"/>
                <w:color w:val="auto"/>
              </w:rPr>
              <w:t>Inline XBRL Taxonomy Extension</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7"/>
        </w:trPr>
        <w:tc>
          <w:tcPr>
            <w:tcW w:w="1020" w:type="dxa"/>
            <w:vAlign w:val="bottom"/>
          </w:tcPr>
          <w:p>
            <w:pPr>
              <w:spacing w:after="0"/>
              <w:rPr>
                <w:sz w:val="18"/>
                <w:szCs w:val="18"/>
                <w:color w:val="auto"/>
              </w:rPr>
            </w:pPr>
          </w:p>
        </w:tc>
        <w:tc>
          <w:tcPr>
            <w:tcW w:w="3160" w:type="dxa"/>
            <w:vAlign w:val="bottom"/>
            <w:gridSpan w:val="14"/>
          </w:tcPr>
          <w:p>
            <w:pPr>
              <w:spacing w:after="0"/>
              <w:rPr>
                <w:sz w:val="20"/>
                <w:szCs w:val="20"/>
                <w:color w:val="auto"/>
              </w:rPr>
            </w:pPr>
            <w:r>
              <w:rPr>
                <w:rFonts w:ascii="Arial" w:cs="Arial" w:eastAsia="Arial" w:hAnsi="Arial"/>
                <w:sz w:val="18"/>
                <w:szCs w:val="18"/>
                <w:color w:val="auto"/>
              </w:rPr>
              <w:t>Schema Document</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6"/>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3160" w:type="dxa"/>
            <w:vAlign w:val="bottom"/>
            <w:gridSpan w:val="14"/>
          </w:tcPr>
          <w:p>
            <w:pPr>
              <w:spacing w:after="0"/>
              <w:rPr>
                <w:sz w:val="20"/>
                <w:szCs w:val="20"/>
                <w:color w:val="auto"/>
              </w:rPr>
            </w:pPr>
            <w:r>
              <w:rPr>
                <w:rFonts w:ascii="Arial" w:cs="Arial" w:eastAsia="Arial" w:hAnsi="Arial"/>
                <w:sz w:val="18"/>
                <w:szCs w:val="18"/>
                <w:color w:val="auto"/>
              </w:rPr>
              <w:t>Inline XBRL Taxonomy Extension</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7"/>
        </w:trPr>
        <w:tc>
          <w:tcPr>
            <w:tcW w:w="1020" w:type="dxa"/>
            <w:vAlign w:val="bottom"/>
          </w:tcPr>
          <w:p>
            <w:pPr>
              <w:spacing w:after="0"/>
              <w:rPr>
                <w:sz w:val="18"/>
                <w:szCs w:val="18"/>
                <w:color w:val="auto"/>
              </w:rPr>
            </w:pPr>
          </w:p>
        </w:tc>
        <w:tc>
          <w:tcPr>
            <w:tcW w:w="3160" w:type="dxa"/>
            <w:vAlign w:val="bottom"/>
            <w:gridSpan w:val="14"/>
          </w:tcPr>
          <w:p>
            <w:pPr>
              <w:spacing w:after="0"/>
              <w:rPr>
                <w:sz w:val="20"/>
                <w:szCs w:val="20"/>
                <w:color w:val="auto"/>
              </w:rPr>
            </w:pPr>
            <w:r>
              <w:rPr>
                <w:rFonts w:ascii="Arial" w:cs="Arial" w:eastAsia="Arial" w:hAnsi="Arial"/>
                <w:sz w:val="18"/>
                <w:szCs w:val="18"/>
                <w:color w:val="auto"/>
              </w:rPr>
              <w:t>Calculation Linkbase Document</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6"/>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3160" w:type="dxa"/>
            <w:vAlign w:val="bottom"/>
            <w:gridSpan w:val="14"/>
          </w:tcPr>
          <w:p>
            <w:pPr>
              <w:spacing w:after="0"/>
              <w:rPr>
                <w:sz w:val="20"/>
                <w:szCs w:val="20"/>
                <w:color w:val="auto"/>
              </w:rPr>
            </w:pPr>
            <w:r>
              <w:rPr>
                <w:rFonts w:ascii="Arial" w:cs="Arial" w:eastAsia="Arial" w:hAnsi="Arial"/>
                <w:sz w:val="18"/>
                <w:szCs w:val="18"/>
                <w:color w:val="auto"/>
              </w:rPr>
              <w:t>Inline XBRL Taxonomy Extension</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7"/>
        </w:trPr>
        <w:tc>
          <w:tcPr>
            <w:tcW w:w="1020" w:type="dxa"/>
            <w:vAlign w:val="bottom"/>
          </w:tcPr>
          <w:p>
            <w:pPr>
              <w:spacing w:after="0"/>
              <w:rPr>
                <w:sz w:val="18"/>
                <w:szCs w:val="18"/>
                <w:color w:val="auto"/>
              </w:rPr>
            </w:pPr>
          </w:p>
        </w:tc>
        <w:tc>
          <w:tcPr>
            <w:tcW w:w="3160" w:type="dxa"/>
            <w:vAlign w:val="bottom"/>
            <w:gridSpan w:val="14"/>
          </w:tcPr>
          <w:p>
            <w:pPr>
              <w:spacing w:after="0"/>
              <w:rPr>
                <w:sz w:val="20"/>
                <w:szCs w:val="20"/>
                <w:color w:val="auto"/>
              </w:rPr>
            </w:pPr>
            <w:r>
              <w:rPr>
                <w:rFonts w:ascii="Arial" w:cs="Arial" w:eastAsia="Arial" w:hAnsi="Arial"/>
                <w:sz w:val="18"/>
                <w:szCs w:val="18"/>
                <w:color w:val="auto"/>
              </w:rPr>
              <w:t>Definition Linkbase Document</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6"/>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3160" w:type="dxa"/>
            <w:vAlign w:val="bottom"/>
            <w:gridSpan w:val="14"/>
          </w:tcPr>
          <w:p>
            <w:pPr>
              <w:spacing w:after="0"/>
              <w:rPr>
                <w:sz w:val="20"/>
                <w:szCs w:val="20"/>
                <w:color w:val="auto"/>
              </w:rPr>
            </w:pPr>
            <w:r>
              <w:rPr>
                <w:rFonts w:ascii="Arial" w:cs="Arial" w:eastAsia="Arial" w:hAnsi="Arial"/>
                <w:sz w:val="18"/>
                <w:szCs w:val="18"/>
                <w:color w:val="auto"/>
                <w:w w:val="98"/>
              </w:rPr>
              <w:t>Inline XBRL Taxonomy Extension Label</w:t>
            </w: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7"/>
        </w:trPr>
        <w:tc>
          <w:tcPr>
            <w:tcW w:w="1020" w:type="dxa"/>
            <w:vAlign w:val="bottom"/>
          </w:tcPr>
          <w:p>
            <w:pPr>
              <w:spacing w:after="0"/>
              <w:rPr>
                <w:sz w:val="18"/>
                <w:szCs w:val="18"/>
                <w:color w:val="auto"/>
              </w:rPr>
            </w:pPr>
          </w:p>
        </w:tc>
        <w:tc>
          <w:tcPr>
            <w:tcW w:w="3160" w:type="dxa"/>
            <w:vAlign w:val="bottom"/>
            <w:gridSpan w:val="14"/>
          </w:tcPr>
          <w:p>
            <w:pPr>
              <w:spacing w:after="0"/>
              <w:rPr>
                <w:sz w:val="20"/>
                <w:szCs w:val="20"/>
                <w:color w:val="auto"/>
              </w:rPr>
            </w:pPr>
            <w:r>
              <w:rPr>
                <w:rFonts w:ascii="Arial" w:cs="Arial" w:eastAsia="Arial" w:hAnsi="Arial"/>
                <w:sz w:val="18"/>
                <w:szCs w:val="18"/>
                <w:color w:val="auto"/>
              </w:rPr>
              <w:t>Linkbase Document</w:t>
            </w: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539"/>
        </w:trPr>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jc w:val="right"/>
              <w:ind w:right="830"/>
              <w:spacing w:after="0"/>
              <w:rPr>
                <w:sz w:val="20"/>
                <w:szCs w:val="20"/>
                <w:color w:val="auto"/>
              </w:rPr>
            </w:pPr>
            <w:r>
              <w:rPr>
                <w:rFonts w:ascii="Arial" w:cs="Arial" w:eastAsia="Arial" w:hAnsi="Arial"/>
                <w:sz w:val="18"/>
                <w:szCs w:val="18"/>
                <w:color w:val="auto"/>
              </w:rPr>
              <w:t>147</w:t>
            </w: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X</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9200" w:space="640"/>
            <w:col w:w="1000"/>
          </w:cols>
          <w:pgMar w:left="320" w:top="108" w:right="7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07"/>
        </w:trPr>
        <w:tc>
          <w:tcPr>
            <w:tcW w:w="722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620" w:type="dxa"/>
            <w:vAlign w:val="bottom"/>
          </w:tcPr>
          <w:p>
            <w:pPr>
              <w:spacing w:after="0"/>
              <w:rPr>
                <w:sz w:val="17"/>
                <w:szCs w:val="17"/>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65"/>
        </w:trPr>
        <w:tc>
          <w:tcPr>
            <w:tcW w:w="860" w:type="dxa"/>
            <w:vAlign w:val="bottom"/>
          </w:tcPr>
          <w:p>
            <w:pPr>
              <w:ind w:left="20"/>
              <w:spacing w:after="0"/>
              <w:rPr>
                <w:sz w:val="20"/>
                <w:szCs w:val="20"/>
                <w:color w:val="auto"/>
              </w:rPr>
            </w:pPr>
            <w:r>
              <w:rPr>
                <w:rFonts w:ascii="Arial" w:cs="Arial" w:eastAsia="Arial" w:hAnsi="Arial"/>
                <w:sz w:val="18"/>
                <w:szCs w:val="18"/>
                <w:color w:val="auto"/>
              </w:rPr>
              <w:t>101.PRE</w:t>
            </w:r>
          </w:p>
        </w:tc>
        <w:tc>
          <w:tcPr>
            <w:tcW w:w="6360" w:type="dxa"/>
            <w:vAlign w:val="bottom"/>
            <w:gridSpan w:val="2"/>
          </w:tcPr>
          <w:p>
            <w:pPr>
              <w:ind w:left="140"/>
              <w:spacing w:after="0"/>
              <w:rPr>
                <w:sz w:val="20"/>
                <w:szCs w:val="20"/>
                <w:color w:val="auto"/>
              </w:rPr>
            </w:pPr>
            <w:r>
              <w:rPr>
                <w:rFonts w:ascii="Arial" w:cs="Arial" w:eastAsia="Arial" w:hAnsi="Arial"/>
                <w:sz w:val="18"/>
                <w:szCs w:val="18"/>
                <w:color w:val="auto"/>
              </w:rPr>
              <w:t>Inline XBRL Taxonomy Extension</w:t>
            </w:r>
          </w:p>
        </w:tc>
        <w:tc>
          <w:tcPr>
            <w:tcW w:w="3620" w:type="dxa"/>
            <w:vAlign w:val="bottom"/>
          </w:tcPr>
          <w:p>
            <w:pPr>
              <w:ind w:left="3500"/>
              <w:spacing w:after="0"/>
              <w:rPr>
                <w:sz w:val="20"/>
                <w:szCs w:val="20"/>
                <w:color w:val="auto"/>
              </w:rPr>
            </w:pPr>
            <w:r>
              <w:rPr>
                <w:rFonts w:ascii="Arial" w:cs="Arial" w:eastAsia="Arial" w:hAnsi="Arial"/>
                <w:sz w:val="18"/>
                <w:szCs w:val="18"/>
                <w:color w:val="auto"/>
                <w:w w:val="82"/>
              </w:rPr>
              <w:t>X</w:t>
            </w:r>
          </w:p>
        </w:tc>
      </w:tr>
      <w:tr>
        <w:trPr>
          <w:trHeight w:val="217"/>
        </w:trPr>
        <w:tc>
          <w:tcPr>
            <w:tcW w:w="860" w:type="dxa"/>
            <w:vAlign w:val="bottom"/>
          </w:tcPr>
          <w:p>
            <w:pPr>
              <w:spacing w:after="0"/>
              <w:rPr>
                <w:sz w:val="18"/>
                <w:szCs w:val="18"/>
                <w:color w:val="auto"/>
              </w:rPr>
            </w:pPr>
          </w:p>
        </w:tc>
        <w:tc>
          <w:tcPr>
            <w:tcW w:w="6360" w:type="dxa"/>
            <w:vAlign w:val="bottom"/>
            <w:gridSpan w:val="2"/>
          </w:tcPr>
          <w:p>
            <w:pPr>
              <w:ind w:left="140"/>
              <w:spacing w:after="0"/>
              <w:rPr>
                <w:sz w:val="20"/>
                <w:szCs w:val="20"/>
                <w:color w:val="auto"/>
              </w:rPr>
            </w:pPr>
            <w:r>
              <w:rPr>
                <w:rFonts w:ascii="Arial" w:cs="Arial" w:eastAsia="Arial" w:hAnsi="Arial"/>
                <w:sz w:val="18"/>
                <w:szCs w:val="18"/>
                <w:color w:val="auto"/>
              </w:rPr>
              <w:t>Presentation Linkbase Document</w:t>
            </w:r>
          </w:p>
        </w:tc>
        <w:tc>
          <w:tcPr>
            <w:tcW w:w="3620" w:type="dxa"/>
            <w:vAlign w:val="bottom"/>
          </w:tcPr>
          <w:p>
            <w:pPr>
              <w:spacing w:after="0"/>
              <w:rPr>
                <w:sz w:val="18"/>
                <w:szCs w:val="18"/>
                <w:color w:val="auto"/>
              </w:rPr>
            </w:pPr>
          </w:p>
        </w:tc>
      </w:tr>
      <w:tr>
        <w:trPr>
          <w:trHeight w:val="646"/>
        </w:trPr>
        <w:tc>
          <w:tcPr>
            <w:tcW w:w="860" w:type="dxa"/>
            <w:vAlign w:val="bottom"/>
          </w:tcPr>
          <w:p>
            <w:pPr>
              <w:ind w:left="20"/>
              <w:spacing w:after="0"/>
              <w:rPr>
                <w:sz w:val="20"/>
                <w:szCs w:val="20"/>
                <w:color w:val="auto"/>
              </w:rPr>
            </w:pPr>
            <w:r>
              <w:rPr>
                <w:rFonts w:ascii="Arial" w:cs="Arial" w:eastAsia="Arial" w:hAnsi="Arial"/>
                <w:sz w:val="18"/>
                <w:szCs w:val="18"/>
                <w:color w:val="auto"/>
              </w:rPr>
              <w:t>104</w:t>
            </w:r>
          </w:p>
        </w:tc>
        <w:tc>
          <w:tcPr>
            <w:tcW w:w="6360" w:type="dxa"/>
            <w:vAlign w:val="bottom"/>
            <w:gridSpan w:val="2"/>
          </w:tcPr>
          <w:p>
            <w:pPr>
              <w:ind w:left="140"/>
              <w:spacing w:after="0"/>
              <w:rPr>
                <w:sz w:val="20"/>
                <w:szCs w:val="20"/>
                <w:color w:val="auto"/>
              </w:rPr>
            </w:pPr>
            <w:r>
              <w:rPr>
                <w:rFonts w:ascii="Arial" w:cs="Arial" w:eastAsia="Arial" w:hAnsi="Arial"/>
                <w:sz w:val="18"/>
                <w:szCs w:val="18"/>
                <w:color w:val="auto"/>
              </w:rPr>
              <w:t>Cover Page Interactive Data File</w:t>
            </w:r>
          </w:p>
        </w:tc>
        <w:tc>
          <w:tcPr>
            <w:tcW w:w="3620" w:type="dxa"/>
            <w:vAlign w:val="bottom"/>
          </w:tcPr>
          <w:p>
            <w:pPr>
              <w:ind w:left="3500"/>
              <w:spacing w:after="0"/>
              <w:rPr>
                <w:sz w:val="20"/>
                <w:szCs w:val="20"/>
                <w:color w:val="auto"/>
              </w:rPr>
            </w:pPr>
            <w:r>
              <w:rPr>
                <w:rFonts w:ascii="Arial" w:cs="Arial" w:eastAsia="Arial" w:hAnsi="Arial"/>
                <w:sz w:val="18"/>
                <w:szCs w:val="18"/>
                <w:color w:val="auto"/>
                <w:w w:val="82"/>
              </w:rPr>
              <w:t>X</w:t>
            </w:r>
          </w:p>
        </w:tc>
      </w:tr>
      <w:tr>
        <w:trPr>
          <w:trHeight w:val="202"/>
        </w:trPr>
        <w:tc>
          <w:tcPr>
            <w:tcW w:w="860" w:type="dxa"/>
            <w:vAlign w:val="bottom"/>
          </w:tcPr>
          <w:p>
            <w:pPr>
              <w:spacing w:after="0"/>
              <w:rPr>
                <w:sz w:val="17"/>
                <w:szCs w:val="17"/>
                <w:color w:val="auto"/>
              </w:rPr>
            </w:pPr>
          </w:p>
        </w:tc>
        <w:tc>
          <w:tcPr>
            <w:tcW w:w="636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(embedded within the Inline XBRL</w:t>
            </w:r>
          </w:p>
        </w:tc>
        <w:tc>
          <w:tcPr>
            <w:tcW w:w="3620" w:type="dxa"/>
            <w:vAlign w:val="bottom"/>
          </w:tcPr>
          <w:p>
            <w:pPr>
              <w:spacing w:after="0"/>
              <w:rPr>
                <w:sz w:val="17"/>
                <w:szCs w:val="17"/>
                <w:color w:val="auto"/>
              </w:rPr>
            </w:pPr>
          </w:p>
        </w:tc>
      </w:tr>
      <w:tr>
        <w:trPr>
          <w:trHeight w:val="217"/>
        </w:trPr>
        <w:tc>
          <w:tcPr>
            <w:tcW w:w="860" w:type="dxa"/>
            <w:vAlign w:val="bottom"/>
          </w:tcPr>
          <w:p>
            <w:pPr>
              <w:spacing w:after="0"/>
              <w:rPr>
                <w:sz w:val="18"/>
                <w:szCs w:val="18"/>
                <w:color w:val="auto"/>
              </w:rPr>
            </w:pPr>
          </w:p>
        </w:tc>
        <w:tc>
          <w:tcPr>
            <w:tcW w:w="6360" w:type="dxa"/>
            <w:vAlign w:val="bottom"/>
            <w:gridSpan w:val="2"/>
          </w:tcPr>
          <w:p>
            <w:pPr>
              <w:ind w:left="140"/>
              <w:spacing w:after="0"/>
              <w:rPr>
                <w:sz w:val="20"/>
                <w:szCs w:val="20"/>
                <w:color w:val="auto"/>
              </w:rPr>
            </w:pPr>
            <w:r>
              <w:rPr>
                <w:rFonts w:ascii="Arial" w:cs="Arial" w:eastAsia="Arial" w:hAnsi="Arial"/>
                <w:sz w:val="18"/>
                <w:szCs w:val="18"/>
                <w:color w:val="auto"/>
              </w:rPr>
              <w:t>document)</w:t>
            </w:r>
          </w:p>
        </w:tc>
        <w:tc>
          <w:tcPr>
            <w:tcW w:w="3620" w:type="dxa"/>
            <w:vAlign w:val="bottom"/>
          </w:tcPr>
          <w:p>
            <w:pPr>
              <w:spacing w:after="0"/>
              <w:rPr>
                <w:sz w:val="18"/>
                <w:szCs w:val="18"/>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Indicates a management contract or compensatory plan or arrangement.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Certain portions of this exhibit (indicated by "[***]") have been omitted pursuant to Regulation S-K, Item (601)(b)(10).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08" w:right="7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8836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120" w:type="dxa"/>
            <w:vAlign w:val="bottom"/>
          </w:tcPr>
          <w:p>
            <w:pPr>
              <w:spacing w:after="0"/>
              <w:rPr>
                <w:sz w:val="18"/>
                <w:szCs w:val="18"/>
                <w:color w:val="auto"/>
              </w:rPr>
            </w:pPr>
          </w:p>
        </w:tc>
        <w:tc>
          <w:tcPr>
            <w:tcW w:w="3140" w:type="dxa"/>
            <w:vAlign w:val="bottom"/>
            <w:gridSpan w:val="2"/>
          </w:tcPr>
          <w:p>
            <w:pPr>
              <w:ind w:left="1520"/>
              <w:spacing w:after="0"/>
              <w:rPr>
                <w:sz w:val="20"/>
                <w:szCs w:val="20"/>
                <w:color w:val="auto"/>
              </w:rPr>
            </w:pPr>
            <w:r>
              <w:rPr>
                <w:rFonts w:ascii="Arial" w:cs="Arial" w:eastAsia="Arial" w:hAnsi="Arial"/>
                <w:sz w:val="18"/>
                <w:szCs w:val="18"/>
                <w:color w:val="auto"/>
              </w:rPr>
              <w:t>Vroom, Inc.</w:t>
            </w:r>
          </w:p>
        </w:tc>
        <w:tc>
          <w:tcPr>
            <w:tcW w:w="4960" w:type="dxa"/>
            <w:vAlign w:val="bottom"/>
          </w:tcPr>
          <w:p>
            <w:pPr>
              <w:spacing w:after="0"/>
              <w:rPr>
                <w:sz w:val="18"/>
                <w:szCs w:val="18"/>
                <w:color w:val="auto"/>
              </w:rPr>
            </w:pPr>
          </w:p>
        </w:tc>
      </w:tr>
      <w:tr>
        <w:trPr>
          <w:trHeight w:val="377"/>
        </w:trPr>
        <w:tc>
          <w:tcPr>
            <w:tcW w:w="3120" w:type="dxa"/>
            <w:vAlign w:val="bottom"/>
          </w:tcPr>
          <w:p>
            <w:pPr>
              <w:spacing w:after="0"/>
              <w:rPr>
                <w:sz w:val="20"/>
                <w:szCs w:val="20"/>
                <w:color w:val="auto"/>
              </w:rPr>
            </w:pPr>
            <w:r>
              <w:rPr>
                <w:rFonts w:ascii="Arial" w:cs="Arial" w:eastAsia="Arial" w:hAnsi="Arial"/>
                <w:sz w:val="18"/>
                <w:szCs w:val="18"/>
                <w:color w:val="auto"/>
              </w:rPr>
              <w:t>Date: March 2, 2023</w:t>
            </w:r>
          </w:p>
        </w:tc>
        <w:tc>
          <w:tcPr>
            <w:tcW w:w="3140" w:type="dxa"/>
            <w:vAlign w:val="bottom"/>
            <w:gridSpan w:val="2"/>
          </w:tcPr>
          <w:p>
            <w:pPr>
              <w:ind w:left="1500"/>
              <w:spacing w:after="0"/>
              <w:rPr>
                <w:sz w:val="20"/>
                <w:szCs w:val="20"/>
                <w:color w:val="auto"/>
              </w:rPr>
            </w:pPr>
            <w:r>
              <w:rPr>
                <w:rFonts w:ascii="Arial" w:cs="Arial" w:eastAsia="Arial" w:hAnsi="Arial"/>
                <w:sz w:val="18"/>
                <w:szCs w:val="18"/>
                <w:color w:val="auto"/>
              </w:rPr>
              <w:t>By:</w:t>
            </w:r>
          </w:p>
        </w:tc>
        <w:tc>
          <w:tcPr>
            <w:tcW w:w="4960" w:type="dxa"/>
            <w:vAlign w:val="bottom"/>
          </w:tcPr>
          <w:p>
            <w:pPr>
              <w:jc w:val="center"/>
              <w:ind w:right="1250"/>
              <w:spacing w:after="0"/>
              <w:rPr>
                <w:sz w:val="20"/>
                <w:szCs w:val="20"/>
                <w:color w:val="auto"/>
              </w:rPr>
            </w:pPr>
            <w:r>
              <w:rPr>
                <w:rFonts w:ascii="Arial" w:cs="Arial" w:eastAsia="Arial" w:hAnsi="Arial"/>
                <w:sz w:val="18"/>
                <w:szCs w:val="18"/>
                <w:color w:val="auto"/>
              </w:rPr>
              <w:t>/s/ Thomas H. Shortt</w:t>
            </w:r>
          </w:p>
        </w:tc>
      </w:tr>
      <w:tr>
        <w:trPr>
          <w:trHeight w:val="223"/>
        </w:trPr>
        <w:tc>
          <w:tcPr>
            <w:tcW w:w="3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4960" w:type="dxa"/>
            <w:vAlign w:val="bottom"/>
            <w:tcBorders>
              <w:top w:val="single" w:sz="8" w:color="auto"/>
            </w:tcBorders>
          </w:tcPr>
          <w:p>
            <w:pPr>
              <w:jc w:val="center"/>
              <w:ind w:right="1250"/>
              <w:spacing w:after="0"/>
              <w:rPr>
                <w:sz w:val="20"/>
                <w:szCs w:val="20"/>
                <w:color w:val="auto"/>
              </w:rPr>
            </w:pPr>
            <w:r>
              <w:rPr>
                <w:rFonts w:ascii="Arial" w:cs="Arial" w:eastAsia="Arial" w:hAnsi="Arial"/>
                <w:sz w:val="18"/>
                <w:szCs w:val="18"/>
                <w:color w:val="auto"/>
              </w:rPr>
              <w:t>Thomas H. Shortt</w:t>
            </w:r>
          </w:p>
        </w:tc>
      </w:tr>
      <w:tr>
        <w:trPr>
          <w:trHeight w:val="224"/>
        </w:trPr>
        <w:tc>
          <w:tcPr>
            <w:tcW w:w="3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960" w:type="dxa"/>
            <w:vAlign w:val="bottom"/>
          </w:tcPr>
          <w:p>
            <w:pPr>
              <w:jc w:val="center"/>
              <w:ind w:right="1250"/>
              <w:spacing w:after="0"/>
              <w:rPr>
                <w:sz w:val="20"/>
                <w:szCs w:val="20"/>
                <w:color w:val="auto"/>
              </w:rPr>
            </w:pPr>
            <w:r>
              <w:rPr>
                <w:rFonts w:ascii="Arial" w:cs="Arial" w:eastAsia="Arial" w:hAnsi="Arial"/>
                <w:sz w:val="18"/>
                <w:szCs w:val="18"/>
                <w:color w:val="auto"/>
                <w:w w:val="99"/>
              </w:rPr>
              <w:t>Chief Executive Officer</w:t>
            </w:r>
          </w:p>
        </w:tc>
      </w:tr>
      <w:tr>
        <w:trPr>
          <w:trHeight w:val="235"/>
        </w:trPr>
        <w:tc>
          <w:tcPr>
            <w:tcW w:w="3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960" w:type="dxa"/>
            <w:vAlign w:val="bottom"/>
          </w:tcPr>
          <w:p>
            <w:pPr>
              <w:jc w:val="center"/>
              <w:ind w:right="1290"/>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607"/>
        </w:trPr>
        <w:tc>
          <w:tcPr>
            <w:tcW w:w="3120" w:type="dxa"/>
            <w:vAlign w:val="bottom"/>
          </w:tcPr>
          <w:p>
            <w:pPr>
              <w:spacing w:after="0"/>
              <w:rPr>
                <w:sz w:val="20"/>
                <w:szCs w:val="20"/>
                <w:color w:val="auto"/>
              </w:rPr>
            </w:pPr>
            <w:r>
              <w:rPr>
                <w:rFonts w:ascii="Arial" w:cs="Arial" w:eastAsia="Arial" w:hAnsi="Arial"/>
                <w:sz w:val="18"/>
                <w:szCs w:val="18"/>
                <w:color w:val="auto"/>
              </w:rPr>
              <w:t>Date: March 2, 2023</w:t>
            </w:r>
          </w:p>
        </w:tc>
        <w:tc>
          <w:tcPr>
            <w:tcW w:w="3140" w:type="dxa"/>
            <w:vAlign w:val="bottom"/>
            <w:gridSpan w:val="2"/>
          </w:tcPr>
          <w:p>
            <w:pPr>
              <w:ind w:left="1500"/>
              <w:spacing w:after="0"/>
              <w:rPr>
                <w:sz w:val="20"/>
                <w:szCs w:val="20"/>
                <w:color w:val="auto"/>
              </w:rPr>
            </w:pPr>
            <w:r>
              <w:rPr>
                <w:rFonts w:ascii="Arial" w:cs="Arial" w:eastAsia="Arial" w:hAnsi="Arial"/>
                <w:sz w:val="18"/>
                <w:szCs w:val="18"/>
                <w:color w:val="auto"/>
              </w:rPr>
              <w:t>By:</w:t>
            </w:r>
          </w:p>
        </w:tc>
        <w:tc>
          <w:tcPr>
            <w:tcW w:w="4960" w:type="dxa"/>
            <w:vAlign w:val="bottom"/>
          </w:tcPr>
          <w:p>
            <w:pPr>
              <w:jc w:val="center"/>
              <w:ind w:right="1250"/>
              <w:spacing w:after="0"/>
              <w:rPr>
                <w:sz w:val="20"/>
                <w:szCs w:val="20"/>
                <w:color w:val="auto"/>
              </w:rPr>
            </w:pPr>
            <w:r>
              <w:rPr>
                <w:rFonts w:ascii="Arial" w:cs="Arial" w:eastAsia="Arial" w:hAnsi="Arial"/>
                <w:sz w:val="18"/>
                <w:szCs w:val="18"/>
                <w:color w:val="auto"/>
              </w:rPr>
              <w:t>/s/ Robert R. Krakowiak</w:t>
            </w:r>
          </w:p>
        </w:tc>
      </w:tr>
      <w:tr>
        <w:trPr>
          <w:trHeight w:val="223"/>
        </w:trPr>
        <w:tc>
          <w:tcPr>
            <w:tcW w:w="3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4960" w:type="dxa"/>
            <w:vAlign w:val="bottom"/>
            <w:tcBorders>
              <w:top w:val="single" w:sz="8" w:color="auto"/>
            </w:tcBorders>
          </w:tcPr>
          <w:p>
            <w:pPr>
              <w:jc w:val="center"/>
              <w:ind w:right="1250"/>
              <w:spacing w:after="0"/>
              <w:rPr>
                <w:sz w:val="20"/>
                <w:szCs w:val="20"/>
                <w:color w:val="auto"/>
              </w:rPr>
            </w:pPr>
            <w:r>
              <w:rPr>
                <w:rFonts w:ascii="Arial" w:cs="Arial" w:eastAsia="Arial" w:hAnsi="Arial"/>
                <w:sz w:val="18"/>
                <w:szCs w:val="18"/>
                <w:color w:val="auto"/>
              </w:rPr>
              <w:t>Robert R. Krakowiak</w:t>
            </w:r>
          </w:p>
        </w:tc>
      </w:tr>
      <w:tr>
        <w:trPr>
          <w:trHeight w:val="224"/>
        </w:trPr>
        <w:tc>
          <w:tcPr>
            <w:tcW w:w="3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960" w:type="dxa"/>
            <w:vAlign w:val="bottom"/>
          </w:tcPr>
          <w:p>
            <w:pPr>
              <w:jc w:val="center"/>
              <w:ind w:right="1250"/>
              <w:spacing w:after="0"/>
              <w:rPr>
                <w:sz w:val="20"/>
                <w:szCs w:val="20"/>
                <w:color w:val="auto"/>
              </w:rPr>
            </w:pPr>
            <w:r>
              <w:rPr>
                <w:rFonts w:ascii="Arial" w:cs="Arial" w:eastAsia="Arial" w:hAnsi="Arial"/>
                <w:sz w:val="18"/>
                <w:szCs w:val="18"/>
                <w:color w:val="auto"/>
              </w:rPr>
              <w:t>Chief Financial Officer</w:t>
            </w:r>
          </w:p>
        </w:tc>
      </w:tr>
      <w:tr>
        <w:trPr>
          <w:trHeight w:val="235"/>
        </w:trPr>
        <w:tc>
          <w:tcPr>
            <w:tcW w:w="3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960" w:type="dxa"/>
            <w:vAlign w:val="bottom"/>
          </w:tcPr>
          <w:p>
            <w:pPr>
              <w:jc w:val="center"/>
              <w:ind w:right="1230"/>
              <w:spacing w:after="0"/>
              <w:rPr>
                <w:sz w:val="20"/>
                <w:szCs w:val="20"/>
                <w:color w:val="auto"/>
              </w:rPr>
            </w:pPr>
            <w:r>
              <w:rPr>
                <w:rFonts w:ascii="Arial" w:cs="Arial" w:eastAsia="Arial" w:hAnsi="Arial"/>
                <w:sz w:val="18"/>
                <w:szCs w:val="18"/>
                <w:i w:val="1"/>
                <w:iCs w:val="1"/>
                <w:color w:val="auto"/>
                <w:w w:val="99"/>
              </w:rPr>
              <w:t>(principal financial officer)</w:t>
            </w:r>
          </w:p>
        </w:tc>
      </w:tr>
    </w:tbl>
    <w:p>
      <w:pPr>
        <w:spacing w:after="0" w:line="201" w:lineRule="exact"/>
        <w:rPr>
          <w:sz w:val="20"/>
          <w:szCs w:val="20"/>
          <w:color w:val="auto"/>
        </w:rPr>
      </w:pPr>
    </w:p>
    <w:p>
      <w:pPr>
        <w:ind w:right="240" w:firstLine="761"/>
        <w:spacing w:after="0" w:line="24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5" w:lineRule="exact"/>
        <w:rPr>
          <w:sz w:val="20"/>
          <w:szCs w:val="20"/>
          <w:color w:val="auto"/>
        </w:rPr>
      </w:pPr>
    </w:p>
    <w:p>
      <w:pPr>
        <w:ind w:left="1660"/>
        <w:spacing w:after="0"/>
        <w:tabs>
          <w:tab w:leader="none" w:pos="6580" w:val="left"/>
          <w:tab w:leader="none" w:pos="101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711517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H. Shortt</w:t>
            </w:r>
          </w:p>
        </w:tc>
        <w:tc>
          <w:tcPr>
            <w:tcW w:w="5380" w:type="dxa"/>
            <w:vAlign w:val="bottom"/>
          </w:tcPr>
          <w:p>
            <w:pPr>
              <w:ind w:left="140"/>
              <w:spacing w:after="0"/>
              <w:rPr>
                <w:sz w:val="20"/>
                <w:szCs w:val="20"/>
                <w:color w:val="auto"/>
              </w:rPr>
            </w:pPr>
            <w:r>
              <w:rPr>
                <w:rFonts w:ascii="Arial" w:cs="Arial" w:eastAsia="Arial" w:hAnsi="Arial"/>
                <w:sz w:val="18"/>
                <w:szCs w:val="18"/>
                <w:color w:val="auto"/>
              </w:rPr>
              <w:t>Chief Executive Officer (Principal Executive Officer) and Director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2, 2023</w:t>
            </w: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Thomas H. Shortt</w:t>
            </w:r>
          </w:p>
        </w:tc>
        <w:tc>
          <w:tcPr>
            <w:tcW w:w="53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592"/>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R. Krakowiak</w:t>
            </w:r>
          </w:p>
        </w:tc>
        <w:tc>
          <w:tcPr>
            <w:tcW w:w="5380" w:type="dxa"/>
            <w:vAlign w:val="bottom"/>
          </w:tcPr>
          <w:p>
            <w:pPr>
              <w:ind w:left="140"/>
              <w:spacing w:after="0"/>
              <w:rPr>
                <w:sz w:val="20"/>
                <w:szCs w:val="20"/>
                <w:color w:val="auto"/>
              </w:rPr>
            </w:pPr>
            <w:r>
              <w:rPr>
                <w:rFonts w:ascii="Arial" w:cs="Arial" w:eastAsia="Arial" w:hAnsi="Arial"/>
                <w:sz w:val="18"/>
                <w:szCs w:val="18"/>
                <w:color w:val="auto"/>
              </w:rPr>
              <w:t>Chief Financial Officer (Principal Financial Officer)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2, 2023</w:t>
            </w: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Robert R. Krakowiak</w:t>
            </w:r>
          </w:p>
        </w:tc>
        <w:tc>
          <w:tcPr>
            <w:tcW w:w="53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592"/>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Agnieszka Zakowicz</w:t>
            </w:r>
          </w:p>
        </w:tc>
        <w:tc>
          <w:tcPr>
            <w:tcW w:w="5380" w:type="dxa"/>
            <w:vAlign w:val="bottom"/>
          </w:tcPr>
          <w:p>
            <w:pPr>
              <w:ind w:left="140"/>
              <w:spacing w:after="0"/>
              <w:rPr>
                <w:sz w:val="20"/>
                <w:szCs w:val="20"/>
                <w:color w:val="auto"/>
              </w:rPr>
            </w:pPr>
            <w:r>
              <w:rPr>
                <w:rFonts w:ascii="Arial" w:cs="Arial" w:eastAsia="Arial" w:hAnsi="Arial"/>
                <w:sz w:val="18"/>
                <w:szCs w:val="18"/>
                <w:color w:val="auto"/>
              </w:rPr>
              <w:t>Senior Vice President and Principal Accounting Officer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2, 2023</w:t>
            </w: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Agnieszka Zakowicz</w:t>
            </w:r>
          </w:p>
        </w:tc>
        <w:tc>
          <w:tcPr>
            <w:tcW w:w="53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525"/>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Mylod, Jr.</w:t>
            </w:r>
          </w:p>
        </w:tc>
        <w:tc>
          <w:tcPr>
            <w:tcW w:w="53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2, 2023</w:t>
            </w: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Robert J. Mylod, Jr.</w:t>
            </w:r>
          </w:p>
        </w:tc>
        <w:tc>
          <w:tcPr>
            <w:tcW w:w="53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592"/>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M. Crow</w:t>
            </w:r>
          </w:p>
        </w:tc>
        <w:tc>
          <w:tcPr>
            <w:tcW w:w="53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2, 2023</w:t>
            </w: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Timothy M. Crow</w:t>
            </w:r>
          </w:p>
        </w:tc>
        <w:tc>
          <w:tcPr>
            <w:tcW w:w="53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592"/>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Farello</w:t>
            </w:r>
          </w:p>
        </w:tc>
        <w:tc>
          <w:tcPr>
            <w:tcW w:w="53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2, 2023</w:t>
            </w: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Michael J. Farello</w:t>
            </w:r>
          </w:p>
        </w:tc>
        <w:tc>
          <w:tcPr>
            <w:tcW w:w="53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592"/>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W. Lang</w:t>
            </w:r>
          </w:p>
        </w:tc>
        <w:tc>
          <w:tcPr>
            <w:tcW w:w="53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2, 2023</w:t>
            </w: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Laura W. Lang</w:t>
            </w:r>
          </w:p>
        </w:tc>
        <w:tc>
          <w:tcPr>
            <w:tcW w:w="53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592"/>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G. O’Shaughnessy</w:t>
            </w:r>
          </w:p>
        </w:tc>
        <w:tc>
          <w:tcPr>
            <w:tcW w:w="53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2, 2023</w:t>
            </w: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Laura G. O’Shaughnessy</w:t>
            </w:r>
          </w:p>
        </w:tc>
        <w:tc>
          <w:tcPr>
            <w:tcW w:w="53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592"/>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Paula B. Pretlow</w:t>
            </w:r>
          </w:p>
        </w:tc>
        <w:tc>
          <w:tcPr>
            <w:tcW w:w="53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2, 2023</w:t>
            </w: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Paula B. Pretlow</w:t>
            </w:r>
          </w:p>
        </w:tc>
        <w:tc>
          <w:tcPr>
            <w:tcW w:w="53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768"/>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380" w:type="dxa"/>
            <w:vAlign w:val="bottom"/>
          </w:tcPr>
          <w:p>
            <w:pPr>
              <w:ind w:left="1500"/>
              <w:spacing w:after="0"/>
              <w:rPr>
                <w:sz w:val="20"/>
                <w:szCs w:val="20"/>
                <w:color w:val="auto"/>
              </w:rPr>
            </w:pPr>
            <w:r>
              <w:rPr>
                <w:rFonts w:ascii="Arial" w:cs="Arial" w:eastAsia="Arial" w:hAnsi="Arial"/>
                <w:sz w:val="18"/>
                <w:szCs w:val="18"/>
                <w:color w:val="auto"/>
              </w:rPr>
              <w:t>149</w:t>
            </w:r>
          </w:p>
        </w:tc>
        <w:tc>
          <w:tcPr>
            <w:tcW w:w="188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c>
          <w:tcPr>
            <w:tcW w:w="538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21.1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80" w:type="dxa"/>
            <w:vAlign w:val="bottom"/>
          </w:tcPr>
          <w:p>
            <w:pPr>
              <w:ind w:left="2260"/>
              <w:spacing w:after="0"/>
              <w:rPr>
                <w:sz w:val="20"/>
                <w:szCs w:val="20"/>
                <w:color w:val="auto"/>
              </w:rPr>
            </w:pPr>
            <w:r>
              <w:rPr>
                <w:rFonts w:ascii="Arial" w:cs="Arial" w:eastAsia="Arial" w:hAnsi="Arial"/>
                <w:sz w:val="18"/>
                <w:szCs w:val="18"/>
                <w:b w:val="1"/>
                <w:bCs w:val="1"/>
                <w:color w:val="auto"/>
              </w:rPr>
              <w:t>Subsidiaries of Vroom, Inc.</w:t>
            </w:r>
          </w:p>
        </w:tc>
        <w:tc>
          <w:tcPr>
            <w:tcW w:w="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566"/>
        </w:trPr>
        <w:tc>
          <w:tcPr>
            <w:tcW w:w="2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18"/>
                <w:szCs w:val="18"/>
                <w:b w:val="1"/>
                <w:bCs w:val="1"/>
                <w:color w:val="auto"/>
                <w:w w:val="99"/>
              </w:rPr>
              <w:t>Legal Name of Subsidiary</w:t>
            </w:r>
          </w:p>
        </w:tc>
        <w:tc>
          <w:tcPr>
            <w:tcW w:w="5080" w:type="dxa"/>
            <w:vAlign w:val="bottom"/>
          </w:tcPr>
          <w:p>
            <w:pPr>
              <w:spacing w:after="0"/>
              <w:rPr>
                <w:sz w:val="24"/>
                <w:szCs w:val="24"/>
                <w:color w:val="auto"/>
              </w:rPr>
            </w:pPr>
          </w:p>
        </w:tc>
        <w:tc>
          <w:tcPr>
            <w:tcW w:w="3940" w:type="dxa"/>
            <w:vAlign w:val="bottom"/>
            <w:gridSpan w:val="3"/>
          </w:tcPr>
          <w:p>
            <w:pPr>
              <w:ind w:left="300"/>
              <w:spacing w:after="0"/>
              <w:rPr>
                <w:sz w:val="20"/>
                <w:szCs w:val="20"/>
                <w:color w:val="auto"/>
              </w:rPr>
            </w:pPr>
            <w:r>
              <w:rPr>
                <w:rFonts w:ascii="Arial" w:cs="Arial" w:eastAsia="Arial" w:hAnsi="Arial"/>
                <w:sz w:val="18"/>
                <w:szCs w:val="18"/>
                <w:b w:val="1"/>
                <w:bCs w:val="1"/>
                <w:color w:val="auto"/>
              </w:rPr>
              <w:t>Jurisdiction of Organization</w:t>
            </w: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AAGP, LLC d/b/a Vroom</w:t>
            </w:r>
          </w:p>
        </w:tc>
        <w:tc>
          <w:tcPr>
            <w:tcW w:w="5080" w:type="dxa"/>
            <w:vAlign w:val="bottom"/>
          </w:tcPr>
          <w:p>
            <w:pPr>
              <w:spacing w:after="0"/>
              <w:rPr>
                <w:sz w:val="20"/>
                <w:szCs w:val="20"/>
                <w:color w:val="auto"/>
              </w:rPr>
            </w:pP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Texas</w:t>
            </w:r>
          </w:p>
        </w:tc>
      </w:tr>
      <w:tr>
        <w:trPr>
          <w:trHeight w:val="202"/>
        </w:trPr>
        <w:tc>
          <w:tcPr>
            <w:tcW w:w="20" w:type="dxa"/>
            <w:vAlign w:val="bottom"/>
          </w:tcPr>
          <w:p>
            <w:pPr>
              <w:spacing w:after="0"/>
              <w:rPr>
                <w:sz w:val="17"/>
                <w:szCs w:val="17"/>
                <w:color w:val="auto"/>
              </w:rPr>
            </w:pPr>
          </w:p>
        </w:tc>
        <w:tc>
          <w:tcPr>
            <w:tcW w:w="7280" w:type="dxa"/>
            <w:vAlign w:val="bottom"/>
            <w:gridSpan w:val="2"/>
          </w:tcPr>
          <w:p>
            <w:pPr>
              <w:spacing w:after="0" w:line="202" w:lineRule="exact"/>
              <w:rPr>
                <w:sz w:val="20"/>
                <w:szCs w:val="20"/>
                <w:color w:val="auto"/>
              </w:rPr>
            </w:pPr>
            <w:r>
              <w:rPr>
                <w:rFonts w:ascii="Arial" w:cs="Arial" w:eastAsia="Arial" w:hAnsi="Arial"/>
                <w:sz w:val="18"/>
                <w:szCs w:val="18"/>
                <w:color w:val="auto"/>
              </w:rPr>
              <w:t>Vroom Automotive, LLC d/b/a Texas Direct Auto and Vroom and f/k/a Left Gate Property</w:t>
            </w:r>
          </w:p>
        </w:tc>
        <w:tc>
          <w:tcPr>
            <w:tcW w:w="394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Texas</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Holding, LLC</w:t>
            </w: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Nations Drive, LLC</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Texas</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Vroom Logistics, LLC</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CarStory, LLC</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Vast.com, Inc. d/b/a CarStory</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California</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Vast D.O.O.</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Serbia</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Vroom Transportation Services, LLC</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Vroom Finance Holdings, LLC</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Vroom Finance Corporation</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Vroom Automotive Finance Corporation</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California</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United Auto Credit Corporation</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California</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UACC Auto Financing Trust III</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UACC Auto Financing Trust IV</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UACC Auto Financing Trust V</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217"/>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United Auto Credit Financing LLC</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317"/>
        </w:trPr>
        <w:tc>
          <w:tcPr>
            <w:tcW w:w="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333-239093, No. 333-263121 and No. 333-265233) and Form S-3 (No. 333-267361) of Vroom, Inc. of our report dated March 2, 2023 relating to the financial statements and the effectiveness of internal control over financial reporting, which appears in this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31.1</w:t>
      </w: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H. Shortt, certify that:</w:t>
      </w:r>
    </w:p>
    <w:p>
      <w:pPr>
        <w:spacing w:after="0" w:line="238" w:lineRule="exact"/>
        <w:rPr>
          <w:sz w:val="20"/>
          <w:szCs w:val="20"/>
          <w:color w:val="auto"/>
        </w:rPr>
      </w:pPr>
    </w:p>
    <w:p>
      <w:pPr>
        <w:ind w:left="480" w:hanging="459"/>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Vroom, Inc.;</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jc w:val="both"/>
        <w:ind w:left="480" w:right="300" w:hanging="459"/>
        <w:spacing w:after="0" w:line="263" w:lineRule="auto"/>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480" w:right="260" w:hanging="459"/>
        <w:spacing w:after="0" w:line="307" w:lineRule="auto"/>
        <w:tabs>
          <w:tab w:leader="none" w:pos="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480" w:right="300" w:hanging="459"/>
        <w:spacing w:after="0" w:line="263" w:lineRule="auto"/>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940" w:right="100" w:hanging="460"/>
        <w:spacing w:after="0" w:line="263" w:lineRule="auto"/>
        <w:tabs>
          <w:tab w:leader="none" w:pos="9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940" w:right="420" w:hanging="460"/>
        <w:spacing w:after="0" w:line="263" w:lineRule="auto"/>
        <w:tabs>
          <w:tab w:leader="none" w:pos="9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jc w:val="both"/>
        <w:ind w:left="940" w:right="580" w:hanging="460"/>
        <w:spacing w:after="0" w:line="341" w:lineRule="auto"/>
        <w:tabs>
          <w:tab w:leader="none" w:pos="9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4" w:lineRule="exact"/>
        <w:rPr>
          <w:rFonts w:ascii="Arial" w:cs="Arial" w:eastAsia="Arial" w:hAnsi="Arial"/>
          <w:sz w:val="16"/>
          <w:szCs w:val="16"/>
          <w:color w:val="auto"/>
        </w:rPr>
      </w:pPr>
    </w:p>
    <w:p>
      <w:pPr>
        <w:ind w:left="940" w:right="100" w:hanging="460"/>
        <w:spacing w:after="0" w:line="263" w:lineRule="auto"/>
        <w:tabs>
          <w:tab w:leader="none" w:pos="9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480" w:right="200" w:hanging="459"/>
        <w:spacing w:after="0" w:line="307" w:lineRule="auto"/>
        <w:tabs>
          <w:tab w:leader="none" w:pos="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940" w:right="820" w:hanging="460"/>
        <w:spacing w:after="0" w:line="341" w:lineRule="auto"/>
        <w:tabs>
          <w:tab w:leader="none" w:pos="9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4" w:lineRule="exact"/>
        <w:rPr>
          <w:rFonts w:ascii="Arial" w:cs="Arial" w:eastAsia="Arial" w:hAnsi="Arial"/>
          <w:sz w:val="16"/>
          <w:szCs w:val="16"/>
          <w:color w:val="auto"/>
        </w:rPr>
      </w:pPr>
    </w:p>
    <w:p>
      <w:pPr>
        <w:ind w:left="940" w:right="520" w:hanging="460"/>
        <w:spacing w:after="0" w:line="277" w:lineRule="auto"/>
        <w:tabs>
          <w:tab w:leader="none" w:pos="9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tabs>
          <w:tab w:leader="none" w:pos="5680" w:val="left"/>
          <w:tab w:leader="none" w:pos="786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Shortt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23495</wp:posOffset>
            </wp:positionV>
            <wp:extent cx="331343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8">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Thomas H. Shortt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ind w:left="66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31.2</w:t>
      </w: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R. Krakowiak, certify that:</w:t>
      </w:r>
    </w:p>
    <w:p>
      <w:pPr>
        <w:spacing w:after="0" w:line="238" w:lineRule="exact"/>
        <w:rPr>
          <w:sz w:val="20"/>
          <w:szCs w:val="20"/>
          <w:color w:val="auto"/>
        </w:rPr>
      </w:pPr>
    </w:p>
    <w:p>
      <w:pPr>
        <w:ind w:left="480" w:hanging="459"/>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Vroom, Inc.;</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jc w:val="both"/>
        <w:ind w:left="480" w:right="300" w:hanging="459"/>
        <w:spacing w:after="0" w:line="263" w:lineRule="auto"/>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480" w:right="260" w:hanging="459"/>
        <w:spacing w:after="0" w:line="307" w:lineRule="auto"/>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9" w:lineRule="exact"/>
        <w:rPr>
          <w:rFonts w:ascii="Arial" w:cs="Arial" w:eastAsia="Arial" w:hAnsi="Arial"/>
          <w:sz w:val="17"/>
          <w:szCs w:val="17"/>
          <w:color w:val="auto"/>
        </w:rPr>
      </w:pPr>
    </w:p>
    <w:p>
      <w:pPr>
        <w:ind w:left="480" w:right="300" w:hanging="459"/>
        <w:spacing w:after="0" w:line="263" w:lineRule="auto"/>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940" w:right="100" w:hanging="460"/>
        <w:spacing w:after="0" w:line="263" w:lineRule="auto"/>
        <w:tabs>
          <w:tab w:leader="none" w:pos="9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940" w:right="420" w:hanging="460"/>
        <w:spacing w:after="0" w:line="263" w:lineRule="auto"/>
        <w:tabs>
          <w:tab w:leader="none" w:pos="9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jc w:val="both"/>
        <w:ind w:left="940" w:right="580" w:hanging="460"/>
        <w:spacing w:after="0" w:line="341" w:lineRule="auto"/>
        <w:tabs>
          <w:tab w:leader="none" w:pos="9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spacing w:after="0" w:line="382" w:lineRule="exact"/>
        <w:rPr>
          <w:rFonts w:ascii="Arial" w:cs="Arial" w:eastAsia="Arial" w:hAnsi="Arial"/>
          <w:sz w:val="16"/>
          <w:szCs w:val="16"/>
          <w:color w:val="auto"/>
        </w:rPr>
      </w:pPr>
    </w:p>
    <w:p>
      <w:pPr>
        <w:ind w:left="940" w:right="100" w:hanging="460"/>
        <w:spacing w:after="0" w:line="263" w:lineRule="auto"/>
        <w:tabs>
          <w:tab w:leader="none" w:pos="9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480" w:right="200" w:hanging="459"/>
        <w:spacing w:after="0" w:line="307" w:lineRule="auto"/>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9" w:lineRule="exact"/>
        <w:rPr>
          <w:rFonts w:ascii="Arial" w:cs="Arial" w:eastAsia="Arial" w:hAnsi="Arial"/>
          <w:sz w:val="17"/>
          <w:szCs w:val="17"/>
          <w:color w:val="auto"/>
        </w:rPr>
      </w:pPr>
    </w:p>
    <w:p>
      <w:pPr>
        <w:ind w:left="940" w:right="820" w:hanging="460"/>
        <w:spacing w:after="0" w:line="341" w:lineRule="auto"/>
        <w:tabs>
          <w:tab w:leader="none" w:pos="9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7" w:lineRule="exact"/>
        <w:rPr>
          <w:rFonts w:ascii="Arial" w:cs="Arial" w:eastAsia="Arial" w:hAnsi="Arial"/>
          <w:sz w:val="16"/>
          <w:szCs w:val="16"/>
          <w:color w:val="auto"/>
        </w:rPr>
      </w:pPr>
    </w:p>
    <w:p>
      <w:pPr>
        <w:ind w:left="940" w:right="520" w:hanging="460"/>
        <w:spacing w:after="0" w:line="277" w:lineRule="auto"/>
        <w:tabs>
          <w:tab w:leader="none" w:pos="9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00" w:type="dxa"/>
            <w:vAlign w:val="bottom"/>
          </w:tcPr>
          <w:p>
            <w:pPr>
              <w:ind w:left="20"/>
              <w:spacing w:after="0"/>
              <w:rPr>
                <w:sz w:val="20"/>
                <w:szCs w:val="20"/>
                <w:color w:val="auto"/>
              </w:rPr>
            </w:pPr>
            <w:r>
              <w:rPr>
                <w:rFonts w:ascii="Arial" w:cs="Arial" w:eastAsia="Arial" w:hAnsi="Arial"/>
                <w:sz w:val="18"/>
                <w:szCs w:val="18"/>
                <w:color w:val="auto"/>
              </w:rPr>
              <w:t>Date: March 2, 2023</w:t>
            </w:r>
          </w:p>
        </w:tc>
        <w:tc>
          <w:tcPr>
            <w:tcW w:w="2420" w:type="dxa"/>
            <w:vAlign w:val="bottom"/>
          </w:tcPr>
          <w:p>
            <w:pPr>
              <w:ind w:left="210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Robert R. Krakowiak</w:t>
            </w:r>
          </w:p>
        </w:tc>
      </w:tr>
      <w:tr>
        <w:trPr>
          <w:trHeight w:val="208"/>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Robert R. Krakowiak</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r>
        <w:trPr>
          <w:trHeight w:val="344"/>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1103630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connection with the Annual Report on Form 10-K of Vroom, Inc. (the “Company”) for the period ended December 31, 2022 as filed with the Securities and Exchange Commission on the date hereof (the “Report”), I certify, pursuant to 18 U.S.C. § 1350, as adopted pursuant to § 906 of the Sarbanes-Oxley Act of 2002, that:</w:t>
      </w:r>
    </w:p>
    <w:p>
      <w:pPr>
        <w:spacing w:after="0" w:line="196" w:lineRule="exact"/>
        <w:rPr>
          <w:sz w:val="20"/>
          <w:szCs w:val="20"/>
          <w:color w:val="auto"/>
        </w:rPr>
      </w:pPr>
    </w:p>
    <w:p>
      <w:pPr>
        <w:ind w:left="940" w:hanging="460"/>
        <w:spacing w:after="0"/>
        <w:tabs>
          <w:tab w:leader="none" w:pos="9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00" w:lineRule="exact"/>
        <w:rPr>
          <w:rFonts w:ascii="Arial" w:cs="Arial" w:eastAsia="Arial" w:hAnsi="Arial"/>
          <w:sz w:val="17"/>
          <w:szCs w:val="17"/>
          <w:color w:val="auto"/>
        </w:rPr>
      </w:pPr>
    </w:p>
    <w:p>
      <w:pPr>
        <w:spacing w:after="0" w:line="305" w:lineRule="exact"/>
        <w:rPr>
          <w:rFonts w:ascii="Arial" w:cs="Arial" w:eastAsia="Arial" w:hAnsi="Arial"/>
          <w:sz w:val="17"/>
          <w:szCs w:val="17"/>
          <w:color w:val="auto"/>
        </w:rPr>
      </w:pPr>
    </w:p>
    <w:p>
      <w:pPr>
        <w:ind w:left="940" w:right="640" w:hanging="460"/>
        <w:spacing w:after="0" w:line="277" w:lineRule="auto"/>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00" w:type="dxa"/>
            <w:vAlign w:val="bottom"/>
          </w:tcPr>
          <w:p>
            <w:pPr>
              <w:ind w:left="20"/>
              <w:spacing w:after="0"/>
              <w:rPr>
                <w:sz w:val="20"/>
                <w:szCs w:val="20"/>
                <w:color w:val="auto"/>
              </w:rPr>
            </w:pPr>
            <w:r>
              <w:rPr>
                <w:rFonts w:ascii="Arial" w:cs="Arial" w:eastAsia="Arial" w:hAnsi="Arial"/>
                <w:sz w:val="18"/>
                <w:szCs w:val="18"/>
                <w:color w:val="auto"/>
              </w:rPr>
              <w:t>Date: March 2, 2023</w:t>
            </w:r>
          </w:p>
        </w:tc>
        <w:tc>
          <w:tcPr>
            <w:tcW w:w="2420" w:type="dxa"/>
            <w:vAlign w:val="bottom"/>
          </w:tcPr>
          <w:p>
            <w:pPr>
              <w:ind w:left="210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Thomas H. Shortt</w:t>
            </w:r>
          </w:p>
        </w:tc>
      </w:tr>
      <w:tr>
        <w:trPr>
          <w:trHeight w:val="208"/>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Thomas H. Shortt</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802"/>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connection with the Annual Report on Form 10-K of Vroom, Inc. (the “Company”) for the period ended December 31, 2022 as filed with the Securities and Exchange Commission on the date hereof (the “Report”), I certify, pursuant to 18 U.S.C. § 1350, as adopted pursuant to § 906 of the Sarbanes-Oxley Act of 2002, that:</w:t>
      </w:r>
    </w:p>
    <w:p>
      <w:pPr>
        <w:spacing w:after="0" w:line="196" w:lineRule="exact"/>
        <w:rPr>
          <w:sz w:val="20"/>
          <w:szCs w:val="20"/>
          <w:color w:val="auto"/>
        </w:rPr>
      </w:pPr>
    </w:p>
    <w:p>
      <w:pPr>
        <w:ind w:left="940" w:hanging="460"/>
        <w:spacing w:after="0"/>
        <w:tabs>
          <w:tab w:leader="none" w:pos="9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00" w:lineRule="exact"/>
        <w:rPr>
          <w:rFonts w:ascii="Arial" w:cs="Arial" w:eastAsia="Arial" w:hAnsi="Arial"/>
          <w:sz w:val="17"/>
          <w:szCs w:val="17"/>
          <w:color w:val="auto"/>
        </w:rPr>
      </w:pPr>
    </w:p>
    <w:p>
      <w:pPr>
        <w:spacing w:after="0" w:line="305" w:lineRule="exact"/>
        <w:rPr>
          <w:rFonts w:ascii="Arial" w:cs="Arial" w:eastAsia="Arial" w:hAnsi="Arial"/>
          <w:sz w:val="17"/>
          <w:szCs w:val="17"/>
          <w:color w:val="auto"/>
        </w:rPr>
      </w:pPr>
    </w:p>
    <w:p>
      <w:pPr>
        <w:ind w:left="940" w:right="640" w:hanging="460"/>
        <w:spacing w:after="0" w:line="277" w:lineRule="auto"/>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00" w:type="dxa"/>
            <w:vAlign w:val="bottom"/>
          </w:tcPr>
          <w:p>
            <w:pPr>
              <w:ind w:left="20"/>
              <w:spacing w:after="0"/>
              <w:rPr>
                <w:sz w:val="20"/>
                <w:szCs w:val="20"/>
                <w:color w:val="auto"/>
              </w:rPr>
            </w:pPr>
            <w:r>
              <w:rPr>
                <w:rFonts w:ascii="Arial" w:cs="Arial" w:eastAsia="Arial" w:hAnsi="Arial"/>
                <w:sz w:val="18"/>
                <w:szCs w:val="18"/>
                <w:color w:val="auto"/>
              </w:rPr>
              <w:t>Date: March 2, 2023</w:t>
            </w:r>
          </w:p>
        </w:tc>
        <w:tc>
          <w:tcPr>
            <w:tcW w:w="2420" w:type="dxa"/>
            <w:vAlign w:val="bottom"/>
          </w:tcPr>
          <w:p>
            <w:pPr>
              <w:ind w:left="210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Robert R. Krakowiak</w:t>
            </w:r>
          </w:p>
        </w:tc>
      </w:tr>
      <w:tr>
        <w:trPr>
          <w:trHeight w:val="208"/>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Robert R. Krakowiak</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p>
        </w:tc>
      </w:tr>
      <w:tr>
        <w:trPr>
          <w:trHeight w:val="1450"/>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lowerRoman"/>
      <w:start w:val="4"/>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lowerLetter"/>
      <w:start w:val="2"/>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lowerRoman"/>
      <w:start w:val="4"/>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40" Type="http://schemas.openxmlformats.org/officeDocument/2006/relationships/image" Target="media/image526.png"/><Relationship Id="rId557" Type="http://schemas.openxmlformats.org/officeDocument/2006/relationships/image" Target="media/image527.png"/><Relationship Id="rId558" Type="http://schemas.openxmlformats.org/officeDocument/2006/relationships/image" Target="media/image528.png"/><Relationship Id="rId559" Type="http://schemas.openxmlformats.org/officeDocument/2006/relationships/image" Target="media/image529.png"/><Relationship Id="rId560" Type="http://schemas.openxmlformats.org/officeDocument/2006/relationships/image" Target="media/image530.png"/><Relationship Id="rId561" Type="http://schemas.openxmlformats.org/officeDocument/2006/relationships/image" Target="media/image531.png"/><Relationship Id="rId570" Type="http://schemas.openxmlformats.org/officeDocument/2006/relationships/image" Target="media/image532.png"/><Relationship Id="rId571" Type="http://schemas.openxmlformats.org/officeDocument/2006/relationships/image" Target="media/image533.png"/><Relationship Id="rId583" Type="http://schemas.openxmlformats.org/officeDocument/2006/relationships/image" Target="media/image534.png"/><Relationship Id="rId584" Type="http://schemas.openxmlformats.org/officeDocument/2006/relationships/image" Target="media/image535.png"/><Relationship Id="rId585" Type="http://schemas.openxmlformats.org/officeDocument/2006/relationships/image" Target="media/image536.png"/><Relationship Id="rId586" Type="http://schemas.openxmlformats.org/officeDocument/2006/relationships/image" Target="media/image537.png"/><Relationship Id="rId587" Type="http://schemas.openxmlformats.org/officeDocument/2006/relationships/image" Target="media/image538.png"/><Relationship Id="rId589" Type="http://schemas.openxmlformats.org/officeDocument/2006/relationships/image" Target="media/image539.png"/><Relationship Id="rId590" Type="http://schemas.openxmlformats.org/officeDocument/2006/relationships/image" Target="media/image540.png"/><Relationship Id="rId591" Type="http://schemas.openxmlformats.org/officeDocument/2006/relationships/image" Target="media/image541.png"/><Relationship Id="rId592" Type="http://schemas.openxmlformats.org/officeDocument/2006/relationships/image" Target="media/image542.png"/><Relationship Id="rId593" Type="http://schemas.openxmlformats.org/officeDocument/2006/relationships/image" Target="media/image543.png"/><Relationship Id="rId594" Type="http://schemas.openxmlformats.org/officeDocument/2006/relationships/image" Target="media/image544.png"/><Relationship Id="rId595" Type="http://schemas.openxmlformats.org/officeDocument/2006/relationships/image" Target="media/image545.png"/><Relationship Id="rId596" Type="http://schemas.openxmlformats.org/officeDocument/2006/relationships/image" Target="media/image546.png"/><Relationship Id="rId597" Type="http://schemas.openxmlformats.org/officeDocument/2006/relationships/image" Target="media/image547.png"/><Relationship Id="rId598" Type="http://schemas.openxmlformats.org/officeDocument/2006/relationships/image" Target="media/image548.png"/><Relationship Id="rId599" Type="http://schemas.openxmlformats.org/officeDocument/2006/relationships/image" Target="media/image549.png"/><Relationship Id="rId600" Type="http://schemas.openxmlformats.org/officeDocument/2006/relationships/image" Target="media/image550.png"/><Relationship Id="rId601" Type="http://schemas.openxmlformats.org/officeDocument/2006/relationships/image" Target="media/image551.png"/><Relationship Id="rId602" Type="http://schemas.openxmlformats.org/officeDocument/2006/relationships/image" Target="media/image552.png"/><Relationship Id="rId603" Type="http://schemas.openxmlformats.org/officeDocument/2006/relationships/image" Target="media/image553.png"/><Relationship Id="rId604" Type="http://schemas.openxmlformats.org/officeDocument/2006/relationships/image" Target="media/image554.png"/><Relationship Id="rId605" Type="http://schemas.openxmlformats.org/officeDocument/2006/relationships/image" Target="media/image555.png"/><Relationship Id="rId606" Type="http://schemas.openxmlformats.org/officeDocument/2006/relationships/image" Target="media/image556.png"/><Relationship Id="rId607" Type="http://schemas.openxmlformats.org/officeDocument/2006/relationships/image" Target="media/image557.png"/><Relationship Id="rId533" Type="http://schemas.openxmlformats.org/officeDocument/2006/relationships/hyperlink" Target="https://www.sec.gov/Archives/edgar/data/1580864/000095017021002077/vrm-ex2_1.htm" TargetMode="External"/><Relationship Id="rId534" Type="http://schemas.openxmlformats.org/officeDocument/2006/relationships/hyperlink" Target="https://www.sec.gov/Archives/edgar/data/1580864/000156459020039778/vrm-ex31_460.htm" TargetMode="External"/><Relationship Id="rId535" Type="http://schemas.openxmlformats.org/officeDocument/2006/relationships/hyperlink" Target="https://www.sec.gov/Archives/edgar/data/1580864/000156459020039778/vrm-ex32_234.htm" TargetMode="External"/><Relationship Id="rId536" Type="http://schemas.openxmlformats.org/officeDocument/2006/relationships/hyperlink" Target="https://www.sec.gov/Archives/edgar/data/1580864/000119312520157158/d801274dex41.htm" TargetMode="External"/><Relationship Id="rId537" Type="http://schemas.openxmlformats.org/officeDocument/2006/relationships/hyperlink" Target="https://www.sec.gov/Archives/edgar/data/1580864/000119312521195245/d93781dex41.htm" TargetMode="External"/><Relationship Id="rId538" Type="http://schemas.openxmlformats.org/officeDocument/2006/relationships/hyperlink" Target="https://www.sec.gov/Archives/edgar/data/1580864/000119312520145219/d801274dex42.htm" TargetMode="External"/><Relationship Id="rId539" Type="http://schemas.openxmlformats.org/officeDocument/2006/relationships/hyperlink" Target="https://www.sec.gov/Archives/edgar/data/0001580864/000156459021010584/vrm-ex43_991.htm" TargetMode="External"/><Relationship Id="rId541" Type="http://schemas.openxmlformats.org/officeDocument/2006/relationships/hyperlink" Target="https://www.sec.gov/Archives/edgar/data/1580864/000119312520145219/d801274dex101.htm" TargetMode="External"/><Relationship Id="rId542" Type="http://schemas.openxmlformats.org/officeDocument/2006/relationships/hyperlink" Target="https://www.sec.gov/Archives/edgar/data/1580864/000156459020039778/vrm-ex103_232.htm" TargetMode="External"/><Relationship Id="rId543" Type="http://schemas.openxmlformats.org/officeDocument/2006/relationships/hyperlink" Target="https://www.sec.gov/Archives/edgar/data/1580864/000156459020039778/vrm-ex104_233.htm" TargetMode="External"/><Relationship Id="rId544" Type="http://schemas.openxmlformats.org/officeDocument/2006/relationships/hyperlink" Target="https://www.sec.gov/Archives/edgar/data/1580864/000156459021010584/vrm-ex104_993.htm" TargetMode="External"/><Relationship Id="rId545" Type="http://schemas.openxmlformats.org/officeDocument/2006/relationships/hyperlink" Target="https://www.sec.gov/Archives/edgar/data/1580864/000156459021010584/vrm-ex105_992.htm" TargetMode="External"/><Relationship Id="rId546" Type="http://schemas.openxmlformats.org/officeDocument/2006/relationships/hyperlink" Target="https://www.sec.gov/Archives/edgar/data/1580864/000119312520145219/d801274dex102.htm" TargetMode="External"/><Relationship Id="rId547" Type="http://schemas.openxmlformats.org/officeDocument/2006/relationships/hyperlink" Target="https://www.sec.gov/Archives/edgar/data/1580864/000119312520157158/d801274dex103.htm" TargetMode="External"/><Relationship Id="rId548" Type="http://schemas.openxmlformats.org/officeDocument/2006/relationships/hyperlink" Target="https://www.sec.gov/Archives/edgar/data/1580864/000156459020039778/vrm-ex102_602.htm" TargetMode="External"/><Relationship Id="rId549" Type="http://schemas.openxmlformats.org/officeDocument/2006/relationships/hyperlink" Target="https://www.sec.gov/Archives/edgar/data/1580864/000095017022015563/vrm-ex10_4.htm" TargetMode="External"/><Relationship Id="rId550" Type="http://schemas.openxmlformats.org/officeDocument/2006/relationships/hyperlink" Target="https://www.sec.gov/Archives/edgar/data/1580864/000119312522161029/d350681dex991.htm" TargetMode="External"/><Relationship Id="rId551" Type="http://schemas.openxmlformats.org/officeDocument/2006/relationships/hyperlink" Target="https://www.sec.gov/Archives/edgar/data/1580864/000119312522161029/d350681dex992.htm" TargetMode="External"/><Relationship Id="rId552" Type="http://schemas.openxmlformats.org/officeDocument/2006/relationships/hyperlink" Target="https://www.sec.gov/Archives/edgar/data/1580864/000119312522161029/d350681dex993.htm" TargetMode="External"/><Relationship Id="rId553" Type="http://schemas.openxmlformats.org/officeDocument/2006/relationships/hyperlink" Target="https://www.sec.gov/Archives/edgar/data/1580864/000095017022015563/vrm-ex10_9.htm" TargetMode="External"/><Relationship Id="rId554" Type="http://schemas.openxmlformats.org/officeDocument/2006/relationships/hyperlink" Target="https://www.sec.gov/Archives/edgar/data/1580864/000119312520157158/d801274dex105.htm" TargetMode="External"/><Relationship Id="rId555" Type="http://schemas.openxmlformats.org/officeDocument/2006/relationships/hyperlink" Target="https://www.sec.gov/Archives/edgar/data/1580864/000095017022010761/vrm-ex10_1.htm" TargetMode="External"/><Relationship Id="rId556" Type="http://schemas.openxmlformats.org/officeDocument/2006/relationships/hyperlink" Target="https://www.sec.gov/Archives/edgar/data/1580864/000119312520157158/d801274dex106.htm" TargetMode="External"/><Relationship Id="rId562" Type="http://schemas.openxmlformats.org/officeDocument/2006/relationships/hyperlink" Target="https://www.sec.gov/Archives/edgar/data/1580864/000119312520157158/d801274dex109.htm" TargetMode="External"/><Relationship Id="rId563" Type="http://schemas.openxmlformats.org/officeDocument/2006/relationships/hyperlink" Target="https://www.sec.gov/Archives/edgar/data/1580864/000119312520145219/d801274dex1010.htm" TargetMode="External"/><Relationship Id="rId564" Type="http://schemas.openxmlformats.org/officeDocument/2006/relationships/hyperlink" Target="https://www.sec.gov/Archives/edgar/data/1580864/000156459020039778/vrm-ex109_603.htm" TargetMode="External"/><Relationship Id="rId565" Type="http://schemas.openxmlformats.org/officeDocument/2006/relationships/hyperlink" Target="https://www.sec.gov/Archives/edgar/data/1580864/000156459020053205/vrm-ex101_619.htm" TargetMode="External"/><Relationship Id="rId566" Type="http://schemas.openxmlformats.org/officeDocument/2006/relationships/hyperlink" Target="https://www.sec.gov/Archives/edgar/data/1580864/000095017021005287/vrm-ex10_1.htm" TargetMode="External"/><Relationship Id="rId567" Type="http://schemas.openxmlformats.org/officeDocument/2006/relationships/hyperlink" Target="https://www.sec.gov/Archives/edgar/data/1580864/000095017022002352/vrm-ex10_25.htm" TargetMode="External"/><Relationship Id="rId568" Type="http://schemas.openxmlformats.org/officeDocument/2006/relationships/hyperlink" Target="https://www.sec.gov/Archives/edgar/data/1580864/000095017022022672/vrm-ex10_1.htm" TargetMode="External"/><Relationship Id="rId569" Type="http://schemas.openxmlformats.org/officeDocument/2006/relationships/hyperlink" Target="https://www.sec.gov/Archives/edgar/data/1580864/000119312520157158/d801274dex1012.htm" TargetMode="External"/><Relationship Id="rId572" Type="http://schemas.openxmlformats.org/officeDocument/2006/relationships/hyperlink" Target="https://www.sec.gov/Archives/edgar/data/1580864/000119312520157158/d801274dex1013.htm" TargetMode="External"/><Relationship Id="rId573" Type="http://schemas.openxmlformats.org/officeDocument/2006/relationships/hyperlink" Target="https://www.sec.gov/Archives/edgar/data/1580864/000119312520157158/d801274dex1015.htm" TargetMode="External"/><Relationship Id="rId574" Type="http://schemas.openxmlformats.org/officeDocument/2006/relationships/hyperlink" Target="https://www.sec.gov/Archives/edgar/data/1580864/000095017022012432/vrm-ex10_1.htm" TargetMode="External"/><Relationship Id="rId575" Type="http://schemas.openxmlformats.org/officeDocument/2006/relationships/hyperlink" Target="https://www.sec.gov/Archives/edgar/data/1580864/000119312520241003/d94166dex1018.htm" TargetMode="External"/><Relationship Id="rId576" Type="http://schemas.openxmlformats.org/officeDocument/2006/relationships/hyperlink" Target="https://www.sec.gov/Archives/edgar/data/1580864/000119312520241003/d94166dex1019.htm" TargetMode="External"/><Relationship Id="rId577" Type="http://schemas.openxmlformats.org/officeDocument/2006/relationships/hyperlink" Target="https://www.sec.gov/Archives/edgar/data/1580864/000119312521270936/d212413dex101.htm" TargetMode="External"/><Relationship Id="rId578" Type="http://schemas.openxmlformats.org/officeDocument/2006/relationships/hyperlink" Target="https://www.sec.gov/Archives/edgar/data/1580864/000095017022010761/vrm-ex10_2.htm" TargetMode="External"/><Relationship Id="rId579" Type="http://schemas.openxmlformats.org/officeDocument/2006/relationships/hyperlink" Target="https://www.sec.gov/Archives/edgar/data/1580864/000119312521359499/d162285dex101.htm" TargetMode="External"/><Relationship Id="rId580" Type="http://schemas.openxmlformats.org/officeDocument/2006/relationships/hyperlink" Target="https://www.sec.gov/Archives/edgar/data/1580864/000095017022008529/vrm-ex10_1.htm" TargetMode="External"/><Relationship Id="rId581" Type="http://schemas.openxmlformats.org/officeDocument/2006/relationships/hyperlink" Target="https://www.sec.gov/Archives/edgar/data/0001580864/000119312520241003/d94166dex1020.htm" TargetMode="External"/><Relationship Id="rId582" Type="http://schemas.openxmlformats.org/officeDocument/2006/relationships/hyperlink" Target="https://www.sec.gov/Archives/edgar/data/0001580864/000119312520241003/d94166dex1021.htm" TargetMode="External"/><Relationship Id="rId588" Type="http://schemas.openxmlformats.org/officeDocument/2006/relationships/hyperlink" Target="https://www.sec.gov/Archives/edgar/data/1580864/000156459021043465/vrm-ex101_35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2023-03-02T15:34:56Z</dcterms:created>
  <dcterms:modified xsi:type="dcterms:W3CDTF">2023-03-02T15:34:56Z</dcterms:modified>
</cp:coreProperties>
</file>