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vrm-20230930.htm"/>
        <w:bookmarkStart w:id="1" w:name="ksvrm20230930"/>
        <w:bookmarkEnd w:id="0"/>
        <w:bookmarkEnd w:id="1"/>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sz w:val="20"/>
        </w:rPr>
      </w:pPr>
      <w:r>
        <w:rPr>
          <w:rFonts w:ascii="Arial" w:hAnsi="Arial"/>
          <w:b/>
          <w:color w:val="000000"/>
          <w:sz w:val="32"/>
        </w:rPr>
        <w:t>FORM</w:t>
      </w:r>
      <w:r>
        <w:rPr>
          <w:rFonts w:ascii="Times New Roman" w:hAnsi="Times New Roman"/>
          <w:color w:val="000000"/>
          <w:sz w:val="20"/>
        </w:rPr>
        <w:t xml:space="preserve"> </w:t>
      </w:r>
      <w:r>
        <w:rPr>
          <w:rFonts w:ascii="Arial" w:hAnsi="Arial"/>
          <w:b/>
          <w:color w:val="000000"/>
          <w:sz w:val="32"/>
        </w:rPr>
        <w:t>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pPr>
      <w:r>
        <w:rPr>
          <w:color w:val="000000"/>
        </w:rPr>
        <w:t xml:space="preserve">☒ </w:t>
      </w:r>
      <w:r>
        <w:rPr>
          <w:rFonts w:ascii="Arial" w:hAnsi="Arial"/>
          <w:b/>
          <w:color w:val="000000"/>
          <w:sz w:val="18"/>
        </w:rPr>
        <w:t>QUARTERLY REPORT PURSUANT TO SECTION 13 OR 15(d) OF THE SECURITIES EXCHANGE ACT OF 1934</w:t>
      </w:r>
    </w:p>
    <w:p>
      <w:pPr>
        <w:pStyle w:val="TextBody"/>
        <w:bidi w:val="0"/>
        <w:spacing w:before="60" w:after="283"/>
        <w:jc w:val="center"/>
        <w:rPr>
          <w:rFonts w:ascii="Arial" w:hAnsi="Arial"/>
          <w:b/>
          <w:color w:val="000000"/>
          <w:sz w:val="20"/>
        </w:rPr>
      </w:pPr>
      <w:r>
        <w:rPr>
          <w:rFonts w:ascii="Arial" w:hAnsi="Arial"/>
          <w:b/>
          <w:color w:val="000000"/>
          <w:sz w:val="20"/>
        </w:rPr>
        <w:t>For the quarterly period ended September 30, 2023</w:t>
      </w:r>
    </w:p>
    <w:p>
      <w:pPr>
        <w:pStyle w:val="TextBody"/>
        <w:bidi w:val="0"/>
        <w:spacing w:before="60" w:after="283"/>
        <w:jc w:val="center"/>
        <w:rPr>
          <w:rFonts w:ascii="Arial" w:hAnsi="Arial"/>
          <w:b/>
          <w:color w:val="000000"/>
          <w:sz w:val="20"/>
        </w:rPr>
      </w:pPr>
      <w:r>
        <w:rPr>
          <w:rFonts w:ascii="Arial" w:hAnsi="Arial"/>
          <w:b/>
          <w:color w:val="000000"/>
          <w:sz w:val="20"/>
        </w:rPr>
        <w:t>or</w:t>
      </w:r>
    </w:p>
    <w:p>
      <w:pPr>
        <w:pStyle w:val="TextBody"/>
        <w:bidi w:val="0"/>
        <w:spacing w:before="60" w:after="283"/>
        <w:jc w:val="left"/>
        <w:rPr/>
      </w:pPr>
      <w:r>
        <w:rPr>
          <w:color w:val="000000"/>
        </w:rPr>
        <w:t xml:space="preserve">☐ </w:t>
      </w:r>
      <w:r>
        <w:rPr>
          <w:rFonts w:ascii="Arial" w:hAnsi="Arial"/>
          <w:b/>
          <w:color w:val="000000"/>
          <w:sz w:val="18"/>
        </w:rPr>
        <w:t>TRANSITION REPORT PURSUANT TO SECTION 13 OR 15(d) OF THE SECURITIES EXCHANGE ACT OF 1934</w:t>
      </w:r>
    </w:p>
    <w:p>
      <w:pPr>
        <w:pStyle w:val="TextBody"/>
        <w:bidi w:val="0"/>
        <w:spacing w:before="60" w:after="283"/>
        <w:jc w:val="center"/>
        <w:rPr>
          <w:rFonts w:ascii="Times New Roman" w:hAnsi="Times New Roman"/>
          <w:sz w:val="20"/>
        </w:rPr>
      </w:pPr>
      <w:r>
        <w:rPr>
          <w:rFonts w:ascii="Arial" w:hAnsi="Arial"/>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Commission file number:</w:t>
      </w:r>
      <w:r>
        <w:rPr>
          <w:rFonts w:ascii="Times New Roman" w:hAnsi="Times New Roman"/>
          <w:color w:val="000000"/>
          <w:sz w:val="20"/>
        </w:rPr>
        <w:t xml:space="preserve"> </w:t>
      </w:r>
      <w:r>
        <w:rPr>
          <w:rFonts w:ascii="Arial" w:hAnsi="Arial"/>
          <w:b/>
          <w:color w:val="000000"/>
          <w:sz w:val="20"/>
        </w:rPr>
        <w:t>001-39315</w:t>
      </w:r>
    </w:p>
    <w:p>
      <w:pPr>
        <w:pStyle w:val="TextBody"/>
        <w:pBdr>
          <w:bottom w:val="single" w:sz="4" w:space="1" w:color="000000"/>
        </w:pBdr>
        <w:bidi w:val="0"/>
        <w:jc w:val="center"/>
        <w:rPr/>
      </w:pPr>
      <w:r>
        <w:rPr/>
        <w:t> </w:t>
      </w:r>
    </w:p>
    <w:p>
      <w:pPr>
        <w:pStyle w:val="TextBody"/>
        <w:bidi w:val="0"/>
        <w:spacing w:before="60" w:after="283"/>
        <w:jc w:val="center"/>
        <w:rPr>
          <w:rFonts w:ascii="Arial" w:hAnsi="Arial"/>
          <w:b/>
          <w:color w:val="000000"/>
          <w:sz w:val="40"/>
        </w:rPr>
      </w:pPr>
      <w:r>
        <w:rPr>
          <w:rFonts w:ascii="Arial" w:hAnsi="Arial"/>
          <w:b/>
          <w:color w:val="000000"/>
          <w:sz w:val="40"/>
        </w:rPr>
        <w:t>VROOM, INC.</w:t>
      </w:r>
    </w:p>
    <w:p>
      <w:pPr>
        <w:pStyle w:val="TextBody"/>
        <w:bidi w:val="0"/>
        <w:jc w:val="center"/>
        <w:rPr>
          <w:rFonts w:ascii="Arial" w:hAnsi="Arial"/>
          <w:b/>
          <w:color w:val="000000"/>
          <w:sz w:val="16"/>
        </w:rPr>
      </w:pPr>
      <w:r>
        <w:rPr>
          <w:rFonts w:ascii="Arial" w:hAnsi="Arial"/>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236" w:type="dxa"/>
        <w:jc w:val="left"/>
        <w:tblInd w:w="0" w:type="dxa"/>
        <w:tblLayout w:type="fixed"/>
        <w:tblCellMar>
          <w:top w:w="28" w:type="dxa"/>
          <w:left w:w="28" w:type="dxa"/>
          <w:bottom w:w="28" w:type="dxa"/>
          <w:right w:w="28" w:type="dxa"/>
        </w:tblCellMar>
      </w:tblPr>
      <w:tblGrid>
        <w:gridCol w:w="2551"/>
        <w:gridCol w:w="109"/>
        <w:gridCol w:w="1576"/>
      </w:tblGrid>
      <w:tr>
        <w:trPr/>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901112566</w:t>
            </w:r>
          </w:p>
        </w:tc>
      </w:tr>
      <w:tr>
        <w:trPr/>
        <w:tc>
          <w:tcPr>
            <w:tcW w:w="2551" w:type="dxa"/>
            <w:tcBorders/>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jc w:val="center"/>
        <w:rPr>
          <w:rFonts w:ascii="Arial" w:hAnsi="Arial"/>
          <w:b/>
          <w:color w:val="000000"/>
          <w:sz w:val="16"/>
        </w:rPr>
      </w:pPr>
      <w:r>
        <w:rPr>
          <w:rFonts w:ascii="Arial" w:hAnsi="Arial"/>
          <w:b/>
          <w:color w:val="000000"/>
          <w:sz w:val="16"/>
        </w:rPr>
        <w:t>3600 W Sam Houston Pkwy S, Floor 4</w:t>
      </w:r>
    </w:p>
    <w:p>
      <w:pPr>
        <w:pStyle w:val="TextBody"/>
        <w:bidi w:val="0"/>
        <w:jc w:val="center"/>
        <w:rPr>
          <w:rFonts w:ascii="Times New Roman" w:hAnsi="Times New Roman"/>
          <w:sz w:val="20"/>
        </w:rPr>
      </w:pPr>
      <w:r>
        <w:rPr>
          <w:rFonts w:ascii="Arial" w:hAnsi="Arial"/>
          <w:b/>
          <w:color w:val="000000"/>
          <w:sz w:val="16"/>
        </w:rPr>
        <w:t>Houston, Texas</w:t>
      </w:r>
      <w:r>
        <w:rPr>
          <w:rFonts w:ascii="Times New Roman" w:hAnsi="Times New Roman"/>
          <w:color w:val="000000"/>
          <w:sz w:val="20"/>
        </w:rPr>
        <w:t xml:space="preserve"> </w:t>
      </w:r>
      <w:r>
        <w:rPr>
          <w:rFonts w:ascii="Arial" w:hAnsi="Arial"/>
          <w:b/>
          <w:color w:val="000000"/>
          <w:sz w:val="16"/>
        </w:rPr>
        <w:t>77042</w:t>
      </w:r>
    </w:p>
    <w:p>
      <w:pPr>
        <w:pStyle w:val="TextBody"/>
        <w:bidi w:val="0"/>
        <w:jc w:val="center"/>
        <w:rPr>
          <w:rFonts w:ascii="Arial" w:hAnsi="Arial"/>
          <w:b/>
          <w:color w:val="000000"/>
          <w:sz w:val="16"/>
        </w:rPr>
      </w:pPr>
      <w:r>
        <w:rPr>
          <w:rFonts w:ascii="Arial" w:hAnsi="Arial"/>
          <w:b/>
          <w:color w:val="000000"/>
          <w:sz w:val="16"/>
        </w:rPr>
        <w:t>(Address of principal executive offices) (Zip code)</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16"/>
        </w:rPr>
        <w:t>(518)</w:t>
      </w:r>
      <w:r>
        <w:rPr>
          <w:rFonts w:ascii="Times New Roman" w:hAnsi="Times New Roman"/>
          <w:color w:val="000000"/>
          <w:sz w:val="20"/>
        </w:rPr>
        <w:t xml:space="preserve"> </w:t>
      </w:r>
      <w:r>
        <w:rPr>
          <w:rFonts w:ascii="Arial" w:hAnsi="Arial"/>
          <w:b/>
          <w:color w:val="000000"/>
          <w:sz w:val="16"/>
        </w:rPr>
        <w:t>535-9125</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bidi w:val="0"/>
        <w:jc w:val="center"/>
        <w:rPr/>
      </w:pPr>
      <w:r>
        <w:rPr/>
        <w:t> </w:t>
      </w:r>
    </w:p>
    <w:p>
      <w:pPr>
        <w:pStyle w:val="TextBody"/>
        <w:pBdr>
          <w:bottom w:val="single" w:sz="4" w:space="1" w:color="000000"/>
        </w:pBdr>
        <w:bidi w:val="0"/>
        <w:jc w:val="center"/>
        <w:rPr/>
      </w:pPr>
      <w:r>
        <w:rPr/>
        <w:t> </w:t>
      </w:r>
    </w:p>
    <w:p>
      <w:pPr>
        <w:pStyle w:val="TextBody"/>
        <w:bidi w:val="0"/>
        <w:jc w:val="left"/>
        <w:rPr>
          <w:rFonts w:ascii="Arial" w:hAnsi="Arial"/>
          <w:b w:val="false"/>
          <w:color w:val="000000"/>
          <w:sz w:val="18"/>
        </w:rPr>
      </w:pPr>
      <w:r>
        <w:rPr>
          <w:rFonts w:ascii="Arial" w:hAnsi="Arial"/>
          <w:b w:val="false"/>
          <w:color w:val="000000"/>
          <w:sz w:val="18"/>
        </w:rPr>
        <w:t>Securities registered pursuant to Section 12(b) of the Act:</w:t>
      </w:r>
    </w:p>
    <w:p>
      <w:pPr>
        <w:pStyle w:val="TextBody"/>
        <w:bidi w:val="0"/>
        <w:jc w:val="left"/>
        <w:rPr/>
      </w:pPr>
      <w:r>
        <w:rPr/>
        <w:t> </w:t>
      </w:r>
    </w:p>
    <w:tbl>
      <w:tblPr>
        <w:tblW w:w="8395" w:type="dxa"/>
        <w:jc w:val="left"/>
        <w:tblInd w:w="0" w:type="dxa"/>
        <w:tblLayout w:type="fixed"/>
        <w:tblCellMar>
          <w:top w:w="28" w:type="dxa"/>
          <w:left w:w="28" w:type="dxa"/>
          <w:bottom w:w="28" w:type="dxa"/>
          <w:right w:w="28" w:type="dxa"/>
        </w:tblCellMar>
      </w:tblPr>
      <w:tblGrid>
        <w:gridCol w:w="2866"/>
        <w:gridCol w:w="116"/>
        <w:gridCol w:w="1606"/>
        <w:gridCol w:w="116"/>
        <w:gridCol w:w="3691"/>
      </w:tblGrid>
      <w:tr>
        <w:trPr/>
        <w:tc>
          <w:tcPr>
            <w:tcW w:w="28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86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Title of each class</w:t>
            </w:r>
          </w:p>
        </w:tc>
        <w:tc>
          <w:tcPr>
            <w:tcW w:w="116" w:type="dxa"/>
            <w:tcBorders>
              <w:bottom w:val="single" w:sz="6" w:space="0" w:color="FFFFFF"/>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0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Trading Symbol(s)</w:t>
            </w:r>
          </w:p>
        </w:tc>
        <w:tc>
          <w:tcPr>
            <w:tcW w:w="116" w:type="dxa"/>
            <w:tcBorders>
              <w:bottom w:val="single" w:sz="6" w:space="0" w:color="FFFFFF"/>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Name of each exchange on which registered</w:t>
            </w:r>
          </w:p>
        </w:tc>
      </w:tr>
      <w:tr>
        <w:trPr/>
        <w:tc>
          <w:tcPr>
            <w:tcW w:w="2866" w:type="dxa"/>
            <w:tcBorders/>
            <w:vAlign w:val="center"/>
          </w:tcPr>
          <w:p>
            <w:pPr>
              <w:pStyle w:val="TableContents"/>
              <w:bidi w:val="0"/>
              <w:spacing w:before="0" w:after="283"/>
              <w:ind w:left="0" w:right="0" w:firstLine="30"/>
              <w:jc w:val="center"/>
              <w:rPr>
                <w:rFonts w:ascii="Arial" w:hAnsi="Arial"/>
                <w:b w:val="false"/>
                <w:color w:val="000000"/>
                <w:sz w:val="18"/>
              </w:rPr>
            </w:pPr>
            <w:r>
              <w:rPr>
                <w:rFonts w:ascii="Arial" w:hAnsi="Arial"/>
                <w:b w:val="false"/>
                <w:color w:val="000000"/>
                <w:sz w:val="18"/>
              </w:rPr>
              <w:t>Common Stock, $0.001 par value</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1606" w:type="dxa"/>
            <w:tcBorders/>
            <w:vAlign w:val="center"/>
          </w:tcPr>
          <w:p>
            <w:pPr>
              <w:pStyle w:val="TableContents"/>
              <w:bidi w:val="0"/>
              <w:spacing w:before="0" w:after="283"/>
              <w:ind w:left="0" w:right="0" w:firstLine="30"/>
              <w:jc w:val="center"/>
              <w:rPr>
                <w:rFonts w:ascii="Arial" w:hAnsi="Arial"/>
                <w:b w:val="false"/>
                <w:color w:val="000000"/>
                <w:sz w:val="18"/>
              </w:rPr>
            </w:pPr>
            <w:r>
              <w:rPr>
                <w:rFonts w:ascii="Arial" w:hAnsi="Arial"/>
                <w:b w:val="false"/>
                <w:color w:val="000000"/>
                <w:sz w:val="18"/>
              </w:rPr>
              <w:t>VRM</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3691" w:type="dxa"/>
            <w:tcBorders/>
            <w:vAlign w:val="center"/>
          </w:tcPr>
          <w:p>
            <w:pPr>
              <w:pStyle w:val="TableContents"/>
              <w:bidi w:val="0"/>
              <w:spacing w:before="0" w:after="283"/>
              <w:ind w:left="30" w:right="0" w:firstLine="30"/>
              <w:jc w:val="center"/>
              <w:rPr>
                <w:rFonts w:ascii="Times New Roman" w:hAnsi="Times New Roman"/>
                <w:sz w:val="20"/>
              </w:rPr>
            </w:pPr>
            <w:r>
              <w:rPr>
                <w:rFonts w:ascii="Arial" w:hAnsi="Arial"/>
                <w:b w:val="false"/>
                <w:color w:val="000000"/>
                <w:sz w:val="18"/>
              </w:rPr>
              <w:t>Nasdaq</w:t>
            </w:r>
            <w:r>
              <w:rPr>
                <w:rFonts w:ascii="Times New Roman" w:hAnsi="Times New Roman"/>
                <w:color w:val="000000"/>
                <w:sz w:val="20"/>
              </w:rPr>
              <w:t> </w:t>
            </w:r>
            <w:r>
              <w:rPr>
                <w:rFonts w:ascii="Arial" w:hAnsi="Arial"/>
                <w:b w:val="false"/>
                <w:color w:val="000000"/>
                <w:sz w:val="18"/>
              </w:rPr>
              <w:t>Global Select</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hAnsi="Arial"/>
          <w:b w:val="false"/>
          <w:caps/>
          <w:color w:val="000000"/>
          <w:sz w:val="18"/>
        </w:rPr>
        <w:t>Yes</w:t>
      </w:r>
      <w:r>
        <w:rPr>
          <w:rFonts w:ascii="Times New Roman" w:hAnsi="Times New Roman"/>
          <w:color w:val="000000"/>
          <w:sz w:val="20"/>
        </w:rPr>
        <w:t xml:space="preserve"> ☒ </w:t>
      </w:r>
      <w:r>
        <w:rPr>
          <w:rFonts w:ascii="Arial" w:hAnsi="Arial"/>
          <w:b w:val="false"/>
          <w:caps/>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hAnsi="Arial"/>
          <w:b w:val="false"/>
          <w:caps/>
          <w:color w:val="000000"/>
          <w:sz w:val="18"/>
        </w:rPr>
        <w:t>Yes</w:t>
      </w:r>
      <w:r>
        <w:rPr>
          <w:rFonts w:ascii="Times New Roman" w:hAnsi="Times New Roman"/>
          <w:color w:val="000000"/>
          <w:sz w:val="20"/>
        </w:rPr>
        <w:t xml:space="preserve"> ☒ </w:t>
      </w:r>
      <w:r>
        <w:rPr>
          <w:rFonts w:ascii="Arial" w:hAnsi="Arial"/>
          <w:b w:val="false"/>
          <w:caps/>
          <w:color w:val="000000"/>
          <w:sz w:val="18"/>
        </w:rPr>
        <w:t>No</w:t>
      </w:r>
      <w:r>
        <w:rPr>
          <w:rFonts w:ascii="Times New Roman" w:hAnsi="Times New Roman"/>
          <w:color w:val="000000"/>
          <w:sz w:val="20"/>
        </w:rPr>
        <w:t xml:space="preserve"> ☐</w:t>
      </w:r>
    </w:p>
    <w:p>
      <w:pPr>
        <w:pStyle w:val="TextBody"/>
        <w:bidi w:val="0"/>
        <w:jc w:val="left"/>
        <w:rPr>
          <w:rFonts w:ascii="Arial" w:hAnsi="Arial"/>
          <w:b w:val="false"/>
          <w:color w:val="000000"/>
          <w:sz w:val="18"/>
        </w:rPr>
      </w:pPr>
      <w:r>
        <w:rPr>
          <w:rFonts w:ascii="Arial" w:hAnsi="Arial"/>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39" w:type="dxa"/>
        <w:jc w:val="left"/>
        <w:tblInd w:w="0" w:type="dxa"/>
        <w:tblLayout w:type="fixed"/>
        <w:tblCellMar>
          <w:top w:w="28" w:type="dxa"/>
          <w:left w:w="28" w:type="dxa"/>
          <w:bottom w:w="28" w:type="dxa"/>
          <w:right w:w="28" w:type="dxa"/>
        </w:tblCellMar>
      </w:tblPr>
      <w:tblGrid>
        <w:gridCol w:w="1951"/>
        <w:gridCol w:w="316"/>
        <w:gridCol w:w="2311"/>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951" w:type="dxa"/>
            <w:tcBorders/>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 xml:space="preserve">Indicate by check mark whether the registrant is a shell company (as defined in Rule 12b-2 of the Act). </w:t>
      </w:r>
      <w:r>
        <w:rPr>
          <w:rFonts w:ascii="Arial" w:hAnsi="Arial"/>
          <w:b w:val="false"/>
          <w:caps/>
          <w:color w:val="000000"/>
          <w:sz w:val="18"/>
        </w:rPr>
        <w:t>Yes</w:t>
      </w:r>
      <w:r>
        <w:rPr>
          <w:rFonts w:ascii="Times New Roman" w:hAnsi="Times New Roman"/>
          <w:color w:val="000000"/>
          <w:sz w:val="20"/>
        </w:rPr>
        <w:t xml:space="preserve"> ☐ </w:t>
      </w:r>
      <w:r>
        <w:rPr>
          <w:rFonts w:ascii="Arial" w:hAnsi="Arial"/>
          <w:b w:val="false"/>
          <w:caps/>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As of November 3, 2023, 139,769,070</w:t>
      </w:r>
      <w:r>
        <w:rPr>
          <w:rFonts w:ascii="Times New Roman" w:hAnsi="Times New Roman"/>
          <w:color w:val="000000"/>
          <w:sz w:val="20"/>
        </w:rPr>
        <w:t xml:space="preserve"> </w:t>
      </w:r>
      <w:r>
        <w:rPr>
          <w:rFonts w:ascii="Arial" w:hAnsi="Arial"/>
          <w:b w:val="false"/>
          <w:color w:val="000000"/>
          <w:sz w:val="18"/>
        </w:rPr>
        <w:t>shares of the registrants’ common stock were outstanding.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2" w:name="toc"/>
      <w:bookmarkEnd w:id="2"/>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4"/>
        <w:gridCol w:w="8854"/>
        <w:gridCol w:w="617"/>
      </w:tblGrid>
      <w:tr>
        <w:trPr/>
        <w:tc>
          <w:tcPr>
            <w:tcW w:w="734" w:type="dxa"/>
            <w:tcBorders/>
            <w:vAlign w:val="center"/>
          </w:tcPr>
          <w:p>
            <w:pPr>
              <w:pStyle w:val="TableContents"/>
              <w:bidi w:val="0"/>
              <w:spacing w:before="0" w:after="283"/>
              <w:jc w:val="left"/>
              <w:rPr>
                <w:sz w:val="4"/>
                <w:szCs w:val="4"/>
              </w:rPr>
            </w:pPr>
            <w:r>
              <w:rPr>
                <w:sz w:val="4"/>
                <w:szCs w:val="4"/>
              </w:rPr>
            </w:r>
          </w:p>
        </w:tc>
        <w:tc>
          <w:tcPr>
            <w:tcW w:w="88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r>
              <w:rPr/>
              <w:t> </w:t>
            </w:r>
          </w:p>
        </w:tc>
        <w:tc>
          <w:tcPr>
            <w:tcW w:w="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9588" w:type="dxa"/>
            <w:gridSpan w:val="2"/>
            <w:tcBorders/>
            <w:vAlign w:val="center"/>
          </w:tcPr>
          <w:p>
            <w:pPr>
              <w:pStyle w:val="TableContents"/>
              <w:bidi w:val="0"/>
              <w:spacing w:before="0" w:after="283"/>
              <w:jc w:val="left"/>
              <w:rPr/>
            </w:pPr>
            <w:hyperlink w:anchor="part_i">
              <w:r>
                <w:rPr>
                  <w:rStyle w:val="InternetLink"/>
                  <w:rFonts w:ascii="Arial" w:hAnsi="Arial"/>
                  <w:b w:val="false"/>
                  <w:color w:val="0000FF"/>
                  <w:sz w:val="20"/>
                  <w:u w:val="single"/>
                </w:rPr>
                <w:t>Part I - Financial Information</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r>
      <w:tr>
        <w:trPr/>
        <w:tc>
          <w:tcPr>
            <w:tcW w:w="734" w:type="dxa"/>
            <w:tcBorders/>
            <w:vAlign w:val="center"/>
          </w:tcPr>
          <w:p>
            <w:pPr>
              <w:pStyle w:val="TableContents"/>
              <w:bidi w:val="0"/>
              <w:spacing w:before="0" w:after="283"/>
              <w:jc w:val="left"/>
              <w:rPr>
                <w:rFonts w:ascii="Arial" w:hAnsi="Arial"/>
                <w:b w:val="false"/>
                <w:color w:val="000000"/>
                <w:sz w:val="20"/>
                <w:u w:val="single"/>
              </w:rPr>
            </w:pPr>
            <w:r>
              <w:rPr>
                <w:rFonts w:ascii="Arial" w:hAnsi="Arial"/>
                <w:b w:val="false"/>
                <w:color w:val="000000"/>
                <w:sz w:val="20"/>
                <w:u w:val="single"/>
              </w:rPr>
              <w:t>Item 1.</w:t>
            </w:r>
          </w:p>
        </w:tc>
        <w:tc>
          <w:tcPr>
            <w:tcW w:w="8854" w:type="dxa"/>
            <w:tcBorders/>
            <w:vAlign w:val="center"/>
          </w:tcPr>
          <w:p>
            <w:pPr>
              <w:pStyle w:val="TableContents"/>
              <w:bidi w:val="0"/>
              <w:spacing w:before="0" w:after="283"/>
              <w:jc w:val="left"/>
              <w:rPr/>
            </w:pPr>
            <w:hyperlink w:anchor="item_1_fs">
              <w:r>
                <w:rPr>
                  <w:rStyle w:val="InternetLink"/>
                  <w:rFonts w:ascii="Arial" w:hAnsi="Arial"/>
                  <w:b w:val="false"/>
                  <w:color w:val="0000FF"/>
                  <w:sz w:val="20"/>
                  <w:u w:val="single"/>
                </w:rPr>
                <w:t>Financial Statements (unaudited)</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hyperlink w:anchor="balance_sheet">
              <w:r>
                <w:rPr>
                  <w:rStyle w:val="InternetLink"/>
                  <w:rFonts w:ascii="Arial" w:hAnsi="Arial"/>
                  <w:b w:val="false"/>
                  <w:color w:val="0000FF"/>
                  <w:sz w:val="20"/>
                  <w:u w:val="single"/>
                </w:rPr>
                <w:t>Condensed Consolidated Balance Sheets as of September 30, 2023 and December 31, 2022 (unaudited)</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hyperlink w:anchor="income_statement">
              <w:r>
                <w:rPr>
                  <w:rStyle w:val="InternetLink"/>
                  <w:rFonts w:ascii="Arial" w:hAnsi="Arial"/>
                  <w:b w:val="false"/>
                  <w:color w:val="0000FF"/>
                  <w:sz w:val="20"/>
                  <w:u w:val="single"/>
                </w:rPr>
                <w:t>Condensed Consolidated Statements of Operations for the Three and Nine Months Ended September 30, 2023 and 2022 (unaudited)</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hyperlink w:anchor="stockholders_equity">
              <w:r>
                <w:rPr>
                  <w:rStyle w:val="InternetLink"/>
                  <w:rFonts w:ascii="Arial" w:hAnsi="Arial"/>
                  <w:b w:val="false"/>
                  <w:color w:val="0000FF"/>
                  <w:sz w:val="20"/>
                  <w:u w:val="single"/>
                </w:rPr>
                <w:t>Condensed Consolidated Statements of Changes in Stockholders' Equity for the Three and Nine Months Ended September 30, 2023 and 2022 (unaudited)</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hyperlink w:anchor="scf">
              <w:r>
                <w:rPr>
                  <w:rStyle w:val="InternetLink"/>
                  <w:rFonts w:ascii="Arial" w:hAnsi="Arial"/>
                  <w:b w:val="false"/>
                  <w:color w:val="0000FF"/>
                  <w:sz w:val="20"/>
                  <w:u w:val="single"/>
                </w:rPr>
                <w:t>Condensed Consolidated Statements of Cash Flows for the Nine Months Ended September 30, 2023 and 2022 (unaudited)</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hyperlink w:anchor="notes_financial_statements">
              <w:r>
                <w:rPr>
                  <w:rStyle w:val="InternetLink"/>
                  <w:rFonts w:ascii="Arial" w:hAnsi="Arial"/>
                  <w:b w:val="false"/>
                  <w:color w:val="0000FF"/>
                  <w:sz w:val="20"/>
                  <w:u w:val="single"/>
                </w:rPr>
                <w:t>Notes to Condensed Consolidated Financial Statements (unaudited)</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w:t>
            </w:r>
          </w:p>
        </w:tc>
      </w:tr>
      <w:tr>
        <w:trPr/>
        <w:tc>
          <w:tcPr>
            <w:tcW w:w="734" w:type="dxa"/>
            <w:tcBorders/>
            <w:vAlign w:val="center"/>
          </w:tcPr>
          <w:p>
            <w:pPr>
              <w:pStyle w:val="TableContents"/>
              <w:bidi w:val="0"/>
              <w:spacing w:before="0" w:after="283"/>
              <w:jc w:val="left"/>
              <w:rPr>
                <w:rFonts w:ascii="Arial" w:hAnsi="Arial"/>
                <w:b w:val="false"/>
                <w:color w:val="000000"/>
                <w:sz w:val="20"/>
                <w:u w:val="single"/>
              </w:rPr>
            </w:pPr>
            <w:r>
              <w:rPr>
                <w:rFonts w:ascii="Arial" w:hAnsi="Arial"/>
                <w:b w:val="false"/>
                <w:color w:val="000000"/>
                <w:sz w:val="20"/>
                <w:u w:val="single"/>
              </w:rPr>
              <w:t>Item 2.</w:t>
            </w:r>
          </w:p>
        </w:tc>
        <w:tc>
          <w:tcPr>
            <w:tcW w:w="8854" w:type="dxa"/>
            <w:tcBorders/>
            <w:vAlign w:val="center"/>
          </w:tcPr>
          <w:p>
            <w:pPr>
              <w:pStyle w:val="TableContents"/>
              <w:bidi w:val="0"/>
              <w:spacing w:before="0" w:after="283"/>
              <w:jc w:val="left"/>
              <w:rPr/>
            </w:pPr>
            <w:hyperlink w:anchor="mda">
              <w:r>
                <w:rPr>
                  <w:rStyle w:val="InternetLink"/>
                  <w:rFonts w:ascii="Arial" w:hAnsi="Arial"/>
                  <w:b w:val="false"/>
                  <w:color w:val="0000FF"/>
                  <w:sz w:val="20"/>
                  <w:u w:val="single"/>
                </w:rPr>
                <w:t>Management’s Discussion and Analysis of Financial Condition and Results of Operations</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w:t>
            </w:r>
          </w:p>
        </w:tc>
      </w:tr>
      <w:tr>
        <w:trPr/>
        <w:tc>
          <w:tcPr>
            <w:tcW w:w="734" w:type="dxa"/>
            <w:tcBorders/>
            <w:vAlign w:val="center"/>
          </w:tcPr>
          <w:p>
            <w:pPr>
              <w:pStyle w:val="TableContents"/>
              <w:bidi w:val="0"/>
              <w:spacing w:before="0" w:after="283"/>
              <w:jc w:val="left"/>
              <w:rPr>
                <w:rFonts w:ascii="Arial" w:hAnsi="Arial"/>
                <w:b w:val="false"/>
                <w:color w:val="000000"/>
                <w:sz w:val="20"/>
                <w:u w:val="single"/>
              </w:rPr>
            </w:pPr>
            <w:r>
              <w:rPr>
                <w:rFonts w:ascii="Arial" w:hAnsi="Arial"/>
                <w:b w:val="false"/>
                <w:color w:val="000000"/>
                <w:sz w:val="20"/>
                <w:u w:val="single"/>
              </w:rPr>
              <w:t>Item 3.</w:t>
            </w:r>
          </w:p>
        </w:tc>
        <w:tc>
          <w:tcPr>
            <w:tcW w:w="8854" w:type="dxa"/>
            <w:tcBorders/>
            <w:vAlign w:val="center"/>
          </w:tcPr>
          <w:p>
            <w:pPr>
              <w:pStyle w:val="TableContents"/>
              <w:bidi w:val="0"/>
              <w:spacing w:before="0" w:after="283"/>
              <w:jc w:val="left"/>
              <w:rPr/>
            </w:pPr>
            <w:hyperlink w:anchor="quantitative_and_qualitative_disclosure">
              <w:r>
                <w:rPr>
                  <w:rStyle w:val="InternetLink"/>
                  <w:rFonts w:ascii="Arial" w:hAnsi="Arial"/>
                  <w:b w:val="false"/>
                  <w:color w:val="0000FF"/>
                  <w:sz w:val="20"/>
                  <w:u w:val="single"/>
                </w:rPr>
                <w:t>Quantitative and Qualitative Disclosures About Market Risk</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w:t>
            </w:r>
          </w:p>
        </w:tc>
      </w:tr>
      <w:tr>
        <w:trPr/>
        <w:tc>
          <w:tcPr>
            <w:tcW w:w="734" w:type="dxa"/>
            <w:tcBorders/>
            <w:vAlign w:val="center"/>
          </w:tcPr>
          <w:p>
            <w:pPr>
              <w:pStyle w:val="TableContents"/>
              <w:bidi w:val="0"/>
              <w:spacing w:before="0" w:after="283"/>
              <w:jc w:val="left"/>
              <w:rPr>
                <w:rFonts w:ascii="Arial" w:hAnsi="Arial"/>
                <w:b w:val="false"/>
                <w:color w:val="000000"/>
                <w:sz w:val="20"/>
                <w:u w:val="single"/>
              </w:rPr>
            </w:pPr>
            <w:r>
              <w:rPr>
                <w:rFonts w:ascii="Arial" w:hAnsi="Arial"/>
                <w:b w:val="false"/>
                <w:color w:val="000000"/>
                <w:sz w:val="20"/>
                <w:u w:val="single"/>
              </w:rPr>
              <w:t>Item 4.</w:t>
            </w:r>
          </w:p>
        </w:tc>
        <w:tc>
          <w:tcPr>
            <w:tcW w:w="8854" w:type="dxa"/>
            <w:tcBorders/>
            <w:vAlign w:val="center"/>
          </w:tcPr>
          <w:p>
            <w:pPr>
              <w:pStyle w:val="TableContents"/>
              <w:bidi w:val="0"/>
              <w:spacing w:before="0" w:after="283"/>
              <w:jc w:val="left"/>
              <w:rPr/>
            </w:pPr>
            <w:hyperlink w:anchor="controls_procedures">
              <w:r>
                <w:rPr>
                  <w:rStyle w:val="InternetLink"/>
                  <w:rFonts w:ascii="Arial" w:hAnsi="Arial"/>
                  <w:b w:val="false"/>
                  <w:color w:val="0000FF"/>
                  <w:sz w:val="20"/>
                  <w:u w:val="single"/>
                </w:rPr>
                <w:t>Controls and Procedures</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9588" w:type="dxa"/>
            <w:gridSpan w:val="2"/>
            <w:tcBorders/>
            <w:vAlign w:val="center"/>
          </w:tcPr>
          <w:p>
            <w:pPr>
              <w:pStyle w:val="TableContents"/>
              <w:bidi w:val="0"/>
              <w:spacing w:before="0" w:after="283"/>
              <w:jc w:val="left"/>
              <w:rPr/>
            </w:pPr>
            <w:hyperlink w:anchor="part_ii">
              <w:r>
                <w:rPr>
                  <w:rStyle w:val="InternetLink"/>
                  <w:rFonts w:ascii="Arial" w:hAnsi="Arial"/>
                  <w:b w:val="false"/>
                  <w:color w:val="0000FF"/>
                  <w:sz w:val="20"/>
                  <w:u w:val="single"/>
                </w:rPr>
                <w:t>Part II - Other information</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w:t>
            </w:r>
          </w:p>
        </w:tc>
      </w:tr>
      <w:tr>
        <w:trPr/>
        <w:tc>
          <w:tcPr>
            <w:tcW w:w="734" w:type="dxa"/>
            <w:tcBorders/>
            <w:vAlign w:val="center"/>
          </w:tcPr>
          <w:p>
            <w:pPr>
              <w:pStyle w:val="TableContents"/>
              <w:bidi w:val="0"/>
              <w:spacing w:before="0" w:after="283"/>
              <w:jc w:val="left"/>
              <w:rPr>
                <w:rFonts w:ascii="Arial" w:hAnsi="Arial"/>
                <w:b w:val="false"/>
                <w:color w:val="000000"/>
                <w:sz w:val="20"/>
                <w:u w:val="single"/>
              </w:rPr>
            </w:pPr>
            <w:r>
              <w:rPr>
                <w:rFonts w:ascii="Arial" w:hAnsi="Arial"/>
                <w:b w:val="false"/>
                <w:color w:val="000000"/>
                <w:sz w:val="20"/>
                <w:u w:val="single"/>
              </w:rPr>
              <w:t>Item 1.</w:t>
            </w:r>
          </w:p>
        </w:tc>
        <w:tc>
          <w:tcPr>
            <w:tcW w:w="8854" w:type="dxa"/>
            <w:tcBorders/>
            <w:vAlign w:val="center"/>
          </w:tcPr>
          <w:p>
            <w:pPr>
              <w:pStyle w:val="TableContents"/>
              <w:bidi w:val="0"/>
              <w:spacing w:before="0" w:after="283"/>
              <w:jc w:val="left"/>
              <w:rPr/>
            </w:pPr>
            <w:hyperlink w:anchor="legal_proceedings">
              <w:r>
                <w:rPr>
                  <w:rStyle w:val="InternetLink"/>
                  <w:rFonts w:ascii="Arial" w:hAnsi="Arial"/>
                  <w:b w:val="false"/>
                  <w:color w:val="0000FF"/>
                  <w:sz w:val="20"/>
                  <w:u w:val="single"/>
                </w:rPr>
                <w:t>Legal Proceedings</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w:t>
            </w:r>
          </w:p>
        </w:tc>
      </w:tr>
      <w:tr>
        <w:trPr/>
        <w:tc>
          <w:tcPr>
            <w:tcW w:w="734" w:type="dxa"/>
            <w:tcBorders/>
            <w:vAlign w:val="center"/>
          </w:tcPr>
          <w:p>
            <w:pPr>
              <w:pStyle w:val="TableContents"/>
              <w:bidi w:val="0"/>
              <w:spacing w:before="0" w:after="283"/>
              <w:jc w:val="left"/>
              <w:rPr>
                <w:rFonts w:ascii="Arial" w:hAnsi="Arial"/>
                <w:b w:val="false"/>
                <w:color w:val="000000"/>
                <w:sz w:val="20"/>
                <w:u w:val="single"/>
              </w:rPr>
            </w:pPr>
            <w:r>
              <w:rPr>
                <w:rFonts w:ascii="Arial" w:hAnsi="Arial"/>
                <w:b w:val="false"/>
                <w:color w:val="000000"/>
                <w:sz w:val="20"/>
                <w:u w:val="single"/>
              </w:rPr>
              <w:t>Item 1A.</w:t>
            </w:r>
          </w:p>
        </w:tc>
        <w:tc>
          <w:tcPr>
            <w:tcW w:w="8854" w:type="dxa"/>
            <w:tcBorders/>
            <w:vAlign w:val="center"/>
          </w:tcPr>
          <w:p>
            <w:pPr>
              <w:pStyle w:val="TableContents"/>
              <w:bidi w:val="0"/>
              <w:spacing w:before="0" w:after="283"/>
              <w:jc w:val="left"/>
              <w:rPr/>
            </w:pPr>
            <w:hyperlink w:anchor="risk_factors">
              <w:r>
                <w:rPr>
                  <w:rStyle w:val="InternetLink"/>
                  <w:rFonts w:ascii="Arial" w:hAnsi="Arial"/>
                  <w:b w:val="false"/>
                  <w:color w:val="0000FF"/>
                  <w:sz w:val="20"/>
                  <w:u w:val="single"/>
                </w:rPr>
                <w:t>Risk Factors</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w:t>
            </w:r>
          </w:p>
        </w:tc>
      </w:tr>
      <w:tr>
        <w:trPr/>
        <w:tc>
          <w:tcPr>
            <w:tcW w:w="734" w:type="dxa"/>
            <w:tcBorders/>
            <w:vAlign w:val="center"/>
          </w:tcPr>
          <w:p>
            <w:pPr>
              <w:pStyle w:val="TableContents"/>
              <w:bidi w:val="0"/>
              <w:spacing w:before="0" w:after="283"/>
              <w:jc w:val="left"/>
              <w:rPr>
                <w:rFonts w:ascii="Arial" w:hAnsi="Arial"/>
                <w:b w:val="false"/>
                <w:color w:val="000000"/>
                <w:sz w:val="20"/>
                <w:u w:val="single"/>
              </w:rPr>
            </w:pPr>
            <w:r>
              <w:rPr>
                <w:rFonts w:ascii="Arial" w:hAnsi="Arial"/>
                <w:b w:val="false"/>
                <w:color w:val="000000"/>
                <w:sz w:val="20"/>
                <w:u w:val="single"/>
              </w:rPr>
              <w:t>Item 2.</w:t>
            </w:r>
          </w:p>
        </w:tc>
        <w:tc>
          <w:tcPr>
            <w:tcW w:w="8854" w:type="dxa"/>
            <w:tcBorders/>
            <w:vAlign w:val="center"/>
          </w:tcPr>
          <w:p>
            <w:pPr>
              <w:pStyle w:val="TableContents"/>
              <w:bidi w:val="0"/>
              <w:spacing w:before="0" w:after="283"/>
              <w:jc w:val="left"/>
              <w:rPr/>
            </w:pPr>
            <w:hyperlink w:anchor="unregistered_sales_of_equity_securities">
              <w:r>
                <w:rPr>
                  <w:rStyle w:val="InternetLink"/>
                  <w:rFonts w:ascii="Arial" w:hAnsi="Arial"/>
                  <w:b w:val="false"/>
                  <w:color w:val="0000FF"/>
                  <w:sz w:val="20"/>
                  <w:u w:val="single"/>
                </w:rPr>
                <w:t>Unregistered Sales of Equity Securities, Use of Proceeds, and Issuer Purchases of Equity Securities</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85</w:t>
            </w:r>
          </w:p>
        </w:tc>
      </w:tr>
      <w:tr>
        <w:trPr/>
        <w:tc>
          <w:tcPr>
            <w:tcW w:w="734" w:type="dxa"/>
            <w:tcBorders/>
            <w:vAlign w:val="center"/>
          </w:tcPr>
          <w:p>
            <w:pPr>
              <w:pStyle w:val="TableContents"/>
              <w:bidi w:val="0"/>
              <w:spacing w:before="0" w:after="283"/>
              <w:jc w:val="left"/>
              <w:rPr>
                <w:rFonts w:ascii="Arial" w:hAnsi="Arial"/>
                <w:b w:val="false"/>
                <w:color w:val="000000"/>
                <w:sz w:val="20"/>
                <w:u w:val="single"/>
              </w:rPr>
            </w:pPr>
            <w:r>
              <w:rPr>
                <w:rFonts w:ascii="Arial" w:hAnsi="Arial"/>
                <w:b w:val="false"/>
                <w:color w:val="000000"/>
                <w:sz w:val="20"/>
                <w:u w:val="single"/>
              </w:rPr>
              <w:t>Item 3.</w:t>
            </w:r>
          </w:p>
        </w:tc>
        <w:tc>
          <w:tcPr>
            <w:tcW w:w="8854" w:type="dxa"/>
            <w:tcBorders/>
            <w:vAlign w:val="center"/>
          </w:tcPr>
          <w:p>
            <w:pPr>
              <w:pStyle w:val="TableContents"/>
              <w:bidi w:val="0"/>
              <w:spacing w:before="0" w:after="283"/>
              <w:jc w:val="left"/>
              <w:rPr/>
            </w:pPr>
            <w:hyperlink w:anchor="default_upon_senior_securities">
              <w:r>
                <w:rPr>
                  <w:rStyle w:val="InternetLink"/>
                  <w:rFonts w:ascii="Arial" w:hAnsi="Arial"/>
                  <w:b w:val="false"/>
                  <w:color w:val="0000FF"/>
                  <w:sz w:val="20"/>
                  <w:u w:val="single"/>
                </w:rPr>
                <w:t>Defaults Upon Senior Securities</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85</w:t>
            </w:r>
          </w:p>
        </w:tc>
      </w:tr>
      <w:tr>
        <w:trPr/>
        <w:tc>
          <w:tcPr>
            <w:tcW w:w="734" w:type="dxa"/>
            <w:tcBorders/>
            <w:vAlign w:val="center"/>
          </w:tcPr>
          <w:p>
            <w:pPr>
              <w:pStyle w:val="TableContents"/>
              <w:bidi w:val="0"/>
              <w:spacing w:before="0" w:after="283"/>
              <w:jc w:val="left"/>
              <w:rPr>
                <w:rFonts w:ascii="Arial" w:hAnsi="Arial"/>
                <w:b w:val="false"/>
                <w:color w:val="000000"/>
                <w:sz w:val="20"/>
                <w:u w:val="single"/>
              </w:rPr>
            </w:pPr>
            <w:r>
              <w:rPr>
                <w:rFonts w:ascii="Arial" w:hAnsi="Arial"/>
                <w:b w:val="false"/>
                <w:color w:val="000000"/>
                <w:sz w:val="20"/>
                <w:u w:val="single"/>
              </w:rPr>
              <w:t>Item 4.</w:t>
            </w:r>
          </w:p>
        </w:tc>
        <w:tc>
          <w:tcPr>
            <w:tcW w:w="8854" w:type="dxa"/>
            <w:tcBorders/>
            <w:vAlign w:val="center"/>
          </w:tcPr>
          <w:p>
            <w:pPr>
              <w:pStyle w:val="TableContents"/>
              <w:bidi w:val="0"/>
              <w:spacing w:before="0" w:after="283"/>
              <w:jc w:val="left"/>
              <w:rPr/>
            </w:pPr>
            <w:hyperlink w:anchor="mine_safety_disclosures">
              <w:r>
                <w:rPr>
                  <w:rStyle w:val="InternetLink"/>
                  <w:rFonts w:ascii="Arial" w:hAnsi="Arial"/>
                  <w:b w:val="false"/>
                  <w:color w:val="0000FF"/>
                  <w:sz w:val="20"/>
                  <w:u w:val="single"/>
                </w:rPr>
                <w:t>Mine Safety Disclosures</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85</w:t>
            </w:r>
          </w:p>
        </w:tc>
      </w:tr>
      <w:tr>
        <w:trPr/>
        <w:tc>
          <w:tcPr>
            <w:tcW w:w="734" w:type="dxa"/>
            <w:tcBorders/>
            <w:vAlign w:val="center"/>
          </w:tcPr>
          <w:p>
            <w:pPr>
              <w:pStyle w:val="TableContents"/>
              <w:bidi w:val="0"/>
              <w:spacing w:before="0" w:after="283"/>
              <w:jc w:val="left"/>
              <w:rPr>
                <w:rFonts w:ascii="Arial" w:hAnsi="Arial"/>
                <w:b w:val="false"/>
                <w:color w:val="000000"/>
                <w:sz w:val="20"/>
                <w:u w:val="single"/>
              </w:rPr>
            </w:pPr>
            <w:r>
              <w:rPr>
                <w:rFonts w:ascii="Arial" w:hAnsi="Arial"/>
                <w:b w:val="false"/>
                <w:color w:val="000000"/>
                <w:sz w:val="20"/>
                <w:u w:val="single"/>
              </w:rPr>
              <w:t>Item 5.</w:t>
            </w:r>
          </w:p>
        </w:tc>
        <w:tc>
          <w:tcPr>
            <w:tcW w:w="8854" w:type="dxa"/>
            <w:tcBorders/>
            <w:vAlign w:val="center"/>
          </w:tcPr>
          <w:p>
            <w:pPr>
              <w:pStyle w:val="TableContents"/>
              <w:bidi w:val="0"/>
              <w:spacing w:before="0" w:after="283"/>
              <w:jc w:val="left"/>
              <w:rPr/>
            </w:pPr>
            <w:hyperlink w:anchor="other_information">
              <w:r>
                <w:rPr>
                  <w:rStyle w:val="InternetLink"/>
                  <w:rFonts w:ascii="Arial" w:hAnsi="Arial"/>
                  <w:b w:val="false"/>
                  <w:color w:val="0000FF"/>
                  <w:sz w:val="20"/>
                  <w:u w:val="single"/>
                </w:rPr>
                <w:t>Other Information</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w:t>
            </w:r>
          </w:p>
        </w:tc>
      </w:tr>
      <w:tr>
        <w:trPr/>
        <w:tc>
          <w:tcPr>
            <w:tcW w:w="734" w:type="dxa"/>
            <w:tcBorders/>
            <w:vAlign w:val="center"/>
          </w:tcPr>
          <w:p>
            <w:pPr>
              <w:pStyle w:val="TableContents"/>
              <w:bidi w:val="0"/>
              <w:spacing w:before="0" w:after="283"/>
              <w:jc w:val="left"/>
              <w:rPr>
                <w:rFonts w:ascii="Arial" w:hAnsi="Arial"/>
                <w:b w:val="false"/>
                <w:color w:val="000000"/>
                <w:sz w:val="20"/>
                <w:u w:val="single"/>
              </w:rPr>
            </w:pPr>
            <w:r>
              <w:rPr>
                <w:rFonts w:ascii="Arial" w:hAnsi="Arial"/>
                <w:b w:val="false"/>
                <w:color w:val="000000"/>
                <w:sz w:val="20"/>
                <w:u w:val="single"/>
              </w:rPr>
              <w:t>Item 6.</w:t>
            </w:r>
          </w:p>
        </w:tc>
        <w:tc>
          <w:tcPr>
            <w:tcW w:w="8854" w:type="dxa"/>
            <w:tcBorders/>
            <w:vAlign w:val="center"/>
          </w:tcPr>
          <w:p>
            <w:pPr>
              <w:pStyle w:val="TableContents"/>
              <w:bidi w:val="0"/>
              <w:spacing w:before="0" w:after="283"/>
              <w:jc w:val="left"/>
              <w:rPr/>
            </w:pPr>
            <w:hyperlink w:anchor="exhibits_and_financial_statement_schedul">
              <w:r>
                <w:rPr>
                  <w:rStyle w:val="InternetLink"/>
                  <w:rFonts w:ascii="Arial" w:hAnsi="Arial"/>
                  <w:b w:val="false"/>
                  <w:color w:val="0000FF"/>
                  <w:sz w:val="20"/>
                  <w:u w:val="single"/>
                </w:rPr>
                <w:t>Exhibits</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87</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hyperlink w:anchor="signature">
              <w:r>
                <w:rPr>
                  <w:rStyle w:val="InternetLink"/>
                  <w:rFonts w:ascii="Arial" w:hAnsi="Arial"/>
                  <w:b w:val="false"/>
                  <w:color w:val="0000FF"/>
                  <w:sz w:val="20"/>
                  <w:u w:val="single"/>
                </w:rPr>
                <w:t>Signatures</w:t>
              </w:r>
            </w:hyperlink>
          </w:p>
        </w:tc>
        <w:tc>
          <w:tcPr>
            <w:tcW w:w="617"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SPECIAL NOTE REGARDING FORWARD-LOOKING STATEMENTS</w:t>
      </w:r>
    </w:p>
    <w:p>
      <w:pPr>
        <w:pStyle w:val="TextBody"/>
        <w:bidi w:val="0"/>
        <w:spacing w:before="240" w:after="283"/>
        <w:jc w:val="left"/>
        <w:rPr>
          <w:rFonts w:ascii="Times New Roman" w:hAnsi="Times New Roman"/>
          <w:sz w:val="20"/>
        </w:rPr>
      </w:pPr>
      <w:r>
        <w:rPr>
          <w:rFonts w:ascii="Arial" w:hAnsi="Arial"/>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general economic and market conditions,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w:t>
      </w:r>
      <w:r>
        <w:rPr>
          <w:rFonts w:ascii="Times New Roman" w:hAnsi="Times New Roman"/>
          <w:color w:val="000000"/>
          <w:sz w:val="20"/>
        </w:rPr>
        <w:t xml:space="preserve"> </w:t>
      </w:r>
      <w:r>
        <w:rPr>
          <w:rFonts w:ascii="Calibri;sans-serif" w:hAnsi="Calibri;sans-serif"/>
          <w:b w:val="false"/>
          <w:color w:val="000000"/>
          <w:sz w:val="22"/>
        </w:rPr>
        <w:t>"</w:t>
      </w:r>
      <w:r>
        <w:rPr>
          <w:rFonts w:ascii="Arial" w:hAnsi="Arial"/>
          <w:b w:val="false"/>
          <w:color w:val="000000"/>
          <w:sz w:val="20"/>
        </w:rPr>
        <w:t>target," "will,"</w:t>
      </w:r>
      <w:r>
        <w:rPr>
          <w:rFonts w:ascii="Times New Roman" w:hAnsi="Times New Roman"/>
          <w:color w:val="000000"/>
          <w:sz w:val="20"/>
        </w:rPr>
        <w:t xml:space="preserve"> </w:t>
      </w:r>
      <w:r>
        <w:rPr>
          <w:rFonts w:ascii="Calibri;sans-serif" w:hAnsi="Calibri;sans-serif"/>
          <w:b w:val="false"/>
          <w:color w:val="000000"/>
          <w:sz w:val="22"/>
        </w:rPr>
        <w:t>"</w:t>
      </w:r>
      <w:r>
        <w:rPr>
          <w:rFonts w:ascii="Arial" w:hAnsi="Arial"/>
          <w:b w:val="false"/>
          <w:color w:val="000000"/>
          <w:sz w:val="20"/>
        </w:rPr>
        <w:t>would," or the negative of these terms or other similar terms or expressions, although not all forward-looking statements contain these identifying words.</w:t>
      </w:r>
    </w:p>
    <w:p>
      <w:pPr>
        <w:pStyle w:val="TextBody"/>
        <w:bidi w:val="0"/>
        <w:spacing w:before="240" w:after="283"/>
        <w:jc w:val="left"/>
        <w:rPr>
          <w:rFonts w:ascii="Arial" w:hAnsi="Arial"/>
          <w:b w:val="false"/>
          <w:color w:val="000000"/>
          <w:sz w:val="20"/>
        </w:rPr>
      </w:pPr>
      <w:r>
        <w:rPr>
          <w:rFonts w:ascii="Arial" w:hAnsi="Arial"/>
          <w:b w:val="false"/>
          <w:color w:val="000000"/>
          <w:sz w:val="20"/>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Quarterly Report on Form 10-Q.</w:t>
      </w:r>
    </w:p>
    <w:p>
      <w:pPr>
        <w:pStyle w:val="TextBody"/>
        <w:bidi w:val="0"/>
        <w:spacing w:before="240" w:after="283"/>
        <w:jc w:val="left"/>
        <w:rPr>
          <w:rFonts w:ascii="Arial" w:hAnsi="Arial"/>
          <w:b w:val="false"/>
          <w:color w:val="000000"/>
          <w:sz w:val="20"/>
        </w:rPr>
      </w:pPr>
      <w:r>
        <w:rPr>
          <w:rFonts w:ascii="Arial" w:hAnsi="Arial"/>
          <w:b w:val="false"/>
          <w:color w:val="000000"/>
          <w:sz w:val="20"/>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240" w:after="283"/>
        <w:jc w:val="left"/>
        <w:rPr>
          <w:rFonts w:ascii="Arial" w:hAnsi="Arial"/>
          <w:b w:val="false"/>
          <w:color w:val="000000"/>
          <w:sz w:val="20"/>
        </w:rPr>
      </w:pPr>
      <w:r>
        <w:rPr>
          <w:rFonts w:ascii="Arial" w:hAnsi="Arial"/>
          <w:b w:val="false"/>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SUMMARY RISK FACTORS</w:t>
      </w:r>
    </w:p>
    <w:p>
      <w:pPr>
        <w:pStyle w:val="TextBody"/>
        <w:bidi w:val="0"/>
        <w:spacing w:before="240" w:after="283"/>
        <w:jc w:val="left"/>
        <w:rPr>
          <w:rFonts w:ascii="Arial" w:hAnsi="Arial"/>
          <w:b w:val="false"/>
          <w:color w:val="000000"/>
          <w:sz w:val="20"/>
        </w:rPr>
      </w:pPr>
      <w:r>
        <w:rPr>
          <w:rFonts w:ascii="Arial" w:hAnsi="Arial"/>
          <w:b w:val="false"/>
          <w:color w:val="000000"/>
          <w:sz w:val="20"/>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 xml:space="preserve">we intend to seek additional capital to pursue our business objectives and respond to business opportunities, challenges or unforeseen circumstances. If such capital is not available to us, our business, financial condition and results of operations would be materially and adversely affected;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 xml:space="preserve">we currently rely on an agreement with a single lender to finance our vehicle inventory purchases. If we fail to extend our current floorplan facility and our relationship with this lender were to terminate, and we fail to acquire alternative sources of funding to finance our vehicle inventory purchases, we may be unable to maintain sufficient inventory, which would adversely affect our business, financial condition and results of operations;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general business and economic conditions and risks related to the larger automotive ecosystem, including consumer demand;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 xml:space="preserve">we have a history of losses and we may not achieve or maintain profitability in the future;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 xml:space="preserve">we may not be able to generate sufficient revenue to generate positive cash flow on a sustained basis;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our indebtedness and liabilities could limit the cash flow available for our operations, expose us to risks that could adversely affect our business, financial condition and results of operations and impair our ability to satisfy our debt obligations;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 xml:space="preserve">we have a limited operating history and are still building out our foundational systems;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 xml:space="preserve">our failure to meet the continued listing requirements of the Nasdaq Global Select Market could result in a delisting of our common stock;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 xml:space="preserve">our prior rapid growth is not indicative of our near term growth under our long-term roadmap and, if and when we return to rapid growth, we may not be able to manage our growth effectively;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we may be unable to successfully complete the integration of the United Auto Credit Corporation ("UACC") business into our business and support UACC as a captive lending operation for Vroom, or realize the anticipated benefits of the UACC Acquisition or those benefits could take longer than anticipated;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val="false"/>
          <w:color w:val="000000"/>
          <w:sz w:val="20"/>
        </w:rPr>
        <w:t>UACC may be unable to sell automotive finance receivables and generate gains on sales of those finance receivables, which could harm our business, results of operations, and financial condition;</w:t>
      </w:r>
      <w:r>
        <w:rPr>
          <w:color w:val="00000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we rely on third-party vendors for key components of our business, which exposes us to increased risks;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 xml:space="preserve">we have entered into outsourcing arrangements with third parties related to our customer experience team, and difficulties experienced in and our transition away from these arrangements have and could continue to result in an interruption of our ability to sell our vehicles and value-added products; </w:t>
      </w:r>
    </w:p>
    <w:p>
      <w:pPr>
        <w:pStyle w:val="TextBody"/>
        <w:bidi w:val="0"/>
        <w:spacing w:before="120" w:after="160"/>
        <w:jc w:val="left"/>
        <w:rPr>
          <w:color w:val="000000"/>
        </w:rPr>
      </w:pPr>
      <w:r>
        <w:rPr>
          <w:color w:val="000000"/>
        </w:rPr>
        <w:t>•</w:t>
      </w:r>
    </w:p>
    <w:p>
      <w:pPr>
        <w:pStyle w:val="TextBody"/>
        <w:bidi w:val="0"/>
        <w:spacing w:before="120" w:after="160"/>
        <w:jc w:val="left"/>
        <w:rPr>
          <w:rFonts w:ascii="Arial" w:hAnsi="Arial"/>
          <w:b w:val="false"/>
          <w:color w:val="000000"/>
          <w:sz w:val="20"/>
        </w:rPr>
      </w:pPr>
      <w:r>
        <w:rPr>
          <w:rFonts w:ascii="Arial" w:hAnsi="Arial"/>
          <w:b w:val="false"/>
          <w:color w:val="000000"/>
          <w:sz w:val="20"/>
        </w:rPr>
        <w:t>our business, sales and results of operations are materially affected by our customer experience, our reputation and our brand;</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 xml:space="preserve">we face a variety of risks associated with the operation of our vehicle reconditioning centers by us and our third-party service provider, any of which could materially and adversely affect our business, financial condition and results of operations;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 xml:space="preserve">we currently rely heavily on third-party carriers to transport our vehicle inventory throughout the United States. Thus, we are subject to business risks and costs associated with such carriers and with the transportation industry, many of which are out of our control;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 xml:space="preserve">we are optimizing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 xml:space="preserve">we operate in a highly regulated industry and are subject to a wide range of federal, state and local laws and regulations and failure to comply with these laws and regulations could have a material adverse effect on our business, financial condition and results of operations;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val="false"/>
          <w:color w:val="000000"/>
          <w:sz w:val="20"/>
        </w:rPr>
      </w:pPr>
      <w:r>
        <w:rPr>
          <w:rFonts w:ascii="Arial" w:hAnsi="Arial"/>
          <w:b w:val="false"/>
          <w:color w:val="000000"/>
          <w:sz w:val="20"/>
        </w:rPr>
        <w:t>our actual operating results may differ significantly from our guidance.</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3" w:name="part_i"/>
      <w:bookmarkEnd w:id="3"/>
      <w:r>
        <w:rPr>
          <w:rFonts w:ascii="Arial" w:hAnsi="Arial"/>
          <w:b/>
          <w:color w:val="000000"/>
          <w:sz w:val="20"/>
        </w:rPr>
        <w:t>PART I – FINANCIAL INFORMATION</w:t>
      </w:r>
    </w:p>
    <w:p>
      <w:pPr>
        <w:pStyle w:val="TextBody"/>
        <w:bidi w:val="0"/>
        <w:jc w:val="left"/>
        <w:rPr>
          <w:rFonts w:ascii="Arial" w:hAnsi="Arial"/>
          <w:b/>
          <w:color w:val="000000"/>
          <w:sz w:val="20"/>
        </w:rPr>
      </w:pPr>
      <w:bookmarkStart w:id="4" w:name="item_1_fs"/>
      <w:bookmarkEnd w:id="4"/>
      <w:r>
        <w:rPr>
          <w:rFonts w:ascii="Arial" w:hAnsi="Arial"/>
          <w:b/>
          <w:color w:val="000000"/>
          <w:sz w:val="20"/>
        </w:rPr>
        <w:t>Item 1. Financial Statements</w:t>
      </w:r>
    </w:p>
    <w:p>
      <w:pPr>
        <w:pStyle w:val="TextBody"/>
        <w:bidi w:val="0"/>
        <w:jc w:val="center"/>
        <w:rPr>
          <w:rFonts w:ascii="Arial" w:hAnsi="Arial"/>
          <w:b/>
          <w:color w:val="000000"/>
          <w:sz w:val="20"/>
        </w:rPr>
      </w:pPr>
      <w:bookmarkStart w:id="5" w:name="balance_sheet"/>
      <w:bookmarkEnd w:id="5"/>
      <w:r>
        <w:rPr>
          <w:rFonts w:ascii="Arial" w:hAnsi="Arial"/>
          <w:b/>
          <w:color w:val="000000"/>
          <w:sz w:val="20"/>
        </w:rPr>
        <w:t>VROOM, INC.</w:t>
      </w:r>
    </w:p>
    <w:p>
      <w:pPr>
        <w:pStyle w:val="TextBody"/>
        <w:bidi w:val="0"/>
        <w:jc w:val="center"/>
        <w:rPr>
          <w:rFonts w:ascii="Times New Roman" w:hAnsi="Times New Roman"/>
          <w:sz w:val="20"/>
        </w:rPr>
      </w:pPr>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3"/>
        <w:gridCol w:w="146"/>
        <w:gridCol w:w="212"/>
        <w:gridCol w:w="997"/>
        <w:gridCol w:w="166"/>
        <w:gridCol w:w="146"/>
        <w:gridCol w:w="211"/>
        <w:gridCol w:w="991"/>
        <w:gridCol w:w="213"/>
      </w:tblGrid>
      <w:tr>
        <w:trPr/>
        <w:tc>
          <w:tcPr>
            <w:tcW w:w="7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1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December 31,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3"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r>
        <w:trPr/>
        <w:tc>
          <w:tcPr>
            <w:tcW w:w="712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208,562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398,915</w:t>
            </w:r>
          </w:p>
        </w:tc>
        <w:tc>
          <w:tcPr>
            <w:tcW w:w="213"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8"/>
              </w:rPr>
              <w:t>Restricted cash (including restricted cash of consolidated VIEs of $47.2</w:t>
            </w:r>
            <w:r>
              <w:rPr>
                <w:rFonts w:ascii="Times New Roman" w:hAnsi="Times New Roman"/>
                <w:color w:val="000000"/>
                <w:sz w:val="20"/>
              </w:rPr>
              <w:t> </w:t>
            </w:r>
            <w:r>
              <w:rPr>
                <w:rFonts w:ascii="Arial" w:hAnsi="Arial"/>
                <w:b w:val="false"/>
                <w:color w:val="000000"/>
                <w:sz w:val="18"/>
              </w:rPr>
              <w:t>million and $24.7</w:t>
            </w:r>
            <w:r>
              <w:rPr>
                <w:rFonts w:ascii="Times New Roman" w:hAnsi="Times New Roman"/>
                <w:color w:val="000000"/>
                <w:sz w:val="20"/>
              </w:rPr>
              <w:t> </w:t>
            </w:r>
            <w:r>
              <w:rPr>
                <w:rFonts w:ascii="Arial" w:hAnsi="Arial"/>
                <w:b w:val="false"/>
                <w:color w:val="000000"/>
                <w:sz w:val="18"/>
              </w:rPr>
              <w:t>million, respectively)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80,517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73,095</w:t>
            </w:r>
          </w:p>
        </w:tc>
        <w:tc>
          <w:tcPr>
            <w:tcW w:w="213"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8"/>
              </w:rPr>
              <w:t>Accounts receivable, net of allowance of $8.9</w:t>
            </w:r>
            <w:r>
              <w:rPr>
                <w:rFonts w:ascii="Times New Roman" w:hAnsi="Times New Roman"/>
                <w:color w:val="000000"/>
                <w:sz w:val="20"/>
              </w:rPr>
              <w:t> </w:t>
            </w:r>
            <w:r>
              <w:rPr>
                <w:rFonts w:ascii="Arial" w:hAnsi="Arial"/>
                <w:b w:val="false"/>
                <w:color w:val="000000"/>
                <w:sz w:val="18"/>
              </w:rPr>
              <w:t>million and $21.5</w:t>
            </w:r>
            <w:r>
              <w:rPr>
                <w:rFonts w:ascii="Times New Roman" w:hAnsi="Times New Roman"/>
                <w:color w:val="000000"/>
                <w:sz w:val="20"/>
              </w:rPr>
              <w:t> </w:t>
            </w:r>
            <w:r>
              <w:rPr>
                <w:rFonts w:ascii="Arial" w:hAnsi="Arial"/>
                <w:b w:val="false"/>
                <w:color w:val="000000"/>
                <w:sz w:val="18"/>
              </w:rPr>
              <w:t>million, respectively</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9,022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13,967</w:t>
            </w:r>
          </w:p>
        </w:tc>
        <w:tc>
          <w:tcPr>
            <w:tcW w:w="213"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8"/>
              </w:rPr>
              <w:t>Finance receivables at fair value (including finance receivables of consolidated VIEs of $12.2</w:t>
            </w:r>
            <w:r>
              <w:rPr>
                <w:rFonts w:ascii="Times New Roman" w:hAnsi="Times New Roman"/>
                <w:color w:val="000000"/>
                <w:sz w:val="20"/>
              </w:rPr>
              <w:t> </w:t>
            </w:r>
            <w:r>
              <w:rPr>
                <w:rFonts w:ascii="Arial" w:hAnsi="Arial"/>
                <w:b w:val="false"/>
                <w:color w:val="000000"/>
                <w:sz w:val="18"/>
              </w:rPr>
              <w:t>million and $11.5</w:t>
            </w:r>
            <w:r>
              <w:rPr>
                <w:rFonts w:ascii="Times New Roman" w:hAnsi="Times New Roman"/>
                <w:color w:val="000000"/>
                <w:sz w:val="20"/>
              </w:rPr>
              <w:t> </w:t>
            </w:r>
            <w:r>
              <w:rPr>
                <w:rFonts w:ascii="Arial" w:hAnsi="Arial"/>
                <w:b w:val="false"/>
                <w:color w:val="000000"/>
                <w:sz w:val="18"/>
              </w:rPr>
              <w:t>million, respectively)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12,901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12,939</w:t>
            </w:r>
          </w:p>
        </w:tc>
        <w:tc>
          <w:tcPr>
            <w:tcW w:w="213"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8"/>
              </w:rPr>
              <w:t>Finance receivables held for sale, net (including finance receivables of consolidated VIEs of $338.4</w:t>
            </w:r>
            <w:r>
              <w:rPr>
                <w:rFonts w:ascii="Times New Roman" w:hAnsi="Times New Roman"/>
                <w:color w:val="000000"/>
                <w:sz w:val="20"/>
              </w:rPr>
              <w:t> </w:t>
            </w:r>
            <w:r>
              <w:rPr>
                <w:rFonts w:ascii="Arial" w:hAnsi="Arial"/>
                <w:b w:val="false"/>
                <w:color w:val="000000"/>
                <w:sz w:val="18"/>
              </w:rPr>
              <w:t>million and $305.9</w:t>
            </w:r>
            <w:r>
              <w:rPr>
                <w:rFonts w:ascii="Times New Roman" w:hAnsi="Times New Roman"/>
                <w:color w:val="000000"/>
                <w:sz w:val="20"/>
              </w:rPr>
              <w:t> </w:t>
            </w:r>
            <w:r>
              <w:rPr>
                <w:rFonts w:ascii="Arial" w:hAnsi="Arial"/>
                <w:b w:val="false"/>
                <w:color w:val="000000"/>
                <w:sz w:val="18"/>
              </w:rPr>
              <w:t>million, respectively)</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399,836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321,626</w:t>
            </w:r>
          </w:p>
        </w:tc>
        <w:tc>
          <w:tcPr>
            <w:tcW w:w="213"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Inventory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240,676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320,648</w:t>
            </w:r>
          </w:p>
        </w:tc>
        <w:tc>
          <w:tcPr>
            <w:tcW w:w="213"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5,287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20,592</w:t>
            </w:r>
          </w:p>
        </w:tc>
        <w:tc>
          <w:tcPr>
            <w:tcW w:w="213"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8"/>
              </w:rPr>
              <w:t>Prepaid expenses and other current assets (including other current assets of consolidated VIEs of $24.3</w:t>
            </w:r>
            <w:r>
              <w:rPr>
                <w:rFonts w:ascii="Times New Roman" w:hAnsi="Times New Roman"/>
                <w:color w:val="000000"/>
                <w:sz w:val="20"/>
              </w:rPr>
              <w:t> </w:t>
            </w:r>
            <w:r>
              <w:rPr>
                <w:rFonts w:ascii="Arial" w:hAnsi="Arial"/>
                <w:b w:val="false"/>
                <w:color w:val="000000"/>
                <w:sz w:val="18"/>
              </w:rPr>
              <w:t>million and $11.7</w:t>
            </w:r>
            <w:r>
              <w:rPr>
                <w:rFonts w:ascii="Times New Roman" w:hAnsi="Times New Roman"/>
                <w:color w:val="000000"/>
                <w:sz w:val="20"/>
              </w:rPr>
              <w:t> </w:t>
            </w:r>
            <w:r>
              <w:rPr>
                <w:rFonts w:ascii="Arial" w:hAnsi="Arial"/>
                <w:b w:val="false"/>
                <w:color w:val="000000"/>
                <w:sz w:val="18"/>
              </w:rPr>
              <w:t>million, respectively)</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56,889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58,327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1,013,690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1,220,109</w:t>
            </w:r>
          </w:p>
        </w:tc>
        <w:tc>
          <w:tcPr>
            <w:tcW w:w="213"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8"/>
              </w:rPr>
              <w:t>Finance receivables at fair value (including finance receivables of consolidated VIEs of $376.7</w:t>
            </w:r>
            <w:r>
              <w:rPr>
                <w:rFonts w:ascii="Times New Roman" w:hAnsi="Times New Roman"/>
                <w:color w:val="000000"/>
                <w:sz w:val="20"/>
              </w:rPr>
              <w:t> </w:t>
            </w:r>
            <w:r>
              <w:rPr>
                <w:rFonts w:ascii="Arial" w:hAnsi="Arial"/>
                <w:b w:val="false"/>
                <w:color w:val="000000"/>
                <w:sz w:val="18"/>
              </w:rPr>
              <w:t>million and $119.6</w:t>
            </w:r>
            <w:r>
              <w:rPr>
                <w:rFonts w:ascii="Times New Roman" w:hAnsi="Times New Roman"/>
                <w:color w:val="000000"/>
                <w:sz w:val="20"/>
              </w:rPr>
              <w:t> </w:t>
            </w:r>
            <w:r>
              <w:rPr>
                <w:rFonts w:ascii="Arial" w:hAnsi="Arial"/>
                <w:b w:val="false"/>
                <w:color w:val="000000"/>
                <w:sz w:val="18"/>
              </w:rPr>
              <w:t>million, respectively)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387,796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140,235</w:t>
            </w:r>
          </w:p>
        </w:tc>
        <w:tc>
          <w:tcPr>
            <w:tcW w:w="213"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49,220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50,201</w:t>
            </w:r>
          </w:p>
        </w:tc>
        <w:tc>
          <w:tcPr>
            <w:tcW w:w="213"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Intangible assets, net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138,644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158,910</w:t>
            </w:r>
          </w:p>
        </w:tc>
        <w:tc>
          <w:tcPr>
            <w:tcW w:w="213"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30,836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23,568</w:t>
            </w:r>
          </w:p>
        </w:tc>
        <w:tc>
          <w:tcPr>
            <w:tcW w:w="213"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8"/>
              </w:rPr>
              <w:t>Other assets (including other assets of consolidated VIEs of $2.0</w:t>
            </w:r>
            <w:r>
              <w:rPr>
                <w:rFonts w:ascii="Times New Roman" w:hAnsi="Times New Roman"/>
                <w:color w:val="000000"/>
                <w:sz w:val="20"/>
              </w:rPr>
              <w:t> </w:t>
            </w:r>
            <w:r>
              <w:rPr>
                <w:rFonts w:ascii="Arial" w:hAnsi="Arial"/>
                <w:b w:val="false"/>
                <w:color w:val="000000"/>
                <w:sz w:val="18"/>
              </w:rPr>
              <w:t>million and $0</w:t>
            </w:r>
            <w:r>
              <w:rPr>
                <w:rFonts w:ascii="Times New Roman" w:hAnsi="Times New Roman"/>
                <w:color w:val="000000"/>
                <w:sz w:val="20"/>
              </w:rPr>
              <w:t> </w:t>
            </w:r>
            <w:r>
              <w:rPr>
                <w:rFonts w:ascii="Arial" w:hAnsi="Arial"/>
                <w:b w:val="false"/>
                <w:color w:val="000000"/>
                <w:sz w:val="18"/>
              </w:rPr>
              <w:t>million, respectively)</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26,525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26,004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1,646,711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1,619,027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2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r>
        <w:trPr/>
        <w:tc>
          <w:tcPr>
            <w:tcW w:w="712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34,702</w:t>
            </w:r>
          </w:p>
        </w:tc>
        <w:tc>
          <w:tcPr>
            <w:tcW w:w="213"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8"/>
              </w:rPr>
              <w:t>Accrued expenses (including accrued expenses of consolidated VIEs of $3.3</w:t>
            </w:r>
            <w:r>
              <w:rPr>
                <w:rFonts w:ascii="Times New Roman" w:hAnsi="Times New Roman"/>
                <w:color w:val="000000"/>
                <w:sz w:val="20"/>
              </w:rPr>
              <w:t> </w:t>
            </w:r>
            <w:r>
              <w:rPr>
                <w:rFonts w:ascii="Arial" w:hAnsi="Arial"/>
                <w:b w:val="false"/>
                <w:color w:val="000000"/>
                <w:sz w:val="18"/>
              </w:rPr>
              <w:t>million and $1.5</w:t>
            </w:r>
            <w:r>
              <w:rPr>
                <w:rFonts w:ascii="Times New Roman" w:hAnsi="Times New Roman"/>
                <w:color w:val="000000"/>
                <w:sz w:val="20"/>
              </w:rPr>
              <w:t> </w:t>
            </w:r>
            <w:r>
              <w:rPr>
                <w:rFonts w:ascii="Arial" w:hAnsi="Arial"/>
                <w:b w:val="false"/>
                <w:color w:val="000000"/>
                <w:sz w:val="18"/>
              </w:rPr>
              <w:t>million, respectively)</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57,435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76,795</w:t>
            </w:r>
          </w:p>
        </w:tc>
        <w:tc>
          <w:tcPr>
            <w:tcW w:w="213"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Vehicle floorplan</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212,486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276,988</w:t>
            </w:r>
          </w:p>
        </w:tc>
        <w:tc>
          <w:tcPr>
            <w:tcW w:w="213"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Warehouse credit facilities of consolidated VIEs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294,653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229,518</w:t>
            </w:r>
          </w:p>
        </w:tc>
        <w:tc>
          <w:tcPr>
            <w:tcW w:w="213"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8"/>
              </w:rPr>
              <w:t>Current portion of long term debt (including current portion of securitization debt of consolidated VIEs at fair value of $186.6</w:t>
            </w:r>
            <w:r>
              <w:rPr>
                <w:rFonts w:ascii="Times New Roman" w:hAnsi="Times New Roman"/>
                <w:color w:val="000000"/>
                <w:sz w:val="20"/>
              </w:rPr>
              <w:t> </w:t>
            </w:r>
            <w:r>
              <w:rPr>
                <w:rFonts w:ascii="Arial" w:hAnsi="Arial"/>
                <w:b w:val="false"/>
                <w:color w:val="000000"/>
                <w:sz w:val="18"/>
              </w:rPr>
              <w:t>million and $47.2</w:t>
            </w:r>
            <w:r>
              <w:rPr>
                <w:rFonts w:ascii="Times New Roman" w:hAnsi="Times New Roman"/>
                <w:color w:val="000000"/>
                <w:sz w:val="20"/>
              </w:rPr>
              <w:t> </w:t>
            </w:r>
            <w:r>
              <w:rPr>
                <w:rFonts w:ascii="Arial" w:hAnsi="Arial"/>
                <w:b w:val="false"/>
                <w:color w:val="000000"/>
                <w:sz w:val="18"/>
              </w:rPr>
              <w:t>million, respectively)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197,045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47,239</w:t>
            </w:r>
          </w:p>
        </w:tc>
        <w:tc>
          <w:tcPr>
            <w:tcW w:w="213"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Deferred revenue</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12,487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10,655</w:t>
            </w:r>
          </w:p>
        </w:tc>
        <w:tc>
          <w:tcPr>
            <w:tcW w:w="213"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9,511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9,730</w:t>
            </w:r>
          </w:p>
        </w:tc>
        <w:tc>
          <w:tcPr>
            <w:tcW w:w="213"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Other current liabilities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17,693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823,181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703,320</w:t>
            </w:r>
          </w:p>
        </w:tc>
        <w:tc>
          <w:tcPr>
            <w:tcW w:w="213"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8"/>
              </w:rPr>
              <w:t>Long term debt, net of current portion (including securitization debt of consolidated VIEs of $175.3</w:t>
            </w:r>
            <w:r>
              <w:rPr>
                <w:rFonts w:ascii="Times New Roman" w:hAnsi="Times New Roman"/>
                <w:color w:val="000000"/>
                <w:sz w:val="20"/>
              </w:rPr>
              <w:t> </w:t>
            </w:r>
            <w:r>
              <w:rPr>
                <w:rFonts w:ascii="Arial" w:hAnsi="Arial"/>
                <w:b w:val="false"/>
                <w:color w:val="000000"/>
                <w:sz w:val="18"/>
              </w:rPr>
              <w:t>million and $32.6</w:t>
            </w:r>
            <w:r>
              <w:rPr>
                <w:rFonts w:ascii="Times New Roman" w:hAnsi="Times New Roman"/>
                <w:color w:val="000000"/>
                <w:sz w:val="20"/>
              </w:rPr>
              <w:t> </w:t>
            </w:r>
            <w:r>
              <w:rPr>
                <w:rFonts w:ascii="Arial" w:hAnsi="Arial"/>
                <w:b w:val="false"/>
                <w:color w:val="000000"/>
                <w:sz w:val="18"/>
              </w:rPr>
              <w:t>million at fair value, respectively)</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521,353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402,154</w:t>
            </w:r>
          </w:p>
        </w:tc>
        <w:tc>
          <w:tcPr>
            <w:tcW w:w="213"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Operating lease liabilities, excluding current portion</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26,938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20,129</w:t>
            </w:r>
          </w:p>
        </w:tc>
        <w:tc>
          <w:tcPr>
            <w:tcW w:w="213"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8"/>
              </w:rPr>
              <w:t>Other long-term liabilities (including other long-term liabilities of consolidated VIEs of $9.5</w:t>
            </w:r>
            <w:r>
              <w:rPr>
                <w:rFonts w:ascii="Times New Roman" w:hAnsi="Times New Roman"/>
                <w:color w:val="000000"/>
                <w:sz w:val="20"/>
              </w:rPr>
              <w:t> </w:t>
            </w:r>
            <w:r>
              <w:rPr>
                <w:rFonts w:ascii="Arial" w:hAnsi="Arial"/>
                <w:b w:val="false"/>
                <w:color w:val="000000"/>
                <w:sz w:val="18"/>
              </w:rPr>
              <w:t>million and $7.4</w:t>
            </w:r>
            <w:r>
              <w:rPr>
                <w:rFonts w:ascii="Times New Roman" w:hAnsi="Times New Roman"/>
                <w:color w:val="000000"/>
                <w:sz w:val="20"/>
              </w:rPr>
              <w:t> </w:t>
            </w:r>
            <w:r>
              <w:rPr>
                <w:rFonts w:ascii="Arial" w:hAnsi="Arial"/>
                <w:b w:val="false"/>
                <w:color w:val="000000"/>
                <w:sz w:val="18"/>
              </w:rPr>
              <w:t>million, respectively)</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18,183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1,388,441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1,143,786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Commitments and contingencies (Note 13)</w:t>
            </w:r>
          </w:p>
        </w:tc>
        <w:tc>
          <w:tcPr>
            <w:tcW w:w="146" w:type="dxa"/>
            <w:tcBorders/>
            <w:shd w:fill="CFF0FC" w:val="clear"/>
            <w:vAlign w:val="center"/>
          </w:tcPr>
          <w:p>
            <w:pPr>
              <w:pStyle w:val="TableContents"/>
              <w:bidi w:val="0"/>
              <w:spacing w:before="0" w:after="283"/>
              <w:jc w:val="left"/>
              <w:rPr/>
            </w:pPr>
            <w:r>
              <w:rPr/>
              <w:t> </w:t>
            </w:r>
          </w:p>
        </w:tc>
        <w:tc>
          <w:tcPr>
            <w:tcW w:w="12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r>
        <w:trPr/>
        <w:tc>
          <w:tcPr>
            <w:tcW w:w="712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7123"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8"/>
              </w:rPr>
              <w:t>Common stock, $0.001</w:t>
            </w:r>
            <w:r>
              <w:rPr>
                <w:rFonts w:ascii="Times New Roman" w:hAnsi="Times New Roman"/>
                <w:color w:val="000000"/>
                <w:sz w:val="20"/>
              </w:rPr>
              <w:t> </w:t>
            </w:r>
            <w:r>
              <w:rPr>
                <w:rFonts w:ascii="Arial" w:hAnsi="Arial"/>
                <w:b w:val="false"/>
                <w:color w:val="000000"/>
                <w:sz w:val="18"/>
              </w:rPr>
              <w:t>par value; 500,000,000</w:t>
            </w:r>
            <w:r>
              <w:rPr>
                <w:rFonts w:ascii="Times New Roman" w:hAnsi="Times New Roman"/>
                <w:color w:val="000000"/>
                <w:sz w:val="20"/>
              </w:rPr>
              <w:t> </w:t>
            </w:r>
            <w:r>
              <w:rPr>
                <w:rFonts w:ascii="Arial" w:hAnsi="Arial"/>
                <w:b w:val="false"/>
                <w:color w:val="000000"/>
                <w:sz w:val="18"/>
              </w:rPr>
              <w:t>shares authorized as of September 30, 2023 and December 31, 2022; 139,752,858</w:t>
            </w:r>
            <w:r>
              <w:rPr>
                <w:rFonts w:ascii="Times New Roman" w:hAnsi="Times New Roman"/>
                <w:color w:val="000000"/>
                <w:sz w:val="20"/>
              </w:rPr>
              <w:t> </w:t>
            </w:r>
            <w:r>
              <w:rPr>
                <w:rFonts w:ascii="Arial" w:hAnsi="Arial"/>
                <w:b w:val="false"/>
                <w:color w:val="000000"/>
                <w:sz w:val="18"/>
              </w:rPr>
              <w:t>and 138,201,903</w:t>
            </w:r>
            <w:r>
              <w:rPr>
                <w:rFonts w:ascii="Times New Roman" w:hAnsi="Times New Roman"/>
                <w:color w:val="000000"/>
                <w:sz w:val="20"/>
              </w:rPr>
              <w:t> </w:t>
            </w:r>
            <w:r>
              <w:rPr>
                <w:rFonts w:ascii="Arial" w:hAnsi="Arial"/>
                <w:b w:val="false"/>
                <w:color w:val="000000"/>
                <w:sz w:val="18"/>
              </w:rPr>
              <w:t>shares issued and outstanding as of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135</w:t>
            </w:r>
          </w:p>
        </w:tc>
        <w:tc>
          <w:tcPr>
            <w:tcW w:w="213"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Additional paid-in-capital</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2,083,046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2,075,798</w:t>
            </w:r>
          </w:p>
        </w:tc>
        <w:tc>
          <w:tcPr>
            <w:tcW w:w="213"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Accumulated deficit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(1,824,911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(1,600,692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712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258,270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475,241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1,646,711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1,619,027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b w:val="false"/>
          <w:i/>
          <w:color w:val="000000"/>
          <w:sz w:val="20"/>
        </w:rPr>
        <w:t>See accompanying</w:t>
      </w:r>
      <w:r>
        <w:rPr>
          <w:rFonts w:ascii="Times New Roman" w:hAnsi="Times New Roman"/>
          <w:color w:val="000000"/>
          <w:sz w:val="20"/>
        </w:rPr>
        <w:t xml:space="preserve"> </w:t>
      </w:r>
      <w:r>
        <w:rPr>
          <w:rFonts w:ascii="Arial" w:hAnsi="Arial"/>
          <w:b w:val="false"/>
          <w:i/>
          <w:color w:val="000000"/>
          <w:sz w:val="20"/>
        </w:rPr>
        <w:t>notes to these unaudited condensed consolidated financial statements</w:t>
      </w:r>
      <w:r>
        <w:rPr>
          <w:rFonts w:ascii="Arial" w:hAnsi="Arial"/>
          <w:b w:val="false"/>
          <w:color w:val="000000"/>
          <w:sz w:val="20"/>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 w:name="income_statement"/>
      <w:bookmarkEnd w:id="6"/>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04"/>
        <w:gridCol w:w="146"/>
        <w:gridCol w:w="211"/>
        <w:gridCol w:w="1141"/>
        <w:gridCol w:w="166"/>
        <w:gridCol w:w="146"/>
        <w:gridCol w:w="211"/>
        <w:gridCol w:w="1141"/>
        <w:gridCol w:w="166"/>
        <w:gridCol w:w="146"/>
        <w:gridCol w:w="211"/>
        <w:gridCol w:w="1141"/>
        <w:gridCol w:w="166"/>
        <w:gridCol w:w="146"/>
        <w:gridCol w:w="211"/>
        <w:gridCol w:w="1141"/>
        <w:gridCol w:w="211"/>
      </w:tblGrid>
      <w:tr>
        <w:trPr/>
        <w:tc>
          <w:tcPr>
            <w:tcW w:w="3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Retail vehicle,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147,710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234,353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419,548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1,283,263</w:t>
            </w:r>
          </w:p>
        </w:tc>
        <w:tc>
          <w:tcPr>
            <w:tcW w:w="211" w:type="dxa"/>
            <w:tcBorders/>
            <w:shd w:fill="FFFFFF" w:val="clear"/>
            <w:vAlign w:val="center"/>
          </w:tcPr>
          <w:p>
            <w:pPr>
              <w:pStyle w:val="TableContents"/>
              <w:bidi w:val="0"/>
              <w:spacing w:before="0" w:after="283"/>
              <w:jc w:val="left"/>
              <w:rPr/>
            </w:pPr>
            <w:r>
              <w:rPr/>
              <w:t> </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Wholesale vehicle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30,898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47,604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75,593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270,489</w:t>
            </w:r>
          </w:p>
        </w:tc>
        <w:tc>
          <w:tcPr>
            <w:tcW w:w="211" w:type="dxa"/>
            <w:tcBorders/>
            <w:shd w:fill="CFF0FC" w:val="clear"/>
            <w:vAlign w:val="center"/>
          </w:tcPr>
          <w:p>
            <w:pPr>
              <w:pStyle w:val="TableContents"/>
              <w:bidi w:val="0"/>
              <w:spacing w:before="0" w:after="283"/>
              <w:jc w:val="left"/>
              <w:rPr/>
            </w:pPr>
            <w:r>
              <w:rPr/>
              <w:t> </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Product,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13,075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36,499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51,954</w:t>
            </w:r>
          </w:p>
        </w:tc>
        <w:tc>
          <w:tcPr>
            <w:tcW w:w="211" w:type="dxa"/>
            <w:tcBorders/>
            <w:shd w:fill="FFFFFF" w:val="clear"/>
            <w:vAlign w:val="center"/>
          </w:tcPr>
          <w:p>
            <w:pPr>
              <w:pStyle w:val="TableContents"/>
              <w:bidi w:val="0"/>
              <w:spacing w:before="0" w:after="283"/>
              <w:jc w:val="left"/>
              <w:rPr/>
            </w:pPr>
            <w:r>
              <w:rPr/>
              <w:t> </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Finance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40,823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40,654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114,939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120,005</w:t>
            </w:r>
          </w:p>
        </w:tc>
        <w:tc>
          <w:tcPr>
            <w:tcW w:w="211" w:type="dxa"/>
            <w:tcBorders/>
            <w:shd w:fill="CFF0FC" w:val="clear"/>
            <w:vAlign w:val="center"/>
          </w:tcPr>
          <w:p>
            <w:pPr>
              <w:pStyle w:val="TableContents"/>
              <w:bidi w:val="0"/>
              <w:spacing w:before="0" w:after="283"/>
              <w:jc w:val="left"/>
              <w:rPr/>
            </w:pPr>
            <w:r>
              <w:rPr/>
              <w:t> </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13,841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235,634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340,797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657,279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1,739,552</w:t>
            </w:r>
          </w:p>
        </w:tc>
        <w:tc>
          <w:tcPr>
            <w:tcW w:w="211" w:type="dxa"/>
            <w:tcBorders/>
            <w:shd w:fill="CFF0FC" w:val="clear"/>
            <w:vAlign w:val="center"/>
          </w:tcPr>
          <w:p>
            <w:pPr>
              <w:pStyle w:val="TableContents"/>
              <w:bidi w:val="0"/>
              <w:spacing w:before="0" w:after="283"/>
              <w:jc w:val="left"/>
              <w:rPr/>
            </w:pPr>
            <w:r>
              <w:rPr/>
              <w:t> </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Cost of sales: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Retail vehicle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144,654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218,726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414,917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1,234,138</w:t>
            </w:r>
          </w:p>
        </w:tc>
        <w:tc>
          <w:tcPr>
            <w:tcW w:w="211" w:type="dxa"/>
            <w:tcBorders/>
            <w:shd w:fill="CFF0FC" w:val="clear"/>
            <w:vAlign w:val="center"/>
          </w:tcPr>
          <w:p>
            <w:pPr>
              <w:pStyle w:val="TableContents"/>
              <w:bidi w:val="0"/>
              <w:spacing w:before="0" w:after="283"/>
              <w:jc w:val="left"/>
              <w:rPr/>
            </w:pPr>
            <w:r>
              <w:rPr/>
              <w:t> </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Wholesale vehicle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32,393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49,178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81,019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276,749</w:t>
            </w:r>
          </w:p>
        </w:tc>
        <w:tc>
          <w:tcPr>
            <w:tcW w:w="211" w:type="dxa"/>
            <w:tcBorders/>
            <w:shd w:fill="FFFFFF" w:val="clear"/>
            <w:vAlign w:val="center"/>
          </w:tcPr>
          <w:p>
            <w:pPr>
              <w:pStyle w:val="TableContents"/>
              <w:bidi w:val="0"/>
              <w:spacing w:before="0" w:after="283"/>
              <w:jc w:val="left"/>
              <w:rPr/>
            </w:pPr>
            <w:r>
              <w:rPr/>
              <w:t> </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2,518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Finance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4,699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22,755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10,368</w:t>
            </w:r>
          </w:p>
        </w:tc>
        <w:tc>
          <w:tcPr>
            <w:tcW w:w="211" w:type="dxa"/>
            <w:tcBorders/>
            <w:shd w:fill="FFFFFF" w:val="clear"/>
            <w:vAlign w:val="center"/>
          </w:tcPr>
          <w:p>
            <w:pPr>
              <w:pStyle w:val="TableContents"/>
              <w:bidi w:val="0"/>
              <w:spacing w:before="0" w:after="283"/>
              <w:jc w:val="left"/>
              <w:rPr/>
            </w:pPr>
            <w:r>
              <w:rPr/>
              <w:t> </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2,969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Total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187,540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273,466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524,379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1,524,224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Total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48,094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67,331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132,900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215,328</w:t>
            </w:r>
          </w:p>
        </w:tc>
        <w:tc>
          <w:tcPr>
            <w:tcW w:w="211" w:type="dxa"/>
            <w:tcBorders/>
            <w:shd w:fill="CFF0FC" w:val="clear"/>
            <w:vAlign w:val="center"/>
          </w:tcPr>
          <w:p>
            <w:pPr>
              <w:pStyle w:val="TableContents"/>
              <w:bidi w:val="0"/>
              <w:spacing w:before="0" w:after="283"/>
              <w:jc w:val="left"/>
              <w:rPr/>
            </w:pPr>
            <w:r>
              <w:rPr/>
              <w:t> </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79,586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134,643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263,078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475,627</w:t>
            </w:r>
          </w:p>
        </w:tc>
        <w:tc>
          <w:tcPr>
            <w:tcW w:w="211" w:type="dxa"/>
            <w:tcBorders/>
            <w:shd w:fill="FFFFFF" w:val="clear"/>
            <w:vAlign w:val="center"/>
          </w:tcPr>
          <w:p>
            <w:pPr>
              <w:pStyle w:val="TableContents"/>
              <w:bidi w:val="0"/>
              <w:spacing w:before="0" w:after="283"/>
              <w:jc w:val="left"/>
              <w:rPr/>
            </w:pPr>
            <w:r>
              <w:rPr/>
              <w:t> </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11,010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9,833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31,845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27,728</w:t>
            </w:r>
          </w:p>
        </w:tc>
        <w:tc>
          <w:tcPr>
            <w:tcW w:w="211" w:type="dxa"/>
            <w:tcBorders/>
            <w:shd w:fill="CFF0FC" w:val="clear"/>
            <w:vAlign w:val="center"/>
          </w:tcPr>
          <w:p>
            <w:pPr>
              <w:pStyle w:val="TableContents"/>
              <w:bidi w:val="0"/>
              <w:spacing w:before="0" w:after="283"/>
              <w:jc w:val="left"/>
              <w:rPr/>
            </w:pPr>
            <w:r>
              <w:rPr/>
              <w:t> </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Impairment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206,127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(42,502</w:t>
            </w:r>
          </w:p>
        </w:tc>
        <w:tc>
          <w:tcPr>
            <w:tcW w:w="166"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(78,162</w:t>
            </w:r>
          </w:p>
        </w:tc>
        <w:tc>
          <w:tcPr>
            <w:tcW w:w="166"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(163,376</w:t>
            </w:r>
          </w:p>
        </w:tc>
        <w:tc>
          <w:tcPr>
            <w:tcW w:w="166"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(494,154</w:t>
            </w:r>
          </w:p>
        </w:tc>
        <w:tc>
          <w:tcPr>
            <w:tcW w:w="211"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(37,917</w:t>
            </w:r>
          </w:p>
        </w:tc>
        <w:tc>
          <w:tcPr>
            <w:tcW w:w="16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(19,640</w:t>
            </w:r>
          </w:p>
        </w:tc>
        <w:tc>
          <w:tcPr>
            <w:tcW w:w="16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(37,917</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12,058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9,704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30,915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28,617</w:t>
            </w:r>
          </w:p>
        </w:tc>
        <w:tc>
          <w:tcPr>
            <w:tcW w:w="211" w:type="dxa"/>
            <w:tcBorders/>
            <w:shd w:fill="CFF0FC" w:val="clear"/>
            <w:vAlign w:val="center"/>
          </w:tcPr>
          <w:p>
            <w:pPr>
              <w:pStyle w:val="TableContents"/>
              <w:bidi w:val="0"/>
              <w:spacing w:before="0" w:after="283"/>
              <w:jc w:val="left"/>
              <w:rPr/>
            </w:pPr>
            <w:r>
              <w:rPr/>
              <w:t> </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(5,506</w:t>
            </w:r>
          </w:p>
        </w:tc>
        <w:tc>
          <w:tcPr>
            <w:tcW w:w="16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(5,104</w:t>
            </w:r>
          </w:p>
        </w:tc>
        <w:tc>
          <w:tcPr>
            <w:tcW w:w="16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(16,369</w:t>
            </w:r>
          </w:p>
        </w:tc>
        <w:tc>
          <w:tcPr>
            <w:tcW w:w="16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(12,991</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Other loss,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33,543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65,019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26,897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Loss before 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(82,597</w:t>
            </w:r>
          </w:p>
        </w:tc>
        <w:tc>
          <w:tcPr>
            <w:tcW w:w="16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(50,228</w:t>
            </w:r>
          </w:p>
        </w:tc>
        <w:tc>
          <w:tcPr>
            <w:tcW w:w="16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(223,301</w:t>
            </w:r>
          </w:p>
        </w:tc>
        <w:tc>
          <w:tcPr>
            <w:tcW w:w="16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(498,760</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(22,085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(82,857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(51,127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(224,219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(476,675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504"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504"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Weighted-average number of shares outstanding used to compute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139,692,323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138,118,679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139,123,352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137,817,839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b w:val="false"/>
          <w:i/>
          <w:color w:val="000000"/>
          <w:sz w:val="20"/>
        </w:rPr>
      </w:pPr>
      <w:r>
        <w:rPr>
          <w:rFonts w:ascii="Arial" w:hAnsi="Arial"/>
          <w:b w:val="false"/>
          <w:i/>
          <w:color w:val="000000"/>
          <w:sz w:val="20"/>
        </w:rPr>
        <w:t>See accompanying notes to these unaudited condensed consolidated financial statements.</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7" w:name="stockholders_equity"/>
      <w:bookmarkEnd w:id="7"/>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CONDENSED CONSOLIDATED STATEMENTS OF CHANGES IN STOCKHOLDERS’ EQUITY</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93"/>
        <w:gridCol w:w="146"/>
        <w:gridCol w:w="146"/>
        <w:gridCol w:w="1141"/>
        <w:gridCol w:w="146"/>
        <w:gridCol w:w="146"/>
        <w:gridCol w:w="250"/>
        <w:gridCol w:w="501"/>
        <w:gridCol w:w="146"/>
        <w:gridCol w:w="146"/>
        <w:gridCol w:w="211"/>
        <w:gridCol w:w="931"/>
        <w:gridCol w:w="146"/>
        <w:gridCol w:w="146"/>
        <w:gridCol w:w="211"/>
        <w:gridCol w:w="991"/>
        <w:gridCol w:w="166"/>
        <w:gridCol w:w="146"/>
        <w:gridCol w:w="236"/>
        <w:gridCol w:w="948"/>
        <w:gridCol w:w="212"/>
      </w:tblGrid>
      <w:tr>
        <w:trPr/>
        <w:tc>
          <w:tcPr>
            <w:tcW w:w="3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4"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3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137,092,891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2,063,841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(1,148,782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915,194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3,629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3,629</w:t>
            </w:r>
          </w:p>
        </w:tc>
        <w:tc>
          <w:tcPr>
            <w:tcW w:w="212" w:type="dxa"/>
            <w:tcBorders/>
            <w:shd w:fill="FFFFFF" w:val="clear"/>
            <w:vAlign w:val="center"/>
          </w:tcPr>
          <w:p>
            <w:pPr>
              <w:pStyle w:val="TableContents"/>
              <w:bidi w:val="0"/>
              <w:spacing w:before="0" w:after="283"/>
              <w:jc w:val="left"/>
              <w:rPr/>
            </w:pPr>
            <w:r>
              <w:rPr/>
              <w:t> </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602,630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(310,459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(310,459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Balance at March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137,695,521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2,067,470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(1,459,241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608,364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1,776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1,776</w:t>
            </w:r>
          </w:p>
        </w:tc>
        <w:tc>
          <w:tcPr>
            <w:tcW w:w="212" w:type="dxa"/>
            <w:tcBorders/>
            <w:shd w:fill="FFFFFF" w:val="clear"/>
            <w:vAlign w:val="center"/>
          </w:tcPr>
          <w:p>
            <w:pPr>
              <w:pStyle w:val="TableContents"/>
              <w:bidi w:val="0"/>
              <w:spacing w:before="0" w:after="283"/>
              <w:jc w:val="left"/>
              <w:rPr/>
            </w:pPr>
            <w:r>
              <w:rPr/>
              <w:t> </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50,516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Issuance of restricted stock purchase agreement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356,718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(115,089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(115,089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Balance at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138,102,755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2,069,246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(1,574,330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495,051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1,208</w:t>
            </w:r>
          </w:p>
        </w:tc>
        <w:tc>
          <w:tcPr>
            <w:tcW w:w="212" w:type="dxa"/>
            <w:tcBorders/>
            <w:shd w:fill="CFF0FC" w:val="clear"/>
            <w:vAlign w:val="center"/>
          </w:tcPr>
          <w:p>
            <w:pPr>
              <w:pStyle w:val="TableContents"/>
              <w:bidi w:val="0"/>
              <w:spacing w:before="0" w:after="283"/>
              <w:jc w:val="left"/>
              <w:rPr/>
            </w:pPr>
            <w:r>
              <w:rPr/>
              <w:t> </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51,308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(51,127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(51,127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Balance at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138,154,063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2,070,454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(1,625,457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445,132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4"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r>
      <w:tr>
        <w:trPr/>
        <w:tc>
          <w:tcPr>
            <w:tcW w:w="3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4"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3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138,201,903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2,075,798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(1,600,692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475,241</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2,041</w:t>
            </w:r>
          </w:p>
        </w:tc>
        <w:tc>
          <w:tcPr>
            <w:tcW w:w="212" w:type="dxa"/>
            <w:tcBorders/>
            <w:shd w:fill="FFFFFF" w:val="clear"/>
            <w:vAlign w:val="center"/>
          </w:tcPr>
          <w:p>
            <w:pPr>
              <w:pStyle w:val="TableContents"/>
              <w:bidi w:val="0"/>
              <w:spacing w:before="0" w:after="283"/>
              <w:jc w:val="left"/>
              <w:rPr/>
            </w:pPr>
            <w:r>
              <w:rPr/>
              <w:t> </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600,108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(75,044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(75,044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138,802,011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2,077,839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(1,675,736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402,238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2,316</w:t>
            </w:r>
          </w:p>
        </w:tc>
        <w:tc>
          <w:tcPr>
            <w:tcW w:w="212" w:type="dxa"/>
            <w:tcBorders/>
            <w:shd w:fill="FFFFFF" w:val="clear"/>
            <w:vAlign w:val="center"/>
          </w:tcPr>
          <w:p>
            <w:pPr>
              <w:pStyle w:val="TableContents"/>
              <w:bidi w:val="0"/>
              <w:spacing w:before="0" w:after="283"/>
              <w:jc w:val="left"/>
              <w:rPr/>
            </w:pPr>
            <w:r>
              <w:rPr/>
              <w:t> </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847,279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(66,318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(66,318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Balance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139,649,290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2,080,155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(1,742,054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338,236</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shd w:fill="FFFFFF"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2,891</w:t>
            </w:r>
          </w:p>
        </w:tc>
        <w:tc>
          <w:tcPr>
            <w:tcW w:w="212" w:type="dxa"/>
            <w:tcBorders/>
            <w:shd w:fill="FFFFFF" w:val="clear"/>
            <w:vAlign w:val="center"/>
          </w:tcPr>
          <w:p>
            <w:pPr>
              <w:pStyle w:val="TableContents"/>
              <w:bidi w:val="0"/>
              <w:spacing w:before="0" w:after="283"/>
              <w:jc w:val="left"/>
              <w:rPr/>
            </w:pPr>
            <w:r>
              <w:rPr/>
              <w:t> </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103,568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3093" w:type="dxa"/>
            <w:tcBorders/>
            <w:shd w:fill="FFFFFF"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(82,857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(82,857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r>
      <w:tr>
        <w:trPr/>
        <w:tc>
          <w:tcPr>
            <w:tcW w:w="3093" w:type="dxa"/>
            <w:tcBorders/>
            <w:shd w:fill="CFF0FC" w:val="cle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139,752,858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2,083,046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(1,824,911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8"/>
              </w:rPr>
            </w:pPr>
            <w:r>
              <w:rPr>
                <w:rFonts w:ascii="Arial" w:hAnsi="Arial"/>
                <w:b w:val="false"/>
                <w:color w:val="000000"/>
                <w:sz w:val="18"/>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258,270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val="false"/>
          <w:i/>
          <w:color w:val="000000"/>
          <w:sz w:val="20"/>
        </w:rPr>
        <w:t>See accompanying</w:t>
      </w:r>
      <w:r>
        <w:rPr>
          <w:rFonts w:ascii="Times New Roman" w:hAnsi="Times New Roman"/>
          <w:color w:val="000000"/>
          <w:sz w:val="20"/>
        </w:rPr>
        <w:t xml:space="preserve"> </w:t>
      </w:r>
      <w:r>
        <w:rPr>
          <w:rFonts w:ascii="Arial" w:hAnsi="Arial"/>
          <w:b w:val="false"/>
          <w:i/>
          <w:color w:val="000000"/>
          <w:sz w:val="20"/>
        </w:rPr>
        <w:t>notes to these unaudited condensed consolidated financial statements</w:t>
      </w:r>
      <w:r>
        <w:rPr>
          <w:rFonts w:ascii="Arial" w:hAnsi="Arial"/>
          <w:b w:val="false"/>
          <w:color w:val="000000"/>
          <w:sz w:val="20"/>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8" w:name="scf"/>
      <w:bookmarkEnd w:id="8"/>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8639" w:type="dxa"/>
        <w:jc w:val="left"/>
        <w:tblInd w:w="0" w:type="dxa"/>
        <w:tblLayout w:type="fixed"/>
        <w:tblCellMar>
          <w:top w:w="28" w:type="dxa"/>
          <w:left w:w="28" w:type="dxa"/>
          <w:bottom w:w="28" w:type="dxa"/>
          <w:right w:w="28" w:type="dxa"/>
        </w:tblCellMar>
      </w:tblPr>
      <w:tblGrid>
        <w:gridCol w:w="5941"/>
        <w:gridCol w:w="146"/>
        <w:gridCol w:w="196"/>
        <w:gridCol w:w="751"/>
        <w:gridCol w:w="166"/>
        <w:gridCol w:w="146"/>
        <w:gridCol w:w="196"/>
        <w:gridCol w:w="886"/>
        <w:gridCol w:w="2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(224,219</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(476,675</w:t>
            </w:r>
          </w:p>
        </w:tc>
        <w:tc>
          <w:tcPr>
            <w:tcW w:w="21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Impairment charges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206,127</w:t>
            </w:r>
          </w:p>
        </w:tc>
        <w:tc>
          <w:tcPr>
            <w:tcW w:w="2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Gain on debt extinguishment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(19,640</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(37,917</w:t>
            </w:r>
          </w:p>
        </w:tc>
        <w:tc>
          <w:tcPr>
            <w:tcW w:w="21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32,421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28,005</w:t>
            </w:r>
          </w:p>
        </w:tc>
        <w:tc>
          <w:tcPr>
            <w:tcW w:w="2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Amortization of debt issuance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3,418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3,777</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Realized gains on securitization transactions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(45,589</w:t>
            </w:r>
          </w:p>
        </w:tc>
        <w:tc>
          <w:tcPr>
            <w:tcW w:w="21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Deferred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(23,855</w:t>
            </w:r>
          </w:p>
        </w:tc>
        <w:tc>
          <w:tcPr>
            <w:tcW w:w="21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Losses on finance receivables and securitization debt,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80,246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39,464</w:t>
            </w:r>
          </w:p>
        </w:tc>
        <w:tc>
          <w:tcPr>
            <w:tcW w:w="2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7,248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6,613</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Provision to record inventory at lower of cost or net realizable value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(15,867</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(5,033</w:t>
            </w:r>
          </w:p>
        </w:tc>
        <w:tc>
          <w:tcPr>
            <w:tcW w:w="21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Provision for bad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18,448</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Provision to record finance receivables held for sale at lower of cost or fair value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3,831</w:t>
            </w:r>
          </w:p>
        </w:tc>
        <w:tc>
          <w:tcPr>
            <w:tcW w:w="2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Amortization of unearned discounts on finance receivables at fair value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(20,273</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(12,121</w:t>
            </w:r>
          </w:p>
        </w:tc>
        <w:tc>
          <w:tcPr>
            <w:tcW w:w="21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Other,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(11,792</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(5,441</w:t>
            </w:r>
          </w:p>
        </w:tc>
        <w:tc>
          <w:tcPr>
            <w:tcW w:w="21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Finance receivables, held for sale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Originations of finance receivables held for sale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(420,793</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(483,167</w:t>
            </w:r>
          </w:p>
        </w:tc>
        <w:tc>
          <w:tcPr>
            <w:tcW w:w="21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Principal payments received on finance receivables held for sale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71,906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38,297</w:t>
            </w:r>
          </w:p>
        </w:tc>
        <w:tc>
          <w:tcPr>
            <w:tcW w:w="2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Proceeds from sale of finance receivables held for sale,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509,612</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Other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(868</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(5,924</w:t>
            </w:r>
          </w:p>
        </w:tc>
        <w:tc>
          <w:tcPr>
            <w:tcW w:w="21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Accounts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3,950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63,252</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Inventory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95,839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293,589</w:t>
            </w:r>
          </w:p>
        </w:tc>
        <w:tc>
          <w:tcPr>
            <w:tcW w:w="2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17,316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12,420</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2,097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(2,678</w:t>
            </w:r>
          </w:p>
        </w:tc>
        <w:tc>
          <w:tcPr>
            <w:tcW w:w="21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(7,422</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(22,183</w:t>
            </w:r>
          </w:p>
        </w:tc>
        <w:tc>
          <w:tcPr>
            <w:tcW w:w="21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(19,914</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(27,020</w:t>
            </w:r>
          </w:p>
        </w:tc>
        <w:tc>
          <w:tcPr>
            <w:tcW w:w="21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Deferred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1,832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(59,490</w:t>
            </w:r>
          </w:p>
        </w:tc>
        <w:tc>
          <w:tcPr>
            <w:tcW w:w="21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Other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(39,444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(425,631</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(23,102</w:t>
            </w:r>
          </w:p>
        </w:tc>
        <w:tc>
          <w:tcPr>
            <w:tcW w:w="21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5941" w:type="dxa"/>
            <w:tcBorders/>
            <w:shd w:fill="CFF0FC"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Finance receivables at fair value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Purchases of finance receivables at fair value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(3,392</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(49,475</w:t>
            </w:r>
          </w:p>
        </w:tc>
        <w:tc>
          <w:tcPr>
            <w:tcW w:w="21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Principal payments received on finance receivables at fair value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136,644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106,829</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Proceeds from sale of finance receivables at fair value,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43,262</w:t>
            </w:r>
          </w:p>
        </w:tc>
        <w:tc>
          <w:tcPr>
            <w:tcW w:w="2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Consolidation of VIEs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11,409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Principal payments received on beneficial interests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5,571</w:t>
            </w:r>
          </w:p>
        </w:tc>
        <w:tc>
          <w:tcPr>
            <w:tcW w:w="2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(11,553</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(19,968</w:t>
            </w:r>
          </w:p>
        </w:tc>
        <w:tc>
          <w:tcPr>
            <w:tcW w:w="21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6"/>
              </w:rPr>
              <w:t>Acquisition of business, net of cash acquired of $47.9</w:t>
            </w:r>
            <w:r>
              <w:rPr>
                <w:rFonts w:ascii="Times New Roman" w:hAnsi="Times New Roman"/>
                <w:color w:val="000000"/>
                <w:sz w:val="20"/>
              </w:rPr>
              <w:t> </w:t>
            </w:r>
            <w:r>
              <w:rPr>
                <w:rFonts w:ascii="Arial" w:hAnsi="Arial"/>
                <w:b w:val="false"/>
                <w:color w:val="000000"/>
                <w:sz w:val="16"/>
              </w:rPr>
              <w:t>million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(267,488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137,442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(181,269</w:t>
            </w:r>
          </w:p>
        </w:tc>
        <w:tc>
          <w:tcPr>
            <w:tcW w:w="21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Proceeds from borrowings under secured financing agreements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261,991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Principal repayment under secured financing agreements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(159,384</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(176,909</w:t>
            </w:r>
          </w:p>
        </w:tc>
        <w:tc>
          <w:tcPr>
            <w:tcW w:w="21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Proceeds from financing of 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24,506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Principal repayments of financing of beneficial interests in securitizations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(5,699</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Proceeds from vehicle floorplan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436,586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1,286,000</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Repayments of vehicle floorplan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(501,088</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(1,453,529</w:t>
            </w:r>
          </w:p>
        </w:tc>
        <w:tc>
          <w:tcPr>
            <w:tcW w:w="21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Proceeds from warehouse credit facilities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332,700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419,000</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Repayments of warehouse credit facilities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(269,698</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(460,566</w:t>
            </w:r>
          </w:p>
        </w:tc>
        <w:tc>
          <w:tcPr>
            <w:tcW w:w="21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Repurchases of convertible senior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(13,194</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(18,458</w:t>
            </w:r>
          </w:p>
        </w:tc>
        <w:tc>
          <w:tcPr>
            <w:tcW w:w="21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Other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(1,977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105,258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(406,439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(182,931</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(610,810</w:t>
            </w:r>
          </w:p>
        </w:tc>
        <w:tc>
          <w:tcPr>
            <w:tcW w:w="21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594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Cash, cash equivalents and restricted cash at the beginning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472,010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1,214,775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Cash, cash equivalents and restricted cash at the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289,079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603,965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b w:val="false"/>
          <w:i/>
          <w:color w:val="000000"/>
          <w:sz w:val="20"/>
        </w:rPr>
        <w:t>(Continued on following page)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CONDENSED CONSOLIDATED STATEMENTS OF CASH FLOWS (continued)</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8974" w:type="dxa"/>
        <w:jc w:val="left"/>
        <w:tblInd w:w="0" w:type="dxa"/>
        <w:tblLayout w:type="fixed"/>
        <w:tblCellMar>
          <w:top w:w="28" w:type="dxa"/>
          <w:left w:w="28" w:type="dxa"/>
          <w:bottom w:w="28" w:type="dxa"/>
          <w:right w:w="28" w:type="dxa"/>
        </w:tblCellMar>
      </w:tblPr>
      <w:tblGrid>
        <w:gridCol w:w="6661"/>
        <w:gridCol w:w="146"/>
        <w:gridCol w:w="196"/>
        <w:gridCol w:w="691"/>
        <w:gridCol w:w="146"/>
        <w:gridCol w:w="146"/>
        <w:gridCol w:w="196"/>
        <w:gridCol w:w="601"/>
        <w:gridCol w:w="191"/>
      </w:tblGrid>
      <w:tr>
        <w:trPr/>
        <w:tc>
          <w:tcPr>
            <w:tcW w:w="6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6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666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Cash paid for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40,424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24,619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Cash paid for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2,062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disclosure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66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Finance receivables from consolidation of 2022-2 securitization transaction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180,706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Elimination of beneficial interest from the consolidation of 2022-2 securitization transaction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9,811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Securitization debt from consolidation of 2022-2 securitization transaction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186,386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Reclassification of finance receivables held for sale to finance receivables at fair value,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248,081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Fair value of beneficial interests received in securitization transactions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30,082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b w:val="false"/>
          <w:i/>
          <w:color w:val="000000"/>
          <w:sz w:val="20"/>
        </w:rPr>
        <w:t>See accompanying</w:t>
      </w:r>
      <w:r>
        <w:rPr>
          <w:rFonts w:ascii="Times New Roman" w:hAnsi="Times New Roman"/>
          <w:color w:val="000000"/>
          <w:sz w:val="20"/>
        </w:rPr>
        <w:t xml:space="preserve"> </w:t>
      </w:r>
      <w:r>
        <w:rPr>
          <w:rFonts w:ascii="Arial" w:hAnsi="Arial"/>
          <w:b w:val="false"/>
          <w:i/>
          <w:color w:val="000000"/>
          <w:sz w:val="20"/>
        </w:rPr>
        <w:t>notes to these unaudited condensed consolidated financial statements</w:t>
      </w:r>
      <w:r>
        <w:rPr>
          <w:rFonts w:ascii="Arial" w:hAnsi="Arial"/>
          <w:b w:val="false"/>
          <w:color w:val="000000"/>
          <w:sz w:val="20"/>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bookmarkStart w:id="9" w:name="notes_financial_statements"/>
      <w:bookmarkEnd w:id="9"/>
      <w:r>
        <w:rPr>
          <w:rFonts w:ascii="Arial" w:hAnsi="Arial"/>
          <w:b/>
          <w:color w:val="000000"/>
          <w:sz w:val="20"/>
        </w:rPr>
        <w:t>1. Description of Business and Basis of Presentation</w:t>
      </w:r>
    </w:p>
    <w:p>
      <w:pPr>
        <w:pStyle w:val="TextBody"/>
        <w:bidi w:val="0"/>
        <w:jc w:val="left"/>
        <w:rPr>
          <w:rFonts w:ascii="Times New Roman" w:hAnsi="Times New Roman"/>
          <w:sz w:val="20"/>
        </w:rPr>
      </w:pPr>
      <w:r>
        <w:rPr>
          <w:rFonts w:ascii="Arial" w:hAnsi="Arial"/>
          <w:b/>
          <w:i/>
          <w:color w:val="000000"/>
          <w:sz w:val="20"/>
        </w:rPr>
        <w:t>Description of Business and Organization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Vroom, Inc., and its wholly owned subsidiaries (collectively, “the Company”) is an innovative, end-to-end ecommerce platform that is transforming the used vehicle industry by offering a better way to buy and a better way to sell used vehicles.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is the primary operating entity for the Company's purchases and sales of used vehicles. In January 2021, the Company acquired Vast Holdings, Inc. (d/b/a CarStory). On February 1,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is organized into three</w:t>
      </w:r>
      <w:r>
        <w:rPr>
          <w:rFonts w:ascii="Times New Roman" w:hAnsi="Times New Roman"/>
          <w:color w:val="000000"/>
          <w:sz w:val="20"/>
        </w:rPr>
        <w:t xml:space="preserve"> </w:t>
      </w:r>
      <w:r>
        <w:rPr>
          <w:rFonts w:ascii="Arial" w:hAnsi="Arial"/>
          <w:b w:val="false"/>
          <w:color w:val="000000"/>
          <w:sz w:val="20"/>
        </w:rPr>
        <w:t>reportable segments: Ecommerce, Wholesale, and Retail Financing. The Ecommerce reportable segment represents retail sales of used vehicles through the Company’s ecommerce platform, revenue earned on vehicle financing originated by UACC or the Company's third-party financing sources and sales of value-added products associated with those vehicles sales. The Wholesale reportable segment represents sales of used vehicles through wholesale channels. The Retail Financing reportable segment represents UACC’s operations with its network of third-party dealership customers, which primarily consists of the purchases and servicing of vehicle installment contracts, but excluding financing of vehicle sales to Vroom customers.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was incorporated in Delaware on January 31, 2012 under the name BCM Partners III, Corp. On June 25, 2013, the Company changed its name to Auto America, Inc. and on July 9, 2015, the Company changed its name to Vroom, Inc.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2022,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Annual Report on Form 10-K for the year ended December 31, 2022.</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September 30, 2023 and its results of operations for the three and nine months ended September 30, 2023 and 2022. The results for the three and nine months ended September 30, 2023</w:t>
      </w:r>
      <w:r>
        <w:rPr>
          <w:rFonts w:ascii="Times New Roman" w:hAnsi="Times New Roman"/>
          <w:color w:val="000000"/>
          <w:sz w:val="20"/>
        </w:rPr>
        <w:t xml:space="preserve"> </w:t>
      </w:r>
      <w:r>
        <w:rPr>
          <w:rFonts w:ascii="Arial" w:hAnsi="Arial"/>
          <w:b w:val="false"/>
          <w:color w:val="000000"/>
          <w:sz w:val="20"/>
        </w:rPr>
        <w:t>are not necessarily indicative of the results expected for the current fiscal year or any other future periods. Certain prior year amounts have been reclassified to conform to the current year presentation.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Principles of Consolidation</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accompanying condensed consolidated financial statements include the accounts of the Company and its wholly owned subsidiaries. All intercompany accounts and transactions have been eliminated in consolidation.</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preparation of condensed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and useful lives of property and equipment and intangible assets. The Company bases its estimates on historical experience, market conditions, and on various other assumptions that are believed to be reasonable. Actual results may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Comprehensive Loss</w:t>
      </w:r>
    </w:p>
    <w:p>
      <w:pPr>
        <w:pStyle w:val="TextBody"/>
        <w:bidi w:val="0"/>
        <w:jc w:val="left"/>
        <w:rPr>
          <w:rFonts w:ascii="Times New Roman" w:hAnsi="Times New Roman"/>
          <w:sz w:val="20"/>
        </w:rPr>
      </w:pPr>
      <w:r>
        <w:rPr>
          <w:rFonts w:ascii="Arial" w:hAnsi="Arial"/>
          <w:b w:val="false"/>
          <w:color w:val="000000"/>
          <w:sz w:val="20"/>
        </w:rPr>
        <w:t>The Company did not have any other comprehensive income or loss for the three and nine months ended September 30, 2023 and 2022. Accordingly, net loss and comprehensive loss are the same for the periods presented.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Restricted Cash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Restricted cash primarily includes cash deposits required under the Company’s 2022 Vehicle Floorplan Facility as explained in Note 10 – Vehicle Floorplan Facility and UACC restricted cash. UACC collects and services receivables under the securitization transactions and warehouse credit facilities. These collections are restricted for use until properly remitted each month under the terms of the servicing agreement. Refer to Note 11 — Warehouse Credit Facilities of Consolidated VIEs and Note 12 — Long Term Debt for further detail.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Finance Receivables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Finance receivables consist of installment contracts the Company originates through UACC to finance the vehicles it sells, as well as installment contracts acquired by UACC from its existing network of third-party dealership customers.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Company's finance receivables are generally secured by the vehicles being financed.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 xml:space="preserve">Finance receivables over 90 days delinquent are considered nonaccrual finance receivables. Interest income is subsequently recognized only to the extent cash payments are received. Finance receivables may be restored to accrual status when a customer settles all delinquency balances and future interest and principal payments are reasonably assured. </w:t>
        <w:br/>
        <w:br/>
      </w:r>
      <w:r>
        <w:rPr>
          <w:rFonts w:ascii="Arial" w:hAnsi="Arial"/>
          <w:b/>
          <w:i/>
          <w:color w:val="000000"/>
          <w:sz w:val="20"/>
        </w:rPr>
        <w:t>Finance Receivables Held for Sale, Net</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Finance receivables that the Company intends to sell and not hold to maturity are classified as held-for-sale. The Company intends to sell finance receivables either through securitization transactions or forward flow arrangements. Finance receivables classified as held for sale are recorded at the lower of cost or fair value. Deferred acquisition costs and any discounts or premiums are deferred until the finance receivables are sold and are then recognized as part of the total gain or loss on sale and recorded in “Finance Revenue” and "Product, net" in the condensed consolidated statements of operations. Refer to Note 3 – Revenue Recognition.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records a valuation allowance to report finance receivables at the lower of amortized cost basis or fair value. To determine the valuation allowance, finance receivables are evaluated collectively as they represent a large group of smaller-balance homogeneous loans. To the extent that actual experience differs from estimates, significant adjustments to the Company's valuation allowance may be needed. Fair value adjustments are recorded in "Other loss, net" in the condensed consolidated statements of operations. Principal balances of finance receivables are charged-off when the Company is unable to sell the finance receivable and the related vehicle has been repossessed and liquidated or the receivable has otherwise been deemed uncollectible. As of September 30, 2023 and December 31, 2022,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valuation allowance for finance receivables classified as held for sale was $15.3</w:t>
      </w:r>
      <w:r>
        <w:rPr>
          <w:rFonts w:ascii="Times New Roman" w:hAnsi="Times New Roman"/>
          <w:color w:val="000000"/>
          <w:sz w:val="20"/>
        </w:rPr>
        <w:t xml:space="preserve"> </w:t>
      </w:r>
      <w:r>
        <w:rPr>
          <w:rFonts w:ascii="Arial" w:hAnsi="Arial"/>
          <w:b w:val="false"/>
          <w:color w:val="000000"/>
          <w:sz w:val="20"/>
        </w:rPr>
        <w:t>million and $10.5</w:t>
      </w:r>
      <w:r>
        <w:rPr>
          <w:rFonts w:ascii="Times New Roman" w:hAnsi="Times New Roman"/>
          <w:color w:val="000000"/>
          <w:sz w:val="20"/>
        </w:rPr>
        <w:t xml:space="preserve"> </w:t>
      </w:r>
      <w:r>
        <w:rPr>
          <w:rFonts w:ascii="Arial" w:hAnsi="Arial"/>
          <w:b w:val="false"/>
          <w:color w:val="000000"/>
          <w:sz w:val="20"/>
        </w:rPr>
        <w:t>million, respectively. Refer to Note 16 – Financial Instruments and Fair Value Measurements.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20"/>
        </w:rPr>
        <w:br/>
      </w:r>
      <w:r>
        <w:rPr>
          <w:rFonts w:ascii="Arial" w:hAnsi="Arial"/>
          <w:b/>
          <w:i/>
          <w:color w:val="000000"/>
          <w:sz w:val="20"/>
        </w:rPr>
        <w:t>Finance Receivables at Fair Value</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Finance receivables at fair value represent finance receivables that the Company does not intend to sell in the immediate future and for which the fair value option was elected. Fair value adjustments are recorded in "Other loss, net" in the condensed consolidated statements of operations. Refer to Note 16 – Financial Instruments and 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Consolidated CFEs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 xml:space="preserve">The Company elected the fair value option upon consolidation of the assets and liabilities of its variable interest entities ("VIEs") related to the 2021-1, 2022-2, and 2023-1 securitization transactions. Refer to Note 4 – Variable Interest Entities and Securitizations. These VIEs are consolidated collateralized financing entities (CFEs) and are accounted for using the measurement alternative in accordance with ASU 2014-13, </w:t>
      </w:r>
      <w:r>
        <w:rPr>
          <w:rFonts w:ascii="Arial" w:hAnsi="Arial"/>
          <w:b w:val="false"/>
          <w:i/>
          <w:color w:val="000000"/>
          <w:sz w:val="20"/>
        </w:rPr>
        <w:t>Measuring the Financial Assets and Liabilities of a Consolidated Collateralized Financing Entity</w:t>
      </w:r>
      <w:r>
        <w:rPr>
          <w:rFonts w:ascii="Times New Roman" w:hAnsi="Times New Roman"/>
          <w:color w:val="000000"/>
          <w:sz w:val="20"/>
        </w:rPr>
        <w:t xml:space="preserve"> </w:t>
      </w:r>
      <w:r>
        <w:rPr>
          <w:rFonts w:ascii="Arial" w:hAnsi="Arial"/>
          <w:b w:val="false"/>
          <w:color w:val="000000"/>
          <w:sz w:val="20"/>
        </w:rPr>
        <w:t>(“ASU 2014-13"). During the three and nine months ended September 30, 2023 and 2022, the Company recognized the following revenue and expenses associated with these CFEs in the condensed consolidated statements of operations:</w:t>
      </w:r>
    </w:p>
    <w:p>
      <w:pPr>
        <w:pStyle w:val="TextBody"/>
        <w:bidi w:val="0"/>
        <w:jc w:val="left"/>
        <w:rPr/>
      </w:pPr>
      <w:r>
        <w:rPr/>
        <w:t> </w:t>
      </w:r>
    </w:p>
    <w:tbl>
      <w:tblPr>
        <w:tblW w:w="7032" w:type="dxa"/>
        <w:jc w:val="left"/>
        <w:tblInd w:w="0" w:type="dxa"/>
        <w:tblLayout w:type="fixed"/>
        <w:tblCellMar>
          <w:top w:w="28" w:type="dxa"/>
          <w:left w:w="28" w:type="dxa"/>
          <w:bottom w:w="28" w:type="dxa"/>
          <w:right w:w="28" w:type="dxa"/>
        </w:tblCellMar>
      </w:tblPr>
      <w:tblGrid>
        <w:gridCol w:w="1996"/>
        <w:gridCol w:w="146"/>
        <w:gridCol w:w="211"/>
        <w:gridCol w:w="751"/>
        <w:gridCol w:w="166"/>
        <w:gridCol w:w="146"/>
        <w:gridCol w:w="211"/>
        <w:gridCol w:w="646"/>
        <w:gridCol w:w="166"/>
        <w:gridCol w:w="146"/>
        <w:gridCol w:w="211"/>
        <w:gridCol w:w="751"/>
        <w:gridCol w:w="166"/>
        <w:gridCol w:w="146"/>
        <w:gridCol w:w="211"/>
        <w:gridCol w:w="751"/>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22,936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62,704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35,039</w:t>
            </w:r>
          </w:p>
        </w:tc>
        <w:tc>
          <w:tcPr>
            <w:tcW w:w="21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9,172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 cost of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(5,246</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(937</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(14,075</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(2,941</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9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(917</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(2,518</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loss,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(23,709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(3,479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(47,919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(15,798</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assets and liabilities of the CFEs are presented as part of the current and noncurrent “Finance receivables at fair value”, “Current portion of long term debt”, and "Long term debt, net of current portion", respectively, on the condensed consolidated balance sheets. Refer to Note 4 – Variable Interest Entities and Securitizations and</w:t>
      </w:r>
      <w:r>
        <w:rPr>
          <w:rFonts w:ascii="Times New Roman" w:hAnsi="Times New Roman"/>
          <w:color w:val="000000"/>
          <w:sz w:val="20"/>
        </w:rPr>
        <w:t xml:space="preserve"> </w:t>
      </w:r>
      <w:r>
        <w:rPr>
          <w:rFonts w:ascii="Arial" w:hAnsi="Arial"/>
          <w:b w:val="false"/>
          <w:color w:val="000000"/>
          <w:sz w:val="20"/>
        </w:rPr>
        <w:t>Note 16 – Financial Instruments and Fair Value Measurements for further details.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Business Combinations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w:t>
      </w:r>
      <w:r>
        <w:rPr>
          <w:rFonts w:ascii="Times New Roman" w:hAnsi="Times New Roman"/>
          <w:color w:val="000000"/>
          <w:sz w:val="20"/>
        </w:rPr>
        <w:t xml:space="preserve"> </w:t>
      </w:r>
      <w:r>
        <w:rPr>
          <w:rFonts w:ascii="Arial" w:hAnsi="Arial"/>
          <w:b w:val="false"/>
          <w:color w:val="000000"/>
          <w:sz w:val="20"/>
        </w:rPr>
        <w:t>from the acquisition date, the Company may record adjustments to the fair value of these tangible and intangible assets acquired and liabilities assumed, with the corresponding offset to goodwill. The Company will continue to collect information and reevaluate these estimates and assumptions quarterly and record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will be recorded to the Company’s condensed consolidated statement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Advertising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Advertising costs are expensed as incurred and are included within “Selling, general and administrative expenses” in the condensed consolidated statements of operations. Advertising expenses were $13.4</w:t>
      </w:r>
      <w:r>
        <w:rPr>
          <w:rFonts w:ascii="Arial" w:hAnsi="Arial"/>
          <w:color w:val="000000"/>
          <w:sz w:val="20"/>
        </w:rPr>
        <w:t xml:space="preserve"> </w:t>
      </w:r>
      <w:r>
        <w:rPr>
          <w:rFonts w:ascii="Arial" w:hAnsi="Arial"/>
          <w:b w:val="false"/>
          <w:color w:val="000000"/>
          <w:sz w:val="20"/>
        </w:rPr>
        <w:t>million and $14.9</w:t>
      </w:r>
      <w:r>
        <w:rPr>
          <w:rFonts w:ascii="Arial" w:hAnsi="Arial"/>
          <w:color w:val="000000"/>
          <w:sz w:val="20"/>
        </w:rPr>
        <w:t xml:space="preserve"> </w:t>
      </w:r>
      <w:r>
        <w:rPr>
          <w:rFonts w:ascii="Arial" w:hAnsi="Arial"/>
          <w:b w:val="false"/>
          <w:color w:val="000000"/>
          <w:sz w:val="20"/>
        </w:rPr>
        <w:t>million for the three months ended September 30, 2023 and 2022, respectively, and $39.9</w:t>
      </w:r>
      <w:r>
        <w:rPr>
          <w:rFonts w:ascii="Arial" w:hAnsi="Arial"/>
          <w:color w:val="000000"/>
          <w:sz w:val="20"/>
        </w:rPr>
        <w:t xml:space="preserve"> </w:t>
      </w:r>
      <w:r>
        <w:rPr>
          <w:rFonts w:ascii="Arial" w:hAnsi="Arial"/>
          <w:b w:val="false"/>
          <w:color w:val="000000"/>
          <w:sz w:val="20"/>
        </w:rPr>
        <w:t>million and $69.8</w:t>
      </w:r>
      <w:r>
        <w:rPr>
          <w:rFonts w:ascii="Arial" w:hAnsi="Arial"/>
          <w:color w:val="000000"/>
          <w:sz w:val="20"/>
        </w:rPr>
        <w:t xml:space="preserve"> </w:t>
      </w:r>
      <w:r>
        <w:rPr>
          <w:rFonts w:ascii="Arial" w:hAnsi="Arial"/>
          <w:b w:val="false"/>
          <w:color w:val="000000"/>
          <w:sz w:val="20"/>
        </w:rPr>
        <w:t>million for the nine months ended September 30, 2023 and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Shipping and Handling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Logistics costs related to inbound transportation from the point of acquisition to the relevant reconditioning facility are included in cost of sales when the related used vehicle is sold. Logistics costs not included in cost of sales are accounted for as costs to fulfill contracts with customers and are included in “Selling, general and administrative expenses” in the condensed consolidated statements of operations and were $2.2</w:t>
      </w:r>
      <w:r>
        <w:rPr>
          <w:rFonts w:ascii="Arial" w:hAnsi="Arial"/>
          <w:color w:val="000000"/>
          <w:sz w:val="20"/>
        </w:rPr>
        <w:t xml:space="preserve"> </w:t>
      </w:r>
      <w:r>
        <w:rPr>
          <w:rFonts w:ascii="Arial" w:hAnsi="Arial"/>
          <w:b w:val="false"/>
          <w:color w:val="000000"/>
          <w:sz w:val="20"/>
        </w:rPr>
        <w:t>million and $4.9</w:t>
      </w:r>
      <w:r>
        <w:rPr>
          <w:rFonts w:ascii="Arial" w:hAnsi="Arial"/>
          <w:color w:val="000000"/>
          <w:sz w:val="20"/>
        </w:rPr>
        <w:t xml:space="preserve"> </w:t>
      </w:r>
      <w:r>
        <w:rPr>
          <w:rFonts w:ascii="Arial" w:hAnsi="Arial"/>
          <w:b w:val="false"/>
          <w:color w:val="000000"/>
          <w:sz w:val="20"/>
        </w:rPr>
        <w:t>million for the three months ended September 30, 2023 and 2022, respectively, and $6.3</w:t>
      </w:r>
      <w:r>
        <w:rPr>
          <w:rFonts w:ascii="Arial" w:hAnsi="Arial"/>
          <w:color w:val="000000"/>
          <w:sz w:val="20"/>
        </w:rPr>
        <w:t xml:space="preserve"> </w:t>
      </w:r>
      <w:r>
        <w:rPr>
          <w:rFonts w:ascii="Arial" w:hAnsi="Arial"/>
          <w:b w:val="false"/>
          <w:color w:val="000000"/>
          <w:sz w:val="20"/>
        </w:rPr>
        <w:t>million and $39.9</w:t>
      </w:r>
      <w:r>
        <w:rPr>
          <w:rFonts w:ascii="Arial" w:hAnsi="Arial"/>
          <w:color w:val="000000"/>
          <w:sz w:val="20"/>
        </w:rPr>
        <w:t xml:space="preserve"> </w:t>
      </w:r>
      <w:r>
        <w:rPr>
          <w:rFonts w:ascii="Arial" w:hAnsi="Arial"/>
          <w:b w:val="false"/>
          <w:color w:val="000000"/>
          <w:sz w:val="20"/>
        </w:rPr>
        <w:t>million for the nine months ended September 30, 2023 and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Concentration of Credit Risk and Significant Customers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Company’s principal financial instruments subject to potential concentration of credit risk are cash and cash equivalents and accounts receivable, which are unsecured.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and commercial paper investments. Concentration of credit risk with respect to accounts receivable is generally mitigated by a large customer base.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For the three and nine months ended September 30, 2023 and 2022, no customer represented 10% or more of the Company’s revenues and no customer represented more than 10% of the Company’s accounts receivable as of September 30, 2023 and December 31,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has had negative cash flows and generated losses from operations since inception and has historically had to rely on debt and equity financing to fund its operations. Further, the Company expects to incur additional losses in the future.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20"/>
        </w:rPr>
        <w:t>As of September 30, 2023, the Company had cash and cash equivalents of $208.6</w:t>
      </w:r>
      <w:r>
        <w:rPr>
          <w:rFonts w:ascii="Times New Roman" w:hAnsi="Times New Roman"/>
          <w:color w:val="000000"/>
          <w:sz w:val="20"/>
        </w:rPr>
        <w:t xml:space="preserve"> </w:t>
      </w:r>
      <w:r>
        <w:rPr>
          <w:rFonts w:ascii="Arial" w:hAnsi="Arial"/>
          <w:b w:val="false"/>
          <w:color w:val="000000"/>
          <w:sz w:val="20"/>
        </w:rPr>
        <w:t>million and restricted cash of $80.5</w:t>
      </w:r>
      <w:r>
        <w:rPr>
          <w:rFonts w:ascii="Times New Roman" w:hAnsi="Times New Roman"/>
          <w:color w:val="000000"/>
          <w:sz w:val="20"/>
        </w:rPr>
        <w:t xml:space="preserve"> </w:t>
      </w:r>
      <w:r>
        <w:rPr>
          <w:rFonts w:ascii="Arial" w:hAnsi="Arial"/>
          <w:b w:val="false"/>
          <w:color w:val="000000"/>
          <w:sz w:val="20"/>
        </w:rPr>
        <w:t>million. The primary source of liquidity is cash generated through financing activities.</w:t>
      </w:r>
    </w:p>
    <w:p>
      <w:pPr>
        <w:pStyle w:val="TextBody"/>
        <w:bidi w:val="0"/>
        <w:jc w:val="left"/>
        <w:rPr>
          <w:rFonts w:ascii="Times New Roman" w:hAnsi="Times New Roman"/>
          <w:sz w:val="20"/>
        </w:rPr>
      </w:pPr>
      <w:r>
        <w:rPr>
          <w:rFonts w:ascii="Arial" w:hAnsi="Arial"/>
          <w:b w:val="false"/>
          <w:color w:val="000000"/>
          <w:sz w:val="20"/>
        </w:rPr>
        <w:t>Since inception, the Company has relied on borrowings under its vehicle floorplan facilities to finance its inventory. The term of the vehicle floorplan facility generally matures within one</w:t>
      </w:r>
      <w:r>
        <w:rPr>
          <w:rFonts w:ascii="Times New Roman" w:hAnsi="Times New Roman"/>
          <w:color w:val="000000"/>
          <w:sz w:val="20"/>
        </w:rPr>
        <w:t xml:space="preserve"> </w:t>
      </w:r>
      <w:r>
        <w:rPr>
          <w:rFonts w:ascii="Arial" w:hAnsi="Arial"/>
          <w:b w:val="false"/>
          <w:color w:val="000000"/>
          <w:sz w:val="20"/>
        </w:rPr>
        <w:t>to two years</w:t>
      </w:r>
      <w:r>
        <w:rPr>
          <w:rFonts w:ascii="Times New Roman" w:hAnsi="Times New Roman"/>
          <w:color w:val="000000"/>
          <w:sz w:val="20"/>
        </w:rPr>
        <w:t xml:space="preserve"> </w:t>
      </w:r>
      <w:r>
        <w:rPr>
          <w:rFonts w:ascii="Arial" w:hAnsi="Arial"/>
          <w:b w:val="false"/>
          <w:color w:val="000000"/>
          <w:sz w:val="20"/>
        </w:rPr>
        <w:t>and the Company typically renews those facilities at least annually. The 2022 Vehicle Floorplan Facility has a borrowing capacity of $228.1</w:t>
      </w:r>
      <w:r>
        <w:rPr>
          <w:rFonts w:ascii="Times New Roman" w:hAnsi="Times New Roman"/>
          <w:color w:val="000000"/>
          <w:sz w:val="20"/>
        </w:rPr>
        <w:t xml:space="preserve"> </w:t>
      </w:r>
      <w:r>
        <w:rPr>
          <w:rFonts w:ascii="Arial" w:hAnsi="Arial"/>
          <w:b w:val="false"/>
          <w:color w:val="000000"/>
          <w:sz w:val="20"/>
        </w:rPr>
        <w:t>million as of September 30, 2023, of which $15.6</w:t>
      </w:r>
      <w:r>
        <w:rPr>
          <w:rFonts w:ascii="Times New Roman" w:hAnsi="Times New Roman"/>
          <w:color w:val="000000"/>
          <w:sz w:val="20"/>
        </w:rPr>
        <w:t xml:space="preserve"> </w:t>
      </w:r>
      <w:r>
        <w:rPr>
          <w:rFonts w:ascii="Arial" w:hAnsi="Arial"/>
          <w:b w:val="false"/>
          <w:color w:val="000000"/>
          <w:sz w:val="20"/>
        </w:rPr>
        <w:t>million was unutilized and provides a committed credit line of up to $500.0</w:t>
      </w:r>
      <w:r>
        <w:rPr>
          <w:rFonts w:ascii="Times New Roman" w:hAnsi="Times New Roman"/>
          <w:color w:val="000000"/>
          <w:sz w:val="20"/>
        </w:rPr>
        <w:t xml:space="preserve"> </w:t>
      </w:r>
      <w:r>
        <w:rPr>
          <w:rFonts w:ascii="Arial" w:hAnsi="Arial"/>
          <w:b w:val="false"/>
          <w:color w:val="000000"/>
          <w:sz w:val="20"/>
        </w:rPr>
        <w:t>million which is scheduled to mature on March 31, 2024. The Company has commenced discussions with its floorplan lender, Ally Bank and Ally Financial (together “Ally”), regarding an amended floorplan facility that would extend the term beyond the current expiration date. Ally recently indicated its willingness to extend the floorplan facility beyond June 2024 would be contingent upon the Company raising additional capital. The 2022 Vehicle Floorplan Facility remains a committed facility through March 31, 2024. Prior to that date, the Company intends to continue its discussions with Ally over the terms of an amended facility and may engage with other lenders over the terms of an alternative facility. In the event that a capital raise is required by Ally or another lender, there can be no assurance that such additional capital would be available in the required amount or on terms acceptable to the Company, if at all. Failure to secure floorplan financing beyond the expiration of the 2022 Vehicle Floorplan Facility would have a material adverse effect on the Company’s ability to finance its inventory and operate its core used automotive sales business.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20"/>
        </w:rPr>
        <w:t>UACC has four</w:t>
      </w:r>
      <w:r>
        <w:rPr>
          <w:rFonts w:ascii="Times New Roman" w:hAnsi="Times New Roman"/>
          <w:color w:val="000000"/>
          <w:sz w:val="20"/>
        </w:rPr>
        <w:t xml:space="preserve"> </w:t>
      </w:r>
      <w:r>
        <w:rPr>
          <w:rFonts w:ascii="Arial" w:hAnsi="Arial"/>
          <w:b w:val="false"/>
          <w:color w:val="000000"/>
          <w:sz w:val="20"/>
        </w:rPr>
        <w:t>warehouse credit facilities with an aggregate borrowing limit of $825.0</w:t>
      </w:r>
      <w:r>
        <w:rPr>
          <w:rFonts w:ascii="Times New Roman" w:hAnsi="Times New Roman"/>
          <w:color w:val="000000"/>
          <w:sz w:val="20"/>
        </w:rPr>
        <w:t xml:space="preserve"> </w:t>
      </w:r>
      <w:r>
        <w:rPr>
          <w:rFonts w:ascii="Arial" w:hAnsi="Arial"/>
          <w:b w:val="false"/>
          <w:color w:val="000000"/>
          <w:sz w:val="20"/>
        </w:rPr>
        <w:t>million as of September 30, 2023. As of September 30, 2023, outstanding borrowings related to the Warehouse Credit Facilities were $294.7</w:t>
      </w:r>
      <w:r>
        <w:rPr>
          <w:rFonts w:ascii="Times New Roman" w:hAnsi="Times New Roman"/>
          <w:color w:val="000000"/>
          <w:sz w:val="20"/>
        </w:rPr>
        <w:t xml:space="preserve"> </w:t>
      </w:r>
      <w:r>
        <w:rPr>
          <w:rFonts w:ascii="Arial" w:hAnsi="Arial"/>
          <w:b w:val="false"/>
          <w:color w:val="000000"/>
          <w:sz w:val="20"/>
        </w:rPr>
        <w:t>million and excess borrowing capacity was $72.5</w:t>
      </w:r>
      <w:r>
        <w:rPr>
          <w:rFonts w:ascii="Times New Roman" w:hAnsi="Times New Roman"/>
          <w:color w:val="000000"/>
          <w:sz w:val="20"/>
        </w:rPr>
        <w:t xml:space="preserve"> </w:t>
      </w:r>
      <w:r>
        <w:rPr>
          <w:rFonts w:ascii="Arial" w:hAnsi="Arial"/>
          <w:b w:val="false"/>
          <w:color w:val="000000"/>
          <w:sz w:val="20"/>
        </w:rPr>
        <w:t>million. Refer to Note 11 – Warehouse Credit Facilities of Consolidated VIEs for further discussion.</w:t>
      </w:r>
    </w:p>
    <w:p>
      <w:pPr>
        <w:pStyle w:val="TextBody"/>
        <w:bidi w:val="0"/>
        <w:jc w:val="left"/>
        <w:rPr>
          <w:rFonts w:ascii="Times New Roman" w:hAnsi="Times New Roman"/>
          <w:sz w:val="20"/>
        </w:rPr>
      </w:pPr>
      <w:r>
        <w:rPr>
          <w:rFonts w:ascii="Arial" w:hAnsi="Arial"/>
          <w:b w:val="false"/>
          <w:color w:val="000000"/>
          <w:sz w:val="20"/>
        </w:rPr>
        <w:t>If the Company is unable to enter into an amended or alternative floorplan facility, it will pursue strategies to adjust its core used automotive operations and preserve liquidity and reduce fixed and variable costs. The Company anticipates that its existing cash and cash equivalents, the 2022 Vehicle Floorplan Facility and UACC credit facilities will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be sufficient to support the Company for at least the next twelve months from the date of issuance of the condensed consolidated financial statements.</w:t>
      </w:r>
      <w:r>
        <w:rPr>
          <w:rFonts w:ascii="Times New Roman" w:hAnsi="Times New Roman"/>
          <w:color w:val="000000"/>
          <w:sz w:val="20"/>
        </w:rPr>
        <w:t xml:space="preserve"> </w:t>
      </w:r>
    </w:p>
    <w:p>
      <w:pPr>
        <w:pStyle w:val="TextBody"/>
        <w:bidi w:val="0"/>
        <w:jc w:val="left"/>
        <w:rPr>
          <w:rFonts w:ascii="Arial" w:hAnsi="Arial"/>
          <w:b w:val="false"/>
          <w:color w:val="000000"/>
          <w:sz w:val="20"/>
        </w:rPr>
      </w:pPr>
      <w:r>
        <w:rPr>
          <w:rFonts w:ascii="Arial" w:hAnsi="Arial"/>
          <w:b w:val="false"/>
          <w:color w:val="000000"/>
          <w:sz w:val="20"/>
        </w:rPr>
        <w:t>The Company’s projected cashflows are subject to various assumptions, including its growth rate, sales margin, GPPU, marketing costs, reduction in fixed and variable expenses, as well as market conditions. The Company bases its estimates on historical experience, market conditions and on various other assumptions that it believes to be reasonable.</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Accounting Standards Adopted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October 2021, the FASB issued ASU 2021-08,</w:t>
      </w:r>
      <w:r>
        <w:rPr>
          <w:rFonts w:ascii="Times New Roman" w:hAnsi="Times New Roman"/>
          <w:color w:val="000000"/>
          <w:sz w:val="20"/>
        </w:rPr>
        <w:t xml:space="preserve"> </w:t>
      </w:r>
      <w:r>
        <w:rPr>
          <w:rFonts w:ascii="Arial" w:hAnsi="Arial"/>
          <w:b w:val="false"/>
          <w:i/>
          <w:color w:val="000000"/>
          <w:sz w:val="20"/>
        </w:rPr>
        <w:t>Business Combinations (Topic 805): Accounting for Contract Assets and Contract Liabilities from Contracts with Customers</w:t>
      </w:r>
      <w:r>
        <w:rPr>
          <w:rFonts w:ascii="Arial" w:hAnsi="Arial"/>
          <w:b w:val="false"/>
          <w:color w:val="000000"/>
          <w:sz w:val="20"/>
        </w:rPr>
        <w:t>, which requires contract assets and contract liabilities acquired in a business combination to be recognized in accordance with Topic 606 as if the acquirer had originated the contracts. The Company adopted</w:t>
      </w:r>
      <w:r>
        <w:rPr>
          <w:rFonts w:ascii="Times New Roman" w:hAnsi="Times New Roman"/>
          <w:color w:val="000000"/>
          <w:sz w:val="20"/>
        </w:rPr>
        <w:t xml:space="preserve"> </w:t>
      </w:r>
      <w:r>
        <w:rPr>
          <w:rFonts w:ascii="Arial" w:hAnsi="Arial"/>
          <w:b w:val="false"/>
          <w:color w:val="000000"/>
          <w:sz w:val="20"/>
        </w:rPr>
        <w:t>the guidance on January 1, 2023, which did not</w:t>
      </w:r>
      <w:r>
        <w:rPr>
          <w:rFonts w:ascii="Times New Roman" w:hAnsi="Times New Roman"/>
          <w:color w:val="000000"/>
          <w:sz w:val="20"/>
        </w:rPr>
        <w:t xml:space="preserve"> </w:t>
      </w:r>
      <w:r>
        <w:rPr>
          <w:rFonts w:ascii="Arial" w:hAnsi="Arial"/>
          <w:b w:val="false"/>
          <w:color w:val="000000"/>
          <w:sz w:val="20"/>
        </w:rPr>
        <w:t>have a material impact on the Company's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3. Revenue Recognition</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recognizes revenue upon transfer of control of goods or services to customers, in an amount that reflects the consideration to which the Company expects to be entitled in exchange for those goods or services. The Company may collect sales taxes and other taxes and government fees from customers on behalf of governmental authorities at the time of sale as required. These taxes are accounted for on a net basis and are not included in revenues or cost of sales.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Company’s revenue is disaggregated within the condensed consolidated statements of operations and is generated from customers throughout the United States.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Retail Vehicle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and document fees stated within the customer contract. Revenue excludes any sales taxes, title and registration fees, and other government fees that are collected from customers.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receives payment for used vehicle sales directly from the customer at the time of sale or arranges financing within a short period of time following the sale. Payments received prior to delivery of used vehicles are recorded as “Deferred revenue” within the condensed consolidated balance sheets.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offers a return program for used vehicle sales and establishes a provision for estimated returns based on historical information and current trends. The reserve for estimated returns is presented gross on the condensed consolidated balance sheets, with an asset recorded in “Prepaid expenses and other current assets” and a refund liability recorded in “Other current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Wholesale Vehicle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sells vehicles that do not meet its retail sales criteria through wholesale channels. Vehicles sold through wholesale channels are acquired from customers who trade-in their vehicles when making a purchase from the Company, from customers who sell their vehicles to the Company in direct-buy transactions, and from liquidation of vehicles previously listed for retail sale. The transaction price for wholesale vehicles is a fixed amount. The Company satisfies its performance obligation and recognizes revenue for wholesale vehicle sales at a point in time when the vehicle is sold. The transaction price is typically due and collected within a short period of time following the vehicle sales.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Product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Company’s product revenue consists of income from financing vehicle sales for Vroom customers through UACC and fees earned on selling third-party financing and value-added products, such as vehicle service contracts, guaranteed asset protection (“GAP”) and tire and wheel coverage.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a result of the UACC Acquisition (as defined below), the Company generates ecommerce product revenue by providing Vroom customers with automotive financing solutions through its captive financing operation. The Company earns interest income on finance receivables before they are sold, interest income on finance receivables held in consolidated VIEs, and gains on the sale of finance receivables. Refer to Note 4 – Variable Interest Entities and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also sells third-party financing and value-added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 portion of the fees earned on third-party financing and value-added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September 30, 2023 and December 31, 2022, the Company’s reserve for chargebacks was $6.7</w:t>
      </w:r>
      <w:r>
        <w:rPr>
          <w:rFonts w:ascii="Times New Roman" w:hAnsi="Times New Roman"/>
          <w:color w:val="000000"/>
          <w:sz w:val="20"/>
        </w:rPr>
        <w:t xml:space="preserve"> </w:t>
      </w:r>
      <w:r>
        <w:rPr>
          <w:rFonts w:ascii="Arial" w:hAnsi="Arial"/>
          <w:b w:val="false"/>
          <w:color w:val="000000"/>
          <w:sz w:val="20"/>
        </w:rPr>
        <w:t>million and $8.2</w:t>
      </w:r>
      <w:r>
        <w:rPr>
          <w:rFonts w:ascii="Times New Roman" w:hAnsi="Times New Roman"/>
          <w:color w:val="000000"/>
          <w:sz w:val="20"/>
        </w:rPr>
        <w:t xml:space="preserve"> </w:t>
      </w:r>
      <w:r>
        <w:rPr>
          <w:rFonts w:ascii="Arial" w:hAnsi="Arial"/>
          <w:b w:val="false"/>
          <w:color w:val="000000"/>
          <w:sz w:val="20"/>
        </w:rPr>
        <w:t>million, respectively, of which $3.6</w:t>
      </w:r>
      <w:r>
        <w:rPr>
          <w:rFonts w:ascii="Times New Roman" w:hAnsi="Times New Roman"/>
          <w:color w:val="000000"/>
          <w:sz w:val="20"/>
        </w:rPr>
        <w:t xml:space="preserve"> </w:t>
      </w:r>
      <w:r>
        <w:rPr>
          <w:rFonts w:ascii="Arial" w:hAnsi="Arial"/>
          <w:b w:val="false"/>
          <w:color w:val="000000"/>
          <w:sz w:val="20"/>
        </w:rPr>
        <w:t>million and $4.4</w:t>
      </w:r>
      <w:r>
        <w:rPr>
          <w:rFonts w:ascii="Times New Roman" w:hAnsi="Times New Roman"/>
          <w:color w:val="000000"/>
          <w:sz w:val="20"/>
        </w:rPr>
        <w:t xml:space="preserve"> </w:t>
      </w:r>
      <w:r>
        <w:rPr>
          <w:rFonts w:ascii="Arial" w:hAnsi="Arial"/>
          <w:b w:val="false"/>
          <w:color w:val="000000"/>
          <w:sz w:val="20"/>
        </w:rPr>
        <w:t>million, respectively, are included within “Accrued expenses” and $3.1</w:t>
      </w:r>
      <w:r>
        <w:rPr>
          <w:rFonts w:ascii="Times New Roman" w:hAnsi="Times New Roman"/>
          <w:color w:val="000000"/>
          <w:sz w:val="20"/>
        </w:rPr>
        <w:t xml:space="preserve"> </w:t>
      </w:r>
      <w:r>
        <w:rPr>
          <w:rFonts w:ascii="Arial" w:hAnsi="Arial"/>
          <w:b w:val="false"/>
          <w:color w:val="000000"/>
          <w:sz w:val="20"/>
        </w:rPr>
        <w:t>million and $3.8</w:t>
      </w:r>
      <w:r>
        <w:rPr>
          <w:rFonts w:ascii="Times New Roman" w:hAnsi="Times New Roman"/>
          <w:color w:val="000000"/>
          <w:sz w:val="20"/>
        </w:rPr>
        <w:t xml:space="preserve"> </w:t>
      </w:r>
      <w:r>
        <w:rPr>
          <w:rFonts w:ascii="Arial" w:hAnsi="Arial"/>
          <w:b w:val="false"/>
          <w:color w:val="000000"/>
          <w:sz w:val="20"/>
        </w:rPr>
        <w:t>million, respectively, are included in “Other long-term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September 30, 2023 and December 31, 2022, the Company recognized $21.0</w:t>
      </w:r>
      <w:r>
        <w:rPr>
          <w:rFonts w:ascii="Times New Roman" w:hAnsi="Times New Roman"/>
          <w:color w:val="000000"/>
          <w:sz w:val="20"/>
        </w:rPr>
        <w:t xml:space="preserve"> </w:t>
      </w:r>
      <w:r>
        <w:rPr>
          <w:rFonts w:ascii="Arial" w:hAnsi="Arial"/>
          <w:b w:val="false"/>
          <w:color w:val="000000"/>
          <w:sz w:val="20"/>
        </w:rPr>
        <w:t>million and $22.5</w:t>
      </w:r>
      <w:r>
        <w:rPr>
          <w:rFonts w:ascii="Times New Roman" w:hAnsi="Times New Roman"/>
          <w:color w:val="000000"/>
          <w:sz w:val="20"/>
        </w:rPr>
        <w:t xml:space="preserve"> </w:t>
      </w:r>
      <w:r>
        <w:rPr>
          <w:rFonts w:ascii="Arial" w:hAnsi="Arial"/>
          <w:b w:val="false"/>
          <w:color w:val="000000"/>
          <w:sz w:val="20"/>
        </w:rPr>
        <w:t>million, respectively, related to cumulative profit-sharing payments to which it expects to be entitled, of which $2.0</w:t>
      </w:r>
      <w:r>
        <w:rPr>
          <w:rFonts w:ascii="Times New Roman" w:hAnsi="Times New Roman"/>
          <w:color w:val="000000"/>
          <w:sz w:val="20"/>
        </w:rPr>
        <w:t xml:space="preserve"> </w:t>
      </w:r>
      <w:r>
        <w:rPr>
          <w:rFonts w:ascii="Arial" w:hAnsi="Arial"/>
          <w:b w:val="false"/>
          <w:color w:val="000000"/>
          <w:sz w:val="20"/>
        </w:rPr>
        <w:t>million and $1.6</w:t>
      </w:r>
      <w:r>
        <w:rPr>
          <w:rFonts w:ascii="Times New Roman" w:hAnsi="Times New Roman"/>
          <w:color w:val="000000"/>
          <w:sz w:val="20"/>
        </w:rPr>
        <w:t xml:space="preserve"> </w:t>
      </w:r>
      <w:r>
        <w:rPr>
          <w:rFonts w:ascii="Arial" w:hAnsi="Arial"/>
          <w:b w:val="false"/>
          <w:color w:val="000000"/>
          <w:sz w:val="20"/>
        </w:rPr>
        <w:t>million, respectively, are included within “Prepaid expenses and other current assets” and $19.0</w:t>
      </w:r>
      <w:r>
        <w:rPr>
          <w:rFonts w:ascii="Times New Roman" w:hAnsi="Times New Roman"/>
          <w:color w:val="000000"/>
          <w:sz w:val="20"/>
        </w:rPr>
        <w:t xml:space="preserve"> </w:t>
      </w:r>
      <w:r>
        <w:rPr>
          <w:rFonts w:ascii="Arial" w:hAnsi="Arial"/>
          <w:b w:val="false"/>
          <w:color w:val="000000"/>
          <w:sz w:val="20"/>
        </w:rPr>
        <w:t>million and $20.9</w:t>
      </w:r>
      <w:r>
        <w:rPr>
          <w:rFonts w:ascii="Times New Roman" w:hAnsi="Times New Roman"/>
          <w:color w:val="000000"/>
          <w:sz w:val="20"/>
        </w:rPr>
        <w:t xml:space="preserve"> </w:t>
      </w:r>
      <w:r>
        <w:rPr>
          <w:rFonts w:ascii="Arial" w:hAnsi="Arial"/>
          <w:b w:val="false"/>
          <w:color w:val="000000"/>
          <w:sz w:val="20"/>
        </w:rPr>
        <w:t>million, respectively, are included within “Other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Finance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Company’s finance revenue is related to finance receivables originated by UACC for its network of third-party dealership customers and consists of interest income earned on finance receivables before they are sold, interest income earned on finance receivables held in consolidated VIEs, and gains on the sale of finance receivables. Refer to Note 4 – Variable Interest Entities and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Interest income deemed uncollectible is reversed at the time the finance receivable is charged off. An account is considered delinquent if a scheduled payment has not been received by the date such payment was contractually due. Finance receivables over 90 days delinquent are considered nonaccrual finance receivables. Income is subsequently recognized only to the extent cash payments are received until the borrower is able to make periodic interest and principal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payments in accordance with the finance receivable terms. Late charges and other fees are calculated at predetermined amounts or percentages of overdue finance receivable balances and are recorded on a cash basis.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Servicing income represents the annual fees earned on the outstanding principal balance of the finance receivables serviced. Fees are earned monthly at an annual rate of approximately 4% for the 2022-1 securitization transaction and 3.25% for the 2022-2 and 2023-1 securitization transactions of the outstanding principal balance of the finance receivables serviced. From January to March 2023, UACC waived the monthly servicing fees related to the 2022-2 securitization transaction, which resulted in consolidation of the 2022-2 VIE. Refer to Note 4 – Variable Interest Entities and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Contract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has elected, as a practical expedient, to expense sales commissions when incurred because the amortization period would have been less than one year. These costs are recorded within “Selling, general and administrative expenses” in the condensed consolidated 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4. Variable Interest Entities and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UACC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 In February and July 2022, UACC completed the 2022-1 and 2022-2 securitization transactions, respectively, and in January 2023, UACC completed the 2023-1 securitization transaction.</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 For all securitization transactions consummated prior to the Acquisition Date, the Company consolidated VIEs and accounted for these transactions as secured borrowings.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January 2023, UACC completed the 2023-1 securitization transaction, in which it sold approximately $238.7</w:t>
      </w:r>
      <w:r>
        <w:rPr>
          <w:rFonts w:ascii="Times New Roman" w:hAnsi="Times New Roman"/>
          <w:color w:val="000000"/>
          <w:sz w:val="20"/>
        </w:rPr>
        <w:t xml:space="preserve"> </w:t>
      </w:r>
      <w:r>
        <w:rPr>
          <w:rFonts w:ascii="Arial" w:hAnsi="Arial"/>
          <w:b w:val="false"/>
          <w:color w:val="000000"/>
          <w:sz w:val="20"/>
        </w:rPr>
        <w:t>million of rated asset-backed securities, for proceeds of $237.8</w:t>
      </w:r>
      <w:r>
        <w:rPr>
          <w:rFonts w:ascii="Times New Roman" w:hAnsi="Times New Roman"/>
          <w:color w:val="000000"/>
          <w:sz w:val="20"/>
        </w:rPr>
        <w:t xml:space="preserve"> </w:t>
      </w:r>
      <w:r>
        <w:rPr>
          <w:rFonts w:ascii="Arial" w:hAnsi="Arial"/>
          <w:b w:val="false"/>
          <w:color w:val="000000"/>
          <w:sz w:val="20"/>
        </w:rPr>
        <w:t>million. In April 2023, UACC sold the non-investment grade securities related to the 2023-1 securitization transaction for $23.1</w:t>
      </w:r>
      <w:r>
        <w:rPr>
          <w:rFonts w:ascii="Times New Roman" w:hAnsi="Times New Roman"/>
          <w:color w:val="000000"/>
          <w:sz w:val="20"/>
        </w:rPr>
        <w:t xml:space="preserve"> </w:t>
      </w:r>
      <w:r>
        <w:rPr>
          <w:rFonts w:ascii="Arial" w:hAnsi="Arial"/>
          <w:b w:val="false"/>
          <w:color w:val="000000"/>
          <w:sz w:val="20"/>
        </w:rPr>
        <w:t>million. UACC still retains the residual interests related to the 2023-1 securitization transaction. The trust is collateralized by finance receivables with an aggregate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principal balance of $326.4</w:t>
      </w:r>
      <w:r>
        <w:rPr>
          <w:rFonts w:ascii="Times New Roman" w:hAnsi="Times New Roman"/>
          <w:color w:val="000000"/>
          <w:sz w:val="20"/>
        </w:rPr>
        <w:t xml:space="preserve"> </w:t>
      </w:r>
      <w:r>
        <w:rPr>
          <w:rFonts w:ascii="Arial" w:hAnsi="Arial"/>
          <w:b w:val="false"/>
          <w:color w:val="000000"/>
          <w:sz w:val="20"/>
        </w:rPr>
        <w:t>million. These finance receivables are serviced by UACC. The Company consolidated the 2023-1 VIE and accounted for this transaction as a secured borrowing.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UACC is the primary beneficiary of the 2021-1 and 2023-1 securitization trusts,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2021-1 and 2023-1 asset-backed securitization transactions, 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w:t>
      </w:r>
      <w:r>
        <w:rPr>
          <w:rFonts w:ascii="Times New Roman" w:hAnsi="Times New Roman"/>
          <w:color w:val="000000"/>
          <w:sz w:val="20"/>
        </w:rPr>
        <w:t xml:space="preserve"> </w:t>
      </w:r>
      <w:r>
        <w:rPr>
          <w:rFonts w:ascii="Arial" w:hAnsi="Arial"/>
          <w:b w:val="false"/>
          <w:color w:val="000000"/>
          <w:sz w:val="20"/>
        </w:rPr>
        <w:t>Refer to Note 12 – Long Term Debt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July 2022, UACC sold a pool of finance receivables in the 2022-2 securitization transaction. UACC retained the servicing rights to these finance receivables and receives an "at market" servicing fee. UACC retained an insignificant amount of the asset-backed securities issued in the securitization in order to comply with risk retention rules. Originally, the Company concluded that it is not the primary beneficiary of the 2022-2 securitization trust because UACC retained interests in the VIE are insignificant. Therefore, the Company did not originally consolidate the 2022-2 trust. From January to March 2023, although not contractually required, UACC elected to waive its servicing fee on the 2022-2 securitization, due to higher-than-expected losses, which transferred more than an insignificant portion of the corresponding risk of loss from the VIE to the Company. Since UACC has the power to direct the significant activities of the VIE, as it is the servicer, and additionally it absorbs the risk of loss, the Company concluded that it is the primary beneficiary of the VIE. In March 2023, the Company accounted for the transaction as secured borrowings and consolidated the 2022-2 securitization trust. The beneficial interest was then eliminated.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consolidated income statement. The 2021-1, 2022-2, and 2023-1 securitization trusts consolidated by UACC meet the definition of a CFE, therefore, the Company has elected to apply the measurement alternative when consolidating these VIEs. Refer to Note 16 – Financial Instruments and Fair Value Measurements for further detail.</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UACC has</w:t>
      </w:r>
      <w:r>
        <w:rPr>
          <w:rFonts w:ascii="Times New Roman" w:hAnsi="Times New Roman"/>
          <w:color w:val="000000"/>
          <w:sz w:val="20"/>
        </w:rPr>
        <w:t xml:space="preserve"> </w:t>
      </w:r>
      <w:r>
        <w:rPr>
          <w:rFonts w:ascii="Arial" w:hAnsi="Arial"/>
          <w:b w:val="false"/>
          <w:color w:val="000000"/>
          <w:sz w:val="20"/>
        </w:rPr>
        <w:t>four</w:t>
      </w:r>
      <w:r>
        <w:rPr>
          <w:rFonts w:ascii="Times New Roman" w:hAnsi="Times New Roman"/>
          <w:color w:val="000000"/>
          <w:sz w:val="20"/>
        </w:rPr>
        <w:t xml:space="preserve"> </w:t>
      </w:r>
      <w:r>
        <w:rPr>
          <w:rFonts w:ascii="Arial" w:hAnsi="Arial"/>
          <w:b w:val="false"/>
          <w:color w:val="000000"/>
          <w:sz w:val="20"/>
        </w:rPr>
        <w:t>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 These trusts are consolidated VIEs.</w:t>
      </w:r>
      <w:r>
        <w:rPr>
          <w:rFonts w:ascii="Times New Roman" w:hAnsi="Times New Roman"/>
          <w:color w:val="000000"/>
          <w:sz w:val="20"/>
        </w:rPr>
        <w:t xml:space="preserve"> </w:t>
      </w:r>
      <w:r>
        <w:rPr>
          <w:rFonts w:ascii="Arial" w:hAnsi="Arial"/>
          <w:b w:val="false"/>
          <w:color w:val="000000"/>
          <w:sz w:val="20"/>
        </w:rPr>
        <w:t>Refer to Note 11 – Warehouse Credit Facilities of Consolidated VIEs for further details on the warehouse facilities.</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in the condensed consolidated balance sheets (in thousands):</w:t>
      </w:r>
    </w:p>
    <w:p>
      <w:pPr>
        <w:pStyle w:val="TextBody"/>
        <w:bidi w:val="0"/>
        <w:jc w:val="left"/>
        <w:rPr/>
      </w:pPr>
      <w:r>
        <w:rPr/>
        <w:t> </w:t>
      </w:r>
    </w:p>
    <w:tbl>
      <w:tblPr>
        <w:tblW w:w="8529" w:type="dxa"/>
        <w:jc w:val="left"/>
        <w:tblInd w:w="0" w:type="dxa"/>
        <w:tblLayout w:type="fixed"/>
        <w:tblCellMar>
          <w:top w:w="28" w:type="dxa"/>
          <w:left w:w="28" w:type="dxa"/>
          <w:bottom w:w="28" w:type="dxa"/>
          <w:right w:w="28" w:type="dxa"/>
        </w:tblCellMar>
      </w:tblPr>
      <w:tblGrid>
        <w:gridCol w:w="3661"/>
        <w:gridCol w:w="146"/>
        <w:gridCol w:w="398"/>
        <w:gridCol w:w="1507"/>
        <w:gridCol w:w="146"/>
        <w:gridCol w:w="146"/>
        <w:gridCol w:w="217"/>
        <w:gridCol w:w="818"/>
        <w:gridCol w:w="146"/>
        <w:gridCol w:w="146"/>
        <w:gridCol w:w="211"/>
        <w:gridCol w:w="796"/>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Vehicles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Warehouse </w:t>
              <w:br/>
              <w:t>Facilities</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19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0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31,311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1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15,924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47,235</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 receivables at fair value</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12,218</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 receivables held for sale</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338,375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338,375</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24,327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57,953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364,202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422,155</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 receivables at fair value</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354,567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376,660</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412,520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388,287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800,807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portion of securitization debt</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186,559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186,559</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Warehouse credit facilities</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294,653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294,653</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187,980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296,565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484,545</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Securitization debt, net of current portion</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175,347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175,347</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367,667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301,731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669,398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Vehicles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Warehouse </w:t>
              <w:br/>
              <w:t>Facilities</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1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15,654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24,677</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11,492</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 receivables held for sale</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305,917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305,917</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17,089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336,731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353,820</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72,568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119,592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89,657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383,755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473,412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portion of securitization debt</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47,239</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Warehouse credit facilities</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229,518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229,518</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47,329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230,957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278,286</w:t>
            </w:r>
          </w:p>
        </w:tc>
        <w:tc>
          <w:tcPr>
            <w:tcW w:w="1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Securitization debt, net of current portion</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32,590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32,590</w:t>
            </w:r>
          </w:p>
        </w:tc>
        <w:tc>
          <w:tcPr>
            <w:tcW w:w="1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237,681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318,286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val="false"/>
          <w:color w:val="000000"/>
          <w:sz w:val="13"/>
        </w:rPr>
      </w:pPr>
      <w:r>
        <w:rPr>
          <w:rFonts w:ascii="Arial" w:hAnsi="Arial"/>
          <w:b w:val="false"/>
          <w:color w:val="000000"/>
          <w:sz w:val="13"/>
        </w:rPr>
        <w:t>1 Refer to Note 11 – Warehouse Credit Facilities of Consolidated VIEs for further details of the warehouse facilities.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if it determines it qualifies for sale accounting treatment and it is not the primary beneficiary of the VIE.</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February 2022, UACC sold a pool of finance receivables in the 2022-1 securitization transaction. UACC retained the servicing rights to these finance receivables and receives an "at market" servicing fee. UACC retained an insignificant amount of the asset-backed securities issued in the securitization in order to comply with risk retention rules. The 2022-1 securitization trust is a VIE that the Company does not consolidate. As the servicer, UACC retained the power to direct the activities that are most significant to the entities, however, the Company concluded that it is not the primary beneficiary of the 2022-1 securitization trust because UACC retained interests in the VIE are insignificant. The beneficial interest retained by UACC included rated notes and unrated residual certificates issued by the 2022-1 securitization trust.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July 2022, UACC completed the 2022-2 securitization transaction, as discussed above, and recognized a gain on sale for the three and nine months ended September 30,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During the three and nine months ended September 30, 2022, the Company sold $242.3</w:t>
      </w:r>
      <w:r>
        <w:rPr>
          <w:rFonts w:ascii="Times New Roman" w:hAnsi="Times New Roman"/>
          <w:color w:val="000000"/>
          <w:sz w:val="20"/>
        </w:rPr>
        <w:t xml:space="preserve"> </w:t>
      </w:r>
      <w:r>
        <w:rPr>
          <w:rFonts w:ascii="Arial" w:hAnsi="Arial"/>
          <w:b w:val="false"/>
          <w:color w:val="000000"/>
          <w:sz w:val="20"/>
        </w:rPr>
        <w:t>million and $523.7</w:t>
      </w:r>
      <w:r>
        <w:rPr>
          <w:rFonts w:ascii="Times New Roman" w:hAnsi="Times New Roman"/>
          <w:color w:val="000000"/>
          <w:sz w:val="20"/>
        </w:rPr>
        <w:t xml:space="preserve"> </w:t>
      </w:r>
      <w:r>
        <w:rPr>
          <w:rFonts w:ascii="Arial" w:hAnsi="Arial"/>
          <w:b w:val="false"/>
          <w:color w:val="000000"/>
          <w:sz w:val="20"/>
        </w:rPr>
        <w:t>million of rated asset-backed securities, respectively, and $17.3</w:t>
      </w:r>
      <w:r>
        <w:rPr>
          <w:rFonts w:ascii="Times New Roman" w:hAnsi="Times New Roman"/>
          <w:color w:val="000000"/>
          <w:sz w:val="20"/>
        </w:rPr>
        <w:t xml:space="preserve"> </w:t>
      </w:r>
      <w:r>
        <w:rPr>
          <w:rFonts w:ascii="Arial" w:hAnsi="Arial"/>
          <w:b w:val="false"/>
          <w:color w:val="000000"/>
          <w:sz w:val="20"/>
        </w:rPr>
        <w:t>million and $49.6</w:t>
      </w:r>
      <w:r>
        <w:rPr>
          <w:rFonts w:ascii="Times New Roman" w:hAnsi="Times New Roman"/>
          <w:color w:val="000000"/>
          <w:sz w:val="20"/>
        </w:rPr>
        <w:t xml:space="preserve"> </w:t>
      </w:r>
      <w:r>
        <w:rPr>
          <w:rFonts w:ascii="Arial" w:hAnsi="Arial"/>
          <w:b w:val="false"/>
          <w:color w:val="000000"/>
          <w:sz w:val="20"/>
        </w:rPr>
        <w:t>million of residual certificates, respectively, through securitization transactions. The total gain related to finance receivables sold pursuant to securitization transactions was $16.0</w:t>
      </w:r>
      <w:r>
        <w:rPr>
          <w:rFonts w:ascii="Times New Roman" w:hAnsi="Times New Roman"/>
          <w:color w:val="000000"/>
          <w:sz w:val="20"/>
        </w:rPr>
        <w:t xml:space="preserve"> </w:t>
      </w:r>
      <w:r>
        <w:rPr>
          <w:rFonts w:ascii="Arial" w:hAnsi="Arial"/>
          <w:b w:val="false"/>
          <w:color w:val="000000"/>
          <w:sz w:val="20"/>
        </w:rPr>
        <w:t>million and $45.6</w:t>
      </w:r>
      <w:r>
        <w:rPr>
          <w:rFonts w:ascii="Times New Roman" w:hAnsi="Times New Roman"/>
          <w:color w:val="000000"/>
          <w:sz w:val="20"/>
        </w:rPr>
        <w:t xml:space="preserve"> </w:t>
      </w:r>
      <w:r>
        <w:rPr>
          <w:rFonts w:ascii="Arial" w:hAnsi="Arial"/>
          <w:b w:val="false"/>
          <w:color w:val="000000"/>
          <w:sz w:val="20"/>
        </w:rPr>
        <w:t>million for the three and nine months ended September 30,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of September 30, 2023 and December 31, 2022, the assets UACC retains in the unconsolidated VIEs were approximately $5.3</w:t>
      </w:r>
      <w:r>
        <w:rPr>
          <w:rFonts w:ascii="Times New Roman" w:hAnsi="Times New Roman"/>
          <w:color w:val="000000"/>
          <w:sz w:val="20"/>
        </w:rPr>
        <w:t xml:space="preserve"> </w:t>
      </w:r>
      <w:r>
        <w:rPr>
          <w:rFonts w:ascii="Arial" w:hAnsi="Arial"/>
          <w:b w:val="false"/>
          <w:color w:val="000000"/>
          <w:sz w:val="20"/>
        </w:rPr>
        <w:t>million and $20.6</w:t>
      </w:r>
      <w:r>
        <w:rPr>
          <w:rFonts w:ascii="Times New Roman" w:hAnsi="Times New Roman"/>
          <w:color w:val="000000"/>
          <w:sz w:val="20"/>
        </w:rPr>
        <w:t xml:space="preserve"> </w:t>
      </w:r>
      <w:r>
        <w:rPr>
          <w:rFonts w:ascii="Arial" w:hAnsi="Arial"/>
          <w:b w:val="false"/>
          <w:color w:val="000000"/>
          <w:sz w:val="20"/>
        </w:rPr>
        <w:t>million, respectively, and are included in "Beneficial interests in securitizations" in the Company's condensed consolidated balance sheet. The beneficial interests in securitizations are subject to restrictions on transfer pursuant to UACC’s obligations as a sponsor under Risk Retention Rules. These securities are interests in securitization trusts, thus there are no contractual maturities. In the nine months ended September 30, 2023, the Company entered into a Risk Retention Financing Facility to finance the majority of its retained beneficial interests in securitizations. Refer to Note 12 – Long Term Debt for further detail.</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following table summarizes the amortized cost, the carrying amount, which is the fair value, and the maximum exposure to losses of UACC's assets related to unconsolidated VIEs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6"/>
        <w:gridCol w:w="146"/>
        <w:gridCol w:w="358"/>
        <w:gridCol w:w="999"/>
        <w:gridCol w:w="146"/>
        <w:gridCol w:w="146"/>
        <w:gridCol w:w="248"/>
        <w:gridCol w:w="689"/>
        <w:gridCol w:w="146"/>
        <w:gridCol w:w="146"/>
        <w:gridCol w:w="261"/>
        <w:gridCol w:w="730"/>
        <w:gridCol w:w="146"/>
        <w:gridCol w:w="146"/>
        <w:gridCol w:w="316"/>
        <w:gridCol w:w="1041"/>
        <w:gridCol w:w="146"/>
        <w:gridCol w:w="146"/>
        <w:gridCol w:w="236"/>
        <w:gridCol w:w="774"/>
        <w:gridCol w:w="146"/>
        <w:gridCol w:w="146"/>
        <w:gridCol w:w="239"/>
        <w:gridCol w:w="784"/>
        <w:gridCol w:w="198"/>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Exposure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Exposure</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Rated notes</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9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8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4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19,233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7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8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18,664</w:t>
            </w:r>
          </w:p>
        </w:tc>
        <w:tc>
          <w:tcPr>
            <w:tcW w:w="198" w:type="dxa"/>
            <w:tcBorders/>
            <w:shd w:fill="CFF0FC" w:val="clear"/>
            <w:vAlign w:val="center"/>
          </w:tcPr>
          <w:p>
            <w:pPr>
              <w:pStyle w:val="TableContents"/>
              <w:bidi w:val="0"/>
              <w:spacing w:before="0" w:after="283"/>
              <w:jc w:val="left"/>
              <w:rPr/>
            </w:pPr>
            <w:r>
              <w:rPr/>
              <w:t> </w:t>
            </w:r>
          </w:p>
        </w:tc>
      </w:tr>
      <w:tr>
        <w:trPr/>
        <w:tc>
          <w:tcPr>
            <w:tcW w:w="172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Certificates</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1,928</w:t>
            </w:r>
          </w:p>
        </w:tc>
        <w:tc>
          <w:tcPr>
            <w:tcW w:w="198" w:type="dxa"/>
            <w:tcBorders/>
            <w:shd w:fill="FFFFFF" w:val="clear"/>
            <w:vAlign w:val="center"/>
          </w:tcPr>
          <w:p>
            <w:pPr>
              <w:pStyle w:val="TableContents"/>
              <w:bidi w:val="0"/>
              <w:spacing w:before="0" w:after="283"/>
              <w:jc w:val="left"/>
              <w:rPr/>
            </w:pPr>
            <w:r>
              <w:rPr/>
              <w:t> </w:t>
            </w:r>
          </w:p>
        </w:tc>
      </w:tr>
      <w:tr>
        <w:trPr/>
        <w:tc>
          <w:tcPr>
            <w:tcW w:w="17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unconsolidated VIEs</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19,543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20,902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5. Acquisition</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UACC Acquisition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February 1, 2022, the Company completed the acquisition (the "UACC Acquisition") of 100% of Unitas Holdings Corp., a Delaware corporation, including its wholly owned subsidiaries United PanAm Financial Corp. and UACC. Unitas Holdings Corp. (now known as Vroom Finance Corporation), United PanAm Financial Corp. (now known as Vroom Automotive Financial Corporation) and UACC, as well as their other subsidiaries, are now wholly owned subsidiaries of the Company. This acquisition accelerates the Company's strategy of establishing a captive financing arm and underwriting vehicle financing for its customers, the results of which are included within the Ecommerce reporting segment. UACC will also continue its current operations with its network of third-party dealership customers, including the purchases and servicing of vehicle installment contracts, which constitutes the separate Retail Financing reporting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segment. The cash consideration transferred was approximately $315.4</w:t>
      </w:r>
      <w:r>
        <w:rPr>
          <w:rFonts w:ascii="Times New Roman" w:hAnsi="Times New Roman"/>
          <w:color w:val="000000"/>
          <w:sz w:val="20"/>
        </w:rPr>
        <w:t xml:space="preserve"> </w:t>
      </w:r>
      <w:r>
        <w:rPr>
          <w:rFonts w:ascii="Arial" w:hAnsi="Arial"/>
          <w:b w:val="false"/>
          <w:color w:val="000000"/>
          <w:sz w:val="20"/>
        </w:rPr>
        <w:t>million at the Acquisition Date, inclusive of immaterial measurement period adjustments.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following table summarizes the fair value of the identified assets acquired and liabilities assumed as of the Acquisition Date, inclusive of immaterial measurement period adjustments (in thousands):</w:t>
      </w:r>
    </w:p>
    <w:tbl>
      <w:tblPr>
        <w:tblW w:w="4470" w:type="dxa"/>
        <w:jc w:val="left"/>
        <w:tblInd w:w="0" w:type="dxa"/>
        <w:tblLayout w:type="fixed"/>
        <w:tblCellMar>
          <w:top w:w="28" w:type="dxa"/>
          <w:left w:w="28" w:type="dxa"/>
          <w:bottom w:w="28" w:type="dxa"/>
          <w:right w:w="28" w:type="dxa"/>
        </w:tblCellMar>
      </w:tblPr>
      <w:tblGrid>
        <w:gridCol w:w="3046"/>
        <w:gridCol w:w="146"/>
        <w:gridCol w:w="211"/>
        <w:gridCol w:w="856"/>
        <w:gridCol w:w="21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5,294</w:t>
            </w:r>
          </w:p>
        </w:tc>
        <w:tc>
          <w:tcPr>
            <w:tcW w:w="211"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42,631</w:t>
            </w:r>
          </w:p>
        </w:tc>
        <w:tc>
          <w:tcPr>
            <w:tcW w:w="211"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 receivables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296,927</w:t>
            </w:r>
          </w:p>
        </w:tc>
        <w:tc>
          <w:tcPr>
            <w:tcW w:w="211"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 receivables, held for 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263,393</w:t>
            </w:r>
          </w:p>
        </w:tc>
        <w:tc>
          <w:tcPr>
            <w:tcW w:w="211"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156,000</w:t>
            </w:r>
          </w:p>
        </w:tc>
        <w:tc>
          <w:tcPr>
            <w:tcW w:w="211"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42,886</w:t>
            </w:r>
          </w:p>
        </w:tc>
        <w:tc>
          <w:tcPr>
            <w:tcW w:w="211"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25,934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assets acquired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833,065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Warehouse credit facilities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(178,067</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0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Long 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(285,704</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0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Deferred tax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(23,855</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0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0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liabilities assumed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(517,652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0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assets acquired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315,413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estimated fair value of the finance receivables that were designated as held for sale were determined using the discounted cash flow method under the income approach. The Company determined the fair value of these finance receivables utilizing sales prices based on an estimated securitization transaction, adjusted for transaction costs, risk and a normal profit margin associated with securitization transactions. The significant assumptions used in the valuation were discount rate, prepayment rate, cumulative net losses, weighted average interest rate and recovery rate. Such fair value measurement of finance receivables held for sale is considered Level 3 of the fair value hierarchy.</w:t>
      </w:r>
    </w:p>
    <w:p>
      <w:pPr>
        <w:pStyle w:val="TextBody"/>
        <w:bidi w:val="0"/>
        <w:jc w:val="left"/>
        <w:rPr>
          <w:rFonts w:ascii="Arial" w:hAnsi="Arial"/>
          <w:b w:val="false"/>
          <w:color w:val="000000"/>
          <w:sz w:val="20"/>
        </w:rPr>
      </w:pPr>
      <w:r>
        <w:rPr>
          <w:rFonts w:ascii="Arial" w:hAnsi="Arial"/>
          <w:b w:val="false"/>
          <w:color w:val="000000"/>
          <w:sz w:val="20"/>
        </w:rPr>
        <w:t>The Company acquired two types of finance receivables that are accounted for under the fair value option: (i) those that were sold in one of the securitization transactions that UACC completed in 2019, 2020 or 2021, and (ii) those that were not eligible to be sold in future securitization transactions. The estimated fair value of the finance receivables that were previously sold were valued using the measurement alternative by reference to the fair value of the securitization debt. See Note 16 – Financial Instruments and Fair Value Measurements for more information regarding the measurement alternative and the fair value of these finance receivables. The fair value of the ineligible finance receivables was determined using a discounted cash flow method under the income approach. The significant assumptions used in the valuation were discount rate and recovery rate. Such fair value measurement of finance receivables accounted for under the fair value option is considered Level 3 of the fair value hierarchy.</w:t>
      </w:r>
    </w:p>
    <w:p>
      <w:pPr>
        <w:pStyle w:val="TextBody"/>
        <w:bidi w:val="0"/>
        <w:jc w:val="left"/>
        <w:rPr>
          <w:rFonts w:ascii="Arial" w:hAnsi="Arial"/>
          <w:b w:val="false"/>
          <w:color w:val="000000"/>
          <w:sz w:val="20"/>
        </w:rPr>
      </w:pPr>
      <w:r>
        <w:rPr>
          <w:rFonts w:ascii="Arial" w:hAnsi="Arial"/>
          <w:b w:val="false"/>
          <w:color w:val="000000"/>
          <w:sz w:val="20"/>
        </w:rPr>
        <w:t>The estimated fair value of the securitization debt of consolidated VIEs was determined using the discounted cash flow method under the income approach. The significant assumption used in the valuation was the yield. Such fair value measurement of securitization debt is considered Level 3 of the fair value hierarchy.</w:t>
      </w:r>
    </w:p>
    <w:p>
      <w:pPr>
        <w:pStyle w:val="TextBody"/>
        <w:bidi w:val="0"/>
        <w:jc w:val="left"/>
        <w:rPr>
          <w:rFonts w:ascii="Arial" w:hAnsi="Arial"/>
          <w:b w:val="false"/>
          <w:color w:val="000000"/>
          <w:sz w:val="20"/>
        </w:rPr>
      </w:pPr>
      <w:r>
        <w:rPr>
          <w:rFonts w:ascii="Arial" w:hAnsi="Arial"/>
          <w:b w:val="false"/>
          <w:color w:val="000000"/>
          <w:sz w:val="20"/>
        </w:rPr>
        <w:t>The estimated fair value of the warehouse credit facilities of consolidated VIEs approximated its carrying value due to the proximity of the Acquisition Date to the payoff date. These notes were acquired on February 1, 2022, as part of the UACC Acquisition and were paid off with the proceeds from the 2022-1 securitization transaction that UACC completed on February 16, 2022.</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excess of purchase consideration over the fair value of net tangible and identifiable intangible assets acquired was recorded as goodwill which is not deductible for tax purposes. Goodwill is primarily attributable to the workforce of the acquired business as well as benefits related to integrating UACC’s financing operations to establish a captive financing arm and underwrite vehicle financing for the Company's customers. All of the goodwill was assigned to the Ecommerce reporting unit.</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following table summarizes the identifiable intangible assets acquired and their estimated weighted average useful life at the date of acquisition (in thousands):</w:t>
      </w:r>
    </w:p>
    <w:p>
      <w:pPr>
        <w:pStyle w:val="TextBody"/>
        <w:bidi w:val="0"/>
        <w:jc w:val="left"/>
        <w:rPr/>
      </w:pPr>
      <w:r>
        <w:rPr/>
        <w:t> </w:t>
      </w:r>
    </w:p>
    <w:tbl>
      <w:tblPr>
        <w:tblW w:w="6052" w:type="dxa"/>
        <w:jc w:val="left"/>
        <w:tblInd w:w="0" w:type="dxa"/>
        <w:tblLayout w:type="fixed"/>
        <w:tblCellMar>
          <w:top w:w="28" w:type="dxa"/>
          <w:left w:w="28" w:type="dxa"/>
          <w:bottom w:w="28" w:type="dxa"/>
          <w:right w:w="28" w:type="dxa"/>
        </w:tblCellMar>
      </w:tblPr>
      <w:tblGrid>
        <w:gridCol w:w="2116"/>
        <w:gridCol w:w="146"/>
        <w:gridCol w:w="211"/>
        <w:gridCol w:w="796"/>
        <w:gridCol w:w="146"/>
        <w:gridCol w:w="146"/>
        <w:gridCol w:w="24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 Useful Life</w:t>
            </w:r>
          </w:p>
        </w:tc>
      </w:tr>
      <w:tr>
        <w:trPr/>
        <w:tc>
          <w:tcPr>
            <w:tcW w:w="21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Purchased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7</w:t>
            </w:r>
          </w:p>
        </w:tc>
      </w:tr>
      <w:tr>
        <w:trPr/>
        <w:tc>
          <w:tcPr>
            <w:tcW w:w="21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w:t>
            </w:r>
          </w:p>
        </w:tc>
      </w:tr>
      <w:tr>
        <w:trPr/>
        <w:tc>
          <w:tcPr>
            <w:tcW w:w="21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Trade name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w:t>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156,000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Purchased technology represents the fair value of UACC’s proprietary technology used to support all aspects of their business including underwriting, servicing, and risk management. The estimated fair value of the purchased technology was determined using a relief-from-royalty method under the income approach. The significant assumptions used in the relief-from-royalty method include estimates about future expected cash flows from the purchased technology, including the revenue growth rates, the royalty rate, the obsolescence factor and the discount rate.</w:t>
      </w:r>
    </w:p>
    <w:p>
      <w:pPr>
        <w:pStyle w:val="TextBody"/>
        <w:bidi w:val="0"/>
        <w:jc w:val="left"/>
        <w:rPr>
          <w:rFonts w:ascii="Arial" w:hAnsi="Arial"/>
          <w:b w:val="false"/>
          <w:color w:val="000000"/>
          <w:sz w:val="20"/>
        </w:rPr>
      </w:pPr>
      <w:r>
        <w:rPr>
          <w:rFonts w:ascii="Arial" w:hAnsi="Arial"/>
          <w:b w:val="false"/>
          <w:color w:val="000000"/>
          <w:sz w:val="20"/>
        </w:rPr>
        <w:t>Customer relationships represents UACC's relationship with its network of dealer customers. UACC has expertise in the non-prime credit dealer market serving as the key link between independent dealerships and consumers. UACC has developed expertise and robust relationships in the independent dealer market as demonstrated by its active dealership network. The estimated fair value of the customer relationships was determined using a multi-period excess earnings method under the income approach. The significant assumptions used in the multi-period excess earnings method include estimates about future expected cash flows from the customer relationships, including pre-tax income margins and the discount rate.</w:t>
      </w:r>
    </w:p>
    <w:p>
      <w:pPr>
        <w:pStyle w:val="TextBody"/>
        <w:bidi w:val="0"/>
        <w:jc w:val="left"/>
        <w:rPr>
          <w:rFonts w:ascii="Arial" w:hAnsi="Arial"/>
          <w:b w:val="false"/>
          <w:color w:val="000000"/>
          <w:sz w:val="20"/>
        </w:rPr>
      </w:pPr>
      <w:r>
        <w:rPr>
          <w:rFonts w:ascii="Arial" w:hAnsi="Arial"/>
          <w:b w:val="false"/>
          <w:color w:val="000000"/>
          <w:sz w:val="20"/>
        </w:rPr>
        <w:t>Trade name represents the value of the UACC trade name. The UACC brand is an important factor in the marketing of UACC’s services to prospective dealership customers. The fair value of the trade name acquired was determined using a relief-from-royalty method under the income approach. The significant assumptions used in the relief-from-royalty method include future expected cash flows from the trade name, the royalty rate, and the discount rate.</w:t>
      </w:r>
    </w:p>
    <w:p>
      <w:pPr>
        <w:pStyle w:val="TextBody"/>
        <w:bidi w:val="0"/>
        <w:jc w:val="left"/>
        <w:rPr>
          <w:rFonts w:ascii="Arial" w:hAnsi="Arial"/>
          <w:b w:val="false"/>
          <w:color w:val="000000"/>
          <w:sz w:val="20"/>
        </w:rPr>
      </w:pPr>
      <w:r>
        <w:rPr>
          <w:rFonts w:ascii="Arial" w:hAnsi="Arial"/>
          <w:b w:val="false"/>
          <w:color w:val="000000"/>
          <w:sz w:val="20"/>
        </w:rPr>
        <w:t>The fair values assigned to assets acquired and liabilities assumed are based on management’s estimates and assumptions. The allocation of the total consideration transferred to the assets acquired, including intangible assets and goodwill, as well as the liabilities assumed was final as of December 31, 2022.</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transaction costs associated with the UACC Acquisition were not material for the three months ended September 30, 2022</w:t>
      </w:r>
      <w:r>
        <w:rPr>
          <w:rFonts w:ascii="Times New Roman" w:hAnsi="Times New Roman"/>
          <w:color w:val="000000"/>
          <w:sz w:val="20"/>
        </w:rPr>
        <w:t xml:space="preserve"> </w:t>
      </w:r>
      <w:r>
        <w:rPr>
          <w:rFonts w:ascii="Arial" w:hAnsi="Arial"/>
          <w:b w:val="false"/>
          <w:color w:val="000000"/>
          <w:sz w:val="20"/>
        </w:rPr>
        <w:t>and were $5.7</w:t>
      </w:r>
      <w:r>
        <w:rPr>
          <w:rFonts w:ascii="Times New Roman" w:hAnsi="Times New Roman"/>
          <w:color w:val="000000"/>
          <w:sz w:val="20"/>
        </w:rPr>
        <w:t xml:space="preserve"> </w:t>
      </w:r>
      <w:r>
        <w:rPr>
          <w:rFonts w:ascii="Arial" w:hAnsi="Arial"/>
          <w:b w:val="false"/>
          <w:color w:val="000000"/>
          <w:sz w:val="20"/>
        </w:rPr>
        <w:t>million for the nine months ended September 30, 2022, and are included within "Selling, general and administrative expenses" in the condensed consolidated statement of operations.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aggregate revenue and net income of UACC consolidated into the Company’s financial statements from the date of the acquisition was $47.7</w:t>
      </w:r>
      <w:r>
        <w:rPr>
          <w:rFonts w:ascii="Times New Roman" w:hAnsi="Times New Roman"/>
          <w:color w:val="000000"/>
          <w:sz w:val="20"/>
        </w:rPr>
        <w:t xml:space="preserve"> </w:t>
      </w:r>
      <w:r>
        <w:rPr>
          <w:rFonts w:ascii="Arial" w:hAnsi="Arial"/>
          <w:b w:val="false"/>
          <w:color w:val="000000"/>
          <w:sz w:val="20"/>
        </w:rPr>
        <w:t>million and $17.7</w:t>
      </w:r>
      <w:r>
        <w:rPr>
          <w:rFonts w:ascii="Times New Roman" w:hAnsi="Times New Roman"/>
          <w:color w:val="000000"/>
          <w:sz w:val="20"/>
        </w:rPr>
        <w:t xml:space="preserve"> </w:t>
      </w:r>
      <w:r>
        <w:rPr>
          <w:rFonts w:ascii="Arial" w:hAnsi="Arial"/>
          <w:b w:val="false"/>
          <w:color w:val="000000"/>
          <w:sz w:val="20"/>
        </w:rPr>
        <w:t>million for the three months ended September 30, 2022, respectively and $133.7</w:t>
      </w:r>
      <w:r>
        <w:rPr>
          <w:rFonts w:ascii="Times New Roman" w:hAnsi="Times New Roman"/>
          <w:color w:val="000000"/>
          <w:sz w:val="20"/>
        </w:rPr>
        <w:t xml:space="preserve"> </w:t>
      </w:r>
      <w:r>
        <w:rPr>
          <w:rFonts w:ascii="Arial" w:hAnsi="Arial"/>
          <w:b w:val="false"/>
          <w:color w:val="000000"/>
          <w:sz w:val="20"/>
        </w:rPr>
        <w:t>million and $37.9</w:t>
      </w:r>
      <w:r>
        <w:rPr>
          <w:rFonts w:ascii="Times New Roman" w:hAnsi="Times New Roman"/>
          <w:color w:val="000000"/>
          <w:sz w:val="20"/>
        </w:rPr>
        <w:t xml:space="preserve"> </w:t>
      </w:r>
      <w:r>
        <w:rPr>
          <w:rFonts w:ascii="Arial" w:hAnsi="Arial"/>
          <w:b w:val="false"/>
          <w:color w:val="000000"/>
          <w:sz w:val="20"/>
        </w:rPr>
        <w:t>million for the nine months ended September 30, 2022, respectively.</w:t>
      </w:r>
    </w:p>
    <w:p>
      <w:pPr>
        <w:pStyle w:val="TextBody"/>
        <w:bidi w:val="0"/>
        <w:jc w:val="left"/>
        <w:rPr>
          <w:rFonts w:ascii="Arial" w:hAnsi="Arial"/>
          <w:b/>
          <w:color w:val="000000"/>
          <w:sz w:val="20"/>
        </w:rPr>
      </w:pPr>
      <w:r>
        <w:rPr>
          <w:rFonts w:ascii="Arial" w:hAnsi="Arial"/>
          <w:b/>
          <w:color w:val="000000"/>
          <w:sz w:val="20"/>
        </w:rPr>
        <w:t>Unaudited Pro Forma Information</w:t>
      </w:r>
    </w:p>
    <w:p>
      <w:pPr>
        <w:pStyle w:val="TextBody"/>
        <w:bidi w:val="0"/>
        <w:jc w:val="left"/>
        <w:rPr>
          <w:rFonts w:ascii="Times New Roman" w:hAnsi="Times New Roman"/>
          <w:sz w:val="20"/>
        </w:rPr>
      </w:pPr>
      <w:r>
        <w:rPr>
          <w:rFonts w:ascii="Arial" w:hAnsi="Arial"/>
          <w:b w:val="false"/>
          <w:color w:val="000000"/>
          <w:sz w:val="20"/>
        </w:rPr>
        <w:t>The unaudited pro forma financial information in the table below summarizes the combined results of the Company and UACC, as though the companies had been combined on January 1, 2021. The pro forma adjustments include incremental amortization of intangible assets and a non-recurring tax adjustment of $24.1</w:t>
      </w:r>
      <w:r>
        <w:rPr>
          <w:rFonts w:ascii="Times New Roman" w:hAnsi="Times New Roman"/>
          <w:color w:val="000000"/>
          <w:sz w:val="20"/>
        </w:rPr>
        <w:t xml:space="preserve"> </w:t>
      </w:r>
      <w:r>
        <w:rPr>
          <w:rFonts w:ascii="Arial" w:hAnsi="Arial"/>
          <w:b w:val="false"/>
          <w:color w:val="000000"/>
          <w:sz w:val="20"/>
        </w:rPr>
        <w:t>million for the nine months ended September 30, 2022. The pro forma information is presented for informational purposes only and may not be indicative of the results of operations that would have been achieved if the acquisition had taken place on January 1, 2021 or that may occur in the future, and does not reflect future synergies, integration costs, or other such costs or savings. The pro forma information for the nine months ended September 30, 2022 is as follows:</w:t>
      </w:r>
    </w:p>
    <w:p>
      <w:pPr>
        <w:pStyle w:val="TextBody"/>
        <w:bidi w:val="0"/>
        <w:jc w:val="left"/>
        <w:rPr/>
      </w:pPr>
      <w:r>
        <w:rPr/>
        <w:t> </w:t>
      </w:r>
    </w:p>
    <w:tbl>
      <w:tblPr>
        <w:tblW w:w="4498" w:type="dxa"/>
        <w:jc w:val="left"/>
        <w:tblInd w:w="0" w:type="dxa"/>
        <w:tblLayout w:type="fixed"/>
        <w:tblCellMar>
          <w:top w:w="28" w:type="dxa"/>
          <w:left w:w="28" w:type="dxa"/>
          <w:bottom w:w="28" w:type="dxa"/>
          <w:right w:w="28" w:type="dxa"/>
        </w:tblCellMar>
      </w:tblPr>
      <w:tblGrid>
        <w:gridCol w:w="1306"/>
        <w:gridCol w:w="146"/>
        <w:gridCol w:w="510"/>
        <w:gridCol w:w="2325"/>
        <w:gridCol w:w="21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32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1,755,023</w:t>
            </w:r>
          </w:p>
        </w:tc>
        <w:tc>
          <w:tcPr>
            <w:tcW w:w="211" w:type="dxa"/>
            <w:tcBorders/>
            <w:shd w:fill="CFF0FC" w:val="clear"/>
            <w:vAlign w:val="center"/>
          </w:tcPr>
          <w:p>
            <w:pPr>
              <w:pStyle w:val="TableContents"/>
              <w:bidi w:val="0"/>
              <w:spacing w:before="0" w:after="283"/>
              <w:jc w:val="left"/>
              <w:rPr/>
            </w:pPr>
            <w:r>
              <w:rPr/>
              <w:t> </w:t>
            </w:r>
          </w:p>
        </w:tc>
      </w:tr>
      <w:tr>
        <w:trPr/>
        <w:tc>
          <w:tcPr>
            <w:tcW w:w="13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32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(488,866</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6. Inventory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Inventory consisted of the following (in thousands):</w:t>
      </w:r>
      <w:r>
        <w:rPr>
          <w:rFonts w:ascii="Times New Roman" w:hAnsi="Times New Roman"/>
          <w:color w:val="000000"/>
          <w:sz w:val="20"/>
        </w:rPr>
        <w:t xml:space="preserve"> </w:t>
      </w:r>
    </w:p>
    <w:p>
      <w:pPr>
        <w:pStyle w:val="TextBody"/>
        <w:bidi w:val="0"/>
        <w:jc w:val="left"/>
        <w:rPr/>
      </w:pPr>
      <w:r>
        <w:rPr/>
        <w:t> </w:t>
      </w:r>
    </w:p>
    <w:tbl>
      <w:tblPr>
        <w:tblW w:w="5100" w:type="dxa"/>
        <w:jc w:val="left"/>
        <w:tblInd w:w="0" w:type="dxa"/>
        <w:tblLayout w:type="fixed"/>
        <w:tblCellMar>
          <w:top w:w="28" w:type="dxa"/>
          <w:left w:w="28" w:type="dxa"/>
          <w:bottom w:w="28" w:type="dxa"/>
          <w:right w:w="28" w:type="dxa"/>
        </w:tblCellMar>
      </w:tblPr>
      <w:tblGrid>
        <w:gridCol w:w="2071"/>
        <w:gridCol w:w="146"/>
        <w:gridCol w:w="257"/>
        <w:gridCol w:w="973"/>
        <w:gridCol w:w="146"/>
        <w:gridCol w:w="146"/>
        <w:gridCol w:w="245"/>
        <w:gridCol w:w="925"/>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Vehicles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239,481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317,994</w:t>
            </w:r>
          </w:p>
        </w:tc>
        <w:tc>
          <w:tcPr>
            <w:tcW w:w="1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Parts and accessories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inventory</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240,676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320,648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of September 30, 2023 and December 31, 2022, “Inventory” includes an adjustment of $8.3</w:t>
      </w:r>
      <w:r>
        <w:rPr>
          <w:rFonts w:ascii="Times New Roman" w:hAnsi="Times New Roman"/>
          <w:color w:val="000000"/>
          <w:sz w:val="20"/>
        </w:rPr>
        <w:t xml:space="preserve"> </w:t>
      </w:r>
      <w:r>
        <w:rPr>
          <w:rFonts w:ascii="Arial" w:hAnsi="Arial"/>
          <w:b w:val="false"/>
          <w:color w:val="000000"/>
          <w:sz w:val="20"/>
        </w:rPr>
        <w:t>million and $24.2</w:t>
      </w:r>
      <w:r>
        <w:rPr>
          <w:rFonts w:ascii="Times New Roman" w:hAnsi="Times New Roman"/>
          <w:color w:val="000000"/>
          <w:sz w:val="20"/>
        </w:rPr>
        <w:t xml:space="preserve"> </w:t>
      </w:r>
      <w:r>
        <w:rPr>
          <w:rFonts w:ascii="Arial" w:hAnsi="Arial"/>
          <w:b w:val="false"/>
          <w:color w:val="000000"/>
          <w:sz w:val="20"/>
        </w:rPr>
        <w:t>million, respectively, to record the balances at the lower of cost or net realizable value.</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7. Property and Equipment,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Property and equipment, net consisted of the following (in thousands):</w:t>
      </w:r>
      <w:r>
        <w:rPr>
          <w:rFonts w:ascii="Times New Roman" w:hAnsi="Times New Roman"/>
          <w:color w:val="000000"/>
          <w:sz w:val="20"/>
        </w:rPr>
        <w:t xml:space="preserve"> </w:t>
      </w:r>
    </w:p>
    <w:p>
      <w:pPr>
        <w:pStyle w:val="TextBody"/>
        <w:bidi w:val="0"/>
        <w:jc w:val="left"/>
        <w:rPr/>
      </w:pPr>
      <w:r>
        <w:rPr/>
        <w:t> </w:t>
      </w:r>
    </w:p>
    <w:tbl>
      <w:tblPr>
        <w:tblW w:w="6940" w:type="dxa"/>
        <w:jc w:val="left"/>
        <w:tblInd w:w="0" w:type="dxa"/>
        <w:tblLayout w:type="fixed"/>
        <w:tblCellMar>
          <w:top w:w="28" w:type="dxa"/>
          <w:left w:w="28" w:type="dxa"/>
          <w:bottom w:w="28" w:type="dxa"/>
          <w:right w:w="28" w:type="dxa"/>
        </w:tblCellMar>
      </w:tblPr>
      <w:tblGrid>
        <w:gridCol w:w="3871"/>
        <w:gridCol w:w="146"/>
        <w:gridCol w:w="270"/>
        <w:gridCol w:w="960"/>
        <w:gridCol w:w="166"/>
        <w:gridCol w:w="146"/>
        <w:gridCol w:w="256"/>
        <w:gridCol w:w="914"/>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Equipment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1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3,357</w:t>
            </w:r>
          </w:p>
        </w:tc>
        <w:tc>
          <w:tcPr>
            <w:tcW w:w="21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1,896</w:t>
            </w:r>
          </w:p>
        </w:tc>
        <w:tc>
          <w:tcPr>
            <w:tcW w:w="21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Logistics fleet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32,544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32,468</w:t>
            </w:r>
          </w:p>
        </w:tc>
        <w:tc>
          <w:tcPr>
            <w:tcW w:w="21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6,577</w:t>
            </w:r>
          </w:p>
        </w:tc>
        <w:tc>
          <w:tcPr>
            <w:tcW w:w="21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Internal-use software</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39,627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30,725</w:t>
            </w:r>
          </w:p>
        </w:tc>
        <w:tc>
          <w:tcPr>
            <w:tcW w:w="21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94,239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83,104</w:t>
            </w:r>
          </w:p>
        </w:tc>
        <w:tc>
          <w:tcPr>
            <w:tcW w:w="21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(32,903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8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50,201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Depreciation and amortization expense was $4.5</w:t>
      </w:r>
      <w:r>
        <w:rPr>
          <w:rFonts w:ascii="Times New Roman" w:hAnsi="Times New Roman"/>
          <w:color w:val="000000"/>
          <w:sz w:val="20"/>
        </w:rPr>
        <w:t xml:space="preserve"> </w:t>
      </w:r>
      <w:r>
        <w:rPr>
          <w:rFonts w:ascii="Arial" w:hAnsi="Arial"/>
          <w:b w:val="false"/>
          <w:color w:val="000000"/>
          <w:sz w:val="20"/>
        </w:rPr>
        <w:t>million and $3.2</w:t>
      </w:r>
      <w:r>
        <w:rPr>
          <w:rFonts w:ascii="Times New Roman" w:hAnsi="Times New Roman"/>
          <w:color w:val="000000"/>
          <w:sz w:val="20"/>
        </w:rPr>
        <w:t xml:space="preserve"> </w:t>
      </w:r>
      <w:r>
        <w:rPr>
          <w:rFonts w:ascii="Arial" w:hAnsi="Arial"/>
          <w:b w:val="false"/>
          <w:color w:val="000000"/>
          <w:sz w:val="20"/>
        </w:rPr>
        <w:t>million for the three months ended September 30, 2023 and 2022, respectively, and $12.2</w:t>
      </w:r>
      <w:r>
        <w:rPr>
          <w:rFonts w:ascii="Times New Roman" w:hAnsi="Times New Roman"/>
          <w:color w:val="000000"/>
          <w:sz w:val="20"/>
        </w:rPr>
        <w:t xml:space="preserve"> </w:t>
      </w:r>
      <w:r>
        <w:rPr>
          <w:rFonts w:ascii="Arial" w:hAnsi="Arial"/>
          <w:b w:val="false"/>
          <w:color w:val="000000"/>
          <w:sz w:val="20"/>
        </w:rPr>
        <w:t>million and $9.5</w:t>
      </w:r>
      <w:r>
        <w:rPr>
          <w:rFonts w:ascii="Times New Roman" w:hAnsi="Times New Roman"/>
          <w:color w:val="000000"/>
          <w:sz w:val="20"/>
        </w:rPr>
        <w:t xml:space="preserve"> </w:t>
      </w:r>
      <w:r>
        <w:rPr>
          <w:rFonts w:ascii="Arial" w:hAnsi="Arial"/>
          <w:b w:val="false"/>
          <w:color w:val="000000"/>
          <w:sz w:val="20"/>
        </w:rPr>
        <w:t>million for the nine months ended September 30, 2023 and 2022, respectively. Depreciation and amortization expense included within “Cost of sales” in the condensed consolidated statements of operations was $0.2</w:t>
      </w:r>
      <w:r>
        <w:rPr>
          <w:rFonts w:ascii="Times New Roman" w:hAnsi="Times New Roman"/>
          <w:color w:val="000000"/>
          <w:sz w:val="20"/>
        </w:rPr>
        <w:t xml:space="preserve"> </w:t>
      </w:r>
      <w:r>
        <w:rPr>
          <w:rFonts w:ascii="Arial" w:hAnsi="Arial"/>
          <w:b w:val="false"/>
          <w:color w:val="000000"/>
          <w:sz w:val="20"/>
        </w:rPr>
        <w:t>million for the three months ended September 30, 2023 and 2022, and $0.6</w:t>
      </w:r>
      <w:r>
        <w:rPr>
          <w:rFonts w:ascii="Times New Roman" w:hAnsi="Times New Roman"/>
          <w:color w:val="000000"/>
          <w:sz w:val="20"/>
        </w:rPr>
        <w:t xml:space="preserve"> </w:t>
      </w:r>
      <w:r>
        <w:rPr>
          <w:rFonts w:ascii="Arial" w:hAnsi="Arial"/>
          <w:b w:val="false"/>
          <w:color w:val="000000"/>
          <w:sz w:val="20"/>
        </w:rPr>
        <w:t>million and $0.3</w:t>
      </w:r>
      <w:r>
        <w:rPr>
          <w:rFonts w:ascii="Times New Roman" w:hAnsi="Times New Roman"/>
          <w:color w:val="000000"/>
          <w:sz w:val="20"/>
        </w:rPr>
        <w:t xml:space="preserve"> </w:t>
      </w:r>
      <w:r>
        <w:rPr>
          <w:rFonts w:ascii="Arial" w:hAnsi="Arial"/>
          <w:b w:val="false"/>
          <w:color w:val="000000"/>
          <w:sz w:val="20"/>
        </w:rPr>
        <w:t>million for the nine months ended September 30, 2023 and 2022, respectively.</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Implementation costs capitalized and accumulated amortization related to the Company’s cloud computing arrangements were $8.6</w:t>
      </w:r>
      <w:r>
        <w:rPr>
          <w:rFonts w:ascii="Times New Roman" w:hAnsi="Times New Roman"/>
          <w:color w:val="000000"/>
          <w:sz w:val="20"/>
        </w:rPr>
        <w:t xml:space="preserve"> </w:t>
      </w:r>
      <w:r>
        <w:rPr>
          <w:rFonts w:ascii="Arial" w:hAnsi="Arial"/>
          <w:b w:val="false"/>
          <w:color w:val="000000"/>
          <w:sz w:val="20"/>
        </w:rPr>
        <w:t>million and $6.0</w:t>
      </w:r>
      <w:r>
        <w:rPr>
          <w:rFonts w:ascii="Times New Roman" w:hAnsi="Times New Roman"/>
          <w:color w:val="000000"/>
          <w:sz w:val="20"/>
        </w:rPr>
        <w:t xml:space="preserve"> </w:t>
      </w:r>
      <w:r>
        <w:rPr>
          <w:rFonts w:ascii="Arial" w:hAnsi="Arial"/>
          <w:b w:val="false"/>
          <w:color w:val="000000"/>
          <w:sz w:val="20"/>
        </w:rPr>
        <w:t>million as of September 30, 2023, respectively, and $7.7</w:t>
      </w:r>
      <w:r>
        <w:rPr>
          <w:rFonts w:ascii="Times New Roman" w:hAnsi="Times New Roman"/>
          <w:color w:val="000000"/>
          <w:sz w:val="20"/>
        </w:rPr>
        <w:t xml:space="preserve"> </w:t>
      </w:r>
      <w:r>
        <w:rPr>
          <w:rFonts w:ascii="Arial" w:hAnsi="Arial"/>
          <w:b w:val="false"/>
          <w:color w:val="000000"/>
          <w:sz w:val="20"/>
        </w:rPr>
        <w:t>million and $4.6</w:t>
      </w:r>
      <w:r>
        <w:rPr>
          <w:rFonts w:ascii="Times New Roman" w:hAnsi="Times New Roman"/>
          <w:color w:val="000000"/>
          <w:sz w:val="20"/>
        </w:rPr>
        <w:t xml:space="preserve"> </w:t>
      </w:r>
      <w:r>
        <w:rPr>
          <w:rFonts w:ascii="Arial" w:hAnsi="Arial"/>
          <w:b w:val="false"/>
          <w:color w:val="000000"/>
          <w:sz w:val="20"/>
        </w:rPr>
        <w:t>million as of December 31, 2022, respectively, and were included within “Other assets” in the condensed consolidated balance sheets. Amortization expense of $0.6</w:t>
      </w:r>
      <w:r>
        <w:rPr>
          <w:rFonts w:ascii="Times New Roman" w:hAnsi="Times New Roman"/>
          <w:color w:val="000000"/>
          <w:sz w:val="20"/>
        </w:rPr>
        <w:t xml:space="preserve"> </w:t>
      </w:r>
      <w:r>
        <w:rPr>
          <w:rFonts w:ascii="Arial" w:hAnsi="Arial"/>
          <w:b w:val="false"/>
          <w:color w:val="000000"/>
          <w:sz w:val="20"/>
        </w:rPr>
        <w:t>million was included within “Selling, general and administrative expenses” in the condensed consolidated statements of operations for the three months ended September 30, 2023 and 2022, and $1.4</w:t>
      </w:r>
      <w:r>
        <w:rPr>
          <w:rFonts w:ascii="Times New Roman" w:hAnsi="Times New Roman"/>
          <w:color w:val="000000"/>
          <w:sz w:val="20"/>
        </w:rPr>
        <w:t xml:space="preserve"> </w:t>
      </w:r>
      <w:r>
        <w:rPr>
          <w:rFonts w:ascii="Arial" w:hAnsi="Arial"/>
          <w:b w:val="false"/>
          <w:color w:val="000000"/>
          <w:sz w:val="20"/>
        </w:rPr>
        <w:t>million and $1.7</w:t>
      </w:r>
      <w:r>
        <w:rPr>
          <w:rFonts w:ascii="Times New Roman" w:hAnsi="Times New Roman"/>
          <w:color w:val="000000"/>
          <w:sz w:val="20"/>
        </w:rPr>
        <w:t xml:space="preserve"> </w:t>
      </w:r>
      <w:r>
        <w:rPr>
          <w:rFonts w:ascii="Arial" w:hAnsi="Arial"/>
          <w:b w:val="false"/>
          <w:color w:val="000000"/>
          <w:sz w:val="20"/>
        </w:rPr>
        <w:t>million for the nine months ended September 30, 2023 and 2022, respectively.</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8. Goodwill and Intangible Assets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Goodwill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following table summarizes the activity in the carrying value of goodwill by reporting unit for the nine months ended September 30, 2022 (in thousands):</w:t>
      </w:r>
      <w:r>
        <w:rPr>
          <w:rFonts w:ascii="Times New Roman" w:hAnsi="Times New Roman"/>
          <w:color w:val="000000"/>
          <w:sz w:val="20"/>
        </w:rPr>
        <w:t xml:space="preserve"> </w:t>
      </w:r>
    </w:p>
    <w:p>
      <w:pPr>
        <w:pStyle w:val="TextBody"/>
        <w:bidi w:val="0"/>
        <w:jc w:val="left"/>
        <w:rPr/>
      </w:pPr>
      <w:r>
        <w:rPr/>
        <w:t> </w:t>
      </w:r>
    </w:p>
    <w:tbl>
      <w:tblPr>
        <w:tblW w:w="8441" w:type="dxa"/>
        <w:jc w:val="left"/>
        <w:tblInd w:w="0" w:type="dxa"/>
        <w:tblLayout w:type="fixed"/>
        <w:tblCellMar>
          <w:top w:w="28" w:type="dxa"/>
          <w:left w:w="28" w:type="dxa"/>
          <w:bottom w:w="28" w:type="dxa"/>
          <w:right w:w="28" w:type="dxa"/>
        </w:tblCellMar>
      </w:tblPr>
      <w:tblGrid>
        <w:gridCol w:w="3241"/>
        <w:gridCol w:w="146"/>
        <w:gridCol w:w="211"/>
        <w:gridCol w:w="856"/>
        <w:gridCol w:w="166"/>
        <w:gridCol w:w="146"/>
        <w:gridCol w:w="225"/>
        <w:gridCol w:w="691"/>
        <w:gridCol w:w="166"/>
        <w:gridCol w:w="146"/>
        <w:gridCol w:w="211"/>
        <w:gridCol w:w="646"/>
        <w:gridCol w:w="166"/>
        <w:gridCol w:w="146"/>
        <w:gridCol w:w="211"/>
        <w:gridCol w:w="85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Ecommerce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Wholesale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TDA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152,876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4,221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158,817</w:t>
            </w:r>
          </w:p>
        </w:tc>
        <w:tc>
          <w:tcPr>
            <w:tcW w:w="21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Acquisition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42,886</w:t>
            </w:r>
          </w:p>
        </w:tc>
        <w:tc>
          <w:tcPr>
            <w:tcW w:w="21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Goodwill impairment charge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(195,762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(201,703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24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There was no</w:t>
      </w:r>
      <w:r>
        <w:rPr>
          <w:rFonts w:ascii="Times New Roman" w:hAnsi="Times New Roman"/>
          <w:color w:val="000000"/>
          <w:sz w:val="20"/>
        </w:rPr>
        <w:t xml:space="preserve"> </w:t>
      </w:r>
      <w:r>
        <w:rPr>
          <w:rFonts w:ascii="Arial" w:hAnsi="Arial"/>
          <w:b w:val="false"/>
          <w:color w:val="000000"/>
          <w:sz w:val="20"/>
        </w:rPr>
        <w:t>goodwill as of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19"/>
        </w:rPr>
      </w:pPr>
      <w:r>
        <w:rPr>
          <w:rFonts w:ascii="Arial" w:hAnsi="Arial"/>
          <w:b w:val="false"/>
          <w:color w:val="000000"/>
          <w:sz w:val="19"/>
        </w:rPr>
        <w:t>As of March 31, 2022, a quantitative interim goodwill impairment assessment was performed over the Company's reporting units due to further sustained declines in the Company's and comparable companies' stock prices during the three months ended March 31, 2022.</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estimated the fair value of the Ecommerce, Wholesale, and TDA reporting units using the discounted cash flow method under the income approach. The significant assumptions used in the valuation include revenue growth rates, future gross profit margins and operating expenses used to calculate projected future cash flows, 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The Company bases its estimates and assumptions on its knowledge of the automotive and ecommerce industries, recent performance, expectations of future performance and other assumptions the Company believe to be reasonable.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determined that the estimated fair value of the Ecommerce, Wholesale, and TDA reporting units was less than their carrying amounts. The Company recorded a goodwill impairment charge of $201.7</w:t>
      </w:r>
      <w:r>
        <w:rPr>
          <w:rFonts w:ascii="Times New Roman" w:hAnsi="Times New Roman"/>
          <w:color w:val="000000"/>
          <w:sz w:val="20"/>
        </w:rPr>
        <w:t xml:space="preserve"> </w:t>
      </w:r>
      <w:r>
        <w:rPr>
          <w:rFonts w:ascii="Arial" w:hAnsi="Arial"/>
          <w:b w:val="false"/>
          <w:color w:val="000000"/>
          <w:sz w:val="20"/>
        </w:rPr>
        <w:t>million in the condensed consolidated statements of operations for the nine months ended September 30, 2022.</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Refer to Note 5 – Acquisition for more information related to the acquisition that occurred in the nine months ended September 30, 2022.</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Intangible Assets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Intangible assets, net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0"/>
        <w:gridCol w:w="146"/>
        <w:gridCol w:w="231"/>
        <w:gridCol w:w="874"/>
        <w:gridCol w:w="146"/>
        <w:gridCol w:w="146"/>
        <w:gridCol w:w="283"/>
        <w:gridCol w:w="1010"/>
        <w:gridCol w:w="166"/>
        <w:gridCol w:w="146"/>
        <w:gridCol w:w="217"/>
        <w:gridCol w:w="821"/>
        <w:gridCol w:w="146"/>
        <w:gridCol w:w="146"/>
        <w:gridCol w:w="231"/>
        <w:gridCol w:w="874"/>
        <w:gridCol w:w="146"/>
        <w:gridCol w:w="146"/>
        <w:gridCol w:w="283"/>
        <w:gridCol w:w="1010"/>
        <w:gridCol w:w="166"/>
        <w:gridCol w:w="146"/>
        <w:gridCol w:w="217"/>
        <w:gridCol w:w="821"/>
        <w:gridCol w:w="197"/>
      </w:tblGrid>
      <w:tr>
        <w:trPr/>
        <w:tc>
          <w:tcPr>
            <w:tcW w:w="1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4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Developed and purchased technology</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1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(33,801</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2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1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(21,053</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2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87,647</w:t>
            </w:r>
          </w:p>
        </w:tc>
        <w:tc>
          <w:tcPr>
            <w:tcW w:w="197" w:type="dxa"/>
            <w:tcBorders/>
            <w:shd w:fill="CFF0FC"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(15,167</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(8,661</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60,739</w:t>
            </w:r>
          </w:p>
        </w:tc>
        <w:tc>
          <w:tcPr>
            <w:tcW w:w="197" w:type="dxa"/>
            <w:tcBorders/>
            <w:shd w:fill="FFFFFF" w:val="clear"/>
            <w:vAlign w:val="center"/>
          </w:tcPr>
          <w:p>
            <w:pPr>
              <w:pStyle w:val="TableContents"/>
              <w:bidi w:val="0"/>
              <w:spacing w:before="0" w:after="283"/>
              <w:jc w:val="left"/>
              <w:rPr/>
            </w:pPr>
            <w:r>
              <w:rPr/>
              <w:t> </w:t>
            </w:r>
          </w:p>
        </w:tc>
      </w:tr>
      <w:tr>
        <w:trPr/>
        <w:tc>
          <w:tcPr>
            <w:tcW w:w="149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Trademarks and trade names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10,524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190,300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138,644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190,300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158,910</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Refer to Note 5 – Acquisition for more information related to the acquisition that occurred in the nine months ended September 30, 2022.</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Amortization expense for intangible assets was $6.8</w:t>
      </w:r>
      <w:r>
        <w:rPr>
          <w:rFonts w:ascii="Times New Roman" w:hAnsi="Times New Roman"/>
          <w:color w:val="000000"/>
          <w:sz w:val="20"/>
        </w:rPr>
        <w:t xml:space="preserve"> </w:t>
      </w:r>
      <w:r>
        <w:rPr>
          <w:rFonts w:ascii="Arial" w:hAnsi="Arial"/>
          <w:b w:val="false"/>
          <w:color w:val="000000"/>
          <w:sz w:val="20"/>
        </w:rPr>
        <w:t>million for the three months ended September 30, 2023 and 2022, and $20.3</w:t>
      </w:r>
      <w:r>
        <w:rPr>
          <w:rFonts w:ascii="Times New Roman" w:hAnsi="Times New Roman"/>
          <w:color w:val="000000"/>
          <w:sz w:val="20"/>
        </w:rPr>
        <w:t xml:space="preserve"> </w:t>
      </w:r>
      <w:r>
        <w:rPr>
          <w:rFonts w:ascii="Arial" w:hAnsi="Arial"/>
          <w:b w:val="false"/>
          <w:color w:val="000000"/>
          <w:sz w:val="20"/>
        </w:rPr>
        <w:t>million and $18.5</w:t>
      </w:r>
      <w:r>
        <w:rPr>
          <w:rFonts w:ascii="Times New Roman" w:hAnsi="Times New Roman"/>
          <w:color w:val="000000"/>
          <w:sz w:val="20"/>
        </w:rPr>
        <w:t xml:space="preserve"> </w:t>
      </w:r>
      <w:r>
        <w:rPr>
          <w:rFonts w:ascii="Arial" w:hAnsi="Arial"/>
          <w:b w:val="false"/>
          <w:color w:val="000000"/>
          <w:sz w:val="20"/>
        </w:rPr>
        <w:t>million for the nine months ended September 30, 2023 and 2022, respectively.</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estimated amortization expense for intangible assets subsequent to September 30, 2023, consists of the following (in thousands):</w:t>
      </w:r>
    </w:p>
    <w:p>
      <w:pPr>
        <w:pStyle w:val="TextBody"/>
        <w:bidi w:val="0"/>
        <w:jc w:val="left"/>
        <w:rPr/>
      </w:pPr>
      <w:r>
        <w:rPr/>
        <w:t> </w:t>
      </w:r>
    </w:p>
    <w:tbl>
      <w:tblPr>
        <w:tblW w:w="3550" w:type="dxa"/>
        <w:jc w:val="left"/>
        <w:tblInd w:w="0" w:type="dxa"/>
        <w:tblLayout w:type="fixed"/>
        <w:tblCellMar>
          <w:top w:w="28" w:type="dxa"/>
          <w:left w:w="28" w:type="dxa"/>
          <w:bottom w:w="28" w:type="dxa"/>
          <w:right w:w="28" w:type="dxa"/>
        </w:tblCellMar>
      </w:tblPr>
      <w:tblGrid>
        <w:gridCol w:w="2206"/>
        <w:gridCol w:w="146"/>
        <w:gridCol w:w="211"/>
        <w:gridCol w:w="796"/>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For remainder of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6,756</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27,022</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27,022</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21,979</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21,882</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33,983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138,644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9. Accrued Expenses and Other Current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Company’s accrued expenses consisted of the following (in thousands):</w:t>
      </w:r>
      <w:r>
        <w:rPr>
          <w:rFonts w:ascii="Times New Roman" w:hAnsi="Times New Roman"/>
          <w:color w:val="000000"/>
          <w:sz w:val="20"/>
        </w:rPr>
        <w:t xml:space="preserve"> </w:t>
      </w:r>
    </w:p>
    <w:p>
      <w:pPr>
        <w:pStyle w:val="TextBody"/>
        <w:bidi w:val="0"/>
        <w:jc w:val="left"/>
        <w:rPr/>
      </w:pPr>
      <w:r>
        <w:rPr/>
        <w:t> </w:t>
      </w:r>
    </w:p>
    <w:tbl>
      <w:tblPr>
        <w:tblW w:w="6270" w:type="dxa"/>
        <w:jc w:val="left"/>
        <w:tblInd w:w="0" w:type="dxa"/>
        <w:tblLayout w:type="fixed"/>
        <w:tblCellMar>
          <w:top w:w="28" w:type="dxa"/>
          <w:left w:w="28" w:type="dxa"/>
          <w:bottom w:w="28" w:type="dxa"/>
          <w:right w:w="28" w:type="dxa"/>
        </w:tblCellMar>
      </w:tblPr>
      <w:tblGrid>
        <w:gridCol w:w="3241"/>
        <w:gridCol w:w="146"/>
        <w:gridCol w:w="286"/>
        <w:gridCol w:w="944"/>
        <w:gridCol w:w="146"/>
        <w:gridCol w:w="146"/>
        <w:gridCol w:w="273"/>
        <w:gridCol w:w="897"/>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Accrued marketing expenses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4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2,093</w:t>
            </w:r>
          </w:p>
        </w:tc>
        <w:tc>
          <w:tcPr>
            <w:tcW w:w="1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Vehicle related expenses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14,789</w:t>
            </w:r>
          </w:p>
        </w:tc>
        <w:tc>
          <w:tcPr>
            <w:tcW w:w="19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Sales taxes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5,983</w:t>
            </w:r>
          </w:p>
        </w:tc>
        <w:tc>
          <w:tcPr>
            <w:tcW w:w="1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Accrued compensation and benefits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28,276</w:t>
            </w:r>
          </w:p>
        </w:tc>
        <w:tc>
          <w:tcPr>
            <w:tcW w:w="19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Accrued professional services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3,488</w:t>
            </w:r>
          </w:p>
        </w:tc>
        <w:tc>
          <w:tcPr>
            <w:tcW w:w="1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Accrued legal settlements</w:t>
            </w:r>
            <w:r>
              <w:rPr>
                <w:rFonts w:ascii="Arial" w:hAnsi="Arial"/>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7,383</w:t>
            </w:r>
          </w:p>
        </w:tc>
        <w:tc>
          <w:tcPr>
            <w:tcW w:w="19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payable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3,990</w:t>
            </w:r>
          </w:p>
        </w:tc>
        <w:tc>
          <w:tcPr>
            <w:tcW w:w="1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10,793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accrued expenses</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76,795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Arial" w:hAnsi="Arial"/>
          <w:b w:val="false"/>
          <w:color w:val="000000"/>
          <w:sz w:val="13"/>
        </w:rPr>
        <w:t>(1) Accrued legal settlements are primarily related to legal challenges stemming from operational challenges created by the Company's prior rapid growth, which resulted in additional costs incurred, including legal settlements.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Company’s other current liabilities consisted of the following (in thousands):</w:t>
      </w:r>
      <w:r>
        <w:rPr>
          <w:rFonts w:ascii="Times New Roman" w:hAnsi="Times New Roman"/>
          <w:color w:val="000000"/>
          <w:sz w:val="20"/>
        </w:rPr>
        <w:t xml:space="preserve"> </w:t>
      </w:r>
    </w:p>
    <w:p>
      <w:pPr>
        <w:pStyle w:val="TextBody"/>
        <w:bidi w:val="0"/>
        <w:jc w:val="left"/>
        <w:rPr/>
      </w:pPr>
      <w:r>
        <w:rPr/>
        <w:t> </w:t>
      </w:r>
    </w:p>
    <w:tbl>
      <w:tblPr>
        <w:tblW w:w="5730" w:type="dxa"/>
        <w:jc w:val="left"/>
        <w:tblInd w:w="0" w:type="dxa"/>
        <w:tblLayout w:type="fixed"/>
        <w:tblCellMar>
          <w:top w:w="28" w:type="dxa"/>
          <w:left w:w="28" w:type="dxa"/>
          <w:bottom w:w="28" w:type="dxa"/>
          <w:right w:w="28" w:type="dxa"/>
        </w:tblCellMar>
      </w:tblPr>
      <w:tblGrid>
        <w:gridCol w:w="2701"/>
        <w:gridCol w:w="146"/>
        <w:gridCol w:w="286"/>
        <w:gridCol w:w="944"/>
        <w:gridCol w:w="146"/>
        <w:gridCol w:w="146"/>
        <w:gridCol w:w="273"/>
        <w:gridCol w:w="897"/>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Vehicle payable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4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3,617</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Reserve for estimated returns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3,919</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Insurance payable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4,551</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other current liabilities</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17,693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10. Vehicle Floorplan Facility</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November 2022, the Company amended its floorplan facility with Ally Bank and Ally Financial (the “2022 Vehicle Floorplan Facility”). The 2022 Vehicle Floorplan Facility provides a committed credit line of up to $500.0</w:t>
      </w:r>
      <w:r>
        <w:rPr>
          <w:rFonts w:ascii="Times New Roman" w:hAnsi="Times New Roman"/>
          <w:color w:val="000000"/>
          <w:sz w:val="20"/>
        </w:rPr>
        <w:t xml:space="preserve"> </w:t>
      </w:r>
      <w:r>
        <w:rPr>
          <w:rFonts w:ascii="Arial" w:hAnsi="Arial"/>
          <w:b w:val="false"/>
          <w:color w:val="000000"/>
          <w:sz w:val="20"/>
        </w:rPr>
        <w:t>million which is scheduled to mature on March 31, 2024.</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amount of credit available to the Company on a monthly basis equals the product of (1) the greater of five times the aggregate number of retail units sold during the most recent month for which information is available or the aggregate number of retail units sold during the five most recent months for which information is available and (2) the greater of the average outstanding floorplan balance of all vehicles on the floorplan as of the immediately preceding month-end or the average monthly outstanding floorplan balance of all vehicles on the floorplan as of month-end for the immediately preceding five months. As of September 30, 2023, the Company elected to increase its monthly credit line availability by $25</w:t>
      </w:r>
      <w:r>
        <w:rPr>
          <w:rFonts w:ascii="Times New Roman" w:hAnsi="Times New Roman"/>
          <w:color w:val="000000"/>
          <w:sz w:val="20"/>
        </w:rPr>
        <w:t xml:space="preserve"> </w:t>
      </w:r>
      <w:r>
        <w:rPr>
          <w:rFonts w:ascii="Arial" w:hAnsi="Arial"/>
          <w:b w:val="false"/>
          <w:color w:val="000000"/>
          <w:sz w:val="20"/>
        </w:rPr>
        <w:t>million, as discussed below, bringing the borrowing capacity of the 2022 Vehicle Floorplan Facility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$228.1</w:t>
      </w:r>
      <w:r>
        <w:rPr>
          <w:rFonts w:ascii="Times New Roman" w:hAnsi="Times New Roman"/>
          <w:color w:val="000000"/>
          <w:sz w:val="20"/>
        </w:rPr>
        <w:t xml:space="preserve"> </w:t>
      </w:r>
      <w:r>
        <w:rPr>
          <w:rFonts w:ascii="Arial" w:hAnsi="Arial"/>
          <w:b w:val="false"/>
          <w:color w:val="000000"/>
          <w:sz w:val="20"/>
        </w:rPr>
        <w:t>million, of which $15.6</w:t>
      </w:r>
      <w:r>
        <w:rPr>
          <w:rFonts w:ascii="Times New Roman" w:hAnsi="Times New Roman"/>
          <w:color w:val="000000"/>
          <w:sz w:val="20"/>
        </w:rPr>
        <w:t xml:space="preserve"> </w:t>
      </w:r>
      <w:r>
        <w:rPr>
          <w:rFonts w:ascii="Arial" w:hAnsi="Arial"/>
          <w:b w:val="false"/>
          <w:color w:val="000000"/>
          <w:sz w:val="20"/>
        </w:rPr>
        <w:t>million was unutilized. As of December 31, 2022, the borrowing capacity of the 2022 Vehicle Floorplan Facility was $343.9</w:t>
      </w:r>
      <w:r>
        <w:rPr>
          <w:rFonts w:ascii="Times New Roman" w:hAnsi="Times New Roman"/>
          <w:color w:val="000000"/>
          <w:sz w:val="20"/>
        </w:rPr>
        <w:t xml:space="preserve"> </w:t>
      </w:r>
      <w:r>
        <w:rPr>
          <w:rFonts w:ascii="Arial" w:hAnsi="Arial"/>
          <w:b w:val="false"/>
          <w:color w:val="000000"/>
          <w:sz w:val="20"/>
        </w:rPr>
        <w:t>million, of which $66.9</w:t>
      </w:r>
      <w:r>
        <w:rPr>
          <w:rFonts w:ascii="Times New Roman" w:hAnsi="Times New Roman"/>
          <w:color w:val="000000"/>
          <w:sz w:val="20"/>
        </w:rPr>
        <w:t xml:space="preserve"> </w:t>
      </w:r>
      <w:r>
        <w:rPr>
          <w:rFonts w:ascii="Arial" w:hAnsi="Arial"/>
          <w:b w:val="false"/>
          <w:color w:val="000000"/>
          <w:sz w:val="20"/>
        </w:rPr>
        <w:t>million was unutilized.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Additionally,</w:t>
      </w:r>
      <w:r>
        <w:rPr>
          <w:rFonts w:ascii="Times New Roman" w:hAnsi="Times New Roman"/>
          <w:color w:val="000000"/>
          <w:sz w:val="20"/>
        </w:rPr>
        <w:t xml:space="preserve"> </w:t>
      </w:r>
      <w:r>
        <w:rPr>
          <w:rFonts w:ascii="Arial" w:hAnsi="Arial"/>
          <w:b w:val="false"/>
          <w:color w:val="000000"/>
          <w:sz w:val="20"/>
        </w:rPr>
        <w:t>the Company may elect to increase its monthly credit line availability by an additional $25.0</w:t>
      </w:r>
      <w:r>
        <w:rPr>
          <w:rFonts w:ascii="Arial" w:hAnsi="Arial"/>
          <w:color w:val="000000"/>
          <w:sz w:val="20"/>
        </w:rPr>
        <w:t xml:space="preserve"> </w:t>
      </w:r>
      <w:r>
        <w:rPr>
          <w:rFonts w:ascii="Arial" w:hAnsi="Arial"/>
          <w:b w:val="false"/>
          <w:color w:val="000000"/>
          <w:sz w:val="20"/>
        </w:rPr>
        <w:t>million during any four months in the period from November 1, 2022 through March 31, 2024, subject to the maximum $500.0</w:t>
      </w:r>
      <w:r>
        <w:rPr>
          <w:rFonts w:ascii="Arial" w:hAnsi="Arial"/>
          <w:color w:val="000000"/>
          <w:sz w:val="20"/>
        </w:rPr>
        <w:t xml:space="preserve"> </w:t>
      </w:r>
      <w:r>
        <w:rPr>
          <w:rFonts w:ascii="Arial" w:hAnsi="Arial"/>
          <w:b w:val="false"/>
          <w:color w:val="000000"/>
          <w:sz w:val="20"/>
        </w:rPr>
        <w:t>million credit limit. The 2022 Vehicle Floorplan Facility allows for more flexibility in the Company's borrowing capacity. Consistent with the terms of the 2020 Vehicle Floorplan Facility, the Company and Vroom Automotive, LLC have provided Ally with a guaranty of payment of all amounts owed under the 2022 Vehicle Floorplan Facility as well as a security interest in all or substantially all tangible, intangible, and other personal property of Vroom, Inc., to secure obligations under the 2022 Vehicle Floorplan Facility.</w:t>
      </w:r>
    </w:p>
    <w:p>
      <w:pPr>
        <w:pStyle w:val="TextBody"/>
        <w:bidi w:val="0"/>
        <w:jc w:val="left"/>
        <w:rPr>
          <w:rFonts w:ascii="Arial" w:hAnsi="Arial"/>
          <w:sz w:val="20"/>
        </w:rPr>
      </w:pPr>
      <w:r>
        <w:rPr>
          <w:rFonts w:ascii="Arial" w:hAnsi="Arial"/>
          <w:b w:val="false"/>
          <w:color w:val="000000"/>
          <w:sz w:val="20"/>
        </w:rPr>
        <w:t>The 2022 Vehicle Floorplan Facility bears interest at a rate equal to the Prime Rate, announced per annum by Ally Bank, plus 175</w:t>
      </w:r>
      <w:r>
        <w:rPr>
          <w:rFonts w:ascii="Arial" w:hAnsi="Arial"/>
          <w:color w:val="000000"/>
          <w:sz w:val="20"/>
        </w:rPr>
        <w:t xml:space="preserve"> </w:t>
      </w:r>
      <w:r>
        <w:rPr>
          <w:rFonts w:ascii="Arial" w:hAnsi="Arial"/>
          <w:b w:val="false"/>
          <w:color w:val="000000"/>
          <w:sz w:val="20"/>
        </w:rPr>
        <w:t>basis points. Additionally, the Company is subject to amended covenants and events of default. The Company is required to maintain a certain level of equity in the vehicles that are financed, to maintain at least 20.0% of the credit line in cash and cash equivalents, and to maintain a minimum required balance with Ally of at least 15.0% of the daily floorplan principal balance outstanding. The Company was required to pay a commitment fee upon execution of the 2022 Vehicle Floorplan Facility.</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of September 30, 2023 and December 31, 2022, outstanding borrowings on the vehicle floorplan facilities were $212.5</w:t>
      </w:r>
      <w:r>
        <w:rPr>
          <w:rFonts w:ascii="Times New Roman" w:hAnsi="Times New Roman"/>
          <w:color w:val="000000"/>
          <w:sz w:val="20"/>
        </w:rPr>
        <w:t xml:space="preserve"> </w:t>
      </w:r>
      <w:r>
        <w:rPr>
          <w:rFonts w:ascii="Arial" w:hAnsi="Arial"/>
          <w:b w:val="false"/>
          <w:color w:val="000000"/>
          <w:sz w:val="20"/>
        </w:rPr>
        <w:t>million and $277.0</w:t>
      </w:r>
      <w:r>
        <w:rPr>
          <w:rFonts w:ascii="Times New Roman" w:hAnsi="Times New Roman"/>
          <w:color w:val="000000"/>
          <w:sz w:val="20"/>
        </w:rPr>
        <w:t xml:space="preserve"> </w:t>
      </w:r>
      <w:r>
        <w:rPr>
          <w:rFonts w:ascii="Arial" w:hAnsi="Arial"/>
          <w:b w:val="false"/>
          <w:color w:val="000000"/>
          <w:sz w:val="20"/>
        </w:rPr>
        <w:t>million, respectively. Cash deposits required under the vehicle floorplan facilities of $31.9</w:t>
      </w:r>
      <w:r>
        <w:rPr>
          <w:rFonts w:ascii="Times New Roman" w:hAnsi="Times New Roman"/>
          <w:color w:val="000000"/>
          <w:sz w:val="20"/>
        </w:rPr>
        <w:t xml:space="preserve"> </w:t>
      </w:r>
      <w:r>
        <w:rPr>
          <w:rFonts w:ascii="Arial" w:hAnsi="Arial"/>
          <w:b w:val="false"/>
          <w:color w:val="000000"/>
          <w:sz w:val="20"/>
        </w:rPr>
        <w:t>million and $34.6</w:t>
      </w:r>
      <w:r>
        <w:rPr>
          <w:rFonts w:ascii="Times New Roman" w:hAnsi="Times New Roman"/>
          <w:color w:val="000000"/>
          <w:sz w:val="20"/>
        </w:rPr>
        <w:t xml:space="preserve"> </w:t>
      </w:r>
      <w:r>
        <w:rPr>
          <w:rFonts w:ascii="Arial" w:hAnsi="Arial"/>
          <w:b w:val="false"/>
          <w:color w:val="000000"/>
          <w:sz w:val="20"/>
        </w:rPr>
        <w:t>million are classified as "Restricted cash" within the condensed consolidated balance sheets as of September 30, 2023 and December 31,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Interest expense incurred by the Company for the vehicle floorplan facilities was $4.9</w:t>
      </w:r>
      <w:r>
        <w:rPr>
          <w:rFonts w:ascii="Times New Roman" w:hAnsi="Times New Roman"/>
          <w:color w:val="000000"/>
          <w:sz w:val="20"/>
        </w:rPr>
        <w:t xml:space="preserve"> </w:t>
      </w:r>
      <w:r>
        <w:rPr>
          <w:rFonts w:ascii="Arial" w:hAnsi="Arial"/>
          <w:b w:val="false"/>
          <w:color w:val="000000"/>
          <w:sz w:val="20"/>
        </w:rPr>
        <w:t>million and $6.5</w:t>
      </w:r>
      <w:r>
        <w:rPr>
          <w:rFonts w:ascii="Times New Roman" w:hAnsi="Times New Roman"/>
          <w:color w:val="000000"/>
          <w:sz w:val="20"/>
        </w:rPr>
        <w:t xml:space="preserve"> </w:t>
      </w:r>
      <w:r>
        <w:rPr>
          <w:rFonts w:ascii="Arial" w:hAnsi="Arial"/>
          <w:b w:val="false"/>
          <w:color w:val="000000"/>
          <w:sz w:val="20"/>
        </w:rPr>
        <w:t>million for the three months ended September 30, 2023 and 2022, respectively, and $14.1</w:t>
      </w:r>
      <w:r>
        <w:rPr>
          <w:rFonts w:ascii="Times New Roman" w:hAnsi="Times New Roman"/>
          <w:color w:val="000000"/>
          <w:sz w:val="20"/>
        </w:rPr>
        <w:t xml:space="preserve"> </w:t>
      </w:r>
      <w:r>
        <w:rPr>
          <w:rFonts w:ascii="Arial" w:hAnsi="Arial"/>
          <w:b w:val="false"/>
          <w:color w:val="000000"/>
          <w:sz w:val="20"/>
        </w:rPr>
        <w:t>million and $19.8</w:t>
      </w:r>
      <w:r>
        <w:rPr>
          <w:rFonts w:ascii="Times New Roman" w:hAnsi="Times New Roman"/>
          <w:color w:val="000000"/>
          <w:sz w:val="20"/>
        </w:rPr>
        <w:t xml:space="preserve"> </w:t>
      </w:r>
      <w:r>
        <w:rPr>
          <w:rFonts w:ascii="Arial" w:hAnsi="Arial"/>
          <w:b w:val="false"/>
          <w:color w:val="000000"/>
          <w:sz w:val="20"/>
        </w:rPr>
        <w:t>million for the nine months ended September 30, 2023 and 2022, respectively, which are recorded within “Interest expense” in the condensed consolidated statements of operations. The weighted average interest rate on the vehicle floorplan borrowings was 10.25% and 9.25% as of September 30, 2023 and December 31,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of September 30, 2023 and December 31, 2022, the Company was in compliance with all covenants related to the vehicle floorplan facilities.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connection with the vehicle floorplan facilities, the Company entered into credit balance agreements with Ally Bank and Ally Financial that permit the Company to deposit cash with the bank for the purpose of reducing the amount of interest payable for borrowings. Interest credits earned by the Company were $3.5</w:t>
      </w:r>
      <w:r>
        <w:rPr>
          <w:rFonts w:ascii="Times New Roman" w:hAnsi="Times New Roman"/>
          <w:color w:val="000000"/>
          <w:sz w:val="20"/>
        </w:rPr>
        <w:t xml:space="preserve"> </w:t>
      </w:r>
      <w:r>
        <w:rPr>
          <w:rFonts w:ascii="Arial" w:hAnsi="Arial"/>
          <w:b w:val="false"/>
          <w:color w:val="000000"/>
          <w:sz w:val="20"/>
        </w:rPr>
        <w:t>million and $3.9</w:t>
      </w:r>
      <w:r>
        <w:rPr>
          <w:rFonts w:ascii="Times New Roman" w:hAnsi="Times New Roman"/>
          <w:color w:val="000000"/>
          <w:sz w:val="20"/>
        </w:rPr>
        <w:t xml:space="preserve"> </w:t>
      </w:r>
      <w:r>
        <w:rPr>
          <w:rFonts w:ascii="Arial" w:hAnsi="Arial"/>
          <w:b w:val="false"/>
          <w:color w:val="000000"/>
          <w:sz w:val="20"/>
        </w:rPr>
        <w:t>million for the three months ended September 30, 2023 and 2022, respectively, and $9.3</w:t>
      </w:r>
      <w:r>
        <w:rPr>
          <w:rFonts w:ascii="Times New Roman" w:hAnsi="Times New Roman"/>
          <w:color w:val="000000"/>
          <w:sz w:val="20"/>
        </w:rPr>
        <w:t xml:space="preserve"> </w:t>
      </w:r>
      <w:r>
        <w:rPr>
          <w:rFonts w:ascii="Arial" w:hAnsi="Arial"/>
          <w:b w:val="false"/>
          <w:color w:val="000000"/>
          <w:sz w:val="20"/>
        </w:rPr>
        <w:t>million and $11.4</w:t>
      </w:r>
      <w:r>
        <w:rPr>
          <w:rFonts w:ascii="Times New Roman" w:hAnsi="Times New Roman"/>
          <w:color w:val="000000"/>
          <w:sz w:val="20"/>
        </w:rPr>
        <w:t xml:space="preserve"> </w:t>
      </w:r>
      <w:r>
        <w:rPr>
          <w:rFonts w:ascii="Arial" w:hAnsi="Arial"/>
          <w:b w:val="false"/>
          <w:color w:val="000000"/>
          <w:sz w:val="20"/>
        </w:rPr>
        <w:t>million for the nine months ended September 30, 2023 and 2022, respectively, which are recorded within “Interest income” in the condensed consolidated 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 August 2023, the Company amended its 2022 Vehicle Floorplan Facility to modify certain terms, and also amended the credit balance agreements to modify the minimum required credit balance calculation.</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11. Warehouse Credit Facilities of Consolidated VIEs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UACC has four senior secured warehouse facility agreements (the “Warehouse Credit Facilities”) with banking institutions as of September 30, 2023. The Warehouse Credit Facilities are collateralized by eligible finance receivables and available borrowings are computed based on a percentage of eligible finance receivables. As of September 30, 2023</w:t>
      </w:r>
      <w:r>
        <w:rPr>
          <w:rFonts w:ascii="Times New Roman" w:hAnsi="Times New Roman"/>
          <w:color w:val="000000"/>
          <w:sz w:val="20"/>
        </w:rPr>
        <w:t xml:space="preserve"> </w:t>
      </w:r>
      <w:r>
        <w:rPr>
          <w:rFonts w:ascii="Arial" w:hAnsi="Arial"/>
          <w:b w:val="false"/>
          <w:color w:val="000000"/>
          <w:sz w:val="20"/>
        </w:rPr>
        <w:t>and December 31, 2022, the Company had excess borrowing capacity of $72.5</w:t>
      </w:r>
      <w:r>
        <w:rPr>
          <w:rFonts w:ascii="Times New Roman" w:hAnsi="Times New Roman"/>
          <w:color w:val="000000"/>
          <w:sz w:val="20"/>
        </w:rPr>
        <w:t xml:space="preserve"> </w:t>
      </w:r>
      <w:r>
        <w:rPr>
          <w:rFonts w:ascii="Arial" w:hAnsi="Arial"/>
          <w:b w:val="false"/>
          <w:color w:val="000000"/>
          <w:sz w:val="20"/>
        </w:rPr>
        <w:t>million and $105.8</w:t>
      </w:r>
      <w:r>
        <w:rPr>
          <w:rFonts w:ascii="Times New Roman" w:hAnsi="Times New Roman"/>
          <w:color w:val="000000"/>
          <w:sz w:val="20"/>
        </w:rPr>
        <w:t xml:space="preserve"> </w:t>
      </w:r>
      <w:r>
        <w:rPr>
          <w:rFonts w:ascii="Arial" w:hAnsi="Arial"/>
          <w:b w:val="false"/>
          <w:color w:val="000000"/>
          <w:sz w:val="20"/>
        </w:rPr>
        <w:t>million on UACC's Warehouse Credit Facilities, respectively. The terms of the Warehouse Credit Facilities include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00"/>
        <w:gridCol w:w="146"/>
        <w:gridCol w:w="235"/>
        <w:gridCol w:w="890"/>
        <w:gridCol w:w="146"/>
        <w:gridCol w:w="146"/>
        <w:gridCol w:w="281"/>
        <w:gridCol w:w="1061"/>
        <w:gridCol w:w="146"/>
        <w:gridCol w:w="146"/>
        <w:gridCol w:w="257"/>
        <w:gridCol w:w="971"/>
        <w:gridCol w:w="146"/>
        <w:gridCol w:w="146"/>
        <w:gridCol w:w="311"/>
        <w:gridCol w:w="1082"/>
        <w:gridCol w:w="195"/>
      </w:tblGrid>
      <w:tr>
        <w:trPr/>
        <w:tc>
          <w:tcPr>
            <w:tcW w:w="3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9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One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Two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Three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Four</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Execution date</w:t>
            </w:r>
          </w:p>
        </w:tc>
        <w:tc>
          <w:tcPr>
            <w:tcW w:w="146" w:type="dxa"/>
            <w:tcBorders/>
            <w:shd w:fill="CFF0FC" w:val="clear"/>
            <w:vAlign w:val="center"/>
          </w:tcPr>
          <w:p>
            <w:pPr>
              <w:pStyle w:val="TableContents"/>
              <w:bidi w:val="0"/>
              <w:spacing w:before="0" w:after="283"/>
              <w:jc w:val="right"/>
              <w:rPr/>
            </w:pPr>
            <w:r>
              <w:rPr/>
              <w:t> </w:t>
            </w:r>
          </w:p>
        </w:tc>
        <w:tc>
          <w:tcPr>
            <w:tcW w:w="1125" w:type="dxa"/>
            <w:gridSpan w:val="2"/>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May 30, 2012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42" w:type="dxa"/>
            <w:gridSpan w:val="2"/>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November 19, 2013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28" w:type="dxa"/>
            <w:gridSpan w:val="2"/>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July 11, 2019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93" w:type="dxa"/>
            <w:gridSpan w:val="2"/>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November 18, 2022</w:t>
            </w:r>
          </w:p>
        </w:tc>
        <w:tc>
          <w:tcPr>
            <w:tcW w:w="195" w:type="dxa"/>
            <w:tcBorders/>
            <w:shd w:fill="CFF0FC" w:val="clear"/>
            <w:vAlign w:val="center"/>
          </w:tcPr>
          <w:p>
            <w:pPr>
              <w:pStyle w:val="TableContents"/>
              <w:bidi w:val="0"/>
              <w:spacing w:before="0" w:after="283"/>
              <w:jc w:val="right"/>
              <w:rPr/>
            </w:pPr>
            <w:r>
              <w:rPr/>
              <w:t> </w:t>
            </w:r>
          </w:p>
        </w:tc>
      </w:tr>
      <w:tr>
        <w:trPr/>
        <w:tc>
          <w:tcPr>
            <w:tcW w:w="390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Maturity date</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July 20, 2024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42" w:type="dxa"/>
            <w:gridSpan w:val="2"/>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June 2, 2025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28" w:type="dxa"/>
            <w:gridSpan w:val="2"/>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August 29, 2025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3" w:type="dxa"/>
            <w:gridSpan w:val="2"/>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September 12, 2025</w:t>
            </w:r>
          </w:p>
        </w:tc>
        <w:tc>
          <w:tcPr>
            <w:tcW w:w="195" w:type="dxa"/>
            <w:tcBorders/>
            <w:shd w:fill="FFFFFF" w:val="clear"/>
            <w:vAlign w:val="center"/>
          </w:tcPr>
          <w:p>
            <w:pPr>
              <w:pStyle w:val="TableContents"/>
              <w:bidi w:val="0"/>
              <w:spacing w:before="0" w:after="283"/>
              <w:jc w:val="right"/>
              <w:rPr/>
            </w:pPr>
            <w:r>
              <w:rPr/>
              <w:t> </w:t>
            </w:r>
          </w:p>
        </w:tc>
      </w:tr>
      <w:tr>
        <w:trPr/>
        <w:tc>
          <w:tcPr>
            <w:tcW w:w="39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borrowings limit (in thousands)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225,000</w:t>
            </w:r>
          </w:p>
        </w:tc>
        <w:tc>
          <w:tcPr>
            <w:tcW w:w="195" w:type="dxa"/>
            <w:tcBorders/>
            <w:shd w:fill="CFF0FC" w:val="clear"/>
            <w:vAlign w:val="center"/>
          </w:tcPr>
          <w:p>
            <w:pPr>
              <w:pStyle w:val="TableContents"/>
              <w:bidi w:val="0"/>
              <w:spacing w:before="0" w:after="283"/>
              <w:jc w:val="left"/>
              <w:rPr/>
            </w:pPr>
            <w:r>
              <w:rPr/>
              <w:t> </w:t>
            </w:r>
          </w:p>
        </w:tc>
      </w:tr>
      <w:tr>
        <w:trPr/>
        <w:tc>
          <w:tcPr>
            <w:tcW w:w="3900"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 of September 30, 2023</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3"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39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principal balance of finance receivables pledged as collateral (in thousands)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147,533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142,389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37,408</w:t>
            </w:r>
          </w:p>
        </w:tc>
        <w:tc>
          <w:tcPr>
            <w:tcW w:w="195" w:type="dxa"/>
            <w:tcBorders/>
            <w:shd w:fill="CFF0FC" w:val="clear"/>
            <w:vAlign w:val="center"/>
          </w:tcPr>
          <w:p>
            <w:pPr>
              <w:pStyle w:val="TableContents"/>
              <w:bidi w:val="0"/>
              <w:spacing w:before="0" w:after="283"/>
              <w:jc w:val="left"/>
              <w:rPr/>
            </w:pPr>
            <w:r>
              <w:rPr/>
              <w:t> </w:t>
            </w:r>
          </w:p>
        </w:tc>
      </w:tr>
      <w:tr>
        <w:trPr/>
        <w:tc>
          <w:tcPr>
            <w:tcW w:w="390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Outstanding balance (in thousands)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115,014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114,224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12,200</w:t>
            </w:r>
          </w:p>
        </w:tc>
        <w:tc>
          <w:tcPr>
            <w:tcW w:w="195" w:type="dxa"/>
            <w:tcBorders/>
            <w:shd w:fill="FFFFFF" w:val="clear"/>
            <w:vAlign w:val="center"/>
          </w:tcPr>
          <w:p>
            <w:pPr>
              <w:pStyle w:val="TableContents"/>
              <w:bidi w:val="0"/>
              <w:spacing w:before="0" w:after="283"/>
              <w:jc w:val="left"/>
              <w:rPr/>
            </w:pPr>
            <w:r>
              <w:rPr/>
              <w:t> </w:t>
            </w:r>
          </w:p>
        </w:tc>
      </w:tr>
      <w:tr>
        <w:trPr/>
        <w:tc>
          <w:tcPr>
            <w:tcW w:w="39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Restricted cash (in thousands)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237</w:t>
            </w:r>
          </w:p>
        </w:tc>
        <w:tc>
          <w:tcPr>
            <w:tcW w:w="195" w:type="dxa"/>
            <w:tcBorders/>
            <w:shd w:fill="CFF0FC" w:val="clear"/>
            <w:vAlign w:val="center"/>
          </w:tcPr>
          <w:p>
            <w:pPr>
              <w:pStyle w:val="TableContents"/>
              <w:bidi w:val="0"/>
              <w:spacing w:before="0" w:after="283"/>
              <w:jc w:val="left"/>
              <w:rPr/>
            </w:pPr>
            <w:r>
              <w:rPr/>
              <w:t> </w:t>
            </w:r>
          </w:p>
        </w:tc>
      </w:tr>
      <w:tr>
        <w:trPr/>
        <w:tc>
          <w:tcPr>
            <w:tcW w:w="3900"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2022</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3"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39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principal balance of finance receivables pledged as collateral (in thousands)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143,919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142,503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126,636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2"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r>
      <w:tr>
        <w:trPr/>
        <w:tc>
          <w:tcPr>
            <w:tcW w:w="390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Outstanding balance (in thousands)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2" w:type="dxa"/>
            <w:tcBorders/>
            <w:shd w:fill="FFFFFF" w:val="clear"/>
            <w:vAlign w:val="center"/>
          </w:tcPr>
          <w:p>
            <w:pPr>
              <w:pStyle w:val="TableContents"/>
              <w:bidi w:val="0"/>
              <w:spacing w:before="0" w:after="283"/>
              <w:jc w:val="right"/>
              <w:rPr>
                <w:color w:val="000000"/>
              </w:rPr>
            </w:pPr>
            <w:r>
              <w:rPr>
                <w:color w:val="000000"/>
              </w:rPr>
              <w:t>—</w:t>
            </w:r>
          </w:p>
        </w:tc>
        <w:tc>
          <w:tcPr>
            <w:tcW w:w="195" w:type="dxa"/>
            <w:tcBorders/>
            <w:shd w:fill="FFFFFF" w:val="clear"/>
            <w:vAlign w:val="center"/>
          </w:tcPr>
          <w:p>
            <w:pPr>
              <w:pStyle w:val="TableContents"/>
              <w:bidi w:val="0"/>
              <w:spacing w:before="0" w:after="283"/>
              <w:jc w:val="left"/>
              <w:rPr/>
            </w:pPr>
            <w:r>
              <w:rPr/>
              <w:t> </w:t>
            </w:r>
          </w:p>
        </w:tc>
      </w:tr>
      <w:tr>
        <w:trPr/>
        <w:tc>
          <w:tcPr>
            <w:tcW w:w="39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Restricted cash (in thousands)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9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2"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of September 30, 2023</w:t>
      </w:r>
      <w:r>
        <w:rPr>
          <w:rFonts w:ascii="Times New Roman" w:hAnsi="Times New Roman"/>
          <w:color w:val="000000"/>
          <w:sz w:val="20"/>
        </w:rPr>
        <w:t xml:space="preserve"> </w:t>
      </w:r>
      <w:r>
        <w:rPr>
          <w:rFonts w:ascii="Arial" w:hAnsi="Arial"/>
          <w:b w:val="false"/>
          <w:color w:val="000000"/>
          <w:sz w:val="20"/>
        </w:rPr>
        <w:t>and December 31, 2022, the Company's weighted average interest rate on the Warehouse Credit Facilities borrowings was approximately 7.23% and 6.19%,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Company's ability to utilize its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specified leverage ratios and certain indebtedness levels. Failure to satisfy these and or any other requirements contained within the agreements would restrict access to the Warehouse Credit Facilities. Certain breaches of covenants may also result in acceleration of the repayment of borrowings prior to the scheduled maturity. As of September 30, 2023</w:t>
      </w:r>
      <w:r>
        <w:rPr>
          <w:rFonts w:ascii="Times New Roman" w:hAnsi="Times New Roman"/>
          <w:color w:val="000000"/>
          <w:sz w:val="20"/>
        </w:rPr>
        <w:t xml:space="preserve"> </w:t>
      </w:r>
      <w:r>
        <w:rPr>
          <w:rFonts w:ascii="Arial" w:hAnsi="Arial"/>
          <w:b w:val="false"/>
          <w:color w:val="000000"/>
          <w:sz w:val="20"/>
        </w:rPr>
        <w:t>and December 31, 2022, the Company was in compliance with all covenants related to the Warehouse Credit Facilities.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12. Long Term Debt</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Debt instruments, excluding the 2022 Vehicle Floorplan Facility, which is discussed in Note 10 — Vehicle Floorplan Facility, and warehouse credit facilities of consolidated VIEs, which are discussed in Note 11 — Warehouse Credit Facilities of Consolidated VIEs, consisted of the following (in thousands):</w:t>
      </w:r>
    </w:p>
    <w:p>
      <w:pPr>
        <w:pStyle w:val="TextBody"/>
        <w:bidi w:val="0"/>
        <w:jc w:val="left"/>
        <w:rPr/>
      </w:pPr>
      <w:r>
        <w:rPr/>
        <w:t> </w:t>
      </w:r>
    </w:p>
    <w:tbl>
      <w:tblPr>
        <w:tblW w:w="8835" w:type="dxa"/>
        <w:jc w:val="left"/>
        <w:tblInd w:w="0" w:type="dxa"/>
        <w:tblLayout w:type="fixed"/>
        <w:tblCellMar>
          <w:top w:w="28" w:type="dxa"/>
          <w:left w:w="28" w:type="dxa"/>
          <w:bottom w:w="28" w:type="dxa"/>
          <w:right w:w="28" w:type="dxa"/>
        </w:tblCellMar>
      </w:tblPr>
      <w:tblGrid>
        <w:gridCol w:w="5806"/>
        <w:gridCol w:w="146"/>
        <w:gridCol w:w="257"/>
        <w:gridCol w:w="973"/>
        <w:gridCol w:w="146"/>
        <w:gridCol w:w="146"/>
        <w:gridCol w:w="245"/>
        <w:gridCol w:w="925"/>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portion of securitization debt of consolidated VIEs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186,559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47,239</w:t>
            </w:r>
          </w:p>
        </w:tc>
        <w:tc>
          <w:tcPr>
            <w:tcW w:w="19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portion of financing of beneficial interest in securitizations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current portion of long term debt</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197,045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47,239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Convertible senior notes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327,837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359,254</w:t>
            </w:r>
          </w:p>
        </w:tc>
        <w:tc>
          <w:tcPr>
            <w:tcW w:w="19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Securitization debt of consolidated VIEs, net of current portion</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175,347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32,590</w:t>
            </w:r>
          </w:p>
        </w:tc>
        <w:tc>
          <w:tcPr>
            <w:tcW w:w="19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Financing of beneficial interest in securitizations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Junior subordinated debentures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10,310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Long term debt, net of current portion</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521,353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402,154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718,398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449,393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Convertible Senior Notes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June 18, 2021, the Company issued $625.0</w:t>
      </w:r>
      <w:r>
        <w:rPr>
          <w:rFonts w:ascii="Times New Roman" w:hAnsi="Times New Roman"/>
          <w:color w:val="000000"/>
          <w:sz w:val="20"/>
        </w:rPr>
        <w:t xml:space="preserve"> </w:t>
      </w:r>
      <w:r>
        <w:rPr>
          <w:rFonts w:ascii="Arial" w:hAnsi="Arial"/>
          <w:b w:val="false"/>
          <w:color w:val="000000"/>
          <w:sz w:val="20"/>
        </w:rPr>
        <w:t>million aggregate principal amount of 0.75% unsecured Convertible Senior Notes due 2026 (the “Notes”), including $75.0</w:t>
      </w:r>
      <w:r>
        <w:rPr>
          <w:rFonts w:ascii="Times New Roman" w:hAnsi="Times New Roman"/>
          <w:color w:val="000000"/>
          <w:sz w:val="20"/>
        </w:rPr>
        <w:t xml:space="preserve"> </w:t>
      </w:r>
      <w:r>
        <w:rPr>
          <w:rFonts w:ascii="Arial" w:hAnsi="Arial"/>
          <w:b w:val="false"/>
          <w:color w:val="000000"/>
          <w:sz w:val="20"/>
        </w:rPr>
        <w:t>million aggregate principal amount of such notes pursuant to the exercise in full of the overallotment option granted to the initial purchasers. The Notes were issued pursuant to an indenture (the “Indenture”), between the Company and U.S. Bank National Association, as trustee.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Notes bear interest at a rate of 0.75% per annum, payable semiannually</w:t>
      </w:r>
      <w:r>
        <w:rPr>
          <w:rFonts w:ascii="Arial" w:hAnsi="Arial"/>
          <w:color w:val="000000"/>
          <w:sz w:val="20"/>
        </w:rPr>
        <w:t xml:space="preserve"> </w:t>
      </w:r>
      <w:r>
        <w:rPr>
          <w:rFonts w:ascii="Arial" w:hAnsi="Arial"/>
          <w:b w:val="false"/>
          <w:color w:val="000000"/>
          <w:sz w:val="20"/>
        </w:rPr>
        <w:t>in arrears on January 1 and July 1 of each year, beginning on January 1, 2022.</w:t>
      </w:r>
      <w:r>
        <w:rPr>
          <w:rFonts w:ascii="Times New Roman" w:hAnsi="Times New Roman"/>
          <w:color w:val="000000"/>
          <w:sz w:val="20"/>
        </w:rPr>
        <w:t xml:space="preserve"> </w:t>
      </w:r>
      <w:r>
        <w:rPr>
          <w:rFonts w:ascii="Arial" w:hAnsi="Arial"/>
          <w:b w:val="false"/>
          <w:color w:val="000000"/>
          <w:sz w:val="20"/>
        </w:rPr>
        <w:t>The Notes will mature on July 1, 2026, subject to earlier repurchase, redemption or conversion. The total net proceeds from the offering, after deducting commissions paid to the initial purchasers and debt issuance costs paid to third-parties, were approximately $608.9</w:t>
      </w:r>
      <w:r>
        <w:rPr>
          <w:rFonts w:ascii="Times New Roman" w:hAnsi="Times New Roman"/>
          <w:color w:val="000000"/>
          <w:sz w:val="20"/>
        </w:rPr>
        <w:t xml:space="preserve"> </w:t>
      </w:r>
      <w:r>
        <w:rPr>
          <w:rFonts w:ascii="Arial" w:hAnsi="Arial"/>
          <w:b w:val="false"/>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Each $1,000</w:t>
      </w:r>
      <w:r>
        <w:rPr>
          <w:rFonts w:ascii="Times New Roman" w:hAnsi="Times New Roman"/>
          <w:color w:val="000000"/>
          <w:sz w:val="20"/>
        </w:rPr>
        <w:t xml:space="preserve"> </w:t>
      </w:r>
      <w:r>
        <w:rPr>
          <w:rFonts w:ascii="Arial" w:hAnsi="Arial"/>
          <w:b w:val="false"/>
          <w:color w:val="000000"/>
          <w:sz w:val="20"/>
        </w:rPr>
        <w:t>principal amount of the Notes will initially be convertible into 17.8527</w:t>
      </w:r>
      <w:r>
        <w:rPr>
          <w:rFonts w:ascii="Times New Roman" w:hAnsi="Times New Roman"/>
          <w:color w:val="000000"/>
          <w:sz w:val="20"/>
        </w:rPr>
        <w:t xml:space="preserve"> </w:t>
      </w:r>
      <w:r>
        <w:rPr>
          <w:rFonts w:ascii="Arial" w:hAnsi="Arial"/>
          <w:b w:val="false"/>
          <w:color w:val="000000"/>
          <w:sz w:val="20"/>
        </w:rPr>
        <w:t>shares of the Company’s common stock, which is equivalent to an initial conversion price of approximately $56.01</w:t>
      </w:r>
      <w:r>
        <w:rPr>
          <w:rFonts w:ascii="Times New Roman" w:hAnsi="Times New Roman"/>
          <w:color w:val="000000"/>
          <w:sz w:val="20"/>
        </w:rPr>
        <w:t xml:space="preserve"> </w:t>
      </w:r>
      <w:r>
        <w:rPr>
          <w:rFonts w:ascii="Arial" w:hAnsi="Arial"/>
          <w:b w:val="false"/>
          <w:color w:val="000000"/>
          <w:sz w:val="20"/>
        </w:rPr>
        <w:t>per share, subject to adjustment upon the occurrence of specified events. The Notes are convertible, at the option of the noteholders, on or after April 1, 2026. Prior to April 1, 2026, the Notes are convertible only under the following circumstances: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sz w:val="24"/>
        </w:rPr>
      </w:pPr>
      <w:r>
        <w:rPr>
          <w:rFonts w:ascii="Arial" w:hAnsi="Arial"/>
          <w:b w:val="false"/>
          <w:color w:val="000000"/>
          <w:sz w:val="20"/>
        </w:rPr>
        <w:t>During any fiscal quarter commencing after the fiscal quarter ending on September 30, 2021 (and only during such fiscal quarter), if the last reported sale price of the Company’s common stock for at least 20</w:t>
      </w:r>
      <w:r>
        <w:rPr>
          <w:rFonts w:ascii="Arial" w:hAnsi="Arial"/>
          <w:color w:val="000000"/>
          <w:sz w:val="24"/>
        </w:rPr>
        <w:t xml:space="preserve"> </w:t>
      </w:r>
      <w:r>
        <w:rPr>
          <w:rFonts w:ascii="Arial" w:hAnsi="Arial"/>
          <w:b w:val="false"/>
          <w:color w:val="000000"/>
          <w:sz w:val="20"/>
        </w:rPr>
        <w:t>trading days (whether or not consecutive) during a period of 30</w:t>
      </w:r>
      <w:r>
        <w:rPr>
          <w:rFonts w:ascii="Arial" w:hAnsi="Arial"/>
          <w:color w:val="000000"/>
          <w:sz w:val="24"/>
        </w:rPr>
        <w:t xml:space="preserve"> </w:t>
      </w:r>
      <w:r>
        <w:rPr>
          <w:rFonts w:ascii="Arial" w:hAnsi="Arial"/>
          <w:b w:val="false"/>
          <w:color w:val="000000"/>
          <w:sz w:val="20"/>
        </w:rPr>
        <w:t>consecutive trading days ending on the last trading day of the immediately preceding fiscal quarter is greater than or equal to 130% of the conversion price of the Notes on each applicable trading day;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sz w:val="24"/>
        </w:rPr>
      </w:pPr>
      <w:r>
        <w:rPr>
          <w:rFonts w:ascii="Arial" w:hAnsi="Arial"/>
          <w:b w:val="false"/>
          <w:color w:val="000000"/>
          <w:sz w:val="20"/>
        </w:rPr>
        <w:t>During the five consecutive business day period after any ten consecutive trading day period in which the trading price per $1,000</w:t>
      </w:r>
      <w:r>
        <w:rPr>
          <w:rFonts w:ascii="Arial" w:hAnsi="Arial"/>
          <w:color w:val="000000"/>
          <w:sz w:val="24"/>
        </w:rPr>
        <w:t xml:space="preserve"> </w:t>
      </w:r>
      <w:r>
        <w:rPr>
          <w:rFonts w:ascii="Arial" w:hAnsi="Arial"/>
          <w:b w:val="false"/>
          <w:color w:val="000000"/>
          <w:sz w:val="20"/>
        </w:rPr>
        <w:t>principal amount of the Notes for each day of that ten</w:t>
      </w:r>
      <w:r>
        <w:rPr>
          <w:rFonts w:ascii="Arial" w:hAnsi="Arial"/>
          <w:color w:val="000000"/>
          <w:sz w:val="24"/>
        </w:rPr>
        <w:t xml:space="preserve"> </w:t>
      </w:r>
      <w:r>
        <w:rPr>
          <w:rFonts w:ascii="Arial" w:hAnsi="Arial"/>
          <w:b w:val="false"/>
          <w:color w:val="000000"/>
          <w:sz w:val="20"/>
        </w:rPr>
        <w:t>consecutive trading day period was less than 98% of the product of the last reported sale price of the Company’s common stock and the conversion rate of the Notes on such trading day;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If the Company calls any or all of the Notes for redemption; 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Upon the occurrence of specific corporate events such as a change in control or certain beneficial distributions to common stockholders (as set forth in the Indenture).</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Company may settle conversions by paying or delivering, as applicable, cash, shares of its common stock or a combination of cash and shares of its common stock, at the Company’s election.</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w:t>
      </w:r>
      <w:r>
        <w:rPr>
          <w:rFonts w:ascii="Times New Roman" w:hAnsi="Times New Roman"/>
          <w:color w:val="000000"/>
          <w:sz w:val="20"/>
        </w:rPr>
        <w:t xml:space="preserve"> </w:t>
      </w:r>
      <w:r>
        <w:rPr>
          <w:rFonts w:ascii="Arial" w:hAnsi="Arial"/>
          <w:b w:val="false"/>
          <w:color w:val="000000"/>
          <w:sz w:val="20"/>
        </w:rPr>
        <w:t>trading days (whether or not consecutive) during any 30</w:t>
      </w:r>
      <w:r>
        <w:rPr>
          <w:rFonts w:ascii="Times New Roman" w:hAnsi="Times New Roman"/>
          <w:color w:val="000000"/>
          <w:sz w:val="20"/>
        </w:rPr>
        <w:t xml:space="preserve"> </w:t>
      </w:r>
      <w:r>
        <w:rPr>
          <w:rFonts w:ascii="Arial" w:hAnsi="Arial"/>
          <w:b w:val="false"/>
          <w:color w:val="000000"/>
          <w:sz w:val="20"/>
        </w:rPr>
        <w:t>consecutive trading day period.</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three and nine months ended September 30, 2023, the conditions allowing holders of the Notes to convert were not met.</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During the nine months ended September 30, 2023, the Company repurchased $32.8</w:t>
      </w:r>
      <w:r>
        <w:rPr>
          <w:rFonts w:ascii="Times New Roman" w:hAnsi="Times New Roman"/>
          <w:color w:val="000000"/>
          <w:sz w:val="20"/>
        </w:rPr>
        <w:t xml:space="preserve"> </w:t>
      </w:r>
      <w:r>
        <w:rPr>
          <w:rFonts w:ascii="Arial" w:hAnsi="Arial"/>
          <w:b w:val="false"/>
          <w:color w:val="000000"/>
          <w:sz w:val="20"/>
        </w:rPr>
        <w:t>million in aggregate principal amount of the Notes, net of deferred issuance costs,</w:t>
      </w:r>
      <w:r>
        <w:rPr>
          <w:rFonts w:ascii="Times New Roman" w:hAnsi="Times New Roman"/>
          <w:color w:val="000000"/>
          <w:sz w:val="20"/>
        </w:rPr>
        <w:t xml:space="preserve"> </w:t>
      </w:r>
      <w:r>
        <w:rPr>
          <w:rFonts w:ascii="Arial" w:hAnsi="Arial"/>
          <w:b w:val="false"/>
          <w:color w:val="000000"/>
          <w:sz w:val="20"/>
        </w:rPr>
        <w:t>for $13.2</w:t>
      </w:r>
      <w:r>
        <w:rPr>
          <w:rFonts w:ascii="Times New Roman" w:hAnsi="Times New Roman"/>
          <w:color w:val="000000"/>
          <w:sz w:val="20"/>
        </w:rPr>
        <w:t xml:space="preserve"> </w:t>
      </w:r>
      <w:r>
        <w:rPr>
          <w:rFonts w:ascii="Arial" w:hAnsi="Arial"/>
          <w:b w:val="false"/>
          <w:color w:val="000000"/>
          <w:sz w:val="20"/>
        </w:rPr>
        <w:t>million in open-market transactions. The Company recognized a gain on extinguishment of debt of $19.6</w:t>
      </w:r>
      <w:r>
        <w:rPr>
          <w:rFonts w:ascii="Times New Roman" w:hAnsi="Times New Roman"/>
          <w:color w:val="000000"/>
          <w:sz w:val="20"/>
        </w:rPr>
        <w:t xml:space="preserve"> </w:t>
      </w:r>
      <w:r>
        <w:rPr>
          <w:rFonts w:ascii="Arial" w:hAnsi="Arial"/>
          <w:b w:val="false"/>
          <w:color w:val="000000"/>
          <w:sz w:val="20"/>
        </w:rPr>
        <w:t>million for the nine months ended September 30, 2023. During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nine months ended September 30, 2022, the Company repurchased $56.4</w:t>
      </w:r>
      <w:r>
        <w:rPr>
          <w:rFonts w:ascii="Times New Roman" w:hAnsi="Times New Roman"/>
          <w:color w:val="000000"/>
          <w:sz w:val="20"/>
        </w:rPr>
        <w:t xml:space="preserve"> </w:t>
      </w:r>
      <w:r>
        <w:rPr>
          <w:rFonts w:ascii="Arial" w:hAnsi="Arial"/>
          <w:b w:val="false"/>
          <w:color w:val="000000"/>
          <w:sz w:val="20"/>
        </w:rPr>
        <w:t>million in aggregate principal amount of the Notes, net deferred issuance costs, for $18.5</w:t>
      </w:r>
      <w:r>
        <w:rPr>
          <w:rFonts w:ascii="Times New Roman" w:hAnsi="Times New Roman"/>
          <w:color w:val="000000"/>
          <w:sz w:val="20"/>
        </w:rPr>
        <w:t xml:space="preserve"> </w:t>
      </w:r>
      <w:r>
        <w:rPr>
          <w:rFonts w:ascii="Arial" w:hAnsi="Arial"/>
          <w:b w:val="false"/>
          <w:color w:val="000000"/>
          <w:sz w:val="20"/>
        </w:rPr>
        <w:t>million in open-market transactions. The Company recognized a gain on extinguishment of debt of $37.9</w:t>
      </w:r>
      <w:r>
        <w:rPr>
          <w:rFonts w:ascii="Times New Roman" w:hAnsi="Times New Roman"/>
          <w:color w:val="000000"/>
          <w:sz w:val="20"/>
        </w:rPr>
        <w:t xml:space="preserve"> </w:t>
      </w:r>
      <w:r>
        <w:rPr>
          <w:rFonts w:ascii="Arial" w:hAnsi="Arial"/>
          <w:b w:val="false"/>
          <w:color w:val="000000"/>
          <w:sz w:val="20"/>
        </w:rPr>
        <w:t>million for the nine months ended September 30, 2022.</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accounts for the Notes as a single liability-classified instrument measured at amortized cost. As of September 30, 2023, the unamortized debt discount and debt issuance costs was $4.7</w:t>
      </w:r>
      <w:r>
        <w:rPr>
          <w:rFonts w:ascii="Times New Roman" w:hAnsi="Times New Roman"/>
          <w:color w:val="000000"/>
          <w:sz w:val="20"/>
        </w:rPr>
        <w:t xml:space="preserve"> </w:t>
      </w:r>
      <w:r>
        <w:rPr>
          <w:rFonts w:ascii="Arial" w:hAnsi="Arial"/>
          <w:b w:val="false"/>
          <w:color w:val="000000"/>
          <w:sz w:val="20"/>
        </w:rPr>
        <w:t>million and the net carrying value was $327.8</w:t>
      </w:r>
      <w:r>
        <w:rPr>
          <w:rFonts w:ascii="Times New Roman" w:hAnsi="Times New Roman"/>
          <w:color w:val="000000"/>
          <w:sz w:val="20"/>
        </w:rPr>
        <w:t xml:space="preserve"> </w:t>
      </w:r>
      <w:r>
        <w:rPr>
          <w:rFonts w:ascii="Arial" w:hAnsi="Arial"/>
          <w:b w:val="false"/>
          <w:color w:val="000000"/>
          <w:sz w:val="20"/>
        </w:rPr>
        <w:t>million. As of December 31, 2022, the unamortized debt discount and debt issuance costs was $6.5</w:t>
      </w:r>
      <w:r>
        <w:rPr>
          <w:rFonts w:ascii="Times New Roman" w:hAnsi="Times New Roman"/>
          <w:color w:val="000000"/>
          <w:sz w:val="20"/>
        </w:rPr>
        <w:t xml:space="preserve"> </w:t>
      </w:r>
      <w:r>
        <w:rPr>
          <w:rFonts w:ascii="Arial" w:hAnsi="Arial"/>
          <w:b w:val="false"/>
          <w:color w:val="000000"/>
          <w:sz w:val="20"/>
        </w:rPr>
        <w:t>million and the net carrying value was $359.3</w:t>
      </w:r>
      <w:r>
        <w:rPr>
          <w:rFonts w:ascii="Times New Roman" w:hAnsi="Times New Roman"/>
          <w:color w:val="000000"/>
          <w:sz w:val="20"/>
        </w:rPr>
        <w:t xml:space="preserve"> </w:t>
      </w:r>
      <w:r>
        <w:rPr>
          <w:rFonts w:ascii="Arial" w:hAnsi="Arial"/>
          <w:b w:val="false"/>
          <w:color w:val="000000"/>
          <w:sz w:val="20"/>
        </w:rPr>
        <w:t>million.</w:t>
      </w:r>
    </w:p>
    <w:p>
      <w:pPr>
        <w:pStyle w:val="TextBody"/>
        <w:bidi w:val="0"/>
        <w:jc w:val="left"/>
        <w:rPr>
          <w:rFonts w:ascii="Times New Roman" w:hAnsi="Times New Roman"/>
          <w:sz w:val="20"/>
        </w:rPr>
      </w:pPr>
      <w:r>
        <w:rPr>
          <w:rFonts w:ascii="Arial" w:hAnsi="Arial"/>
          <w:b w:val="false"/>
          <w:color w:val="000000"/>
          <w:sz w:val="20"/>
        </w:rPr>
        <w:t>The Notes were issued at par value and fees associated with the issuance of these Notes are amortized to interest expense using the effective interest method over the contractual term of the Notes. The interest expense was $1.1</w:t>
      </w:r>
      <w:r>
        <w:rPr>
          <w:rFonts w:ascii="Times New Roman" w:hAnsi="Times New Roman"/>
          <w:color w:val="000000"/>
          <w:sz w:val="20"/>
        </w:rPr>
        <w:t xml:space="preserve"> </w:t>
      </w:r>
      <w:r>
        <w:rPr>
          <w:rFonts w:ascii="Arial" w:hAnsi="Arial"/>
          <w:b w:val="false"/>
          <w:color w:val="000000"/>
          <w:sz w:val="20"/>
        </w:rPr>
        <w:t>million and $1.9</w:t>
      </w:r>
      <w:r>
        <w:rPr>
          <w:rFonts w:ascii="Times New Roman" w:hAnsi="Times New Roman"/>
          <w:color w:val="000000"/>
          <w:sz w:val="20"/>
        </w:rPr>
        <w:t xml:space="preserve"> </w:t>
      </w:r>
      <w:r>
        <w:rPr>
          <w:rFonts w:ascii="Arial" w:hAnsi="Arial"/>
          <w:b w:val="false"/>
          <w:color w:val="000000"/>
          <w:sz w:val="20"/>
        </w:rPr>
        <w:t>million for the three months ended September 30, 2023 and 2022, respectively, and $3.3</w:t>
      </w:r>
      <w:r>
        <w:rPr>
          <w:rFonts w:ascii="Times New Roman" w:hAnsi="Times New Roman"/>
          <w:color w:val="000000"/>
          <w:sz w:val="20"/>
        </w:rPr>
        <w:t xml:space="preserve"> </w:t>
      </w:r>
      <w:r>
        <w:rPr>
          <w:rFonts w:ascii="Arial" w:hAnsi="Arial"/>
          <w:b w:val="false"/>
          <w:color w:val="000000"/>
          <w:sz w:val="20"/>
        </w:rPr>
        <w:t>million and $5.9</w:t>
      </w:r>
      <w:r>
        <w:rPr>
          <w:rFonts w:ascii="Times New Roman" w:hAnsi="Times New Roman"/>
          <w:color w:val="000000"/>
          <w:sz w:val="20"/>
        </w:rPr>
        <w:t xml:space="preserve"> </w:t>
      </w:r>
      <w:r>
        <w:rPr>
          <w:rFonts w:ascii="Arial" w:hAnsi="Arial"/>
          <w:b w:val="false"/>
          <w:color w:val="000000"/>
          <w:sz w:val="20"/>
        </w:rPr>
        <w:t>million for the nine months ended September 30, 2023 and 2022, respectively. The effective interest rate of the Notes is 1.3%.</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Securitization Debt of Consolidated VIEs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securitization debt was issued under UACC's securitization program. The Company elected to account for the securitization debt under the fair value option using the measurement alternative. Fair value adjustments are recorded in "Other loss, net" in the condensed consolidated statements of operations. Refer to Note 16 – Financial Instruments and Fair Value Measurements. For the 2021-1, 2022-2, and 2023-1 securitization transactions, the Company consolidated the VIEs and accounted for these transactions as secured borrowings. Refer to Note 4 – Variable Interest Entities and Securitizations for further discussion.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Upon the issuance of the securitization debt for the 2021-1 and 2023-1 securitization transactions, UACC retained the residual interests. UACC also retains the servicing rights for all finance receivables that were securitized; therefore, it is responsible for the administration and collection of the amounts owed under the contracts. In Q1 2023, UACC waived its servicing fees related to the 2022-2 securitization and subsequently consolidated the 2022-2 trust. The securitization agreements also require certain funds to be held in restricted cash accounts to provide additional collateral for the borrowings or to be applied to make payments on the securitization debt. Restricted cash under the various agreements totaled approximately $31.3</w:t>
      </w:r>
      <w:r>
        <w:rPr>
          <w:rFonts w:ascii="Times New Roman" w:hAnsi="Times New Roman"/>
          <w:color w:val="000000"/>
          <w:sz w:val="20"/>
        </w:rPr>
        <w:t xml:space="preserve"> </w:t>
      </w:r>
      <w:r>
        <w:rPr>
          <w:rFonts w:ascii="Arial" w:hAnsi="Arial"/>
          <w:b w:val="false"/>
          <w:color w:val="000000"/>
          <w:sz w:val="20"/>
        </w:rPr>
        <w:t>million and $9.0</w:t>
      </w:r>
      <w:r>
        <w:rPr>
          <w:rFonts w:ascii="Times New Roman" w:hAnsi="Times New Roman"/>
          <w:color w:val="000000"/>
          <w:sz w:val="20"/>
        </w:rPr>
        <w:t xml:space="preserve"> </w:t>
      </w:r>
      <w:r>
        <w:rPr>
          <w:rFonts w:ascii="Arial" w:hAnsi="Arial"/>
          <w:b w:val="false"/>
          <w:color w:val="000000"/>
          <w:sz w:val="20"/>
        </w:rPr>
        <w:t>million as of September 30, 2023 and December 31, 2022, respectively.</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securitization debt issued is included in “Current portion of long term debt” and "Long term debt, net of current portion" on the condensed consolidated balance sheet. The securitization debt of consolidated VIEs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5"/>
        <w:gridCol w:w="146"/>
        <w:gridCol w:w="1858"/>
        <w:gridCol w:w="146"/>
        <w:gridCol w:w="241"/>
        <w:gridCol w:w="912"/>
        <w:gridCol w:w="146"/>
        <w:gridCol w:w="146"/>
        <w:gridCol w:w="1612"/>
        <w:gridCol w:w="286"/>
        <w:gridCol w:w="316"/>
        <w:gridCol w:w="1198"/>
        <w:gridCol w:w="146"/>
        <w:gridCol w:w="146"/>
        <w:gridCol w:w="211"/>
        <w:gridCol w:w="796"/>
        <w:gridCol w:w="194"/>
      </w:tblGrid>
      <w:tr>
        <w:trPr/>
        <w:tc>
          <w:tcPr>
            <w:tcW w:w="1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011" w:type="dxa"/>
            <w:gridSpan w:val="16"/>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 of September 30, 2023</w:t>
            </w:r>
          </w:p>
        </w:tc>
        <w:tc>
          <w:tcPr>
            <w:tcW w:w="194" w:type="dxa"/>
            <w:tcBorders/>
            <w:shd w:fill="FFFFFF" w:val="clear"/>
            <w:vAlign w:val="center"/>
          </w:tcPr>
          <w:p>
            <w:pPr>
              <w:pStyle w:val="TableContents"/>
              <w:bidi w:val="0"/>
              <w:spacing w:before="0" w:after="283"/>
              <w:jc w:val="left"/>
              <w:rPr/>
            </w:pPr>
            <w:r>
              <w:rPr/>
              <w:t> </w:t>
            </w:r>
          </w:p>
        </w:tc>
      </w:tr>
      <w:tr>
        <w:trPr/>
        <w:tc>
          <w:tcPr>
            <w:tcW w:w="1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Final Scheduled 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 Interest 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2021-1-D</w:t>
            </w:r>
          </w:p>
        </w:tc>
        <w:tc>
          <w:tcPr>
            <w:tcW w:w="146" w:type="dxa"/>
            <w:tcBorders/>
            <w:shd w:fill="CFF0FC" w:val="clear"/>
            <w:vAlign w:val="center"/>
          </w:tcPr>
          <w:p>
            <w:pPr>
              <w:pStyle w:val="TableContents"/>
              <w:bidi w:val="0"/>
              <w:spacing w:before="0" w:after="283"/>
              <w:jc w:val="left"/>
              <w:rPr/>
            </w:pPr>
            <w:r>
              <w:rPr/>
              <w:t> </w:t>
            </w:r>
          </w:p>
        </w:tc>
        <w:tc>
          <w:tcPr>
            <w:tcW w:w="185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June 10, 2026</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29,380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w:t>
            </w:r>
          </w:p>
        </w:tc>
        <w:tc>
          <w:tcPr>
            <w:tcW w:w="2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9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11,573</w:t>
            </w:r>
          </w:p>
        </w:tc>
        <w:tc>
          <w:tcPr>
            <w:tcW w:w="194" w:type="dxa"/>
            <w:tcBorders/>
            <w:shd w:fill="CFF0FC" w:val="cle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2021-1-E</w:t>
            </w:r>
          </w:p>
        </w:tc>
        <w:tc>
          <w:tcPr>
            <w:tcW w:w="146" w:type="dxa"/>
            <w:tcBorders/>
            <w:shd w:fill="FFFFFF" w:val="clear"/>
            <w:vAlign w:val="center"/>
          </w:tcPr>
          <w:p>
            <w:pPr>
              <w:pStyle w:val="TableContents"/>
              <w:bidi w:val="0"/>
              <w:spacing w:before="0" w:after="283"/>
              <w:jc w:val="left"/>
              <w:rPr/>
            </w:pPr>
            <w:r>
              <w:rPr/>
              <w:t> </w:t>
            </w:r>
          </w:p>
        </w:tc>
        <w:tc>
          <w:tcPr>
            <w:tcW w:w="185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June 10, 2026</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2.58</w:t>
            </w:r>
          </w:p>
        </w:tc>
        <w:tc>
          <w:tcPr>
            <w:tcW w:w="28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20,515</w:t>
            </w:r>
          </w:p>
        </w:tc>
        <w:tc>
          <w:tcPr>
            <w:tcW w:w="194" w:type="dxa"/>
            <w:tcBorders/>
            <w:shd w:fill="FFFFFF" w:val="clear"/>
            <w:vAlign w:val="center"/>
          </w:tcPr>
          <w:p>
            <w:pPr>
              <w:pStyle w:val="TableContents"/>
              <w:bidi w:val="0"/>
              <w:spacing w:before="0" w:after="283"/>
              <w:jc w:val="left"/>
              <w:rPr/>
            </w:pPr>
            <w:r>
              <w:rPr/>
              <w:t> </w:t>
            </w:r>
          </w:p>
        </w:tc>
      </w:tr>
      <w:tr>
        <w:trPr/>
        <w:tc>
          <w:tcPr>
            <w:tcW w:w="170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2021-1-F</w:t>
            </w:r>
          </w:p>
        </w:tc>
        <w:tc>
          <w:tcPr>
            <w:tcW w:w="146" w:type="dxa"/>
            <w:tcBorders/>
            <w:shd w:fill="CFF0FC" w:val="clear"/>
            <w:vAlign w:val="center"/>
          </w:tcPr>
          <w:p>
            <w:pPr>
              <w:pStyle w:val="TableContents"/>
              <w:bidi w:val="0"/>
              <w:spacing w:before="0" w:after="283"/>
              <w:jc w:val="left"/>
              <w:rPr/>
            </w:pPr>
            <w:r>
              <w:rPr/>
              <w:t> </w:t>
            </w:r>
          </w:p>
        </w:tc>
        <w:tc>
          <w:tcPr>
            <w:tcW w:w="185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September 10, 2027</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4.30</w:t>
            </w:r>
          </w:p>
        </w:tc>
        <w:tc>
          <w:tcPr>
            <w:tcW w:w="2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13,674</w:t>
            </w:r>
          </w:p>
        </w:tc>
        <w:tc>
          <w:tcPr>
            <w:tcW w:w="194" w:type="dxa"/>
            <w:tcBorders/>
            <w:shd w:fill="CFF0FC" w:val="cle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2022-2-A</w:t>
            </w:r>
          </w:p>
        </w:tc>
        <w:tc>
          <w:tcPr>
            <w:tcW w:w="146" w:type="dxa"/>
            <w:tcBorders/>
            <w:shd w:fill="FFFFFF" w:val="clear"/>
            <w:vAlign w:val="center"/>
          </w:tcPr>
          <w:p>
            <w:pPr>
              <w:pStyle w:val="TableContents"/>
              <w:bidi w:val="0"/>
              <w:spacing w:before="0" w:after="283"/>
              <w:jc w:val="left"/>
              <w:rPr/>
            </w:pPr>
            <w:r>
              <w:rPr/>
              <w:t> </w:t>
            </w:r>
          </w:p>
        </w:tc>
        <w:tc>
          <w:tcPr>
            <w:tcW w:w="185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April 10, 2025</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4.39</w:t>
            </w:r>
          </w:p>
        </w:tc>
        <w:tc>
          <w:tcPr>
            <w:tcW w:w="28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13,697</w:t>
            </w:r>
          </w:p>
        </w:tc>
        <w:tc>
          <w:tcPr>
            <w:tcW w:w="194" w:type="dxa"/>
            <w:tcBorders/>
            <w:shd w:fill="FFFFFF" w:val="clear"/>
            <w:vAlign w:val="center"/>
          </w:tcPr>
          <w:p>
            <w:pPr>
              <w:pStyle w:val="TableContents"/>
              <w:bidi w:val="0"/>
              <w:spacing w:before="0" w:after="283"/>
              <w:jc w:val="left"/>
              <w:rPr/>
            </w:pPr>
            <w:r>
              <w:rPr/>
              <w:t> </w:t>
            </w:r>
          </w:p>
        </w:tc>
      </w:tr>
      <w:tr>
        <w:trPr/>
        <w:tc>
          <w:tcPr>
            <w:tcW w:w="170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2022-2-B</w:t>
            </w:r>
          </w:p>
        </w:tc>
        <w:tc>
          <w:tcPr>
            <w:tcW w:w="146" w:type="dxa"/>
            <w:tcBorders/>
            <w:shd w:fill="CFF0FC" w:val="clear"/>
            <w:vAlign w:val="center"/>
          </w:tcPr>
          <w:p>
            <w:pPr>
              <w:pStyle w:val="TableContents"/>
              <w:bidi w:val="0"/>
              <w:spacing w:before="0" w:after="283"/>
              <w:jc w:val="left"/>
              <w:rPr/>
            </w:pPr>
            <w:r>
              <w:rPr/>
              <w:t> </w:t>
            </w:r>
          </w:p>
        </w:tc>
        <w:tc>
          <w:tcPr>
            <w:tcW w:w="185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December 10, 2025</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30,324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5.41</w:t>
            </w:r>
          </w:p>
        </w:tc>
        <w:tc>
          <w:tcPr>
            <w:tcW w:w="2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30,324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30,254</w:t>
            </w:r>
          </w:p>
        </w:tc>
        <w:tc>
          <w:tcPr>
            <w:tcW w:w="194" w:type="dxa"/>
            <w:tcBorders/>
            <w:shd w:fill="CFF0FC" w:val="cle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2022-2-C</w:t>
            </w:r>
          </w:p>
        </w:tc>
        <w:tc>
          <w:tcPr>
            <w:tcW w:w="146" w:type="dxa"/>
            <w:tcBorders/>
            <w:shd w:fill="FFFFFF" w:val="clear"/>
            <w:vAlign w:val="center"/>
          </w:tcPr>
          <w:p>
            <w:pPr>
              <w:pStyle w:val="TableContents"/>
              <w:bidi w:val="0"/>
              <w:spacing w:before="0" w:after="283"/>
              <w:jc w:val="left"/>
              <w:rPr/>
            </w:pPr>
            <w:r>
              <w:rPr/>
              <w:t> </w:t>
            </w:r>
          </w:p>
        </w:tc>
        <w:tc>
          <w:tcPr>
            <w:tcW w:w="185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May 10, 2027</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5.81</w:t>
            </w:r>
          </w:p>
        </w:tc>
        <w:tc>
          <w:tcPr>
            <w:tcW w:w="28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26,215</w:t>
            </w:r>
          </w:p>
        </w:tc>
        <w:tc>
          <w:tcPr>
            <w:tcW w:w="194" w:type="dxa"/>
            <w:tcBorders/>
            <w:shd w:fill="FFFFFF" w:val="clear"/>
            <w:vAlign w:val="center"/>
          </w:tcPr>
          <w:p>
            <w:pPr>
              <w:pStyle w:val="TableContents"/>
              <w:bidi w:val="0"/>
              <w:spacing w:before="0" w:after="283"/>
              <w:jc w:val="left"/>
              <w:rPr/>
            </w:pPr>
            <w:r>
              <w:rPr/>
              <w:t> </w:t>
            </w:r>
          </w:p>
        </w:tc>
      </w:tr>
      <w:tr>
        <w:trPr/>
        <w:tc>
          <w:tcPr>
            <w:tcW w:w="170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2022-2-D</w:t>
            </w:r>
          </w:p>
        </w:tc>
        <w:tc>
          <w:tcPr>
            <w:tcW w:w="146" w:type="dxa"/>
            <w:tcBorders/>
            <w:shd w:fill="CFF0FC" w:val="clear"/>
            <w:vAlign w:val="center"/>
          </w:tcPr>
          <w:p>
            <w:pPr>
              <w:pStyle w:val="TableContents"/>
              <w:bidi w:val="0"/>
              <w:spacing w:before="0" w:after="283"/>
              <w:jc w:val="left"/>
              <w:rPr/>
            </w:pPr>
            <w:r>
              <w:rPr/>
              <w:t> </w:t>
            </w:r>
          </w:p>
        </w:tc>
        <w:tc>
          <w:tcPr>
            <w:tcW w:w="185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January 10, 2028</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32,889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6.84</w:t>
            </w:r>
          </w:p>
        </w:tc>
        <w:tc>
          <w:tcPr>
            <w:tcW w:w="2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32,889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32,419</w:t>
            </w:r>
          </w:p>
        </w:tc>
        <w:tc>
          <w:tcPr>
            <w:tcW w:w="194" w:type="dxa"/>
            <w:tcBorders/>
            <w:shd w:fill="CFF0FC" w:val="cle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2022-2-E</w:t>
            </w:r>
          </w:p>
        </w:tc>
        <w:tc>
          <w:tcPr>
            <w:tcW w:w="146" w:type="dxa"/>
            <w:tcBorders/>
            <w:shd w:fill="FFFFFF" w:val="clear"/>
            <w:vAlign w:val="center"/>
          </w:tcPr>
          <w:p>
            <w:pPr>
              <w:pStyle w:val="TableContents"/>
              <w:bidi w:val="0"/>
              <w:spacing w:before="0" w:after="283"/>
              <w:jc w:val="left"/>
              <w:rPr/>
            </w:pPr>
            <w:r>
              <w:rPr/>
              <w:t> </w:t>
            </w:r>
          </w:p>
        </w:tc>
        <w:tc>
          <w:tcPr>
            <w:tcW w:w="185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April 10, 2029</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10.00</w:t>
            </w:r>
          </w:p>
        </w:tc>
        <w:tc>
          <w:tcPr>
            <w:tcW w:w="28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30,474</w:t>
            </w:r>
          </w:p>
        </w:tc>
        <w:tc>
          <w:tcPr>
            <w:tcW w:w="194" w:type="dxa"/>
            <w:tcBorders/>
            <w:shd w:fill="FFFFFF" w:val="clear"/>
            <w:vAlign w:val="center"/>
          </w:tcPr>
          <w:p>
            <w:pPr>
              <w:pStyle w:val="TableContents"/>
              <w:bidi w:val="0"/>
              <w:spacing w:before="0" w:after="283"/>
              <w:jc w:val="left"/>
              <w:rPr/>
            </w:pPr>
            <w:r>
              <w:rPr/>
              <w:t> </w:t>
            </w:r>
          </w:p>
        </w:tc>
      </w:tr>
      <w:tr>
        <w:trPr/>
        <w:tc>
          <w:tcPr>
            <w:tcW w:w="170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2023-1-A</w:t>
            </w:r>
          </w:p>
        </w:tc>
        <w:tc>
          <w:tcPr>
            <w:tcW w:w="146" w:type="dxa"/>
            <w:tcBorders/>
            <w:shd w:fill="CFF0FC" w:val="clear"/>
            <w:vAlign w:val="center"/>
          </w:tcPr>
          <w:p>
            <w:pPr>
              <w:pStyle w:val="TableContents"/>
              <w:bidi w:val="0"/>
              <w:spacing w:before="0" w:after="283"/>
              <w:jc w:val="left"/>
              <w:rPr/>
            </w:pPr>
            <w:r>
              <w:rPr/>
              <w:t> </w:t>
            </w:r>
          </w:p>
        </w:tc>
        <w:tc>
          <w:tcPr>
            <w:tcW w:w="185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July 10, 2025</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118,598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5.57</w:t>
            </w:r>
          </w:p>
        </w:tc>
        <w:tc>
          <w:tcPr>
            <w:tcW w:w="2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40,455</w:t>
            </w:r>
          </w:p>
        </w:tc>
        <w:tc>
          <w:tcPr>
            <w:tcW w:w="194" w:type="dxa"/>
            <w:tcBorders/>
            <w:shd w:fill="CFF0FC" w:val="cle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2023-1-B</w:t>
            </w:r>
          </w:p>
        </w:tc>
        <w:tc>
          <w:tcPr>
            <w:tcW w:w="146" w:type="dxa"/>
            <w:tcBorders/>
            <w:shd w:fill="FFFFFF" w:val="clear"/>
            <w:vAlign w:val="center"/>
          </w:tcPr>
          <w:p>
            <w:pPr>
              <w:pStyle w:val="TableContents"/>
              <w:bidi w:val="0"/>
              <w:spacing w:before="0" w:after="283"/>
              <w:jc w:val="left"/>
              <w:rPr/>
            </w:pPr>
            <w:r>
              <w:rPr/>
              <w:t> </w:t>
            </w:r>
          </w:p>
        </w:tc>
        <w:tc>
          <w:tcPr>
            <w:tcW w:w="185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July 10, 2028</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51,157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5.91</w:t>
            </w:r>
          </w:p>
        </w:tc>
        <w:tc>
          <w:tcPr>
            <w:tcW w:w="28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51,157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50,727</w:t>
            </w:r>
          </w:p>
        </w:tc>
        <w:tc>
          <w:tcPr>
            <w:tcW w:w="194" w:type="dxa"/>
            <w:tcBorders/>
            <w:shd w:fill="FFFFFF" w:val="clear"/>
            <w:vAlign w:val="center"/>
          </w:tcPr>
          <w:p>
            <w:pPr>
              <w:pStyle w:val="TableContents"/>
              <w:bidi w:val="0"/>
              <w:spacing w:before="0" w:after="283"/>
              <w:jc w:val="left"/>
              <w:rPr/>
            </w:pPr>
            <w:r>
              <w:rPr/>
              <w:t> </w:t>
            </w:r>
          </w:p>
        </w:tc>
      </w:tr>
      <w:tr>
        <w:trPr/>
        <w:tc>
          <w:tcPr>
            <w:tcW w:w="170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2023-1-C</w:t>
            </w:r>
          </w:p>
        </w:tc>
        <w:tc>
          <w:tcPr>
            <w:tcW w:w="146" w:type="dxa"/>
            <w:tcBorders/>
            <w:shd w:fill="CFF0FC" w:val="clear"/>
            <w:vAlign w:val="center"/>
          </w:tcPr>
          <w:p>
            <w:pPr>
              <w:pStyle w:val="TableContents"/>
              <w:bidi w:val="0"/>
              <w:spacing w:before="0" w:after="283"/>
              <w:jc w:val="left"/>
              <w:rPr/>
            </w:pPr>
            <w:r>
              <w:rPr/>
              <w:t> </w:t>
            </w:r>
          </w:p>
        </w:tc>
        <w:tc>
          <w:tcPr>
            <w:tcW w:w="185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July 10, 2028</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33,326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6.28</w:t>
            </w:r>
          </w:p>
        </w:tc>
        <w:tc>
          <w:tcPr>
            <w:tcW w:w="2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33,326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32,936</w:t>
            </w:r>
          </w:p>
        </w:tc>
        <w:tc>
          <w:tcPr>
            <w:tcW w:w="194" w:type="dxa"/>
            <w:tcBorders/>
            <w:shd w:fill="CFF0FC" w:val="cle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2023-1-D</w:t>
            </w:r>
          </w:p>
        </w:tc>
        <w:tc>
          <w:tcPr>
            <w:tcW w:w="146" w:type="dxa"/>
            <w:tcBorders/>
            <w:shd w:fill="FFFFFF" w:val="clear"/>
            <w:vAlign w:val="center"/>
          </w:tcPr>
          <w:p>
            <w:pPr>
              <w:pStyle w:val="TableContents"/>
              <w:bidi w:val="0"/>
              <w:spacing w:before="0" w:after="283"/>
              <w:jc w:val="left"/>
              <w:rPr/>
            </w:pPr>
            <w:r>
              <w:rPr/>
              <w:t> </w:t>
            </w:r>
          </w:p>
        </w:tc>
        <w:tc>
          <w:tcPr>
            <w:tcW w:w="185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July 10, 2028</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8.00</w:t>
            </w:r>
          </w:p>
        </w:tc>
        <w:tc>
          <w:tcPr>
            <w:tcW w:w="28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35,860</w:t>
            </w:r>
          </w:p>
        </w:tc>
        <w:tc>
          <w:tcPr>
            <w:tcW w:w="194" w:type="dxa"/>
            <w:tcBorders/>
            <w:shd w:fill="FFFFFF" w:val="clear"/>
            <w:vAlign w:val="center"/>
          </w:tcPr>
          <w:p>
            <w:pPr>
              <w:pStyle w:val="TableContents"/>
              <w:bidi w:val="0"/>
              <w:spacing w:before="0" w:after="283"/>
              <w:jc w:val="left"/>
              <w:rPr/>
            </w:pPr>
            <w:r>
              <w:rPr/>
              <w:t> </w:t>
            </w:r>
          </w:p>
        </w:tc>
      </w:tr>
      <w:tr>
        <w:trPr/>
        <w:tc>
          <w:tcPr>
            <w:tcW w:w="170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2023-1-E</w:t>
            </w:r>
          </w:p>
        </w:tc>
        <w:tc>
          <w:tcPr>
            <w:tcW w:w="146" w:type="dxa"/>
            <w:tcBorders/>
            <w:shd w:fill="CFF0FC" w:val="clear"/>
            <w:vAlign w:val="center"/>
          </w:tcPr>
          <w:p>
            <w:pPr>
              <w:pStyle w:val="TableContents"/>
              <w:bidi w:val="0"/>
              <w:spacing w:before="0" w:after="283"/>
              <w:jc w:val="left"/>
              <w:rPr/>
            </w:pPr>
            <w:r>
              <w:rPr/>
              <w:t> </w:t>
            </w:r>
          </w:p>
        </w:tc>
        <w:tc>
          <w:tcPr>
            <w:tcW w:w="185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September 10, 2029</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10.98</w:t>
            </w:r>
          </w:p>
        </w:tc>
        <w:tc>
          <w:tcPr>
            <w:tcW w:w="2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23,107</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rated notes</w:t>
            </w:r>
          </w:p>
        </w:tc>
        <w:tc>
          <w:tcPr>
            <w:tcW w:w="146" w:type="dxa"/>
            <w:tcBorders/>
            <w:shd w:fill="FFFFFF" w:val="clear"/>
            <w:vAlign w:val="center"/>
          </w:tcPr>
          <w:p>
            <w:pPr>
              <w:pStyle w:val="TableContents"/>
              <w:bidi w:val="0"/>
              <w:spacing w:before="0" w:after="283"/>
              <w:jc w:val="left"/>
              <w:rPr/>
            </w:pPr>
            <w:r>
              <w:rPr/>
              <w:t> </w:t>
            </w:r>
          </w:p>
        </w:tc>
        <w:tc>
          <w:tcPr>
            <w:tcW w:w="18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568,405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12"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367,176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361,906</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Arial" w:hAnsi="Arial"/>
          <w:b w:val="false"/>
          <w:color w:val="000000"/>
          <w:sz w:val="20"/>
        </w:rPr>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757"/>
        <w:gridCol w:w="146"/>
        <w:gridCol w:w="1899"/>
        <w:gridCol w:w="146"/>
        <w:gridCol w:w="261"/>
        <w:gridCol w:w="855"/>
        <w:gridCol w:w="146"/>
        <w:gridCol w:w="146"/>
        <w:gridCol w:w="1641"/>
        <w:gridCol w:w="286"/>
        <w:gridCol w:w="357"/>
        <w:gridCol w:w="1176"/>
        <w:gridCol w:w="146"/>
        <w:gridCol w:w="146"/>
        <w:gridCol w:w="211"/>
        <w:gridCol w:w="691"/>
        <w:gridCol w:w="195"/>
      </w:tblGrid>
      <w:tr>
        <w:trPr/>
        <w:tc>
          <w:tcPr>
            <w:tcW w:w="1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010" w:type="dxa"/>
            <w:gridSpan w:val="16"/>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2022</w:t>
            </w:r>
          </w:p>
        </w:tc>
        <w:tc>
          <w:tcPr>
            <w:tcW w:w="195" w:type="dxa"/>
            <w:tcBorders/>
            <w:shd w:fill="FFFFFF" w:val="clear"/>
            <w:vAlign w:val="center"/>
          </w:tcPr>
          <w:p>
            <w:pPr>
              <w:pStyle w:val="TableContents"/>
              <w:bidi w:val="0"/>
              <w:spacing w:before="0" w:after="283"/>
              <w:jc w:val="left"/>
              <w:rPr/>
            </w:pPr>
            <w:r>
              <w:rPr/>
              <w:t> </w:t>
            </w:r>
          </w:p>
        </w:tc>
      </w:tr>
      <w:tr>
        <w:trPr/>
        <w:tc>
          <w:tcPr>
            <w:tcW w:w="1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Final Scheduled 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 Interest 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2021-1-C</w:t>
            </w:r>
          </w:p>
        </w:tc>
        <w:tc>
          <w:tcPr>
            <w:tcW w:w="146" w:type="dxa"/>
            <w:tcBorders/>
            <w:shd w:fill="CFF0FC" w:val="clear"/>
            <w:vAlign w:val="center"/>
          </w:tcPr>
          <w:p>
            <w:pPr>
              <w:pStyle w:val="TableContents"/>
              <w:bidi w:val="0"/>
              <w:spacing w:before="0" w:after="283"/>
              <w:jc w:val="left"/>
              <w:rPr/>
            </w:pPr>
            <w:r>
              <w:rPr/>
              <w:t> </w:t>
            </w:r>
          </w:p>
        </w:tc>
        <w:tc>
          <w:tcPr>
            <w:tcW w:w="189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June 10, 2026</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29,640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4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0.84</w:t>
            </w:r>
          </w:p>
        </w:tc>
        <w:tc>
          <w:tcPr>
            <w:tcW w:w="2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7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18,322</w:t>
            </w:r>
          </w:p>
        </w:tc>
        <w:tc>
          <w:tcPr>
            <w:tcW w:w="195" w:type="dxa"/>
            <w:tcBorders/>
            <w:shd w:fill="CFF0FC" w:val="clear"/>
            <w:vAlign w:val="center"/>
          </w:tcPr>
          <w:p>
            <w:pPr>
              <w:pStyle w:val="TableContents"/>
              <w:bidi w:val="0"/>
              <w:spacing w:before="0" w:after="283"/>
              <w:jc w:val="left"/>
              <w:rPr/>
            </w:pPr>
            <w:r>
              <w:rPr/>
              <w:t> </w:t>
            </w:r>
          </w:p>
        </w:tc>
      </w:tr>
      <w:tr>
        <w:trPr/>
        <w:tc>
          <w:tcPr>
            <w:tcW w:w="175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2021-1-D</w:t>
            </w:r>
          </w:p>
        </w:tc>
        <w:tc>
          <w:tcPr>
            <w:tcW w:w="146" w:type="dxa"/>
            <w:tcBorders/>
            <w:shd w:fill="FFFFFF" w:val="clear"/>
            <w:vAlign w:val="center"/>
          </w:tcPr>
          <w:p>
            <w:pPr>
              <w:pStyle w:val="TableContents"/>
              <w:bidi w:val="0"/>
              <w:spacing w:before="0" w:after="283"/>
              <w:jc w:val="left"/>
              <w:rPr/>
            </w:pPr>
            <w:r>
              <w:rPr/>
              <w:t> </w:t>
            </w:r>
          </w:p>
        </w:tc>
        <w:tc>
          <w:tcPr>
            <w:tcW w:w="189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June 10, 2026</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w:t>
            </w:r>
          </w:p>
        </w:tc>
        <w:tc>
          <w:tcPr>
            <w:tcW w:w="28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57"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28,481</w:t>
            </w:r>
          </w:p>
        </w:tc>
        <w:tc>
          <w:tcPr>
            <w:tcW w:w="195" w:type="dxa"/>
            <w:tcBorders/>
            <w:shd w:fill="FFFFFF" w:val="clear"/>
            <w:vAlign w:val="center"/>
          </w:tcPr>
          <w:p>
            <w:pPr>
              <w:pStyle w:val="TableContents"/>
              <w:bidi w:val="0"/>
              <w:spacing w:before="0" w:after="283"/>
              <w:jc w:val="left"/>
              <w:rPr/>
            </w:pPr>
            <w:r>
              <w:rPr/>
              <w:t> </w:t>
            </w:r>
          </w:p>
        </w:tc>
      </w:tr>
      <w:tr>
        <w:trPr/>
        <w:tc>
          <w:tcPr>
            <w:tcW w:w="17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2021-1-E</w:t>
            </w:r>
          </w:p>
        </w:tc>
        <w:tc>
          <w:tcPr>
            <w:tcW w:w="146" w:type="dxa"/>
            <w:tcBorders/>
            <w:shd w:fill="CFF0FC" w:val="clear"/>
            <w:vAlign w:val="center"/>
          </w:tcPr>
          <w:p>
            <w:pPr>
              <w:pStyle w:val="TableContents"/>
              <w:bidi w:val="0"/>
              <w:spacing w:before="0" w:after="283"/>
              <w:jc w:val="left"/>
              <w:rPr/>
            </w:pPr>
            <w:r>
              <w:rPr/>
              <w:t> </w:t>
            </w:r>
          </w:p>
        </w:tc>
        <w:tc>
          <w:tcPr>
            <w:tcW w:w="189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June 10, 2026</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4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2.58</w:t>
            </w:r>
          </w:p>
        </w:tc>
        <w:tc>
          <w:tcPr>
            <w:tcW w:w="2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57" w:type="dxa"/>
            <w:tcBorders/>
            <w:shd w:fill="CFF0FC" w:val="clear"/>
            <w:vAlign w:val="center"/>
          </w:tcPr>
          <w:p>
            <w:pPr>
              <w:pStyle w:val="TableContents"/>
              <w:bidi w:val="0"/>
              <w:spacing w:before="0" w:after="283"/>
              <w:jc w:val="left"/>
              <w:rPr/>
            </w:pPr>
            <w:r>
              <w:rPr/>
              <w:t> </w:t>
            </w:r>
          </w:p>
        </w:tc>
        <w:tc>
          <w:tcPr>
            <w:tcW w:w="117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19,685</w:t>
            </w:r>
          </w:p>
        </w:tc>
        <w:tc>
          <w:tcPr>
            <w:tcW w:w="195" w:type="dxa"/>
            <w:tcBorders/>
            <w:shd w:fill="CFF0FC" w:val="clear"/>
            <w:vAlign w:val="center"/>
          </w:tcPr>
          <w:p>
            <w:pPr>
              <w:pStyle w:val="TableContents"/>
              <w:bidi w:val="0"/>
              <w:spacing w:before="0" w:after="283"/>
              <w:jc w:val="left"/>
              <w:rPr/>
            </w:pPr>
            <w:r>
              <w:rPr/>
              <w:t> </w:t>
            </w:r>
          </w:p>
        </w:tc>
      </w:tr>
      <w:tr>
        <w:trPr/>
        <w:tc>
          <w:tcPr>
            <w:tcW w:w="175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2021-1-F</w:t>
            </w:r>
          </w:p>
        </w:tc>
        <w:tc>
          <w:tcPr>
            <w:tcW w:w="146" w:type="dxa"/>
            <w:tcBorders/>
            <w:shd w:fill="FFFFFF" w:val="clear"/>
            <w:vAlign w:val="center"/>
          </w:tcPr>
          <w:p>
            <w:pPr>
              <w:pStyle w:val="TableContents"/>
              <w:bidi w:val="0"/>
              <w:spacing w:before="0" w:after="283"/>
              <w:jc w:val="left"/>
              <w:rPr/>
            </w:pPr>
            <w:r>
              <w:rPr/>
              <w:t> </w:t>
            </w:r>
          </w:p>
        </w:tc>
        <w:tc>
          <w:tcPr>
            <w:tcW w:w="189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September 10, 2027</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4.30</w:t>
            </w:r>
          </w:p>
        </w:tc>
        <w:tc>
          <w:tcPr>
            <w:tcW w:w="28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13,341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93,730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41"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79,829</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final scheduled payment date represents legal maturity of the remaining balance sheet securitization debt. Securitization debt is expected to become due and to be paid prior to those dates, based on amortization of the finance receivables pledged to the Trusts.</w:t>
      </w:r>
      <w:r>
        <w:rPr>
          <w:rFonts w:ascii="Times New Roman" w:hAnsi="Times New Roman"/>
          <w:color w:val="222222"/>
          <w:sz w:val="20"/>
        </w:rPr>
        <w:t xml:space="preserve"> </w:t>
      </w:r>
      <w:r>
        <w:rPr>
          <w:rFonts w:ascii="Arial" w:hAnsi="Arial"/>
          <w:b w:val="false"/>
          <w:color w:val="000000"/>
          <w:sz w:val="20"/>
        </w:rPr>
        <w:t>Expected payments, which will depend on the performance of such receivables, as to which there can be no assurance, are $44.5</w:t>
      </w:r>
      <w:r>
        <w:rPr>
          <w:rFonts w:ascii="Times New Roman" w:hAnsi="Times New Roman"/>
          <w:color w:val="000000"/>
          <w:sz w:val="20"/>
        </w:rPr>
        <w:t xml:space="preserve"> </w:t>
      </w:r>
      <w:r>
        <w:rPr>
          <w:rFonts w:ascii="Arial" w:hAnsi="Arial"/>
          <w:b w:val="false"/>
          <w:color w:val="000000"/>
          <w:sz w:val="20"/>
        </w:rPr>
        <w:t>million in 2023, $155.3</w:t>
      </w:r>
      <w:r>
        <w:rPr>
          <w:rFonts w:ascii="Times New Roman" w:hAnsi="Times New Roman"/>
          <w:color w:val="000000"/>
          <w:sz w:val="20"/>
        </w:rPr>
        <w:t xml:space="preserve"> </w:t>
      </w:r>
      <w:r>
        <w:rPr>
          <w:rFonts w:ascii="Arial" w:hAnsi="Arial"/>
          <w:b w:val="false"/>
          <w:color w:val="000000"/>
          <w:sz w:val="20"/>
        </w:rPr>
        <w:t>million in 2024, $94.4</w:t>
      </w:r>
      <w:r>
        <w:rPr>
          <w:rFonts w:ascii="Times New Roman" w:hAnsi="Times New Roman"/>
          <w:color w:val="000000"/>
          <w:sz w:val="20"/>
        </w:rPr>
        <w:t xml:space="preserve"> </w:t>
      </w:r>
      <w:r>
        <w:rPr>
          <w:rFonts w:ascii="Arial" w:hAnsi="Arial"/>
          <w:b w:val="false"/>
          <w:color w:val="000000"/>
          <w:sz w:val="20"/>
        </w:rPr>
        <w:t>million in 2025, $47.1</w:t>
      </w:r>
      <w:r>
        <w:rPr>
          <w:rFonts w:ascii="Times New Roman" w:hAnsi="Times New Roman"/>
          <w:color w:val="000000"/>
          <w:sz w:val="20"/>
        </w:rPr>
        <w:t xml:space="preserve"> </w:t>
      </w:r>
      <w:r>
        <w:rPr>
          <w:rFonts w:ascii="Arial" w:hAnsi="Arial"/>
          <w:b w:val="false"/>
          <w:color w:val="000000"/>
          <w:sz w:val="20"/>
        </w:rPr>
        <w:t>million in 2026 and $25.9</w:t>
      </w:r>
      <w:r>
        <w:rPr>
          <w:rFonts w:ascii="Times New Roman" w:hAnsi="Times New Roman"/>
          <w:color w:val="000000"/>
          <w:sz w:val="20"/>
        </w:rPr>
        <w:t xml:space="preserve"> </w:t>
      </w:r>
      <w:r>
        <w:rPr>
          <w:rFonts w:ascii="Arial" w:hAnsi="Arial"/>
          <w:b w:val="false"/>
          <w:color w:val="000000"/>
          <w:sz w:val="20"/>
        </w:rPr>
        <w:t>million in 2027.</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aggregate principal balance and the fair value of finance receivables pledged to the securitization debt consists of the following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95"/>
        <w:gridCol w:w="146"/>
        <w:gridCol w:w="450"/>
        <w:gridCol w:w="1699"/>
        <w:gridCol w:w="146"/>
        <w:gridCol w:w="146"/>
        <w:gridCol w:w="211"/>
        <w:gridCol w:w="796"/>
        <w:gridCol w:w="146"/>
        <w:gridCol w:w="146"/>
        <w:gridCol w:w="498"/>
        <w:gridCol w:w="1640"/>
        <w:gridCol w:w="146"/>
        <w:gridCol w:w="146"/>
        <w:gridCol w:w="211"/>
        <w:gridCol w:w="691"/>
        <w:gridCol w:w="192"/>
      </w:tblGrid>
      <w:tr>
        <w:trPr/>
        <w:tc>
          <w:tcPr>
            <w:tcW w:w="2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2021-1</w:t>
            </w:r>
          </w:p>
        </w:tc>
        <w:tc>
          <w:tcPr>
            <w:tcW w:w="146" w:type="dxa"/>
            <w:tcBorders/>
            <w:shd w:fill="CFF0FC" w:val="clear"/>
            <w:vAlign w:val="center"/>
          </w:tcPr>
          <w:p>
            <w:pPr>
              <w:pStyle w:val="TableContents"/>
              <w:bidi w:val="0"/>
              <w:spacing w:before="0" w:after="283"/>
              <w:jc w:val="left"/>
              <w:rPr/>
            </w:pPr>
            <w:r>
              <w:rPr/>
              <w:t> </w:t>
            </w:r>
          </w:p>
        </w:tc>
        <w:tc>
          <w:tcPr>
            <w:tcW w:w="45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9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45,332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4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84,477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77,904</w:t>
            </w:r>
          </w:p>
        </w:tc>
        <w:tc>
          <w:tcPr>
            <w:tcW w:w="192" w:type="dxa"/>
            <w:tcBorders/>
            <w:shd w:fill="CFF0FC"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2022-2</w:t>
            </w:r>
          </w:p>
        </w:tc>
        <w:tc>
          <w:tcPr>
            <w:tcW w:w="146"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169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145,424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125,880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2" w:type="dxa"/>
            <w:tcBorders/>
            <w:shd w:fill="FFFFFF" w:val="clear"/>
            <w:vAlign w:val="center"/>
          </w:tcPr>
          <w:p>
            <w:pPr>
              <w:pStyle w:val="TableContents"/>
              <w:bidi w:val="0"/>
              <w:spacing w:before="0" w:after="283"/>
              <w:jc w:val="left"/>
              <w:rPr/>
            </w:pPr>
            <w:r>
              <w:rPr/>
              <w:t> </w:t>
            </w:r>
          </w:p>
        </w:tc>
      </w:tr>
      <w:tr>
        <w:trPr/>
        <w:tc>
          <w:tcPr>
            <w:tcW w:w="279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United Auto Credit 2023-1</w:t>
            </w:r>
          </w:p>
        </w:tc>
        <w:tc>
          <w:tcPr>
            <w:tcW w:w="146" w:type="dxa"/>
            <w:tcBorders/>
            <w:shd w:fill="CFF0FC" w:val="cle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227,460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194,582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finance receivables of CFEs</w:t>
            </w:r>
          </w:p>
        </w:tc>
        <w:tc>
          <w:tcPr>
            <w:tcW w:w="146" w:type="dxa"/>
            <w:tcBorders/>
            <w:shd w:fill="FFFFFF" w:val="cle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420,484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365,794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77,904</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Financing of Beneficial Interests in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May 3, 2023, UACC entered into a Risk Retention Financing Facility enabling it to finance asset-backed securities issued in its securitization transactions and held by UACC pursuant to applicable risk retention rules. Under this facility, UACC sells such retained interests and agrees to repurchase them on a future date. In its initial transaction under this facility, UACC pledged $24.5</w:t>
      </w:r>
      <w:r>
        <w:rPr>
          <w:rFonts w:ascii="Times New Roman" w:hAnsi="Times New Roman"/>
          <w:color w:val="000000"/>
          <w:sz w:val="20"/>
        </w:rPr>
        <w:t xml:space="preserve"> </w:t>
      </w:r>
      <w:r>
        <w:rPr>
          <w:rFonts w:ascii="Arial" w:hAnsi="Arial"/>
          <w:b w:val="false"/>
          <w:color w:val="000000"/>
          <w:sz w:val="20"/>
        </w:rPr>
        <w:t>million of its retained beneficial interests as collateral, and received proceeds of $24.1</w:t>
      </w:r>
      <w:r>
        <w:rPr>
          <w:rFonts w:ascii="Times New Roman" w:hAnsi="Times New Roman"/>
          <w:color w:val="000000"/>
          <w:sz w:val="20"/>
        </w:rPr>
        <w:t xml:space="preserve"> </w:t>
      </w:r>
      <w:r>
        <w:rPr>
          <w:rFonts w:ascii="Arial" w:hAnsi="Arial"/>
          <w:b w:val="false"/>
          <w:color w:val="000000"/>
          <w:sz w:val="20"/>
        </w:rPr>
        <w:t>million, with expected repurchase dates ranging from March 2025</w:t>
      </w:r>
      <w:r>
        <w:rPr>
          <w:rFonts w:ascii="Times New Roman" w:hAnsi="Times New Roman"/>
          <w:color w:val="000000"/>
          <w:sz w:val="20"/>
        </w:rPr>
        <w:t xml:space="preserve"> </w:t>
      </w:r>
      <w:r>
        <w:rPr>
          <w:rFonts w:ascii="Arial" w:hAnsi="Arial"/>
          <w:b w:val="false"/>
          <w:color w:val="000000"/>
          <w:sz w:val="20"/>
        </w:rPr>
        <w:t xml:space="preserve">to September 2029. The securitization trusts will distribute payments related to UACC's pledged beneficial interests in securitizations directly to the lender, which will reduce the beneficial interests in securitizations and the related debt balance. Pledged collateral levels are monitored and are generally maintained at an agreed-upon percentage of the fair value of the amounts borrowed during the life of the transactions. In the event of a decline in the fair value of the pledged collateral, UACC may be required to transfer cash or additional securities as pledged under this facility. At the termination of this agreement, UACC is obligated to return the amounts borrowed. </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b w:val="false"/>
          <w:color w:val="000000"/>
          <w:sz w:val="20"/>
        </w:rPr>
        <w:t>The outstanding balance of this facility, net of unamortized debt issuance costs, was $18.4</w:t>
      </w:r>
      <w:r>
        <w:rPr>
          <w:rFonts w:ascii="Times New Roman" w:hAnsi="Times New Roman"/>
          <w:color w:val="000000"/>
          <w:sz w:val="20"/>
        </w:rPr>
        <w:t xml:space="preserve"> </w:t>
      </w:r>
      <w:r>
        <w:rPr>
          <w:rFonts w:ascii="Arial" w:hAnsi="Arial"/>
          <w:b w:val="false"/>
          <w:color w:val="000000"/>
          <w:sz w:val="20"/>
        </w:rPr>
        <w:t>million as of September 30, 2023, with $10.5</w:t>
      </w:r>
      <w:r>
        <w:rPr>
          <w:rFonts w:ascii="Times New Roman" w:hAnsi="Times New Roman"/>
          <w:color w:val="000000"/>
          <w:sz w:val="20"/>
        </w:rPr>
        <w:t xml:space="preserve"> </w:t>
      </w:r>
      <w:r>
        <w:rPr>
          <w:rFonts w:ascii="Arial" w:hAnsi="Arial"/>
          <w:b w:val="false"/>
          <w:color w:val="000000"/>
          <w:sz w:val="20"/>
        </w:rPr>
        <w:t>million included in "Current portion of long term debt" and $7.9</w:t>
      </w:r>
      <w:r>
        <w:rPr>
          <w:rFonts w:ascii="Times New Roman" w:hAnsi="Times New Roman"/>
          <w:color w:val="000000"/>
          <w:sz w:val="20"/>
        </w:rPr>
        <w:t xml:space="preserve"> </w:t>
      </w:r>
      <w:r>
        <w:rPr>
          <w:rFonts w:ascii="Arial" w:hAnsi="Arial"/>
          <w:b w:val="false"/>
          <w:color w:val="000000"/>
          <w:sz w:val="20"/>
        </w:rPr>
        <w:t>million included in "Long-term debt, net of current portion" on the condensed consolidated balance sheet. As of September 30, 2023, the fair value of the collateral pledged under this facility was $18.6</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Junior Subordinated Debentures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July 31, 2003, UACC issued junior subordinated debentures (trust preferred securities) of $10.0</w:t>
      </w:r>
      <w:r>
        <w:rPr>
          <w:rFonts w:ascii="Times New Roman" w:hAnsi="Times New Roman"/>
          <w:color w:val="000000"/>
          <w:sz w:val="20"/>
        </w:rPr>
        <w:t xml:space="preserve"> </w:t>
      </w:r>
      <w:r>
        <w:rPr>
          <w:rFonts w:ascii="Arial" w:hAnsi="Arial"/>
          <w:b w:val="false"/>
          <w:color w:val="000000"/>
          <w:sz w:val="20"/>
        </w:rPr>
        <w:t>million through a subsidiary, UPFC Trust I. The trust issuer is a 100</w:t>
      </w:r>
      <w:r>
        <w:rPr>
          <w:rFonts w:ascii="Times New Roman" w:hAnsi="Times New Roman"/>
          <w:color w:val="000000"/>
          <w:sz w:val="20"/>
        </w:rPr>
        <w:t xml:space="preserve"> </w:t>
      </w:r>
      <w:r>
        <w:rPr>
          <w:rFonts w:ascii="Arial" w:hAnsi="Arial"/>
          <w:b w:val="false"/>
          <w:color w:val="000000"/>
          <w:sz w:val="20"/>
        </w:rPr>
        <w:t>percent owned finance subsidiary and the securities are fully and unconditionally guaranteed by Vroom Automotive Finance Corporation. The interest is paid quarterly at a variable rate, equal to SOFR + 3.05%. The final maturity of these securities is on October 7, 2033; however, they can be called at par any time at the Company’s discretion.</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13.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Litigation</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pStyle w:val="TextBody"/>
        <w:bidi w:val="0"/>
        <w:jc w:val="left"/>
        <w:rPr>
          <w:rFonts w:ascii="Arial" w:hAnsi="Arial"/>
          <w:b w:val="false"/>
          <w:color w:val="000000"/>
          <w:sz w:val="20"/>
        </w:rPr>
      </w:pPr>
      <w:r>
        <w:rPr>
          <w:rFonts w:ascii="Arial" w:hAnsi="Arial"/>
          <w:b w:val="false"/>
          <w:color w:val="000000"/>
          <w:sz w:val="20"/>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and the court has approved the parties’ stipulation that the case would remain stayed pending final resolution of In re: Vroom, Inc. Securities Litigation. This lawsuit remains in preliminary stages and there have been no substantive developments.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Attorney General of Texas, on behalf of the State of Texas, filed a petition in April 2022 and an amended petition in October 2023, in the District Court of Travis County Texas against the Company, alleging violation of the Texas Deceptive Trade Practices − Consumer Protection Act, Texas Business and Commerce Code § 17.41 et seq (Texas v. Vroom Automotive LLC, and Vroom Inc., Case No. D-1-GN-001809). The purported violations are based on alleged deficiencies and other issues in the Company’s marketing of used vehicles and fulfilment of customer orders, including the titling and registration of sold vehicles.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The parties are engaged in discovery and Vroom continues to work cooperatively with the office of the Attorney General of the State of Texas towards a resolution.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July 2022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Blake</w:t>
      </w:r>
      <w:r>
        <w:rPr>
          <w:rFonts w:ascii="Times New Roman" w:hAnsi="Times New Roman"/>
          <w:color w:val="000000"/>
          <w:sz w:val="20"/>
        </w:rPr>
        <w:t xml:space="preserve"> </w:t>
      </w:r>
      <w:r>
        <w:rPr>
          <w:rFonts w:ascii="Arial" w:hAnsi="Arial"/>
          <w:b w:val="false"/>
          <w:color w:val="000000"/>
          <w:sz w:val="20"/>
        </w:rPr>
        <w:t>Sonne, individually and on behalf of all others similar situated, v. Vroom Automotive, LLC and Vroom, Inc., No. CJ-2022-822 and Emely Reyes Martinez, on behalf of all others similarly situated, v. Vroom Automotive, LLC and Vroom Inc</w:t>
      </w:r>
      <w:r>
        <w:rPr>
          <w:rFonts w:ascii="Arial" w:hAnsi="Arial"/>
          <w:b w:val="false"/>
          <w:i/>
          <w:color w:val="000000"/>
          <w:sz w:val="20"/>
        </w:rPr>
        <w:t>.</w:t>
      </w:r>
      <w:r>
        <w:rPr>
          <w:rFonts w:ascii="Arial" w:hAnsi="Arial"/>
          <w:b w:val="false"/>
          <w:color w:val="000000"/>
          <w:sz w:val="20"/>
        </w:rPr>
        <w:t>, No. 652684/2022. The Company removed the cases to the U.S. District Court for the Western District of Oklahoma (Case No. 22-cv-761) and the U.S. District Court for the Southern District of New York (Case No. 22-cv-7631), respectively, and filed motions to compel arbitration of all claims in both cases. In September 2023, Vroom’s motions to compel arbitration were granted in both cases, and the court actions are stayed pending the outcome of any arbitration proceeding over the respective plaintiffs’ individual claims.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previously disclosed, the Company has been subject to audits, requests for information, investigations and other inquiries from its regulators relating to increased customer complaints concerning the same or similar matters alleged in the State of Texas petition.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expenses have not had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Nasdaq Notice</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June 23, 2023, the Company received written notice from The Nasdaq Stock Market LLC (“Nasdaq”) informing the Company that it has regained compliance with Nasdaq Listing Rule 5450(a)(1), which requires that companies listed on the Nasdaq Global Select Market maintain a minimum bid price of $1.00</w:t>
      </w:r>
      <w:r>
        <w:rPr>
          <w:rFonts w:ascii="Times New Roman" w:hAnsi="Times New Roman"/>
          <w:color w:val="000000"/>
          <w:sz w:val="20"/>
        </w:rPr>
        <w:t xml:space="preserve"> </w:t>
      </w:r>
      <w:r>
        <w:rPr>
          <w:rFonts w:ascii="Arial" w:hAnsi="Arial"/>
          <w:b w:val="false"/>
          <w:color w:val="000000"/>
          <w:sz w:val="20"/>
        </w:rPr>
        <w:t>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previously reported, on April 14, 2023, the Company received a letter from Nasdaq indicating that, for the preceding 30</w:t>
      </w:r>
      <w:r>
        <w:rPr>
          <w:rFonts w:ascii="Times New Roman" w:hAnsi="Times New Roman"/>
          <w:color w:val="000000"/>
          <w:sz w:val="20"/>
        </w:rPr>
        <w:t xml:space="preserve"> </w:t>
      </w:r>
      <w:r>
        <w:rPr>
          <w:rFonts w:ascii="Arial" w:hAnsi="Arial"/>
          <w:b w:val="false"/>
          <w:color w:val="000000"/>
          <w:sz w:val="20"/>
        </w:rPr>
        <w:t>consecutive business days, the bid price for the Company’s common stock had closed below the $1.00</w:t>
      </w:r>
      <w:r>
        <w:rPr>
          <w:rFonts w:ascii="Times New Roman" w:hAnsi="Times New Roman"/>
          <w:color w:val="000000"/>
          <w:sz w:val="20"/>
        </w:rPr>
        <w:t xml:space="preserve"> </w:t>
      </w:r>
      <w:r>
        <w:rPr>
          <w:rFonts w:ascii="Arial" w:hAnsi="Arial"/>
          <w:b w:val="false"/>
          <w:color w:val="000000"/>
          <w:sz w:val="20"/>
        </w:rPr>
        <w:t>per share minimum bid price requirement for continued inclusion on the Nasdaq Global Select Market pursuant to Nasdaq Listing Rule 5450(a)(1) (the “Minimum Bid Price Requirement”). In accordance with Nasdaq Listing Rule 5810(c)(3)(C), the Company had been provided an initial period of 180 calendar days from the Nasdaq notification, or until October 11, 2023, to regain compliance. To regain compliance, the Company was required to maintain the Minimum Bid Price Requirement for a minimum of ten consecutive business days.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its June 23, 2023 notice, Nasdaq notified the Company that the closing bid price of its common stock had been at $1.00</w:t>
      </w:r>
      <w:r>
        <w:rPr>
          <w:rFonts w:ascii="Times New Roman" w:hAnsi="Times New Roman"/>
          <w:color w:val="000000"/>
          <w:sz w:val="20"/>
        </w:rPr>
        <w:t xml:space="preserve"> </w:t>
      </w:r>
      <w:r>
        <w:rPr>
          <w:rFonts w:ascii="Arial" w:hAnsi="Arial"/>
          <w:b w:val="false"/>
          <w:color w:val="000000"/>
          <w:sz w:val="20"/>
        </w:rPr>
        <w:t>per share or greater for 11</w:t>
      </w:r>
      <w:r>
        <w:rPr>
          <w:rFonts w:ascii="Times New Roman" w:hAnsi="Times New Roman"/>
          <w:color w:val="000000"/>
          <w:sz w:val="20"/>
        </w:rPr>
        <w:t xml:space="preserve"> </w:t>
      </w:r>
      <w:r>
        <w:rPr>
          <w:rFonts w:ascii="Arial" w:hAnsi="Arial"/>
          <w:b w:val="false"/>
          <w:color w:val="000000"/>
          <w:sz w:val="20"/>
        </w:rPr>
        <w:t>consecutive business days, from June 8, 2023 to June 22, 2023. Accordingly, the Company regained compliance with the Minimum Bid Price Requirement and the matter was closed.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14. Preferred Stock and Stockholders’ Equity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June 11, 2020, the Company amended its certificate of incorporation to authorize the issuance of up to 10,000,000</w:t>
      </w:r>
      <w:r>
        <w:rPr>
          <w:rFonts w:ascii="Times New Roman" w:hAnsi="Times New Roman"/>
          <w:color w:val="000000"/>
          <w:sz w:val="20"/>
        </w:rPr>
        <w:t xml:space="preserve"> </w:t>
      </w:r>
      <w:r>
        <w:rPr>
          <w:rFonts w:ascii="Arial" w:hAnsi="Arial"/>
          <w:b w:val="false"/>
          <w:color w:val="000000"/>
          <w:sz w:val="20"/>
        </w:rPr>
        <w:t>shares of Preferred Stock. As of September 30, 2023, there was no</w:t>
      </w:r>
      <w:r>
        <w:rPr>
          <w:rFonts w:ascii="Times New Roman" w:hAnsi="Times New Roman"/>
          <w:color w:val="000000"/>
          <w:sz w:val="20"/>
        </w:rPr>
        <w:t xml:space="preserve"> </w:t>
      </w:r>
      <w:r>
        <w:rPr>
          <w:rFonts w:ascii="Arial" w:hAnsi="Arial"/>
          <w:b w:val="false"/>
          <w:color w:val="000000"/>
          <w:sz w:val="20"/>
        </w:rPr>
        <w:t>preferred stock issued or outstanding.</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June 11, 2020, the Company amended its certificate of incorporation to effect a 2-for-1 forward stock split of shares of the Company’s outstanding common stock, such that each share of common stock, $0.001</w:t>
      </w:r>
      <w:r>
        <w:rPr>
          <w:rFonts w:ascii="Arial" w:hAnsi="Arial"/>
          <w:color w:val="000000"/>
          <w:sz w:val="20"/>
        </w:rPr>
        <w:t xml:space="preserve"> </w:t>
      </w:r>
      <w:r>
        <w:rPr>
          <w:rFonts w:ascii="Arial" w:hAnsi="Arial"/>
          <w:b w:val="false"/>
          <w:color w:val="000000"/>
          <w:sz w:val="20"/>
        </w:rPr>
        <w:t>par value became two shares of common stock, $0.001</w:t>
      </w:r>
      <w:r>
        <w:rPr>
          <w:rFonts w:ascii="Arial" w:hAnsi="Arial"/>
          <w:color w:val="000000"/>
          <w:sz w:val="20"/>
        </w:rPr>
        <w:t xml:space="preserve"> </w:t>
      </w:r>
      <w:r>
        <w:rPr>
          <w:rFonts w:ascii="Arial" w:hAnsi="Arial"/>
          <w:b w:val="false"/>
          <w:color w:val="000000"/>
          <w:sz w:val="20"/>
        </w:rPr>
        <w:t>par value per share.</w:t>
      </w:r>
      <w:r>
        <w:rPr>
          <w:rFonts w:ascii="Times New Roman" w:hAnsi="Times New Roman"/>
          <w:color w:val="000000"/>
          <w:sz w:val="20"/>
        </w:rPr>
        <w:t xml:space="preserve"> </w:t>
      </w:r>
      <w:r>
        <w:rPr>
          <w:rFonts w:ascii="Arial" w:hAnsi="Arial"/>
          <w:b w:val="false"/>
          <w:color w:val="000000"/>
          <w:sz w:val="20"/>
        </w:rPr>
        <w:t>The shares of common stock authorized for issuance was increased to 500,000,000. Each share of common stock entitles the holder to one vote</w:t>
      </w:r>
      <w:r>
        <w:rPr>
          <w:rFonts w:ascii="Times New Roman" w:hAnsi="Times New Roman"/>
          <w:color w:val="000000"/>
          <w:sz w:val="20"/>
        </w:rPr>
        <w:t xml:space="preserve"> </w:t>
      </w:r>
      <w:r>
        <w:rPr>
          <w:rFonts w:ascii="Arial" w:hAnsi="Arial"/>
          <w:b w:val="false"/>
          <w:color w:val="000000"/>
          <w:sz w:val="20"/>
        </w:rPr>
        <w:t>on all matters submitted to a vote of the Company’s stockholders.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15. Stock-based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May 28, 2020, the Company adopted the 2020 Incentive Award Plan (“the 2020 Plan”), which authorized the issuance of (i) up to 3,019,108</w:t>
      </w:r>
      <w:r>
        <w:rPr>
          <w:rFonts w:ascii="Times New Roman" w:hAnsi="Times New Roman"/>
          <w:color w:val="000000"/>
          <w:sz w:val="20"/>
        </w:rPr>
        <w:t xml:space="preserve"> </w:t>
      </w:r>
      <w:r>
        <w:rPr>
          <w:rFonts w:ascii="Arial" w:hAnsi="Arial"/>
          <w:b w:val="false"/>
          <w:color w:val="000000"/>
          <w:sz w:val="20"/>
        </w:rPr>
        <w:t>shares of the Company’s common stock, (ii) an annual increase on the first day of each year beginning on January 1, 2022 and ending on January 1, 2030 of up to 4% of the shares of common stock outstanding on an as-converted basis on the last day of the immediately preceding fiscal year, and (iii) any shares of the Company’s common stock subject to awards under the 2014 Plan which are forfeited or lapse unexercised and which following the effective date are not issued under the 2014 Plan. Awards may be issued</w:t>
      </w:r>
      <w:r>
        <w:rPr>
          <w:rFonts w:ascii="Times New Roman" w:hAnsi="Times New Roman"/>
          <w:color w:val="000000"/>
          <w:sz w:val="20"/>
        </w:rPr>
        <w:t xml:space="preserve"> </w:t>
      </w:r>
      <w:r>
        <w:rPr>
          <w:rFonts w:ascii="Arial" w:hAnsi="Arial"/>
          <w:b w:val="false"/>
          <w:color w:val="000000"/>
          <w:sz w:val="20"/>
        </w:rPr>
        <w:t>in the form of restricted stock units, restricted stock, stock appreciation rights, and stock options. As of September 30, 2023, the Company has registered an additional 11,011,780</w:t>
      </w:r>
      <w:r>
        <w:rPr>
          <w:rFonts w:ascii="Times New Roman" w:hAnsi="Times New Roman"/>
          <w:color w:val="000000"/>
          <w:sz w:val="20"/>
        </w:rPr>
        <w:t xml:space="preserve"> </w:t>
      </w:r>
      <w:r>
        <w:rPr>
          <w:rFonts w:ascii="Arial" w:hAnsi="Arial"/>
          <w:b w:val="false"/>
          <w:color w:val="000000"/>
          <w:sz w:val="20"/>
        </w:rPr>
        <w:t>shares of the Company's common stock to be issued pursuant to the 2020 Plan. As of September 30, 2023, there were 1,527,629</w:t>
      </w:r>
      <w:r>
        <w:rPr>
          <w:rFonts w:ascii="Times New Roman" w:hAnsi="Times New Roman"/>
          <w:color w:val="000000"/>
          <w:sz w:val="20"/>
        </w:rPr>
        <w:t xml:space="preserve"> </w:t>
      </w:r>
      <w:r>
        <w:rPr>
          <w:rFonts w:ascii="Arial" w:hAnsi="Arial"/>
          <w:b w:val="false"/>
          <w:color w:val="000000"/>
          <w:sz w:val="20"/>
        </w:rPr>
        <w:t>shares available for future issuance under the 2020 Plan.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3,000,000</w:t>
      </w:r>
      <w:r>
        <w:rPr>
          <w:rFonts w:ascii="Times New Roman" w:hAnsi="Times New Roman"/>
          <w:color w:val="000000"/>
          <w:sz w:val="20"/>
        </w:rPr>
        <w:t xml:space="preserve"> </w:t>
      </w:r>
      <w:r>
        <w:rPr>
          <w:rFonts w:ascii="Arial" w:hAnsi="Arial"/>
          <w:b w:val="false"/>
          <w:color w:val="000000"/>
          <w:sz w:val="20"/>
        </w:rPr>
        <w:t>shares of the Company’s common stock are reserved for issuance under the Inducement Award Plan. As of September 30, 2023, there were 2,547,122</w:t>
      </w:r>
      <w:r>
        <w:rPr>
          <w:rFonts w:ascii="Times New Roman" w:hAnsi="Times New Roman"/>
          <w:color w:val="000000"/>
          <w:sz w:val="20"/>
        </w:rPr>
        <w:t xml:space="preserve"> </w:t>
      </w:r>
      <w:r>
        <w:rPr>
          <w:rFonts w:ascii="Arial" w:hAnsi="Arial"/>
          <w:b w:val="false"/>
          <w:color w:val="000000"/>
          <w:sz w:val="20"/>
        </w:rPr>
        <w:t>shares available for future issuance under the Inducement Award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RSUs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recognized $2.7</w:t>
      </w:r>
      <w:r>
        <w:rPr>
          <w:rFonts w:ascii="Times New Roman" w:hAnsi="Times New Roman"/>
          <w:color w:val="000000"/>
          <w:sz w:val="20"/>
        </w:rPr>
        <w:t xml:space="preserve"> </w:t>
      </w:r>
      <w:r>
        <w:rPr>
          <w:rFonts w:ascii="Arial" w:hAnsi="Arial"/>
          <w:b w:val="false"/>
          <w:color w:val="000000"/>
          <w:sz w:val="20"/>
        </w:rPr>
        <w:t>million and $0.9</w:t>
      </w:r>
      <w:r>
        <w:rPr>
          <w:rFonts w:ascii="Times New Roman" w:hAnsi="Times New Roman"/>
          <w:color w:val="000000"/>
          <w:sz w:val="20"/>
        </w:rPr>
        <w:t xml:space="preserve"> </w:t>
      </w:r>
      <w:r>
        <w:rPr>
          <w:rFonts w:ascii="Arial" w:hAnsi="Arial"/>
          <w:b w:val="false"/>
          <w:color w:val="000000"/>
          <w:sz w:val="20"/>
        </w:rPr>
        <w:t>million of stock-based compensation expense related to RSUs for the three months ended September 30, 2023 and 2022, respectively, and $6.6</w:t>
      </w:r>
      <w:r>
        <w:rPr>
          <w:rFonts w:ascii="Times New Roman" w:hAnsi="Times New Roman"/>
          <w:color w:val="000000"/>
          <w:sz w:val="20"/>
        </w:rPr>
        <w:t xml:space="preserve"> </w:t>
      </w:r>
      <w:r>
        <w:rPr>
          <w:rFonts w:ascii="Arial" w:hAnsi="Arial"/>
          <w:b w:val="false"/>
          <w:color w:val="000000"/>
          <w:sz w:val="20"/>
        </w:rPr>
        <w:t>million and $5.5</w:t>
      </w:r>
      <w:r>
        <w:rPr>
          <w:rFonts w:ascii="Times New Roman" w:hAnsi="Times New Roman"/>
          <w:color w:val="000000"/>
          <w:sz w:val="20"/>
        </w:rPr>
        <w:t xml:space="preserve"> </w:t>
      </w:r>
      <w:r>
        <w:rPr>
          <w:rFonts w:ascii="Arial" w:hAnsi="Arial"/>
          <w:b w:val="false"/>
          <w:color w:val="000000"/>
          <w:sz w:val="20"/>
        </w:rPr>
        <w:t>million for the nine months ended September 30, 2023 and 2022, respectively. As of September 30, 2023 and December 31, 2022, the Company had $14.8</w:t>
      </w:r>
      <w:r>
        <w:rPr>
          <w:rFonts w:ascii="Times New Roman" w:hAnsi="Times New Roman"/>
          <w:color w:val="000000"/>
          <w:sz w:val="20"/>
        </w:rPr>
        <w:t xml:space="preserve"> </w:t>
      </w:r>
      <w:r>
        <w:rPr>
          <w:rFonts w:ascii="Arial" w:hAnsi="Arial"/>
          <w:b w:val="false"/>
          <w:color w:val="000000"/>
          <w:sz w:val="20"/>
        </w:rPr>
        <w:t>million and $18.2</w:t>
      </w:r>
      <w:r>
        <w:rPr>
          <w:rFonts w:ascii="Times New Roman" w:hAnsi="Times New Roman"/>
          <w:color w:val="000000"/>
          <w:sz w:val="20"/>
        </w:rPr>
        <w:t xml:space="preserve"> </w:t>
      </w:r>
      <w:r>
        <w:rPr>
          <w:rFonts w:ascii="Arial" w:hAnsi="Arial"/>
          <w:b w:val="false"/>
          <w:color w:val="000000"/>
          <w:sz w:val="20"/>
        </w:rPr>
        <w:t>million, respectively, of unrecognized stock-based compensation expense that is expected to be recognized over a weighted-average period of 1.8</w:t>
      </w:r>
      <w:r>
        <w:rPr>
          <w:rFonts w:ascii="Times New Roman" w:hAnsi="Times New Roman"/>
          <w:color w:val="000000"/>
          <w:sz w:val="20"/>
        </w:rPr>
        <w:t xml:space="preserve"> </w:t>
      </w:r>
      <w:r>
        <w:rPr>
          <w:rFonts w:ascii="Arial" w:hAnsi="Arial"/>
          <w:b w:val="false"/>
          <w:color w:val="000000"/>
          <w:sz w:val="20"/>
        </w:rPr>
        <w:t>and 1.9</w:t>
      </w:r>
      <w:r>
        <w:rPr>
          <w:rFonts w:ascii="Times New Roman" w:hAnsi="Times New Roman"/>
          <w:color w:val="000000"/>
          <w:sz w:val="20"/>
        </w:rPr>
        <w:t xml:space="preserve"> </w:t>
      </w:r>
      <w:r>
        <w:rPr>
          <w:rFonts w:ascii="Arial" w:hAnsi="Arial"/>
          <w:b w:val="false"/>
          <w:color w:val="000000"/>
          <w:sz w:val="20"/>
        </w:rPr>
        <w:t>years,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May 9, 2022, 1,200,000</w:t>
      </w:r>
      <w:r>
        <w:rPr>
          <w:rFonts w:ascii="Times New Roman" w:hAnsi="Times New Roman"/>
          <w:color w:val="000000"/>
          <w:sz w:val="20"/>
        </w:rPr>
        <w:t xml:space="preserve"> </w:t>
      </w:r>
      <w:r>
        <w:rPr>
          <w:rFonts w:ascii="Arial" w:hAnsi="Arial"/>
          <w:b w:val="false"/>
          <w:color w:val="000000"/>
          <w:sz w:val="20"/>
        </w:rPr>
        <w:t>RSUs having a grant date fair value of $1.08</w:t>
      </w:r>
      <w:r>
        <w:rPr>
          <w:rFonts w:ascii="Times New Roman" w:hAnsi="Times New Roman"/>
          <w:color w:val="000000"/>
          <w:sz w:val="20"/>
        </w:rPr>
        <w:t xml:space="preserve"> </w:t>
      </w:r>
      <w:r>
        <w:rPr>
          <w:rFonts w:ascii="Arial" w:hAnsi="Arial"/>
          <w:b w:val="false"/>
          <w:color w:val="000000"/>
          <w:sz w:val="20"/>
        </w:rPr>
        <w:t>per share were granted to the CEO and on May, 20, 2022, an aggregate of 3,190,000</w:t>
      </w:r>
      <w:r>
        <w:rPr>
          <w:rFonts w:ascii="Times New Roman" w:hAnsi="Times New Roman"/>
          <w:color w:val="000000"/>
          <w:sz w:val="20"/>
        </w:rPr>
        <w:t xml:space="preserve"> </w:t>
      </w:r>
      <w:r>
        <w:rPr>
          <w:rFonts w:ascii="Arial" w:hAnsi="Arial"/>
          <w:b w:val="false"/>
          <w:color w:val="000000"/>
          <w:sz w:val="20"/>
        </w:rPr>
        <w:t>RSUs having a grant date fair value of $1.45</w:t>
      </w:r>
      <w:r>
        <w:rPr>
          <w:rFonts w:ascii="Times New Roman" w:hAnsi="Times New Roman"/>
          <w:color w:val="000000"/>
          <w:sz w:val="20"/>
        </w:rPr>
        <w:t xml:space="preserve"> </w:t>
      </w:r>
      <w:r>
        <w:rPr>
          <w:rFonts w:ascii="Arial" w:hAnsi="Arial"/>
          <w:b w:val="false"/>
          <w:color w:val="000000"/>
          <w:sz w:val="20"/>
        </w:rPr>
        <w:t>per share were granted to certain members of the management team. On July 25, 2022, 140,000</w:t>
      </w:r>
      <w:r>
        <w:rPr>
          <w:rFonts w:ascii="Times New Roman" w:hAnsi="Times New Roman"/>
          <w:color w:val="000000"/>
          <w:sz w:val="20"/>
        </w:rPr>
        <w:t xml:space="preserve"> </w:t>
      </w:r>
      <w:r>
        <w:rPr>
          <w:rFonts w:ascii="Arial" w:hAnsi="Arial"/>
          <w:b w:val="false"/>
          <w:color w:val="000000"/>
          <w:sz w:val="20"/>
        </w:rPr>
        <w:t>RSUs having a grant date fair value of $1.64</w:t>
      </w:r>
      <w:r>
        <w:rPr>
          <w:rFonts w:ascii="Times New Roman" w:hAnsi="Times New Roman"/>
          <w:color w:val="000000"/>
          <w:sz w:val="20"/>
        </w:rPr>
        <w:t xml:space="preserve"> </w:t>
      </w:r>
      <w:r>
        <w:rPr>
          <w:rFonts w:ascii="Arial" w:hAnsi="Arial"/>
          <w:b w:val="false"/>
          <w:color w:val="000000"/>
          <w:sz w:val="20"/>
        </w:rPr>
        <w:t>per share were granted to a member of the management team. The RSUs were issued under the 2020 Plan and will vest on the third anniversary of the grant date, subject to continued employment through that date. The vesting of the RSUs will accelerate in one-third increments if the Company's common stock achieves a closing price at or above $7.50</w:t>
      </w:r>
      <w:r>
        <w:rPr>
          <w:rFonts w:ascii="Arial" w:hAnsi="Arial"/>
          <w:color w:val="000000"/>
          <w:sz w:val="20"/>
        </w:rPr>
        <w:t xml:space="preserve"> </w:t>
      </w:r>
      <w:r>
        <w:rPr>
          <w:rFonts w:ascii="Arial" w:hAnsi="Arial"/>
          <w:b w:val="false"/>
          <w:color w:val="000000"/>
          <w:sz w:val="20"/>
        </w:rPr>
        <w:t>per share for twenty</w:t>
      </w:r>
      <w:r>
        <w:rPr>
          <w:rFonts w:ascii="Arial" w:hAnsi="Arial"/>
          <w:color w:val="000000"/>
          <w:sz w:val="20"/>
        </w:rPr>
        <w:t xml:space="preserve"> </w:t>
      </w:r>
      <w:r>
        <w:rPr>
          <w:rFonts w:ascii="Arial" w:hAnsi="Arial"/>
          <w:b w:val="false"/>
          <w:color w:val="000000"/>
          <w:sz w:val="20"/>
        </w:rPr>
        <w:t>consecutive trading days during the three-year</w:t>
      </w:r>
      <w:r>
        <w:rPr>
          <w:rFonts w:ascii="Arial" w:hAnsi="Arial"/>
          <w:color w:val="000000"/>
          <w:sz w:val="20"/>
        </w:rPr>
        <w:t xml:space="preserve"> </w:t>
      </w:r>
      <w:r>
        <w:rPr>
          <w:rFonts w:ascii="Arial" w:hAnsi="Arial"/>
          <w:b w:val="false"/>
          <w:color w:val="000000"/>
          <w:sz w:val="20"/>
        </w:rPr>
        <w:t>vesting period; a closing price at or above $15.00</w:t>
      </w:r>
      <w:r>
        <w:rPr>
          <w:rFonts w:ascii="Arial" w:hAnsi="Arial"/>
          <w:color w:val="000000"/>
          <w:sz w:val="20"/>
        </w:rPr>
        <w:t xml:space="preserve"> </w:t>
      </w:r>
      <w:r>
        <w:rPr>
          <w:rFonts w:ascii="Arial" w:hAnsi="Arial"/>
          <w:b w:val="false"/>
          <w:color w:val="000000"/>
          <w:sz w:val="20"/>
        </w:rPr>
        <w:t>per share for twenty</w:t>
      </w:r>
      <w:r>
        <w:rPr>
          <w:rFonts w:ascii="Arial" w:hAnsi="Arial"/>
          <w:color w:val="000000"/>
          <w:sz w:val="20"/>
        </w:rPr>
        <w:t xml:space="preserve"> </w:t>
      </w:r>
      <w:r>
        <w:rPr>
          <w:rFonts w:ascii="Arial" w:hAnsi="Arial"/>
          <w:b w:val="false"/>
          <w:color w:val="000000"/>
          <w:sz w:val="20"/>
        </w:rPr>
        <w:t>consecutive trading days in the second or third years of the vesting period; and a closing price at or above $21.00</w:t>
      </w:r>
      <w:r>
        <w:rPr>
          <w:rFonts w:ascii="Arial" w:hAnsi="Arial"/>
          <w:color w:val="000000"/>
          <w:sz w:val="20"/>
        </w:rPr>
        <w:t xml:space="preserve"> </w:t>
      </w:r>
      <w:r>
        <w:rPr>
          <w:rFonts w:ascii="Arial" w:hAnsi="Arial"/>
          <w:b w:val="false"/>
          <w:color w:val="000000"/>
          <w:sz w:val="20"/>
        </w:rPr>
        <w:t>per share for twenty</w:t>
      </w:r>
      <w:r>
        <w:rPr>
          <w:rFonts w:ascii="Arial" w:hAnsi="Arial"/>
          <w:color w:val="000000"/>
          <w:sz w:val="20"/>
        </w:rPr>
        <w:t xml:space="preserve"> </w:t>
      </w:r>
      <w:r>
        <w:rPr>
          <w:rFonts w:ascii="Arial" w:hAnsi="Arial"/>
          <w:b w:val="false"/>
          <w:color w:val="000000"/>
          <w:sz w:val="20"/>
        </w:rPr>
        <w:t>consecutive trading days during the third year of the vesting period. As of September 30, 2023, the accelerated vesting conditions were not met.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Certain of the Company’s RSU grants are subject to acceleration upon a change of control and termination within 12</w:t>
      </w:r>
      <w:r>
        <w:rPr>
          <w:rFonts w:ascii="Times New Roman" w:hAnsi="Times New Roman"/>
          <w:color w:val="000000"/>
          <w:sz w:val="20"/>
        </w:rPr>
        <w:t xml:space="preserve"> </w:t>
      </w:r>
      <w:r>
        <w:rPr>
          <w:rFonts w:ascii="Arial" w:hAnsi="Arial"/>
          <w:b w:val="false"/>
          <w:color w:val="000000"/>
          <w:sz w:val="20"/>
        </w:rPr>
        <w:t>months, and upon death, disability, retirement and certain “good leaver” circumstances.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16. Financial Instruments and 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val="false"/>
          <w:color w:val="000000"/>
          <w:sz w:val="20"/>
        </w:rPr>
        <w:t>Level 1—Quoted prices in active markets for identical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val="false"/>
          <w:color w:val="000000"/>
          <w:sz w:val="20"/>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val="false"/>
          <w:color w:val="000000"/>
          <w:sz w:val="20"/>
        </w:rPr>
        <w:t>Level 3—Unobservable inputs that are supported by little or no market activity and that are significant to the fair value of the assets or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Items Measured at Fair Value on a Recurring Basis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holds certain financial assets that are required to be measured at fair value on a recurring basis. Additionally, the Company elected the fair value option for the financial assets and liabilities of UACC’s consolidated CFEs, beneficial interests in the 2022-1 securitization transaction, certain of UACC’s finance receivables that are ineligible to be sold as of the Acquisition Date, and certain other finance receivables. Under the fair value option allowable under ASC 825, “Financial Instruments” (“ASC 825”), the Company may elect to measure at fair value financial assets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liabilities that are not otherwise required to be carried at fair value. Subsequent changes in fair value for designated items are reported in earnings.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following tables present the Company’s financial assets and liabilities measured at fair value on a recurring basis (in thousands):</w:t>
      </w:r>
      <w:r>
        <w:rPr>
          <w:rFonts w:ascii="Times New Roman" w:hAnsi="Times New Roman"/>
          <w:color w:val="000000"/>
          <w:sz w:val="20"/>
        </w:rPr>
        <w:t xml:space="preserve"> </w:t>
      </w:r>
    </w:p>
    <w:tbl>
      <w:tblPr>
        <w:tblW w:w="9157" w:type="dxa"/>
        <w:jc w:val="left"/>
        <w:tblInd w:w="0" w:type="dxa"/>
        <w:tblLayout w:type="fixed"/>
        <w:tblCellMar>
          <w:top w:w="28" w:type="dxa"/>
          <w:left w:w="28" w:type="dxa"/>
          <w:bottom w:w="28" w:type="dxa"/>
          <w:right w:w="28" w:type="dxa"/>
        </w:tblCellMar>
      </w:tblPr>
      <w:tblGrid>
        <w:gridCol w:w="3916"/>
        <w:gridCol w:w="146"/>
        <w:gridCol w:w="211"/>
        <w:gridCol w:w="796"/>
        <w:gridCol w:w="146"/>
        <w:gridCol w:w="146"/>
        <w:gridCol w:w="211"/>
        <w:gridCol w:w="796"/>
        <w:gridCol w:w="146"/>
        <w:gridCol w:w="146"/>
        <w:gridCol w:w="211"/>
        <w:gridCol w:w="796"/>
        <w:gridCol w:w="146"/>
        <w:gridCol w:w="146"/>
        <w:gridCol w:w="211"/>
        <w:gridCol w:w="796"/>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9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11,232</w:t>
            </w:r>
          </w:p>
        </w:tc>
        <w:tc>
          <w:tcPr>
            <w:tcW w:w="1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CFE assets: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Finance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365,794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365,794</w:t>
            </w:r>
          </w:p>
        </w:tc>
        <w:tc>
          <w:tcPr>
            <w:tcW w:w="1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34,903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34,903</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400,697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417,216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CFE liabilities: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Securitization debt of consolidated VIEs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361,906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361,906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9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182,687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182,687</w:t>
            </w:r>
          </w:p>
        </w:tc>
        <w:tc>
          <w:tcPr>
            <w:tcW w:w="1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CFE assets: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Finance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77,904</w:t>
            </w:r>
          </w:p>
        </w:tc>
        <w:tc>
          <w:tcPr>
            <w:tcW w:w="1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75,270</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20,592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182,687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153,174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356,453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CFE liabilities: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Securitization debt of consolidated VIEs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79,829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79,829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Valuation Methodologies of Financial Instruments Measured at Fair Value on a Recurring Basis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pStyle w:val="TextBody"/>
        <w:bidi w:val="0"/>
        <w:jc w:val="left"/>
        <w:rPr/>
      </w:pPr>
      <w:r>
        <w:rPr/>
        <w:t> </w:t>
      </w:r>
    </w:p>
    <w:p>
      <w:pPr>
        <w:pStyle w:val="TextBody"/>
        <w:bidi w:val="0"/>
        <w:jc w:val="left"/>
        <w:rPr>
          <w:rFonts w:ascii="Times New Roman" w:hAnsi="Times New Roman"/>
          <w:sz w:val="20"/>
        </w:rPr>
      </w:pPr>
      <w:r>
        <w:rPr>
          <w:rFonts w:ascii="Arial" w:hAnsi="Arial"/>
          <w:b w:val="false"/>
          <w:i/>
          <w:color w:val="000000"/>
          <w:sz w:val="20"/>
        </w:rPr>
        <w:t>Money Market Funds:</w:t>
      </w:r>
      <w:r>
        <w:rPr>
          <w:rFonts w:ascii="Times New Roman" w:hAnsi="Times New Roman"/>
          <w:color w:val="000000"/>
          <w:sz w:val="20"/>
        </w:rPr>
        <w:t xml:space="preserve"> </w:t>
      </w:r>
      <w:r>
        <w:rPr>
          <w:rFonts w:ascii="Arial" w:hAnsi="Arial"/>
          <w:b w:val="false"/>
          <w:color w:val="000000"/>
          <w:sz w:val="20"/>
        </w:rPr>
        <w:t>Money market funds primarily consist of investments in highly liquid U.S. treasury securities, with original maturities of three months or less and are classified as Level 1. The Company determines the fair value of cash equivalents based on quoted prices in active markets.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i/>
          <w:color w:val="000000"/>
          <w:sz w:val="20"/>
        </w:rPr>
        <w:t>Financial assets and liabilities of CFEs:</w:t>
      </w:r>
      <w:r>
        <w:rPr>
          <w:rFonts w:ascii="Times New Roman" w:hAnsi="Times New Roman"/>
          <w:color w:val="000000"/>
          <w:sz w:val="20"/>
        </w:rPr>
        <w:t xml:space="preserve"> </w:t>
      </w:r>
      <w:r>
        <w:rPr>
          <w:rFonts w:ascii="Arial" w:hAnsi="Arial"/>
          <w:b w:val="false"/>
          <w:color w:val="000000"/>
          <w:sz w:val="20"/>
        </w:rPr>
        <w:t>The Company elected the fair value option for the assets and liabilities of its consolidated VIEs related to securitization transactions that were deemed to be CFEs.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20"/>
        </w:rPr>
        <w:t>In accordance with ASC 825, the Company has elected the fair value option, for the eligible financial assets and liabilities of the 2021-1, 2022-2, and 2023-1 consolidated CFEs in order to mitigate potential accounting mismatches between the carrying value of the financial assets and liabilities. To eliminate potential measurement differences, the Company elected the measurement alternative included in ASU 2014-13, allowing the Company to measure both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financial assets and liabilities of a qualifying CFE using the fair value of either the CFE’s financial assets or liabilities, whichever is more observable. Under the measurement alternative prescribed by ASU 2014-13, the Company recognizes changes in the CFE’s net assets, including changes in fair value adjustments and net interest earned, in its condensed consolidated 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pStyle w:val="TextBody"/>
        <w:bidi w:val="0"/>
        <w:jc w:val="left"/>
        <w:rPr>
          <w:rFonts w:ascii="Times New Roman" w:hAnsi="Times New Roman"/>
          <w:sz w:val="20"/>
        </w:rPr>
      </w:pPr>
      <w:r>
        <w:rPr>
          <w:rFonts w:ascii="Arial" w:hAnsi="Arial"/>
          <w:b w:val="false"/>
          <w:color w:val="000000"/>
          <w:sz w:val="20"/>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classified the securitization debt as Level 3 of the fair value hierarchy.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20"/>
        </w:rPr>
        <w:t>The financial assets of the consolidated CFEs are an aggregate value derived from the fair value of the CFEs liabilities. The Company determined that CFEs finance receivables in their entirety should be classified as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i/>
          <w:color w:val="000000"/>
          <w:sz w:val="20"/>
        </w:rPr>
        <w:t>Finance receivables at fair value:</w:t>
      </w:r>
      <w:r>
        <w:rPr>
          <w:rFonts w:ascii="Times New Roman" w:hAnsi="Times New Roman"/>
          <w:color w:val="000000"/>
          <w:sz w:val="20"/>
        </w:rPr>
        <w:t xml:space="preserve"> </w:t>
      </w:r>
      <w:r>
        <w:rPr>
          <w:rFonts w:ascii="Arial" w:hAnsi="Arial"/>
          <w:b w:val="false"/>
          <w:color w:val="000000"/>
          <w:sz w:val="20"/>
        </w:rPr>
        <w:t>Finance receivables at fair value represent finance receivables for which the Company elected the fair value option in accordance with ASC 825. These receivables primarily relate to finance receivables that the Company does not intend to sell in the immediate future due to various factors such as: delinquencies, bankruptcy, etc. The Company estimates the fair value of these receivables using a discounted cash flow model and incorporates key inputs that include performance rate, default rate, recovery rate, and weighted average coupon rates, as well as certain macroeconomics events the Company believes market participants would consider relevant.</w:t>
      </w:r>
    </w:p>
    <w:p>
      <w:pPr>
        <w:pStyle w:val="TextBody"/>
        <w:bidi w:val="0"/>
        <w:jc w:val="left"/>
        <w:rPr>
          <w:rFonts w:ascii="Times New Roman" w:hAnsi="Times New Roman"/>
          <w:sz w:val="20"/>
        </w:rPr>
      </w:pPr>
      <w:r>
        <w:rPr>
          <w:rFonts w:ascii="Arial" w:hAnsi="Arial"/>
          <w:b w:val="false"/>
          <w:i/>
          <w:color w:val="000000"/>
          <w:sz w:val="20"/>
        </w:rPr>
        <w:t>Beneficial interests in securitization:</w:t>
      </w:r>
      <w:r>
        <w:rPr>
          <w:rFonts w:ascii="Times New Roman" w:hAnsi="Times New Roman"/>
          <w:color w:val="000000"/>
          <w:sz w:val="20"/>
        </w:rPr>
        <w:t xml:space="preserve"> </w:t>
      </w:r>
      <w:r>
        <w:rPr>
          <w:rFonts w:ascii="Arial" w:hAnsi="Arial"/>
          <w:b w:val="false"/>
          <w:color w:val="000000"/>
          <w:sz w:val="20"/>
        </w:rPr>
        <w:t>Beneficial interests in securitization relate to the 2022-1 securitization completed in February 2022 and include rated notes as well as certificates. The beneficial interests in the 2022-2 securitization completed in July 2022 were eliminated upon consolidation of the VIE in March 2023. Refer to Note 4 – Variable Interest Entities and Securitizations. The Company elected the fair value option on its beneficial interests in securitization.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weighted average coupons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Company has multiple quotes that are not within a consensus range of each other, the Company deems these securities to be classified as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Changes in Level 3 Recurring Fair Value Measurements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following table presents a reconciliation of the financial assets, which were measured at fair value on a recurring basis using Level 3 inputs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93"/>
        <w:gridCol w:w="146"/>
        <w:gridCol w:w="484"/>
        <w:gridCol w:w="1973"/>
        <w:gridCol w:w="166"/>
        <w:gridCol w:w="146"/>
        <w:gridCol w:w="433"/>
        <w:gridCol w:w="1549"/>
        <w:gridCol w:w="215"/>
      </w:tblGrid>
      <w:tr>
        <w:trPr/>
        <w:tc>
          <w:tcPr>
            <w:tcW w:w="5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Fair value as of January 1, 2023</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77,904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4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75,270</w:t>
            </w:r>
          </w:p>
        </w:tc>
        <w:tc>
          <w:tcPr>
            <w:tcW w:w="215" w:type="dxa"/>
            <w:tcBorders/>
            <w:shd w:fill="CFF0FC" w:val="clear"/>
            <w:vAlign w:val="center"/>
          </w:tcPr>
          <w:p>
            <w:pPr>
              <w:pStyle w:val="TableContents"/>
              <w:bidi w:val="0"/>
              <w:spacing w:before="0" w:after="283"/>
              <w:jc w:val="left"/>
              <w:rPr/>
            </w:pPr>
            <w:r>
              <w:rPr/>
              <w:t> </w:t>
            </w:r>
          </w:p>
        </w:tc>
      </w:tr>
      <w:tr>
        <w:trPr/>
        <w:tc>
          <w:tcPr>
            <w:tcW w:w="509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Reclassification of finance receivables held for sale to finance receivables at fair value, net</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9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248,081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Transfer within Level 3 categories</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19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24,175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(24,175</w:t>
            </w:r>
          </w:p>
        </w:tc>
        <w:tc>
          <w:tcPr>
            <w:tcW w:w="21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09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Consolidation of VIEs</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9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180,706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Losses included in other income</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19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(67,035</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(1,349</w:t>
            </w:r>
          </w:p>
        </w:tc>
        <w:tc>
          <w:tcPr>
            <w:tcW w:w="21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09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Issuances, net of discount</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3,392</w:t>
            </w:r>
          </w:p>
        </w:tc>
        <w:tc>
          <w:tcPr>
            <w:tcW w:w="215" w:type="dxa"/>
            <w:tcBorders/>
            <w:shd w:fill="FFFFFF" w:val="cle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Paydowns</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19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(117,002</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(19,641</w:t>
            </w:r>
          </w:p>
        </w:tc>
        <w:tc>
          <w:tcPr>
            <w:tcW w:w="21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09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1,406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Fair value as of September 30, 2023</w:t>
            </w:r>
          </w:p>
        </w:tc>
        <w:tc>
          <w:tcPr>
            <w:tcW w:w="146" w:type="dxa"/>
            <w:tcBorders/>
            <w:shd w:fill="CFF0FC" w:val="cle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365,794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34,903</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3"/>
        <w:gridCol w:w="146"/>
        <w:gridCol w:w="516"/>
        <w:gridCol w:w="1951"/>
        <w:gridCol w:w="166"/>
        <w:gridCol w:w="146"/>
        <w:gridCol w:w="435"/>
        <w:gridCol w:w="1554"/>
        <w:gridCol w:w="166"/>
        <w:gridCol w:w="146"/>
        <w:gridCol w:w="478"/>
        <w:gridCol w:w="1944"/>
        <w:gridCol w:w="214"/>
      </w:tblGrid>
      <w:tr>
        <w:trPr/>
        <w:tc>
          <w:tcPr>
            <w:tcW w:w="23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3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CFEs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Fair value as of January 1, 2022</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44"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34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Acquired in business combination</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19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262,644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5" w:type="dxa"/>
            <w:tcBorders/>
            <w:shd w:fill="CFF0FC" w:val="clear"/>
            <w:vAlign w:val="center"/>
          </w:tcPr>
          <w:p>
            <w:pPr>
              <w:pStyle w:val="TableContents"/>
              <w:bidi w:val="0"/>
              <w:spacing w:before="0" w:after="283"/>
              <w:jc w:val="left"/>
              <w:rPr/>
            </w:pPr>
            <w:r>
              <w:rPr/>
              <w:t> </w:t>
            </w:r>
          </w:p>
        </w:tc>
        <w:tc>
          <w:tcPr>
            <w:tcW w:w="155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34,283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8" w:type="dxa"/>
            <w:tcBorders/>
            <w:shd w:fill="CFF0FC" w:val="clear"/>
            <w:vAlign w:val="center"/>
          </w:tcPr>
          <w:p>
            <w:pPr>
              <w:pStyle w:val="TableContents"/>
              <w:bidi w:val="0"/>
              <w:spacing w:before="0" w:after="283"/>
              <w:jc w:val="left"/>
              <w:rPr/>
            </w:pPr>
            <w:r>
              <w:rPr/>
              <w:t> </w:t>
            </w:r>
          </w:p>
        </w:tc>
        <w:tc>
          <w:tcPr>
            <w:tcW w:w="194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275,394</w:t>
            </w:r>
          </w:p>
        </w:tc>
        <w:tc>
          <w:tcPr>
            <w:tcW w:w="214" w:type="dxa"/>
            <w:tcBorders/>
            <w:shd w:fill="CFF0FC" w:val="clear"/>
            <w:vAlign w:val="center"/>
          </w:tcPr>
          <w:p>
            <w:pPr>
              <w:pStyle w:val="TableContents"/>
              <w:bidi w:val="0"/>
              <w:spacing w:before="0" w:after="283"/>
              <w:jc w:val="left"/>
              <w:rPr/>
            </w:pPr>
            <w:r>
              <w:rPr/>
              <w:t> </w:t>
            </w:r>
          </w:p>
        </w:tc>
      </w:tr>
      <w:tr>
        <w:trPr/>
        <w:tc>
          <w:tcPr>
            <w:tcW w:w="234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Transfer out of Level 3</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(275,394</w:t>
            </w:r>
          </w:p>
        </w:tc>
        <w:tc>
          <w:tcPr>
            <w:tcW w:w="21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34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Transfer within Level 3 categories</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19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(50,938</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5" w:type="dxa"/>
            <w:tcBorders/>
            <w:shd w:fill="CFF0FC" w:val="clear"/>
            <w:vAlign w:val="center"/>
          </w:tcPr>
          <w:p>
            <w:pPr>
              <w:pStyle w:val="TableContents"/>
              <w:bidi w:val="0"/>
              <w:spacing w:before="0" w:after="283"/>
              <w:jc w:val="left"/>
              <w:rPr/>
            </w:pPr>
            <w:r>
              <w:rPr/>
              <w:t> </w:t>
            </w:r>
          </w:p>
        </w:tc>
        <w:tc>
          <w:tcPr>
            <w:tcW w:w="155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50,938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8" w:type="dxa"/>
            <w:tcBorders/>
            <w:shd w:fill="CFF0FC" w:val="clear"/>
            <w:vAlign w:val="center"/>
          </w:tcPr>
          <w:p>
            <w:pPr>
              <w:pStyle w:val="TableContents"/>
              <w:bidi w:val="0"/>
              <w:spacing w:before="0" w:after="283"/>
              <w:jc w:val="left"/>
              <w:rPr/>
            </w:pPr>
            <w:r>
              <w:rPr/>
              <w:t> </w:t>
            </w:r>
          </w:p>
        </w:tc>
        <w:tc>
          <w:tcPr>
            <w:tcW w:w="1944"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34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Losses included in other income</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(24,293</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(9,078</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34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Issuances, net of discount</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19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5" w:type="dxa"/>
            <w:tcBorders/>
            <w:shd w:fill="CFF0FC" w:val="clear"/>
            <w:vAlign w:val="center"/>
          </w:tcPr>
          <w:p>
            <w:pPr>
              <w:pStyle w:val="TableContents"/>
              <w:bidi w:val="0"/>
              <w:spacing w:before="0" w:after="283"/>
              <w:jc w:val="left"/>
              <w:rPr/>
            </w:pPr>
            <w:r>
              <w:rPr/>
              <w:t> </w:t>
            </w:r>
          </w:p>
        </w:tc>
        <w:tc>
          <w:tcPr>
            <w:tcW w:w="155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49,475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2"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234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Sales</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(24,312</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(14,114</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34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Paydowns</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19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(78,379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5" w:type="dxa"/>
            <w:tcBorders/>
            <w:shd w:fill="CFF0FC" w:val="clear"/>
            <w:vAlign w:val="center"/>
          </w:tcPr>
          <w:p>
            <w:pPr>
              <w:pStyle w:val="TableContents"/>
              <w:bidi w:val="0"/>
              <w:spacing w:before="0" w:after="283"/>
              <w:jc w:val="left"/>
              <w:rPr/>
            </w:pPr>
            <w:r>
              <w:rPr/>
              <w:t> </w:t>
            </w:r>
          </w:p>
        </w:tc>
        <w:tc>
          <w:tcPr>
            <w:tcW w:w="155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(28,450</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8" w:type="dxa"/>
            <w:tcBorders/>
            <w:shd w:fill="CFF0FC" w:val="clear"/>
            <w:vAlign w:val="center"/>
          </w:tcPr>
          <w:p>
            <w:pPr>
              <w:pStyle w:val="TableContents"/>
              <w:bidi w:val="0"/>
              <w:spacing w:before="0" w:after="283"/>
              <w:jc w:val="left"/>
              <w:rPr/>
            </w:pPr>
            <w:r>
              <w:rPr/>
              <w:t> </w:t>
            </w:r>
          </w:p>
        </w:tc>
        <w:tc>
          <w:tcPr>
            <w:tcW w:w="1944"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34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Fair value as of September 30, 2022</w:t>
            </w:r>
          </w:p>
        </w:tc>
        <w:tc>
          <w:tcPr>
            <w:tcW w:w="146" w:type="dxa"/>
            <w:tcBorders/>
            <w:shd w:fill="CFF0FC" w:val="cle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94,461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85,565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During the nine months ended September 30, 2023,</w:t>
      </w:r>
      <w:r>
        <w:rPr>
          <w:rFonts w:ascii="Times New Roman" w:hAnsi="Times New Roman"/>
          <w:color w:val="000000"/>
          <w:sz w:val="20"/>
        </w:rPr>
        <w:t xml:space="preserve"> </w:t>
      </w:r>
      <w:r>
        <w:rPr>
          <w:rFonts w:ascii="Arial" w:hAnsi="Arial"/>
          <w:b w:val="false"/>
          <w:color w:val="000000"/>
          <w:sz w:val="20"/>
        </w:rPr>
        <w:t>$180.7</w:t>
      </w:r>
      <w:r>
        <w:rPr>
          <w:rFonts w:ascii="Times New Roman" w:hAnsi="Times New Roman"/>
          <w:color w:val="000000"/>
          <w:sz w:val="20"/>
        </w:rPr>
        <w:t xml:space="preserve"> </w:t>
      </w:r>
      <w:r>
        <w:rPr>
          <w:rFonts w:ascii="Arial" w:hAnsi="Arial"/>
          <w:b w:val="false"/>
          <w:color w:val="000000"/>
          <w:sz w:val="20"/>
        </w:rPr>
        <w:t>million of finance receivables related to the 2022-2 securitization transaction were consolidated and classified as Level 3 and $248.1</w:t>
      </w:r>
      <w:r>
        <w:rPr>
          <w:rFonts w:ascii="Times New Roman" w:hAnsi="Times New Roman"/>
          <w:color w:val="000000"/>
          <w:sz w:val="20"/>
        </w:rPr>
        <w:t xml:space="preserve"> </w:t>
      </w:r>
      <w:r>
        <w:rPr>
          <w:rFonts w:ascii="Arial" w:hAnsi="Arial"/>
          <w:b w:val="false"/>
          <w:color w:val="000000"/>
          <w:sz w:val="20"/>
        </w:rPr>
        <w:t>million of finance receivables held for sale related to the 2023-1 securitization transaction were reclassified to Level 3 finance receivables of consolidated CFEs.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Company's transfers between levels of the fair value hierarchy are assumed to have occurred at the beginning of the reporting period on a quarterly basis, except for assets and liabilities acquired during the prior period as described below.</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During the nine months ended September 30, 2022, transfers out of Level 3 liabilities related to securitization debt of consolidated CFEs. The transfer out of Level 3 was the result of achieving consensus pricing from third-party broker dealers who utilize market observable inputs to price the liabilities. Upon acquisition, the Company utilized unobservable pricing information and an internal discounted cash flows model to value the CFEs liabilities. The Company obtained consensus broker dealers quotes as of September 30, 2022. For the CFEs liabilities acquired during the period, the transfer was presumed to occur immediately after the Acquisition Date.</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Relevant Data for Financial Assets and Liabilities for which FVO Was Elected</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following table presents the gains or losses recorded in "Other loss, net" in the condensed consolidated statements of operations related to the eligible financial instruments for which the fair value option was elected (in thousands):</w:t>
      </w:r>
    </w:p>
    <w:p>
      <w:pPr>
        <w:pStyle w:val="TextBody"/>
        <w:bidi w:val="0"/>
        <w:jc w:val="left"/>
        <w:rPr/>
      </w:pPr>
      <w:r>
        <w:rPr/>
        <w:t> </w:t>
      </w:r>
    </w:p>
    <w:tbl>
      <w:tblPr>
        <w:tblW w:w="10042" w:type="dxa"/>
        <w:jc w:val="left"/>
        <w:tblInd w:w="0" w:type="dxa"/>
        <w:tblLayout w:type="fixed"/>
        <w:tblCellMar>
          <w:top w:w="28" w:type="dxa"/>
          <w:left w:w="28" w:type="dxa"/>
          <w:bottom w:w="28" w:type="dxa"/>
          <w:right w:w="28" w:type="dxa"/>
        </w:tblCellMar>
      </w:tblPr>
      <w:tblGrid>
        <w:gridCol w:w="3616"/>
        <w:gridCol w:w="146"/>
        <w:gridCol w:w="301"/>
        <w:gridCol w:w="985"/>
        <w:gridCol w:w="208"/>
        <w:gridCol w:w="208"/>
        <w:gridCol w:w="301"/>
        <w:gridCol w:w="921"/>
        <w:gridCol w:w="166"/>
        <w:gridCol w:w="146"/>
        <w:gridCol w:w="282"/>
        <w:gridCol w:w="926"/>
        <w:gridCol w:w="222"/>
        <w:gridCol w:w="195"/>
        <w:gridCol w:w="282"/>
        <w:gridCol w:w="926"/>
        <w:gridCol w:w="21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1286" w:type="dxa"/>
            <w:gridSpan w:val="2"/>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1222" w:type="dxa"/>
            <w:gridSpan w:val="2"/>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8" w:type="dxa"/>
            <w:gridSpan w:val="2"/>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08"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616" w:type="dxa"/>
            <w:tcBorders/>
            <w:shd w:fill="FFFFFF"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Finance receivables of CFEs</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23,103</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54,987</w:t>
            </w:r>
          </w:p>
        </w:tc>
        <w:tc>
          <w:tcPr>
            <w:tcW w:w="22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19,225</w:t>
            </w:r>
          </w:p>
        </w:tc>
        <w:tc>
          <w:tcPr>
            <w:tcW w:w="21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Finance receivables at fair value</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2,027</w:t>
            </w:r>
          </w:p>
        </w:tc>
        <w:tc>
          <w:tcPr>
            <w:tcW w:w="208"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(1,004</w:t>
            </w:r>
          </w:p>
        </w:tc>
        <w:tc>
          <w:tcPr>
            <w:tcW w:w="166"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605</w:t>
            </w:r>
          </w:p>
        </w:tc>
        <w:tc>
          <w:tcPr>
            <w:tcW w:w="222" w:type="dxa"/>
            <w:tcBorders/>
            <w:shd w:fill="CFF0FC"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7,248</w:t>
            </w:r>
          </w:p>
        </w:tc>
        <w:tc>
          <w:tcPr>
            <w:tcW w:w="211"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Beneficial interests in securitizations</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238</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1,160</w:t>
            </w:r>
          </w:p>
        </w:tc>
        <w:tc>
          <w:tcPr>
            <w:tcW w:w="22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527</w:t>
            </w:r>
          </w:p>
        </w:tc>
        <w:tc>
          <w:tcPr>
            <w:tcW w:w="21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1286" w:type="dxa"/>
            <w:gridSpan w:val="2"/>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1222" w:type="dxa"/>
            <w:gridSpan w:val="2"/>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8" w:type="dxa"/>
            <w:gridSpan w:val="2"/>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208" w:type="dxa"/>
            <w:gridSpan w:val="2"/>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Debt of securitized VIEs</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335</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(6,916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6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net loss included in other income</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25,703</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49,836</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24,010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following table presents other relevant data related to the finance receivables carried at fair value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88"/>
        <w:gridCol w:w="146"/>
        <w:gridCol w:w="413"/>
        <w:gridCol w:w="1562"/>
        <w:gridCol w:w="146"/>
        <w:gridCol w:w="146"/>
        <w:gridCol w:w="399"/>
        <w:gridCol w:w="1312"/>
        <w:gridCol w:w="193"/>
      </w:tblGrid>
      <w:tr>
        <w:trPr/>
        <w:tc>
          <w:tcPr>
            <w:tcW w:w="5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CFEs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8"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unpaid principal balance included within finance receivables that are reported at fair value</w:t>
            </w:r>
          </w:p>
        </w:tc>
        <w:tc>
          <w:tcPr>
            <w:tcW w:w="146"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62" w:type="dxa"/>
            <w:tcBorders/>
            <w:shd w:fill="CCEE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420,484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2" w:type="dxa"/>
            <w:tcBorders/>
            <w:shd w:fill="CCEE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40,538</w:t>
            </w:r>
          </w:p>
        </w:tc>
        <w:tc>
          <w:tcPr>
            <w:tcW w:w="193" w:type="dxa"/>
            <w:tcBorders/>
            <w:shd w:fill="CCEEFF" w:val="clear"/>
            <w:vAlign w:val="center"/>
          </w:tcPr>
          <w:p>
            <w:pPr>
              <w:pStyle w:val="TableContents"/>
              <w:bidi w:val="0"/>
              <w:spacing w:before="0" w:after="283"/>
              <w:jc w:val="left"/>
              <w:rPr/>
            </w:pPr>
            <w:r>
              <w:rPr/>
              <w:t> </w:t>
            </w:r>
          </w:p>
        </w:tc>
      </w:tr>
      <w:tr>
        <w:trPr/>
        <w:tc>
          <w:tcPr>
            <w:tcW w:w="588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fair value of finance receivables that are reported at fair value</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6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365,794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34,903</w:t>
            </w:r>
          </w:p>
        </w:tc>
        <w:tc>
          <w:tcPr>
            <w:tcW w:w="193" w:type="dxa"/>
            <w:tcBorders/>
            <w:shd w:fill="FFFFFF" w:val="clear"/>
            <w:vAlign w:val="center"/>
          </w:tcPr>
          <w:p>
            <w:pPr>
              <w:pStyle w:val="TableContents"/>
              <w:bidi w:val="0"/>
              <w:spacing w:before="0" w:after="283"/>
              <w:jc w:val="left"/>
              <w:rPr/>
            </w:pPr>
            <w:r>
              <w:rPr/>
              <w:t> </w:t>
            </w:r>
          </w:p>
        </w:tc>
      </w:tr>
      <w:tr>
        <w:trPr/>
        <w:tc>
          <w:tcPr>
            <w:tcW w:w="5888"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Unpaid principal balance of receivables within finance receivables that are reported at fair value and are on nonaccrual status (90 days or more past due)</w:t>
            </w:r>
          </w:p>
        </w:tc>
        <w:tc>
          <w:tcPr>
            <w:tcW w:w="146"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62" w:type="dxa"/>
            <w:tcBorders/>
            <w:shd w:fill="CCEE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6,605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2" w:type="dxa"/>
            <w:tcBorders/>
            <w:shd w:fill="CCEE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736</w:t>
            </w:r>
          </w:p>
        </w:tc>
        <w:tc>
          <w:tcPr>
            <w:tcW w:w="193" w:type="dxa"/>
            <w:tcBorders/>
            <w:shd w:fill="CCEEFF" w:val="clear"/>
            <w:vAlign w:val="center"/>
          </w:tcPr>
          <w:p>
            <w:pPr>
              <w:pStyle w:val="TableContents"/>
              <w:bidi w:val="0"/>
              <w:spacing w:before="0" w:after="283"/>
              <w:jc w:val="left"/>
              <w:rPr/>
            </w:pPr>
            <w:r>
              <w:rPr/>
              <w:t> </w:t>
            </w:r>
          </w:p>
        </w:tc>
      </w:tr>
      <w:tr>
        <w:trPr/>
        <w:tc>
          <w:tcPr>
            <w:tcW w:w="588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fair value of receivables carried at fair value that are on nonaccrual status (90 days or more past due)</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6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580</w:t>
            </w:r>
          </w:p>
        </w:tc>
        <w:tc>
          <w:tcPr>
            <w:tcW w:w="1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88"/>
        <w:gridCol w:w="146"/>
        <w:gridCol w:w="460"/>
        <w:gridCol w:w="1515"/>
        <w:gridCol w:w="146"/>
        <w:gridCol w:w="146"/>
        <w:gridCol w:w="399"/>
        <w:gridCol w:w="1312"/>
        <w:gridCol w:w="193"/>
      </w:tblGrid>
      <w:tr>
        <w:trPr/>
        <w:tc>
          <w:tcPr>
            <w:tcW w:w="5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CFEs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8"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unpaid principal balance included within finance receivables that are reported at fair value</w:t>
            </w:r>
          </w:p>
        </w:tc>
        <w:tc>
          <w:tcPr>
            <w:tcW w:w="146"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15" w:type="dxa"/>
            <w:tcBorders/>
            <w:shd w:fill="CCEE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84,477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2" w:type="dxa"/>
            <w:tcBorders/>
            <w:shd w:fill="CCEE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89,068</w:t>
            </w:r>
          </w:p>
        </w:tc>
        <w:tc>
          <w:tcPr>
            <w:tcW w:w="193" w:type="dxa"/>
            <w:tcBorders/>
            <w:shd w:fill="CCEEFF" w:val="clear"/>
            <w:vAlign w:val="center"/>
          </w:tcPr>
          <w:p>
            <w:pPr>
              <w:pStyle w:val="TableContents"/>
              <w:bidi w:val="0"/>
              <w:spacing w:before="0" w:after="283"/>
              <w:jc w:val="left"/>
              <w:rPr/>
            </w:pPr>
            <w:r>
              <w:rPr/>
              <w:t> </w:t>
            </w:r>
          </w:p>
        </w:tc>
      </w:tr>
      <w:tr>
        <w:trPr/>
        <w:tc>
          <w:tcPr>
            <w:tcW w:w="588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fair value of finance receivables that are reported at fair value</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1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75,270</w:t>
            </w:r>
          </w:p>
        </w:tc>
        <w:tc>
          <w:tcPr>
            <w:tcW w:w="193" w:type="dxa"/>
            <w:tcBorders/>
            <w:shd w:fill="FFFFFF" w:val="clear"/>
            <w:vAlign w:val="center"/>
          </w:tcPr>
          <w:p>
            <w:pPr>
              <w:pStyle w:val="TableContents"/>
              <w:bidi w:val="0"/>
              <w:spacing w:before="0" w:after="283"/>
              <w:jc w:val="left"/>
              <w:rPr/>
            </w:pPr>
            <w:r>
              <w:rPr/>
              <w:t> </w:t>
            </w:r>
          </w:p>
        </w:tc>
      </w:tr>
      <w:tr>
        <w:trPr/>
        <w:tc>
          <w:tcPr>
            <w:tcW w:w="5888"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Unpaid principal balance of receivables within finance receivables that are reported at fair value and are on nonaccrual status (90 days or more past due)</w:t>
            </w:r>
          </w:p>
        </w:tc>
        <w:tc>
          <w:tcPr>
            <w:tcW w:w="146"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15" w:type="dxa"/>
            <w:tcBorders/>
            <w:shd w:fill="CCEE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2" w:type="dxa"/>
            <w:tcBorders/>
            <w:shd w:fill="CCEE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1,499</w:t>
            </w:r>
          </w:p>
        </w:tc>
        <w:tc>
          <w:tcPr>
            <w:tcW w:w="193" w:type="dxa"/>
            <w:tcBorders/>
            <w:shd w:fill="CCEEFF" w:val="clear"/>
            <w:vAlign w:val="center"/>
          </w:tcPr>
          <w:p>
            <w:pPr>
              <w:pStyle w:val="TableContents"/>
              <w:bidi w:val="0"/>
              <w:spacing w:before="0" w:after="283"/>
              <w:jc w:val="left"/>
              <w:rPr/>
            </w:pPr>
            <w:r>
              <w:rPr/>
              <w:t> </w:t>
            </w:r>
          </w:p>
        </w:tc>
      </w:tr>
      <w:tr>
        <w:trPr/>
        <w:tc>
          <w:tcPr>
            <w:tcW w:w="588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fair value of receivables carried at fair value that are on nonaccrual status (90 days or more past due)</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1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1,311</w:t>
            </w:r>
          </w:p>
        </w:tc>
        <w:tc>
          <w:tcPr>
            <w:tcW w:w="1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All finance receivables of CFEs are pledged to the CFEs trusts.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following table presents other relevant data related to securitization debt of consolidated VIEs carried at fair value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0"/>
        <w:gridCol w:w="146"/>
        <w:gridCol w:w="853"/>
        <w:gridCol w:w="3233"/>
        <w:gridCol w:w="193"/>
      </w:tblGrid>
      <w:tr>
        <w:trPr/>
        <w:tc>
          <w:tcPr>
            <w:tcW w:w="5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VIEs at 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0"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unpaid principal balance of rated notes of securitized VIEs</w:t>
            </w:r>
          </w:p>
        </w:tc>
        <w:tc>
          <w:tcPr>
            <w:tcW w:w="1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3233" w:type="dxa"/>
            <w:tcBorders/>
            <w:shd w:fill="CCEE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367,176</w:t>
            </w:r>
          </w:p>
        </w:tc>
        <w:tc>
          <w:tcPr>
            <w:tcW w:w="193"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fair value of rated notes of securitized VIEs</w:t>
            </w:r>
          </w:p>
        </w:tc>
        <w:tc>
          <w:tcPr>
            <w:tcW w:w="14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323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361,906</w:t>
            </w:r>
          </w:p>
        </w:tc>
        <w:tc>
          <w:tcPr>
            <w:tcW w:w="1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0"/>
        <w:gridCol w:w="146"/>
        <w:gridCol w:w="952"/>
        <w:gridCol w:w="3135"/>
        <w:gridCol w:w="192"/>
      </w:tblGrid>
      <w:tr>
        <w:trPr/>
        <w:tc>
          <w:tcPr>
            <w:tcW w:w="5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VIEs at Fair Value</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0"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unpaid principal balance of rated notes of securitized VIEs</w:t>
            </w:r>
          </w:p>
        </w:tc>
        <w:tc>
          <w:tcPr>
            <w:tcW w:w="146"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3135" w:type="dxa"/>
            <w:tcBorders/>
            <w:shd w:fill="CCEE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82,556</w:t>
            </w:r>
          </w:p>
        </w:tc>
        <w:tc>
          <w:tcPr>
            <w:tcW w:w="192"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Aggregate fair value of rated notes of securitized VIEs</w:t>
            </w:r>
          </w:p>
        </w:tc>
        <w:tc>
          <w:tcPr>
            <w:tcW w:w="146"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313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79,829</w:t>
            </w:r>
          </w:p>
        </w:tc>
        <w:tc>
          <w:tcPr>
            <w:tcW w:w="192"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Fair Value of Financial Instruments Not Carried at Fair Value</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carrying amounts of restricted cash, accounts receivable, accounts payable and accrued liabilities approximate fair value due to their short-term nature. The carrying value of the 2022 Vehicle Floorplan Facility and the Warehouse Credit Facilities was determined to approximate fair value due to its short-term duration and variable interest rate that approximates prevailing interest rates as of each reporting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i/>
          <w:color w:val="000000"/>
          <w:sz w:val="20"/>
        </w:rPr>
        <w:t>Finance receivables held for sale, net:</w:t>
      </w:r>
      <w:r>
        <w:rPr>
          <w:rFonts w:ascii="Times New Roman" w:hAnsi="Times New Roman"/>
          <w:color w:val="000000"/>
          <w:sz w:val="20"/>
        </w:rPr>
        <w:t xml:space="preserve"> </w:t>
      </w:r>
      <w:r>
        <w:rPr>
          <w:rFonts w:ascii="Arial" w:hAnsi="Arial"/>
          <w:b w:val="false"/>
          <w:color w:val="000000"/>
          <w:sz w:val="20"/>
        </w:rPr>
        <w:t xml:space="preserve">For finance receivables eligible to be sold, the Company determines the fair value of finance receivables utilizing sales prices based on estimated securitization transactions, adjusted for transformation costs, risk and a normal profit margin associated with securitization transactions. Such fair value measurement of finance receivables held for sale, net is considered Level 3 of the fair value hierarchy. The carrying value and fair value of the finance receivables held for sale, net were as follows (in thousands): </w:t>
      </w:r>
    </w:p>
    <w:p>
      <w:pPr>
        <w:pStyle w:val="TextBody"/>
        <w:bidi w:val="0"/>
        <w:jc w:val="left"/>
        <w:rPr/>
      </w:pPr>
      <w:r>
        <w:rPr/>
        <w:t> </w:t>
      </w:r>
    </w:p>
    <w:tbl>
      <w:tblPr>
        <w:tblW w:w="4395" w:type="dxa"/>
        <w:jc w:val="left"/>
        <w:tblInd w:w="0" w:type="dxa"/>
        <w:tblLayout w:type="fixed"/>
        <w:tblCellMar>
          <w:top w:w="28" w:type="dxa"/>
          <w:left w:w="28" w:type="dxa"/>
          <w:bottom w:w="28" w:type="dxa"/>
          <w:right w:w="28" w:type="dxa"/>
        </w:tblCellMar>
      </w:tblPr>
      <w:tblGrid>
        <w:gridCol w:w="1366"/>
        <w:gridCol w:w="146"/>
        <w:gridCol w:w="257"/>
        <w:gridCol w:w="973"/>
        <w:gridCol w:w="146"/>
        <w:gridCol w:w="146"/>
        <w:gridCol w:w="245"/>
        <w:gridCol w:w="925"/>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Carrying value</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375,664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299,235</w:t>
            </w:r>
          </w:p>
        </w:tc>
        <w:tc>
          <w:tcPr>
            <w:tcW w:w="191" w:type="dxa"/>
            <w:tcBorders/>
            <w:shd w:fill="CFF0FC" w:val="clear"/>
            <w:vAlign w:val="center"/>
          </w:tcPr>
          <w:p>
            <w:pPr>
              <w:pStyle w:val="TableContents"/>
              <w:bidi w:val="0"/>
              <w:spacing w:before="0" w:after="283"/>
              <w:jc w:val="left"/>
              <w:rPr/>
            </w:pPr>
            <w:r>
              <w:rPr/>
              <w:t> </w:t>
            </w:r>
          </w:p>
        </w:tc>
      </w:tr>
      <w:tr>
        <w:trPr/>
        <w:tc>
          <w:tcPr>
            <w:tcW w:w="13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Fair value</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378,619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299,925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From time to time the Company may mark certain receivables classified as held for sale to fair value and classified as financial instruments recorded at fair value on a non-recurring basis. As of September 30, 2023</w:t>
      </w:r>
      <w:r>
        <w:rPr>
          <w:rFonts w:ascii="Times New Roman" w:hAnsi="Times New Roman"/>
          <w:color w:val="000000"/>
          <w:sz w:val="20"/>
        </w:rPr>
        <w:t xml:space="preserve"> </w:t>
      </w:r>
      <w:r>
        <w:rPr>
          <w:rFonts w:ascii="Arial" w:hAnsi="Arial"/>
          <w:b w:val="false"/>
          <w:color w:val="000000"/>
          <w:sz w:val="20"/>
        </w:rPr>
        <w:t>and December 31, 2022, there were $24.2</w:t>
      </w:r>
      <w:r>
        <w:rPr>
          <w:rFonts w:ascii="Times New Roman" w:hAnsi="Times New Roman"/>
          <w:color w:val="000000"/>
          <w:sz w:val="20"/>
        </w:rPr>
        <w:t xml:space="preserve"> </w:t>
      </w:r>
      <w:r>
        <w:rPr>
          <w:rFonts w:ascii="Arial" w:hAnsi="Arial"/>
          <w:b w:val="false"/>
          <w:color w:val="000000"/>
          <w:sz w:val="20"/>
        </w:rPr>
        <w:t>million and $22.4</w:t>
      </w:r>
      <w:r>
        <w:rPr>
          <w:rFonts w:ascii="Times New Roman" w:hAnsi="Times New Roman"/>
          <w:color w:val="000000"/>
          <w:sz w:val="20"/>
        </w:rPr>
        <w:t xml:space="preserve"> </w:t>
      </w:r>
      <w:r>
        <w:rPr>
          <w:rFonts w:ascii="Arial" w:hAnsi="Arial"/>
          <w:b w:val="false"/>
          <w:color w:val="000000"/>
          <w:sz w:val="20"/>
        </w:rPr>
        <w:t>million of finance receivables that were marked to fair value on a non-recurring basis, respectively. These are finance receivables that became delinquent and no longer meet the expected sales criteria. The Company uses a discounted cash flow model to estimate the present value of future recoveries for finance receivables. Such fair value measurement of finance receivables held for sale, net is considered Level 3 of the fair value hierarchy.</w:t>
      </w:r>
    </w:p>
    <w:p>
      <w:pPr>
        <w:pStyle w:val="TextBody"/>
        <w:bidi w:val="0"/>
        <w:jc w:val="left"/>
        <w:rPr/>
      </w:pPr>
      <w:r>
        <w:rPr/>
        <w:t> </w:t>
      </w:r>
    </w:p>
    <w:p>
      <w:pPr>
        <w:pStyle w:val="TextBody"/>
        <w:bidi w:val="0"/>
        <w:jc w:val="left"/>
        <w:rPr>
          <w:rFonts w:ascii="Times New Roman" w:hAnsi="Times New Roman"/>
          <w:sz w:val="20"/>
        </w:rPr>
      </w:pPr>
      <w:r>
        <w:rPr>
          <w:rFonts w:ascii="Arial" w:hAnsi="Arial"/>
          <w:b w:val="false"/>
          <w:i/>
          <w:color w:val="000000"/>
          <w:sz w:val="20"/>
        </w:rPr>
        <w:t>Convertible Senior Notes:</w:t>
      </w:r>
      <w:r>
        <w:rPr>
          <w:rFonts w:ascii="Times New Roman" w:hAnsi="Times New Roman"/>
          <w:color w:val="000000"/>
          <w:sz w:val="20"/>
        </w:rPr>
        <w:t xml:space="preserve"> </w:t>
      </w:r>
      <w:r>
        <w:rPr>
          <w:rFonts w:ascii="Arial" w:hAnsi="Arial"/>
          <w:b w:val="false"/>
          <w:color w:val="000000"/>
          <w:sz w:val="20"/>
        </w:rPr>
        <w:t>The fair value of the Notes, which are not carried at fair value on the accompanying condensed consolidated balance sheets, was determined utilizing actual bids and offer prices of the Notes in markets that are not active and are classified within Level 2 of the fair value hierarchy.</w:t>
      </w:r>
    </w:p>
    <w:p>
      <w:pPr>
        <w:pStyle w:val="TextBody"/>
        <w:bidi w:val="0"/>
        <w:jc w:val="left"/>
        <w:rPr/>
      </w:pPr>
      <w:r>
        <w:rPr/>
        <w:t> </w:t>
      </w:r>
    </w:p>
    <w:tbl>
      <w:tblPr>
        <w:tblW w:w="4395" w:type="dxa"/>
        <w:jc w:val="left"/>
        <w:tblInd w:w="0" w:type="dxa"/>
        <w:tblLayout w:type="fixed"/>
        <w:tblCellMar>
          <w:top w:w="28" w:type="dxa"/>
          <w:left w:w="28" w:type="dxa"/>
          <w:bottom w:w="28" w:type="dxa"/>
          <w:right w:w="28" w:type="dxa"/>
        </w:tblCellMar>
      </w:tblPr>
      <w:tblGrid>
        <w:gridCol w:w="1366"/>
        <w:gridCol w:w="146"/>
        <w:gridCol w:w="257"/>
        <w:gridCol w:w="973"/>
        <w:gridCol w:w="146"/>
        <w:gridCol w:w="146"/>
        <w:gridCol w:w="245"/>
        <w:gridCol w:w="925"/>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Carrying value</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327,837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359,254</w:t>
            </w:r>
          </w:p>
        </w:tc>
        <w:tc>
          <w:tcPr>
            <w:tcW w:w="191" w:type="dxa"/>
            <w:tcBorders/>
            <w:shd w:fill="CFF0FC" w:val="clear"/>
            <w:vAlign w:val="center"/>
          </w:tcPr>
          <w:p>
            <w:pPr>
              <w:pStyle w:val="TableContents"/>
              <w:bidi w:val="0"/>
              <w:spacing w:before="0" w:after="283"/>
              <w:jc w:val="left"/>
              <w:rPr/>
            </w:pPr>
            <w:r>
              <w:rPr/>
              <w:t> </w:t>
            </w:r>
          </w:p>
        </w:tc>
      </w:tr>
      <w:tr>
        <w:trPr/>
        <w:tc>
          <w:tcPr>
            <w:tcW w:w="13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Fair value</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174,556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128,026</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i/>
          <w:color w:val="000000"/>
          <w:sz w:val="20"/>
        </w:rPr>
        <w:t xml:space="preserve">Financing of beneficial interests in securitizations: </w:t>
      </w:r>
      <w:r>
        <w:rPr>
          <w:rFonts w:ascii="Arial" w:hAnsi="Arial"/>
          <w:b w:val="false"/>
          <w:color w:val="000000"/>
          <w:sz w:val="20"/>
        </w:rPr>
        <w:t>The fair value of the financing of beneficial interests in securitizations, which are not carried at fair value on the accompanying condensed consolidated balance sheets, approximated their carrying value as of September 30, 2023 and are classified within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i/>
          <w:color w:val="000000"/>
          <w:sz w:val="20"/>
        </w:rPr>
        <w:t xml:space="preserve">Junior Subordinated Debentures: </w:t>
      </w:r>
      <w:r>
        <w:rPr>
          <w:rFonts w:ascii="Arial" w:hAnsi="Arial"/>
          <w:b w:val="false"/>
          <w:color w:val="000000"/>
          <w:sz w:val="20"/>
        </w:rPr>
        <w:t>The fair value of the junior subordinated debentures, which are not carried at fair value on the accompanying condensed consolidated balance sheets, approximated their carrying value as of September 30, 2023 and December 31, 2022 and are classified within Level 3 of the fair value hierarchy.</w:t>
      </w:r>
      <w:r>
        <w:rPr>
          <w:rFonts w:ascii="Times New Roman" w:hAnsi="Times New Roman"/>
          <w:color w:val="000000"/>
          <w:sz w:val="20"/>
        </w:rPr>
        <w:t xml:space="preserve"> </w:t>
      </w:r>
    </w:p>
    <w:p>
      <w:pPr>
        <w:pStyle w:val="TextBody"/>
        <w:bidi w:val="0"/>
        <w:jc w:val="left"/>
        <w:rPr>
          <w:rFonts w:ascii="Arial" w:hAnsi="Arial"/>
          <w:b/>
          <w:i/>
          <w:color w:val="000000"/>
          <w:sz w:val="20"/>
        </w:rPr>
      </w:pPr>
      <w:r>
        <w:rPr>
          <w:rFonts w:ascii="Arial" w:hAnsi="Arial"/>
          <w:b/>
          <w:i/>
          <w:color w:val="000000"/>
          <w:sz w:val="20"/>
        </w:rPr>
        <w:t>Fair Value of Financial Instruments on a Nonrecurring Basis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Assets and liabilities acquired as part of a business combination and goodwill attributable to each of the Company's reporting units are recorded at fair value on a nonrecurring basis. Refer to Note 5 – Acquisitions and Note 8 – Goodwill and Intangible Assets</w:t>
      </w:r>
      <w:r>
        <w:rPr>
          <w:rFonts w:ascii="Times New Roman" w:hAnsi="Times New Roman"/>
          <w:color w:val="000000"/>
          <w:sz w:val="20"/>
        </w:rPr>
        <w:t xml:space="preserve"> </w:t>
      </w:r>
      <w:r>
        <w:rPr>
          <w:rFonts w:ascii="Arial" w:hAnsi="Arial"/>
          <w:b w:val="false"/>
          <w:color w:val="000000"/>
          <w:sz w:val="20"/>
        </w:rPr>
        <w:t>for additional information.</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17. Restructuring Activities</w:t>
      </w:r>
    </w:p>
    <w:p>
      <w:pPr>
        <w:pStyle w:val="TextBody"/>
        <w:bidi w:val="0"/>
        <w:jc w:val="left"/>
        <w:rPr>
          <w:rFonts w:ascii="Times New Roman" w:hAnsi="Times New Roman"/>
          <w:sz w:val="20"/>
        </w:rPr>
      </w:pPr>
      <w:r>
        <w:rPr>
          <w:rFonts w:ascii="Arial" w:hAnsi="Arial"/>
          <w:b w:val="false"/>
          <w:color w:val="000000"/>
          <w:sz w:val="20"/>
        </w:rPr>
        <w:t>On May 5, 2022, the Company approved the Realignment Plan, which was designed to position the Company for long-term profitable growth by prioritizing unit economics, reducing operating expenses and maximizing 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connection with the Realignment Plan, the Company reduced headcount across the organization and closed its New York City, Detroit, and one of its Houston office locations as well as several Sell Us Your Car® center facilities. Additionally, the Company streamlined TDA's operations and closed its service center. The service center was repurposed to replace the reconditioning facility in Stafford, Texas, which was also closed. The Company also restructured its network of logistics hubs in order to align with reduced unit volume and its regional operating model.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restructuring activities associated with the Realignment Plan were substantially completed during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January 18, 2023, the Company executed a reduction in force as part of the continued focus on reducing variable and fixed costs. The Company reduced Vroom’s headcount by approximately 275</w:t>
      </w:r>
      <w:r>
        <w:rPr>
          <w:rFonts w:ascii="Times New Roman" w:hAnsi="Times New Roman"/>
          <w:color w:val="000000"/>
          <w:sz w:val="20"/>
        </w:rPr>
        <w:t xml:space="preserve"> </w:t>
      </w:r>
      <w:r>
        <w:rPr>
          <w:rFonts w:ascii="Arial" w:hAnsi="Arial"/>
          <w:b w:val="false"/>
          <w:color w:val="000000"/>
          <w:sz w:val="20"/>
        </w:rPr>
        <w:t>employees based on the assessment of the Company's business needs, key initiatives, and long-term success and profitable growth. For the nine months ended September 30, 2023, the Company incurred expenses of approximately $4.1</w:t>
      </w:r>
      <w:r>
        <w:rPr>
          <w:rFonts w:ascii="Times New Roman" w:hAnsi="Times New Roman"/>
          <w:color w:val="000000"/>
          <w:sz w:val="20"/>
        </w:rPr>
        <w:t xml:space="preserve"> </w:t>
      </w:r>
      <w:r>
        <w:rPr>
          <w:rFonts w:ascii="Arial" w:hAnsi="Arial"/>
          <w:b w:val="false"/>
          <w:color w:val="000000"/>
          <w:sz w:val="20"/>
        </w:rPr>
        <w:t>million, primarily consisting of severance.</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April 26, 2023, as part of the Company’s ongoing reexamination of all facets of the business, the Company implemented an organizational restructuring that included a reduction in force. The Company reduced Vroom’s headcount by approximately 120</w:t>
      </w:r>
      <w:r>
        <w:rPr>
          <w:rFonts w:ascii="Times New Roman" w:hAnsi="Times New Roman"/>
          <w:color w:val="000000"/>
          <w:sz w:val="20"/>
        </w:rPr>
        <w:t xml:space="preserve"> </w:t>
      </w:r>
      <w:r>
        <w:rPr>
          <w:rFonts w:ascii="Arial" w:hAnsi="Arial"/>
          <w:b w:val="false"/>
          <w:color w:val="000000"/>
          <w:sz w:val="20"/>
        </w:rPr>
        <w:t>employees and incurred total expenses of approximately $2.3</w:t>
      </w:r>
      <w:r>
        <w:rPr>
          <w:rFonts w:ascii="Times New Roman" w:hAnsi="Times New Roman"/>
          <w:color w:val="000000"/>
          <w:sz w:val="20"/>
        </w:rPr>
        <w:t xml:space="preserve"> </w:t>
      </w:r>
      <w:r>
        <w:rPr>
          <w:rFonts w:ascii="Arial" w:hAnsi="Arial"/>
          <w:b w:val="false"/>
          <w:color w:val="000000"/>
          <w:sz w:val="20"/>
        </w:rPr>
        <w:t>million for the nine months ended September 30, 2023, primarily consisting of severance costs, as a result of this reduction in force.</w:t>
      </w:r>
    </w:p>
    <w:p>
      <w:pPr>
        <w:pStyle w:val="TextBody"/>
        <w:bidi w:val="0"/>
        <w:jc w:val="left"/>
        <w:rPr>
          <w:rFonts w:ascii="Arial" w:hAnsi="Arial"/>
          <w:b w:val="false"/>
          <w:color w:val="000000"/>
          <w:sz w:val="20"/>
        </w:rPr>
      </w:pPr>
      <w:r>
        <w:rPr>
          <w:rFonts w:ascii="Arial" w:hAnsi="Arial"/>
          <w:b w:val="false"/>
          <w:color w:val="000000"/>
          <w:sz w:val="20"/>
        </w:rPr>
        <w:t>The following table summarizes the components of the restructuring and related charges:</w:t>
      </w:r>
    </w:p>
    <w:tbl>
      <w:tblPr>
        <w:tblW w:w="10205" w:type="dxa"/>
        <w:jc w:val="left"/>
        <w:tblInd w:w="0" w:type="dxa"/>
        <w:tblLayout w:type="fixed"/>
        <w:tblCellMar>
          <w:top w:w="28" w:type="dxa"/>
          <w:left w:w="28" w:type="dxa"/>
          <w:bottom w:w="28" w:type="dxa"/>
          <w:right w:w="28" w:type="dxa"/>
        </w:tblCellMar>
      </w:tblPr>
      <w:tblGrid>
        <w:gridCol w:w="2933"/>
        <w:gridCol w:w="146"/>
        <w:gridCol w:w="280"/>
        <w:gridCol w:w="559"/>
        <w:gridCol w:w="194"/>
        <w:gridCol w:w="194"/>
        <w:gridCol w:w="280"/>
        <w:gridCol w:w="779"/>
        <w:gridCol w:w="146"/>
        <w:gridCol w:w="146"/>
        <w:gridCol w:w="253"/>
        <w:gridCol w:w="703"/>
        <w:gridCol w:w="174"/>
        <w:gridCol w:w="174"/>
        <w:gridCol w:w="253"/>
        <w:gridCol w:w="829"/>
        <w:gridCol w:w="146"/>
        <w:gridCol w:w="146"/>
        <w:gridCol w:w="391"/>
        <w:gridCol w:w="1281"/>
        <w:gridCol w:w="198"/>
      </w:tblGrid>
      <w:tr>
        <w:trPr/>
        <w:tc>
          <w:tcPr>
            <w:tcW w:w="2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9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Charges Incurred to Date</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2"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293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Charges by activity:</w:t>
            </w:r>
          </w:p>
        </w:tc>
        <w:tc>
          <w:tcPr>
            <w:tcW w:w="146" w:type="dxa"/>
            <w:tcBorders/>
            <w:shd w:fill="CFF0FC" w:val="clear"/>
            <w:vAlign w:val="center"/>
          </w:tcPr>
          <w:p>
            <w:pPr>
              <w:pStyle w:val="TableContents"/>
              <w:bidi w:val="0"/>
              <w:spacing w:before="0" w:after="283"/>
              <w:jc w:val="left"/>
              <w:rPr/>
            </w:pPr>
            <w:r>
              <w:rPr/>
              <w:t> </w:t>
            </w:r>
          </w:p>
        </w:tc>
        <w:tc>
          <w:tcPr>
            <w:tcW w:w="83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6" w:type="dxa"/>
            <w:gridSpan w:val="2"/>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72"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r>
      <w:tr>
        <w:trPr/>
        <w:tc>
          <w:tcPr>
            <w:tcW w:w="2933" w:type="dxa"/>
            <w:tcBorders/>
            <w:shd w:fill="FFFFFF" w:val="clear"/>
            <w:vAlign w:val="center"/>
          </w:tcPr>
          <w:p>
            <w:pPr>
              <w:pStyle w:val="TableContents"/>
              <w:bidi w:val="0"/>
              <w:spacing w:before="0" w:after="283"/>
              <w:jc w:val="left"/>
              <w:rPr/>
            </w:pPr>
            <w:r>
              <w:rPr>
                <w:color w:val="000000"/>
              </w:rPr>
              <w:t>   </w:t>
            </w:r>
            <w:r>
              <w:rPr>
                <w:rFonts w:ascii="Arial" w:hAnsi="Arial"/>
                <w:b w:val="false"/>
                <w:color w:val="000000"/>
                <w:sz w:val="20"/>
              </w:rPr>
              <w:t xml:space="preserve">Severance and termination benefits </w:t>
            </w:r>
            <w:r>
              <w:rPr>
                <w:rFonts w:ascii="Arial" w:hAnsi="Arial"/>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5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274</w:t>
            </w:r>
          </w:p>
        </w:tc>
        <w:tc>
          <w:tcPr>
            <w:tcW w:w="19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7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6,655</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2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8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14,013</w:t>
            </w:r>
          </w:p>
        </w:tc>
        <w:tc>
          <w:tcPr>
            <w:tcW w:w="198" w:type="dxa"/>
            <w:tcBorders/>
            <w:shd w:fill="FFFFFF" w:val="clear"/>
            <w:vAlign w:val="center"/>
          </w:tcPr>
          <w:p>
            <w:pPr>
              <w:pStyle w:val="TableContents"/>
              <w:bidi w:val="0"/>
              <w:spacing w:before="0" w:after="283"/>
              <w:jc w:val="left"/>
              <w:rPr/>
            </w:pPr>
            <w:r>
              <w:rPr/>
              <w:t> </w:t>
            </w:r>
          </w:p>
        </w:tc>
      </w:tr>
      <w:tr>
        <w:trPr/>
        <w:tc>
          <w:tcPr>
            <w:tcW w:w="2933" w:type="dxa"/>
            <w:tcBorders/>
            <w:shd w:fill="CFF0FC" w:val="clear"/>
            <w:vAlign w:val="center"/>
          </w:tcPr>
          <w:p>
            <w:pPr>
              <w:pStyle w:val="TableContents"/>
              <w:bidi w:val="0"/>
              <w:spacing w:before="0" w:after="283"/>
              <w:jc w:val="left"/>
              <w:rPr/>
            </w:pPr>
            <w:r>
              <w:rPr>
                <w:color w:val="000000"/>
              </w:rPr>
              <w:t>   </w:t>
            </w:r>
            <w:r>
              <w:rPr>
                <w:rFonts w:ascii="Arial" w:hAnsi="Arial"/>
                <w:b w:val="false"/>
                <w:color w:val="000000"/>
                <w:sz w:val="20"/>
              </w:rPr>
              <w:t xml:space="preserve">Impairment of operating lease right-of-use assets </w:t>
            </w:r>
            <w:r>
              <w:rPr>
                <w:rFonts w:ascii="Arial" w:hAnsi="Arial"/>
                <w:b w:val="false"/>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right"/>
              <w:rPr>
                <w:color w:val="000000"/>
              </w:rPr>
            </w:pPr>
            <w:r>
              <w:rPr>
                <w:color w:val="000000"/>
              </w:rPr>
              <w:t>—</w:t>
            </w:r>
          </w:p>
        </w:tc>
        <w:tc>
          <w:tcPr>
            <w:tcW w:w="194"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color w:val="000000"/>
              </w:rPr>
            </w:pPr>
            <w:r>
              <w:rPr>
                <w:color w:val="000000"/>
              </w:rPr>
              <w:t>—</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pPr>
            <w:r>
              <w:rPr/>
              <w:t> </w:t>
            </w:r>
          </w:p>
        </w:tc>
        <w:tc>
          <w:tcPr>
            <w:tcW w:w="128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6,491</w:t>
            </w:r>
          </w:p>
        </w:tc>
        <w:tc>
          <w:tcPr>
            <w:tcW w:w="198" w:type="dxa"/>
            <w:tcBorders/>
            <w:shd w:fill="CFF0FC" w:val="clear"/>
            <w:vAlign w:val="center"/>
          </w:tcPr>
          <w:p>
            <w:pPr>
              <w:pStyle w:val="TableContents"/>
              <w:bidi w:val="0"/>
              <w:spacing w:before="0" w:after="283"/>
              <w:jc w:val="left"/>
              <w:rPr/>
            </w:pPr>
            <w:r>
              <w:rPr/>
              <w:t> </w:t>
            </w:r>
          </w:p>
        </w:tc>
      </w:tr>
      <w:tr>
        <w:trPr/>
        <w:tc>
          <w:tcPr>
            <w:tcW w:w="2933" w:type="dxa"/>
            <w:tcBorders/>
            <w:shd w:fill="FFFFFF" w:val="clear"/>
            <w:vAlign w:val="center"/>
          </w:tcPr>
          <w:p>
            <w:pPr>
              <w:pStyle w:val="TableContents"/>
              <w:bidi w:val="0"/>
              <w:spacing w:before="0" w:after="283"/>
              <w:jc w:val="left"/>
              <w:rPr/>
            </w:pPr>
            <w:r>
              <w:rPr>
                <w:color w:val="000000"/>
              </w:rPr>
              <w:t>   </w:t>
            </w:r>
            <w:r>
              <w:rPr>
                <w:rFonts w:ascii="Arial" w:hAnsi="Arial"/>
                <w:b w:val="false"/>
                <w:color w:val="000000"/>
                <w:sz w:val="20"/>
              </w:rPr>
              <w:t xml:space="preserve">Other costs </w:t>
            </w:r>
            <w:r>
              <w:rPr>
                <w:rFonts w:ascii="Arial" w:hAnsi="Arial"/>
                <w:b w:val="false"/>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restructuring and related charges</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6,655</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21,680</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3"/>
        </w:rPr>
        <w:t>(1) Severance and termination costs consist of severance costs provided to employees who have been terminated as well outplacement costs and COBRA benefits.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13"/>
        </w:rPr>
        <w:t>(2) Impairment of operating lease right-of-use assets consist of costs associated with planned facility closures that will continue to be incurred under the contract for its remaining term without economic benefit to the Company.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13"/>
        </w:rPr>
        <w:t>(3) Other costs incurred to date consist of legal expenses incurred in connection with the Realignment Plan and acceleration of depreciation of property and equipment related to the planned facility 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Severance and termination benefits and other costs are included in "Selling, general, and administrative expenses" in the condensed consolidated statements of operations for the three and nine months ended September 30, 2023 and 2022.</w:t>
      </w:r>
    </w:p>
    <w:p>
      <w:pPr>
        <w:pStyle w:val="TextBody"/>
        <w:bidi w:val="0"/>
        <w:jc w:val="left"/>
        <w:rPr>
          <w:rFonts w:ascii="Arial" w:hAnsi="Arial"/>
          <w:b w:val="false"/>
          <w:color w:val="000000"/>
          <w:sz w:val="20"/>
        </w:rPr>
      </w:pPr>
      <w:r>
        <w:rPr>
          <w:rFonts w:ascii="Arial" w:hAnsi="Arial"/>
          <w:b w:val="false"/>
          <w:color w:val="000000"/>
          <w:sz w:val="20"/>
        </w:rPr>
        <w:t>The following table is a reconciliation of the beginning and ending restructuring liability for the nine months ended September 30, 2023 and 2022:</w:t>
      </w:r>
    </w:p>
    <w:tbl>
      <w:tblPr>
        <w:tblW w:w="4365" w:type="dxa"/>
        <w:jc w:val="left"/>
        <w:tblInd w:w="0" w:type="dxa"/>
        <w:tblLayout w:type="fixed"/>
        <w:tblCellMar>
          <w:top w:w="28" w:type="dxa"/>
          <w:left w:w="28" w:type="dxa"/>
          <w:bottom w:w="28" w:type="dxa"/>
          <w:right w:w="28" w:type="dxa"/>
        </w:tblCellMar>
      </w:tblPr>
      <w:tblGrid>
        <w:gridCol w:w="3151"/>
        <w:gridCol w:w="146"/>
        <w:gridCol w:w="211"/>
        <w:gridCol w:w="646"/>
        <w:gridCol w:w="21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810</w:t>
            </w:r>
          </w:p>
        </w:tc>
        <w:tc>
          <w:tcPr>
            <w:tcW w:w="21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Accrual and accrual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6,655</w:t>
            </w:r>
          </w:p>
        </w:tc>
        <w:tc>
          <w:tcPr>
            <w:tcW w:w="21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Cash payments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1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4365" w:type="dxa"/>
        <w:jc w:val="left"/>
        <w:tblInd w:w="0" w:type="dxa"/>
        <w:tblLayout w:type="fixed"/>
        <w:tblCellMar>
          <w:top w:w="28" w:type="dxa"/>
          <w:left w:w="28" w:type="dxa"/>
          <w:bottom w:w="28" w:type="dxa"/>
          <w:right w:w="28" w:type="dxa"/>
        </w:tblCellMar>
      </w:tblPr>
      <w:tblGrid>
        <w:gridCol w:w="3151"/>
        <w:gridCol w:w="146"/>
        <w:gridCol w:w="211"/>
        <w:gridCol w:w="646"/>
        <w:gridCol w:w="21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Accrual and accrual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7,755</w:t>
            </w:r>
          </w:p>
        </w:tc>
        <w:tc>
          <w:tcPr>
            <w:tcW w:w="21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Cash payments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1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Arial" w:hAnsi="Arial"/>
          <w:b w:val="false"/>
          <w:color w:val="000000"/>
          <w:sz w:val="20"/>
        </w:rPr>
        <w:t>The restructuring liability for severance and termination benefits is reflected in "Accrued Expenses" in the condensed consolidated balance sheet as of September 30, 2023</w:t>
      </w:r>
      <w:r>
        <w:rPr>
          <w:rFonts w:ascii="Times New Roman" w:hAnsi="Times New Roman"/>
          <w:color w:val="000000"/>
          <w:sz w:val="20"/>
        </w:rPr>
        <w:t xml:space="preserve"> </w:t>
      </w:r>
      <w:r>
        <w:rPr>
          <w:rFonts w:ascii="Arial" w:hAnsi="Arial"/>
          <w:b w:val="false"/>
          <w:color w:val="000000"/>
          <w:sz w:val="20"/>
        </w:rPr>
        <w:t>and December 31, 2022.</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18. Segment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has three</w:t>
      </w:r>
      <w:r>
        <w:rPr>
          <w:rFonts w:ascii="Times New Roman" w:hAnsi="Times New Roman"/>
          <w:color w:val="000000"/>
          <w:sz w:val="20"/>
        </w:rPr>
        <w:t xml:space="preserve"> </w:t>
      </w:r>
      <w:r>
        <w:rPr>
          <w:rFonts w:ascii="Arial" w:hAnsi="Arial"/>
          <w:b w:val="false"/>
          <w:color w:val="000000"/>
          <w:sz w:val="20"/>
        </w:rPr>
        <w:t>reportable segments: Ecommerce, Wholesale, and Retail Financing. No operating segments have been aggregated to form the reportable segments.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enterprise-wide group basis. Accordingly, the Company does not report segment asset information. As of September 30, 2023 and December 31, 2022, long-lived assets were predominantly located in the United States.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Ecommerce reportable segment represents retail sales of used vehicles through the Company’s ecommerce platform, revenue earned on vehicle financing originated by UACC or the Company's third-party financing sources and sales of value-added products associated with those vehicles sales. The Wholesale reportable segment represents sales of used vehicles through wholesale channels. The Retail Financing reportable segment represents UACC’s operations with its network of third-party dealership customers, including the purchases and servicing of vehicle installment contracts. Revenues within the "All Other" category consist of retail sales of used vehicles from TDA and fees earned on sales of value-added products associated with those vehicles sales and the CarStory business.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Information about the Company’s reportable segments are as follows (in thousands):</w:t>
      </w:r>
      <w:r>
        <w:rPr>
          <w:rFonts w:ascii="Times New Roman" w:hAnsi="Times New Roman"/>
          <w:color w:val="000000"/>
          <w:sz w:val="20"/>
        </w:rPr>
        <w:t xml:space="preserve"> </w:t>
      </w:r>
    </w:p>
    <w:p>
      <w:pPr>
        <w:pStyle w:val="TextBody"/>
        <w:bidi w:val="0"/>
        <w:jc w:val="left"/>
        <w:rPr/>
      </w:pPr>
      <w:r>
        <w:rPr/>
        <w:t> </w:t>
      </w:r>
    </w:p>
    <w:tbl>
      <w:tblPr>
        <w:tblW w:w="9947" w:type="dxa"/>
        <w:jc w:val="left"/>
        <w:tblInd w:w="0" w:type="dxa"/>
        <w:tblLayout w:type="fixed"/>
        <w:tblCellMar>
          <w:top w:w="28" w:type="dxa"/>
          <w:left w:w="28" w:type="dxa"/>
          <w:bottom w:w="28" w:type="dxa"/>
          <w:right w:w="28" w:type="dxa"/>
        </w:tblCellMar>
      </w:tblPr>
      <w:tblGrid>
        <w:gridCol w:w="3166"/>
        <w:gridCol w:w="146"/>
        <w:gridCol w:w="217"/>
        <w:gridCol w:w="819"/>
        <w:gridCol w:w="146"/>
        <w:gridCol w:w="146"/>
        <w:gridCol w:w="214"/>
        <w:gridCol w:w="702"/>
        <w:gridCol w:w="166"/>
        <w:gridCol w:w="146"/>
        <w:gridCol w:w="326"/>
        <w:gridCol w:w="1069"/>
        <w:gridCol w:w="146"/>
        <w:gridCol w:w="146"/>
        <w:gridCol w:w="211"/>
        <w:gridCol w:w="691"/>
        <w:gridCol w:w="146"/>
        <w:gridCol w:w="146"/>
        <w:gridCol w:w="211"/>
        <w:gridCol w:w="79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4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Ecommerce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Wholesale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Retail Financing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Revenues from external customers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1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0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30,898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40,823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14,062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235,634</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1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14,339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0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(1,495</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32,341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48,094</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4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Ecommerce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Wholesale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Retail Financing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Revenues from external customers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1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225,441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0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40,654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340,797</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1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0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(1,574</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67,331</w:t>
            </w:r>
          </w:p>
        </w:tc>
        <w:tc>
          <w:tcPr>
            <w:tcW w:w="191" w:type="dxa"/>
            <w:tcBorders/>
            <w:shd w:fill="FFFFFF" w:val="cle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2963"/>
        <w:gridCol w:w="146"/>
        <w:gridCol w:w="211"/>
        <w:gridCol w:w="961"/>
        <w:gridCol w:w="146"/>
        <w:gridCol w:w="146"/>
        <w:gridCol w:w="211"/>
        <w:gridCol w:w="796"/>
        <w:gridCol w:w="166"/>
        <w:gridCol w:w="146"/>
        <w:gridCol w:w="284"/>
        <w:gridCol w:w="1073"/>
        <w:gridCol w:w="146"/>
        <w:gridCol w:w="146"/>
        <w:gridCol w:w="211"/>
        <w:gridCol w:w="796"/>
        <w:gridCol w:w="146"/>
        <w:gridCol w:w="146"/>
        <w:gridCol w:w="211"/>
        <w:gridCol w:w="961"/>
        <w:gridCol w:w="193"/>
      </w:tblGrid>
      <w:tr>
        <w:trPr/>
        <w:tc>
          <w:tcPr>
            <w:tcW w:w="2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0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 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Ecommerce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Wholesale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Retail Financing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Revenues from external customers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423,713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657,279</w:t>
            </w:r>
          </w:p>
        </w:tc>
        <w:tc>
          <w:tcPr>
            <w:tcW w:w="193" w:type="dxa"/>
            <w:tcBorders/>
            <w:shd w:fill="CFF0FC" w:val="clear"/>
            <w:vAlign w:val="center"/>
          </w:tcPr>
          <w:p>
            <w:pPr>
              <w:pStyle w:val="TableContents"/>
              <w:bidi w:val="0"/>
              <w:spacing w:before="0" w:after="283"/>
              <w:jc w:val="left"/>
              <w:rPr/>
            </w:pPr>
            <w:r>
              <w:rPr/>
              <w:t> </w:t>
            </w:r>
          </w:p>
        </w:tc>
      </w:tr>
      <w:tr>
        <w:trPr/>
        <w:tc>
          <w:tcPr>
            <w:tcW w:w="296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(5,426</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92,184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132,900</w:t>
            </w:r>
          </w:p>
        </w:tc>
        <w:tc>
          <w:tcPr>
            <w:tcW w:w="193" w:type="dxa"/>
            <w:tcBorders/>
            <w:shd w:fill="FFFFFF" w:val="clear"/>
            <w:vAlign w:val="center"/>
          </w:tcPr>
          <w:p>
            <w:pPr>
              <w:pStyle w:val="TableContents"/>
              <w:bidi w:val="0"/>
              <w:spacing w:before="0" w:after="283"/>
              <w:jc w:val="left"/>
              <w:rPr/>
            </w:pPr>
            <w:r>
              <w:rPr/>
              <w:t> </w:t>
            </w:r>
          </w:p>
        </w:tc>
      </w:tr>
      <w:tr>
        <w:trPr/>
        <w:tc>
          <w:tcPr>
            <w:tcW w:w="29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2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0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 2022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Ecommerce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Wholesale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Retail Financing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Revenues from external customers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1,222,436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270,489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126,622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1,739,552</w:t>
            </w:r>
          </w:p>
        </w:tc>
        <w:tc>
          <w:tcPr>
            <w:tcW w:w="193" w:type="dxa"/>
            <w:tcBorders/>
            <w:shd w:fill="CFF0FC" w:val="clear"/>
            <w:vAlign w:val="center"/>
          </w:tcPr>
          <w:p>
            <w:pPr>
              <w:pStyle w:val="TableContents"/>
              <w:bidi w:val="0"/>
              <w:spacing w:before="0" w:after="283"/>
              <w:jc w:val="left"/>
              <w:rPr/>
            </w:pPr>
            <w:r>
              <w:rPr/>
              <w:t> </w:t>
            </w:r>
          </w:p>
        </w:tc>
      </w:tr>
      <w:tr>
        <w:trPr/>
        <w:tc>
          <w:tcPr>
            <w:tcW w:w="296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94,862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(6,260</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215,328</w:t>
            </w:r>
          </w:p>
        </w:tc>
        <w:tc>
          <w:tcPr>
            <w:tcW w:w="1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reconciliation between reportable segment gross profit to consolidated loss before provision (benefit) for income taxes is as follows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659"/>
        <w:gridCol w:w="146"/>
        <w:gridCol w:w="211"/>
        <w:gridCol w:w="796"/>
        <w:gridCol w:w="166"/>
        <w:gridCol w:w="146"/>
        <w:gridCol w:w="211"/>
        <w:gridCol w:w="796"/>
        <w:gridCol w:w="166"/>
        <w:gridCol w:w="146"/>
        <w:gridCol w:w="211"/>
        <w:gridCol w:w="856"/>
        <w:gridCol w:w="166"/>
        <w:gridCol w:w="146"/>
        <w:gridCol w:w="211"/>
        <w:gridCol w:w="961"/>
        <w:gridCol w:w="211"/>
      </w:tblGrid>
      <w:tr>
        <w:trPr/>
        <w:tc>
          <w:tcPr>
            <w:tcW w:w="4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9"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Reconciliation to consolidated total revenue</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65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reportable segment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221,572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313,699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614,245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1,612,930</w:t>
            </w:r>
          </w:p>
        </w:tc>
        <w:tc>
          <w:tcPr>
            <w:tcW w:w="211" w:type="dxa"/>
            <w:tcBorders/>
            <w:shd w:fill="FFFFFF" w:val="clear"/>
            <w:vAlign w:val="center"/>
          </w:tcPr>
          <w:p>
            <w:pPr>
              <w:pStyle w:val="TableContents"/>
              <w:bidi w:val="0"/>
              <w:spacing w:before="0" w:after="283"/>
              <w:jc w:val="left"/>
              <w:rPr/>
            </w:pPr>
            <w:r>
              <w:rPr/>
              <w:t> </w:t>
            </w:r>
          </w:p>
        </w:tc>
      </w:tr>
      <w:tr>
        <w:trPr/>
        <w:tc>
          <w:tcPr>
            <w:tcW w:w="465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All Other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126,622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Consolidated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235,634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340,797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657,279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1,739,552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9"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Reconciliation to consolidated loss before (benefit) provision for income taxes</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65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reportable segment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61,414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123,324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198,239</w:t>
            </w:r>
          </w:p>
        </w:tc>
        <w:tc>
          <w:tcPr>
            <w:tcW w:w="211" w:type="dxa"/>
            <w:tcBorders/>
            <w:shd w:fill="FFFFFF" w:val="clear"/>
            <w:vAlign w:val="center"/>
          </w:tcPr>
          <w:p>
            <w:pPr>
              <w:pStyle w:val="TableContents"/>
              <w:bidi w:val="0"/>
              <w:spacing w:before="0" w:after="283"/>
              <w:jc w:val="left"/>
              <w:rPr/>
            </w:pPr>
            <w:r>
              <w:rPr/>
              <w:t> </w:t>
            </w:r>
          </w:p>
        </w:tc>
      </w:tr>
      <w:tr>
        <w:trPr/>
        <w:tc>
          <w:tcPr>
            <w:tcW w:w="465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All Other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17,089</w:t>
            </w:r>
          </w:p>
        </w:tc>
        <w:tc>
          <w:tcPr>
            <w:tcW w:w="211" w:type="dxa"/>
            <w:tcBorders/>
            <w:shd w:fill="CFF0FC" w:val="clear"/>
            <w:vAlign w:val="center"/>
          </w:tcPr>
          <w:p>
            <w:pPr>
              <w:pStyle w:val="TableContents"/>
              <w:bidi w:val="0"/>
              <w:spacing w:before="0" w:after="283"/>
              <w:jc w:val="left"/>
              <w:rPr/>
            </w:pPr>
            <w:r>
              <w:rPr/>
              <w:t> </w:t>
            </w:r>
          </w:p>
        </w:tc>
      </w:tr>
      <w:tr>
        <w:trPr/>
        <w:tc>
          <w:tcPr>
            <w:tcW w:w="465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79,586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134,643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263,078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475,627</w:t>
            </w:r>
          </w:p>
        </w:tc>
        <w:tc>
          <w:tcPr>
            <w:tcW w:w="211" w:type="dxa"/>
            <w:tcBorders/>
            <w:shd w:fill="FFFFFF" w:val="clear"/>
            <w:vAlign w:val="center"/>
          </w:tcPr>
          <w:p>
            <w:pPr>
              <w:pStyle w:val="TableContents"/>
              <w:bidi w:val="0"/>
              <w:spacing w:before="0" w:after="283"/>
              <w:jc w:val="left"/>
              <w:rPr/>
            </w:pPr>
            <w:r>
              <w:rPr/>
              <w:t> </w:t>
            </w:r>
          </w:p>
        </w:tc>
      </w:tr>
      <w:tr>
        <w:trPr/>
        <w:tc>
          <w:tcPr>
            <w:tcW w:w="465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27,728</w:t>
            </w:r>
          </w:p>
        </w:tc>
        <w:tc>
          <w:tcPr>
            <w:tcW w:w="211" w:type="dxa"/>
            <w:tcBorders/>
            <w:shd w:fill="CFF0FC" w:val="clear"/>
            <w:vAlign w:val="center"/>
          </w:tcPr>
          <w:p>
            <w:pPr>
              <w:pStyle w:val="TableContents"/>
              <w:bidi w:val="0"/>
              <w:spacing w:before="0" w:after="283"/>
              <w:jc w:val="left"/>
              <w:rPr/>
            </w:pPr>
            <w:r>
              <w:rPr/>
              <w:t> </w:t>
            </w:r>
          </w:p>
        </w:tc>
      </w:tr>
      <w:tr>
        <w:trPr/>
        <w:tc>
          <w:tcPr>
            <w:tcW w:w="465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Impairment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206,127</w:t>
            </w:r>
          </w:p>
        </w:tc>
        <w:tc>
          <w:tcPr>
            <w:tcW w:w="211" w:type="dxa"/>
            <w:tcBorders/>
            <w:shd w:fill="FFFFFF" w:val="clear"/>
            <w:vAlign w:val="center"/>
          </w:tcPr>
          <w:p>
            <w:pPr>
              <w:pStyle w:val="TableContents"/>
              <w:bidi w:val="0"/>
              <w:spacing w:before="0" w:after="283"/>
              <w:jc w:val="left"/>
              <w:rPr/>
            </w:pPr>
            <w:r>
              <w:rPr/>
              <w:t> </w:t>
            </w:r>
          </w:p>
        </w:tc>
      </w:tr>
      <w:tr>
        <w:trPr/>
        <w:tc>
          <w:tcPr>
            <w:tcW w:w="465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Gain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(37,917</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(19,640</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(37,917</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65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9,704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28,617</w:t>
            </w:r>
          </w:p>
        </w:tc>
        <w:tc>
          <w:tcPr>
            <w:tcW w:w="211" w:type="dxa"/>
            <w:tcBorders/>
            <w:shd w:fill="FFFFFF" w:val="clear"/>
            <w:vAlign w:val="center"/>
          </w:tcPr>
          <w:p>
            <w:pPr>
              <w:pStyle w:val="TableContents"/>
              <w:bidi w:val="0"/>
              <w:spacing w:before="0" w:after="283"/>
              <w:jc w:val="left"/>
              <w:rPr/>
            </w:pPr>
            <w:r>
              <w:rPr/>
              <w:t> </w:t>
            </w:r>
          </w:p>
        </w:tc>
      </w:tr>
      <w:tr>
        <w:trPr/>
        <w:tc>
          <w:tcPr>
            <w:tcW w:w="465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(5,506</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(5,104</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(16,369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(12,991</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65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loss,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26,897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Consolidated loss before 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(223,301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(498,760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spacing w:before="120" w:after="283"/>
        <w:jc w:val="left"/>
        <w:rPr/>
      </w:pPr>
      <w:r>
        <w:rPr/>
        <w:t> </w:t>
      </w:r>
    </w:p>
    <w:p>
      <w:pPr>
        <w:pStyle w:val="TextBody"/>
        <w:bidi w:val="0"/>
        <w:jc w:val="left"/>
        <w:rPr>
          <w:rFonts w:ascii="Arial" w:hAnsi="Arial"/>
          <w:b/>
          <w:color w:val="000000"/>
          <w:sz w:val="20"/>
        </w:rPr>
      </w:pPr>
      <w:r>
        <w:rPr>
          <w:rFonts w:ascii="Arial" w:hAnsi="Arial"/>
          <w:b/>
          <w:color w:val="000000"/>
          <w:sz w:val="20"/>
        </w:rPr>
        <w:t>19. Income Taxes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Company’s effective tax rate for the three months ended September 30, 2023 and 2022</w:t>
      </w:r>
      <w:r>
        <w:rPr>
          <w:rFonts w:ascii="Times New Roman" w:hAnsi="Times New Roman"/>
          <w:color w:val="000000"/>
          <w:sz w:val="20"/>
        </w:rPr>
        <w:t xml:space="preserve"> </w:t>
      </w:r>
      <w:r>
        <w:rPr>
          <w:rFonts w:ascii="Arial" w:hAnsi="Arial"/>
          <w:b w:val="false"/>
          <w:color w:val="000000"/>
          <w:sz w:val="20"/>
        </w:rPr>
        <w:t>was (0.31)% and (1.79)%, respectively. The Company’s effective tax rate for the nine months ended September 30, 2023 and 2022</w:t>
      </w:r>
      <w:r>
        <w:rPr>
          <w:rFonts w:ascii="Times New Roman" w:hAnsi="Times New Roman"/>
          <w:color w:val="000000"/>
          <w:sz w:val="20"/>
        </w:rPr>
        <w:t xml:space="preserve"> </w:t>
      </w:r>
      <w:r>
        <w:rPr>
          <w:rFonts w:ascii="Arial" w:hAnsi="Arial"/>
          <w:b w:val="false"/>
          <w:color w:val="000000"/>
          <w:sz w:val="20"/>
        </w:rPr>
        <w:t>was (0.41)% and 4.43%, respectively. The effective tax rate for the nine months ended September 30, 2022</w:t>
      </w:r>
      <w:r>
        <w:rPr>
          <w:rFonts w:ascii="Times New Roman" w:hAnsi="Times New Roman"/>
          <w:color w:val="000000"/>
          <w:sz w:val="20"/>
        </w:rPr>
        <w:t xml:space="preserve"> </w:t>
      </w:r>
      <w:r>
        <w:rPr>
          <w:rFonts w:ascii="Arial" w:hAnsi="Arial"/>
          <w:b w:val="false"/>
          <w:color w:val="000000"/>
          <w:sz w:val="20"/>
        </w:rPr>
        <w:t>was primarily driven by a deferred tax benefit recorded for the decrease of Valuation Allowance resulting from the acquisition of Unitas Holdings Corp. (now known as Vroom Finance Corporation) that occurred during the nine months ended September 30, 2022 of $23.9</w:t>
      </w:r>
      <w:r>
        <w:rPr>
          <w:rFonts w:ascii="Times New Roman" w:hAnsi="Times New Roman"/>
          <w:color w:val="000000"/>
          <w:sz w:val="20"/>
        </w:rPr>
        <w:t xml:space="preserve"> </w:t>
      </w:r>
      <w:r>
        <w:rPr>
          <w:rFonts w:ascii="Arial" w:hAnsi="Arial"/>
          <w:b w:val="false"/>
          <w:color w:val="000000"/>
          <w:sz w:val="20"/>
        </w:rPr>
        <w:t>million.</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Company is subject to tax in the United States and many state and local jurisdictions. The Company, with certain exceptions, is no longer subject to income tax examinations by U.S. federal, state and local for tax years 2016 and prior. The company is not currently under audit for any US federal or state income tax audits.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substantially limit the use of the net operating losses generated before the change in control.</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Company acquired Unitas Holdings Corp. (now known as Vroom Finance Corporation) on February 1, 2022 in a stock acquisition, refer to Note 5 – Acquisitions for additional information. The NOLs and other tax attributes acquired are also subject to Section 382 limitations.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Company has not identified any uncertain tax positions as of September 30, 2023 or December 31, 2022. Any interest and penalties related to uncertain tax positions shall be recorded as a component of income tax expense. To date, no</w:t>
      </w:r>
      <w:r>
        <w:rPr>
          <w:rFonts w:ascii="Times New Roman" w:hAnsi="Times New Roman"/>
          <w:color w:val="000000"/>
          <w:sz w:val="20"/>
        </w:rPr>
        <w:t xml:space="preserve"> </w:t>
      </w:r>
      <w:r>
        <w:rPr>
          <w:rFonts w:ascii="Arial" w:hAnsi="Arial"/>
          <w:b w:val="false"/>
          <w:color w:val="000000"/>
          <w:sz w:val="20"/>
        </w:rPr>
        <w:t>interest or penalties have been accrued in relation to uncertain tax positions.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August 16, 2022, the Inflation Reduction Act of 2022 ("IRA") was signed into law. The IRA includes implementation of a new alternative minimum tax, an excise tax on stock buybacks, and significant tax incentives for energy and climate initiatives, among other provisions. The Company is evaluating the provisions included under the IRA and does not expect the provisions to have a material impact to the Company's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20. Net Loss Per Share</w:t>
      </w:r>
    </w:p>
    <w:p>
      <w:pPr>
        <w:pStyle w:val="TextBody"/>
        <w:bidi w:val="0"/>
        <w:jc w:val="left"/>
        <w:rPr>
          <w:rFonts w:ascii="Times New Roman" w:hAnsi="Times New Roman"/>
          <w:sz w:val="20"/>
        </w:rPr>
      </w:pPr>
      <w:r>
        <w:rPr>
          <w:rFonts w:ascii="Arial" w:hAnsi="Arial"/>
          <w:b w:val="false"/>
          <w:color w:val="000000"/>
          <w:sz w:val="20"/>
        </w:rPr>
        <w:t>The following table sets forth the computation of basic and diluted net loss per share attributable to common stockholders: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84"/>
        <w:gridCol w:w="146"/>
        <w:gridCol w:w="211"/>
        <w:gridCol w:w="1171"/>
        <w:gridCol w:w="166"/>
        <w:gridCol w:w="146"/>
        <w:gridCol w:w="211"/>
        <w:gridCol w:w="1171"/>
        <w:gridCol w:w="166"/>
        <w:gridCol w:w="146"/>
        <w:gridCol w:w="211"/>
        <w:gridCol w:w="1171"/>
        <w:gridCol w:w="166"/>
        <w:gridCol w:w="146"/>
        <w:gridCol w:w="211"/>
        <w:gridCol w:w="1171"/>
        <w:gridCol w:w="211"/>
      </w:tblGrid>
      <w:tr>
        <w:trPr/>
        <w:tc>
          <w:tcPr>
            <w:tcW w:w="3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4"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except share and per share amounts)</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(224,219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(476,675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38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Weighted-average number of shares outstanding used to compute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139,692,323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138,118,679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139,123,352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137,817,839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8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following potentially dilutive shares were not included in the calculation of diluted shares outstanding for the periods presented as the effect would have been anti-dilutive:</w:t>
      </w:r>
      <w:r>
        <w:rPr>
          <w:rFonts w:ascii="Times New Roman" w:hAnsi="Times New Roman"/>
          <w:color w:val="000000"/>
          <w:sz w:val="20"/>
        </w:rPr>
        <w:t xml:space="preserve"> </w:t>
      </w:r>
    </w:p>
    <w:p>
      <w:pPr>
        <w:pStyle w:val="TextBody"/>
        <w:bidi w:val="0"/>
        <w:jc w:val="left"/>
        <w:rPr/>
      </w:pPr>
      <w:r>
        <w:rPr/>
        <w:t> </w:t>
      </w:r>
    </w:p>
    <w:tbl>
      <w:tblPr>
        <w:tblW w:w="5274" w:type="dxa"/>
        <w:jc w:val="left"/>
        <w:tblInd w:w="0" w:type="dxa"/>
        <w:tblLayout w:type="fixed"/>
        <w:tblCellMar>
          <w:top w:w="28" w:type="dxa"/>
          <w:left w:w="28" w:type="dxa"/>
          <w:bottom w:w="28" w:type="dxa"/>
          <w:right w:w="28" w:type="dxa"/>
        </w:tblCellMar>
      </w:tblPr>
      <w:tblGrid>
        <w:gridCol w:w="2221"/>
        <w:gridCol w:w="146"/>
        <w:gridCol w:w="146"/>
        <w:gridCol w:w="1066"/>
        <w:gridCol w:w="146"/>
        <w:gridCol w:w="146"/>
        <w:gridCol w:w="146"/>
        <w:gridCol w:w="1066"/>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Convertible senior notes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5,936,226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10,132,119</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Stock options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2,379,519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3,273,021</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Restricted stock units</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14,008,261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8,879,252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22,324,006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22,284,392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color w:val="000000"/>
          <w:sz w:val="20"/>
        </w:rPr>
      </w:pPr>
      <w:bookmarkStart w:id="10" w:name="mda"/>
      <w:bookmarkEnd w:id="10"/>
      <w:r>
        <w:rPr>
          <w:rFonts w:ascii="Arial" w:hAnsi="Arial"/>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Arial" w:hAnsi="Arial"/>
          <w:b w:val="false"/>
          <w:i/>
          <w:color w:val="000000"/>
          <w:sz w:val="20"/>
        </w:rPr>
      </w:pPr>
      <w:r>
        <w:rPr>
          <w:rFonts w:ascii="Arial" w:hAnsi="Arial"/>
          <w:b w:val="false"/>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2022 (the “Annual Report”), as updated by the section titled "Risk Factors" in Part II, Item 1A of this Quarterly Report on Form 10-Q. Additionally, our historical results are not necessarily indicative of the results that may be expected for any period in the future.</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b w:val="false"/>
          <w:color w:val="000000"/>
          <w:sz w:val="20"/>
        </w:rPr>
        <w:t>Vroom is an innovative, end-to-end ecommerce platform that is transforming the used vehicle industry by offering a better way to buy and a better way to sell used vehicles. Our scalable, data-driven technology brings all phases of the car buying and selling process to consumers wherever they are, and offers an extensive selection of used vehicles, transparent pricing, competitive financing, and at-home pick-up and delivery. We are deeply committed to creating an exceptional experience for our customers.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We take a vertically integrated, hybrid approach and leverage the benefits of national scale and local efficiency. We are driving enduring change in the industry by reinventing all phases of the vehicle buying and selling process, from discovery to delivery and everything in between. Our platform encompasses: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Ecommerce: </w:t>
      </w:r>
      <w:r>
        <w:rPr>
          <w:rFonts w:ascii="Arial" w:hAnsi="Arial"/>
          <w:b w:val="false"/>
          <w:color w:val="000000"/>
          <w:sz w:val="20"/>
        </w:rPr>
        <w:t>We provide consumers with a personalized and intuitive ecommerce interface to research and select from thousands of fully reconditioned vehicles, with specific sorting, searching and filtering functionality. Our platform is accessible at any time on any device and provides transparent haggle-free pricing, detailed vehicle information, real-time financing and nationwide contact-free delivery right to a buyer’s driveway. For consumers looking to sell or trade in their vehicles, we provide attractive market-based pricing, real-time price quotes and convenient, contact-free at-home vehicle pick-up.</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Vehicle Operations: </w:t>
      </w:r>
      <w:r>
        <w:rPr>
          <w:rFonts w:ascii="Arial" w:hAnsi="Arial"/>
          <w:b w:val="false"/>
          <w:color w:val="000000"/>
          <w:sz w:val="20"/>
        </w:rPr>
        <w:t xml:space="preserve">Our scalable and vertically integrated operations underpin our business model. We strategically source inventory from consumers, auctions, rental car companies, OEMs, and dealers. We improve our ability to acquire high-demand vehicles through enhanced supply science across all our sourcing channels and utilize national marketing efforts to drive consumer sourcing. In our reconditioning and logistics operations, we deploy a hybrid strategy that optimizes a combination of ownership and operation of assets by us with strategic third-party partnerships. We continue to leverage our last mile hub logistics operations and geographically dispersed network of reconditioning centers to further develop our regional operating model designed to improve our operating leverage, drive stronger unit economics and enhance our customer experience.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Data Science and Experimentation: </w:t>
      </w:r>
      <w:r>
        <w:rPr>
          <w:rFonts w:ascii="Arial" w:hAnsi="Arial"/>
          <w:b w:val="false"/>
          <w:color w:val="000000"/>
          <w:sz w:val="20"/>
        </w:rPr>
        <w:t>Data science and experimentation are at the core of everything we do. We rely on data science, machine learning and A/B and multivariate testing to continually drive optimization and operating leverage across our ecommerce and vehicle operations. We leverage data to increase the effectiveness of our national brand and performance marketing, enhance our customer experience, analyze market dynamics at scale, calibrate our vehicle pricing and optimize our overall inventory sales velocity. In our vehicle operations, data science and experimentation enables us to fine tune our supply, sourcing and logistics models and to streamline our reconditioning processes.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Vehicle Financing: </w:t>
      </w:r>
      <w:r>
        <w:rPr>
          <w:rFonts w:ascii="Arial" w:hAnsi="Arial"/>
          <w:b w:val="false"/>
          <w:color w:val="000000"/>
          <w:sz w:val="20"/>
        </w:rPr>
        <w:t>A critical component of our value proposition is offering vehicle financing to our customers as a seamless component of the transaction process. We currently offer integrated, real-time, individualized financing solutions through strategic partnerships with trusted lenders in automotive finance and through our subsidiary, UACC, which we acquired on February 1, 2022. The acquisition of UACC accelerated Vroom’s strategy to develop a captive financing arm and brought with it UACC’s financing expertise and extensive application processing, underwriting, securitization, and servicing capabilities.</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Based on data from Cox Automotive, there were an estimated 36.2 million used vehicle transactions in 2022. According to a 2022 NADA Auto Retailing market summary, the U.S. automotive industry generated approximately $1.2 trillion in sales in 2021. The U.S. used automotive market is highly fragmented and ripe for disruption as an industry that is notorious for consumer dissatisfaction and has one of the lowest levels of ecommerce penetration.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offer consumers what we offer.</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Long-Term Roadmap</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 xml:space="preserve">In 2022, we developed a long-term road map designed to achieve three key objectives: prioritizing unit economics over growth, significantly reducing operating expenses, and maximizing liquidity. In 2023, we have refined these three key objectives to prioritize unit economics </w:t>
      </w:r>
      <w:r>
        <w:rPr>
          <w:rFonts w:ascii="Arial" w:hAnsi="Arial"/>
          <w:b w:val="false"/>
          <w:i/>
          <w:color w:val="000000"/>
          <w:sz w:val="20"/>
        </w:rPr>
        <w:t>and growth</w:t>
      </w:r>
      <w:r>
        <w:rPr>
          <w:rFonts w:ascii="Arial" w:hAnsi="Arial"/>
          <w:b w:val="false"/>
          <w:color w:val="000000"/>
          <w:sz w:val="20"/>
        </w:rPr>
        <w:t xml:space="preserve">, improve costs </w:t>
      </w:r>
      <w:r>
        <w:rPr>
          <w:rFonts w:ascii="Arial" w:hAnsi="Arial"/>
          <w:b w:val="false"/>
          <w:i/>
          <w:color w:val="000000"/>
          <w:sz w:val="20"/>
        </w:rPr>
        <w:t>per unit</w:t>
      </w:r>
      <w:r>
        <w:rPr>
          <w:rFonts w:ascii="Times New Roman" w:hAnsi="Times New Roman"/>
          <w:color w:val="000000"/>
          <w:sz w:val="20"/>
        </w:rPr>
        <w:t xml:space="preserve"> </w:t>
      </w:r>
      <w:r>
        <w:rPr>
          <w:rFonts w:ascii="Arial" w:hAnsi="Arial"/>
          <w:b w:val="false"/>
          <w:color w:val="000000"/>
          <w:sz w:val="20"/>
        </w:rPr>
        <w:t>and maximize liquidity.</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 order to achieve these objectives, we are focused on four strategic initiatives: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Building a well-oiled transaction machine: </w:t>
      </w:r>
      <w:r>
        <w:rPr>
          <w:rFonts w:ascii="Arial" w:hAnsi="Arial"/>
          <w:b w:val="false"/>
          <w:color w:val="000000"/>
          <w:sz w:val="20"/>
        </w:rPr>
        <w:t>Optimize and digitize our sales channels; streamline and digitize the title and registration process; and optimize our marketing strategies by building brand awareness, growing organic search traffic and fine-tuning paid media campaigns to improve direct traffic and drive conversion.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Building a well-oiled metal machine: </w:t>
      </w:r>
      <w:r>
        <w:rPr>
          <w:rFonts w:ascii="Arial" w:hAnsi="Arial"/>
          <w:b w:val="false"/>
          <w:color w:val="000000"/>
          <w:sz w:val="20"/>
        </w:rPr>
        <w:t xml:space="preserve">Optimize pricing and assortment of vehicles through predictive data and analytics and regionalization, as well as synchronize end-to-end supply chain to increase velocity and improve flow.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Building a regional operating model: </w:t>
      </w:r>
      <w:r>
        <w:rPr>
          <w:rFonts w:ascii="Arial" w:hAnsi="Arial"/>
          <w:b w:val="false"/>
          <w:color w:val="000000"/>
          <w:sz w:val="20"/>
        </w:rPr>
        <w:t xml:space="preserve">Build a regional operating model to improve the customer experience; increase the speed of the supply chain; lower logistics costs; and reduce markdowns.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Building a captive finance offering: </w:t>
      </w:r>
      <w:r>
        <w:rPr>
          <w:rFonts w:ascii="Arial" w:hAnsi="Arial"/>
          <w:b w:val="false"/>
          <w:color w:val="000000"/>
          <w:sz w:val="20"/>
        </w:rPr>
        <w:t>Accelerate the development of UACC as a captive financing operation, giving us the ability to better serve our customers across the credit spectrum, drive enhanced unit economics and improve our overall customer experience.</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These four initiatives are designed to further our progress in building a profitable business model, enable us to build a well-oiled machine across our operations and position us to resume growth.</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Our Model</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b w:val="false"/>
          <w:color w:val="000000"/>
          <w:sz w:val="20"/>
        </w:rPr>
        <w:t>We generate revenue through the sale of used vehicles, vehicle financing and value-added products. We sell vehicles directly to consumers primarily through our Ecommerce segment as a licensed dealer.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a result of the UACC Acquisition on February 1, 2022, we are developing a captive financing operation for Vroom customers, which will enable us to provide our customers with expanded financing solutions across the credit spectrum and an enhanced customer experience, while generating improved unit economics. We also expect to continue to generate ecommerce product revenue through interest income on UACC's finance receivables generated by loans provided to Vroom customers and UACC’s sale of such finance receivables in securitization transactions or forward flow arrangements. Additionally, we expect UACC to continue to purchase and service finance receivables originated by its network of third-party dealership customers and generate finance revenue, including interest income earned on finance receivables before the loans are sold, interest income on finance receivables held in consolidated VIEs, and, when applicable, gains on sale of securitized finance receivables. Over time, we intend to grow the third-party dealership network and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We also sell vehicles through wholesale channels, which provide a revenue source for vehicles that do not meet our Vroom retail sales criteria.</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For the three months ended September 30, 2023, our Ecommerce, Wholesale, and Retail Financing segments represented 63.6%, 13.1%, and 17.3% of our total revenue, respectively. For the nine months ended September 30, 2023 our Ecommerce, Wholesale, and Retail Financing segments represented 64.5%, 11.5%, and 17.5% of our total revenue, respectively.</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vehicle financing originated by our third-party financing sources and any third-party value-added products sold as part of a vehicle sale. Because we are paid fees on the third-party financing and other value-added products we sell, our gross profit on such products is equal to the revenue we generate. Starting in 2022, Product Gross Profit also includes (i) interest income earned on finance receivables from Vroom customers that we originate through UACC before the loans are sold, (ii) interest income on finance receivables held in consolidated variable interest entities ("VIEs") less the interest expense incurred on securitization debt, and when applicable (iii) gain on sales of securitized finance receivables. See “—Key Operating and Financial Metrics.”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Below is an explanation of how we calculate vehicle gross profit per unit and product gross profit per unit:</w:t>
      </w:r>
    </w:p>
    <w:p>
      <w:pPr>
        <w:pStyle w:val="TextBody"/>
        <w:bidi w:val="0"/>
        <w:jc w:val="left"/>
        <w:rPr/>
      </w:pPr>
      <w:r>
        <w:rPr/>
        <w:t> </w:t>
      </w:r>
    </w:p>
    <w:p>
      <w:pPr>
        <w:pStyle w:val="TextBody"/>
        <w:bidi w:val="0"/>
        <w:jc w:val="left"/>
        <w:rPr/>
      </w:pPr>
      <w:r>
        <w:rPr/>
        <w:drawing>
          <wp:inline distT="0" distB="0" distL="0" distR="0">
            <wp:extent cx="6324600" cy="2638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24600" cy="2638425"/>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Our profitability depends primarily on improving unit economics and achieving operating leverage. We deploy a hybrid strategy that optimizes a combination of ownership and operation of assets by us with strategic third-party partnerships. Our hybrid approach also applies to the third-party value-added products we sell to customers. Historically, we generated additional revenue streams without directly underwriting vehicle financing or protection products; however, the UACC Acquisition enables us to underwrite vehicle financing for our customers. As we resume growth, we expect to benefit from efficiencies and operating leverage across our business, including our marketing and technology investments, and our inventory procurement, logistics, reconditioning and sales processes.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Our Segments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b w:val="false"/>
          <w:color w:val="000000"/>
          <w:sz w:val="20"/>
        </w:rPr>
        <w:t>We manage and report operating results through three reportable segments: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Ecommerce </w:t>
      </w:r>
      <w:r>
        <w:rPr>
          <w:rFonts w:ascii="Arial" w:hAnsi="Arial"/>
          <w:b w:val="false"/>
          <w:color w:val="000000"/>
          <w:sz w:val="20"/>
        </w:rPr>
        <w:t>(63.6% and 64.5% of total revenue for the three and nine months ended September 30, 2023): The Ecommerce segment represents retail sales of used vehicles through our ecommerce platform, revenue earned on vehicle financing originated by UACC or our third-party financing sources and sales of value-added products associated with those vehicles sales.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Wholesale </w:t>
      </w:r>
      <w:r>
        <w:rPr>
          <w:rFonts w:ascii="Arial" w:hAnsi="Arial"/>
          <w:b w:val="false"/>
          <w:color w:val="000000"/>
          <w:sz w:val="20"/>
        </w:rPr>
        <w:t>(13.1% and 11.5% of total revenue for the three and nine months ended September 30, 2023): The Wholesale segment represents sales of used vehicles through wholesale channels.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Retail Financing </w:t>
      </w:r>
      <w:r>
        <w:rPr>
          <w:rFonts w:ascii="Arial" w:hAnsi="Arial"/>
          <w:b w:val="false"/>
          <w:color w:val="000000"/>
          <w:sz w:val="20"/>
        </w:rPr>
        <w:t>(17.3% and 17.5% of total revenue for the three and nine months ended September 30, 2023): The Retail Financing segment represents UACC’s operations with its network of third-party dealership customers.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Gross profit is defined as revenue less cost of sales for each segment. Reflected below is a summary of segment revenue and segment gross profit for the three and nine months ended September 30, 2023 and 2022:</w:t>
      </w:r>
      <w:r>
        <w:rPr>
          <w:rFonts w:ascii="Times New Roman" w:hAnsi="Times New Roman"/>
          <w:color w:val="000000"/>
          <w:sz w:val="20"/>
        </w:rPr>
        <w:t xml:space="preserve"> </w:t>
      </w:r>
    </w:p>
    <w:p>
      <w:pPr>
        <w:pStyle w:val="TextBody"/>
        <w:bidi w:val="0"/>
        <w:jc w:val="left"/>
        <w:rPr/>
      </w:pPr>
      <w:r>
        <w:rPr/>
        <w:t> </w:t>
      </w:r>
    </w:p>
    <w:tbl>
      <w:tblPr>
        <w:tblW w:w="7347" w:type="dxa"/>
        <w:jc w:val="left"/>
        <w:tblInd w:w="0" w:type="dxa"/>
        <w:tblLayout w:type="fixed"/>
        <w:tblCellMar>
          <w:top w:w="28" w:type="dxa"/>
          <w:left w:w="28" w:type="dxa"/>
          <w:bottom w:w="28" w:type="dxa"/>
          <w:right w:w="28" w:type="dxa"/>
        </w:tblCellMar>
      </w:tblPr>
      <w:tblGrid>
        <w:gridCol w:w="1861"/>
        <w:gridCol w:w="146"/>
        <w:gridCol w:w="211"/>
        <w:gridCol w:w="796"/>
        <w:gridCol w:w="166"/>
        <w:gridCol w:w="146"/>
        <w:gridCol w:w="211"/>
        <w:gridCol w:w="796"/>
        <w:gridCol w:w="166"/>
        <w:gridCol w:w="146"/>
        <w:gridCol w:w="211"/>
        <w:gridCol w:w="796"/>
        <w:gridCol w:w="166"/>
        <w:gridCol w:w="146"/>
        <w:gridCol w:w="211"/>
        <w:gridCol w:w="961"/>
        <w:gridCol w:w="21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2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91"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Ecommerce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149,851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225,441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423,713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1,222,436</w:t>
            </w:r>
          </w:p>
        </w:tc>
        <w:tc>
          <w:tcPr>
            <w:tcW w:w="211" w:type="dxa"/>
            <w:tcBorders/>
            <w:shd w:fill="FFFFFF" w:val="cle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30,898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270,489</w:t>
            </w:r>
          </w:p>
        </w:tc>
        <w:tc>
          <w:tcPr>
            <w:tcW w:w="21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Retail Financing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40,823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40,654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114,939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120,005</w:t>
            </w:r>
          </w:p>
        </w:tc>
        <w:tc>
          <w:tcPr>
            <w:tcW w:w="211" w:type="dxa"/>
            <w:tcBorders/>
            <w:shd w:fill="FFFFFF" w:val="cle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All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126,622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235,634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340,797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657,279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1,739,552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Gross profit (loss):</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Ecommerce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14,339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94,862</w:t>
            </w:r>
          </w:p>
        </w:tc>
        <w:tc>
          <w:tcPr>
            <w:tcW w:w="211" w:type="dxa"/>
            <w:tcBorders/>
            <w:shd w:fill="FFFFFF" w:val="cle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(1,495</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(1,574</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(5,426</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(6,260</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8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Retail Financing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92,184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109,637</w:t>
            </w:r>
          </w:p>
        </w:tc>
        <w:tc>
          <w:tcPr>
            <w:tcW w:w="211" w:type="dxa"/>
            <w:tcBorders/>
            <w:shd w:fill="FFFFFF" w:val="cle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All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17,089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132,900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215,328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Key Operating and Financial Metrics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b w:val="false"/>
          <w:color w:val="000000"/>
          <w:sz w:val="20"/>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condensed consolidated financial statements and related notes included elsewhere in this Quarterly Report on Form 10-Q. We focus heavily on metrics related to unit economics as improved gross profit per unit is a key element of our growth and profitability strategies.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r>
        <w:rPr>
          <w:rFonts w:ascii="Times New Roman" w:hAnsi="Times New Roman"/>
          <w:color w:val="000000"/>
          <w:sz w:val="20"/>
        </w:rPr>
        <w:t xml:space="preserve"> </w:t>
      </w:r>
    </w:p>
    <w:p>
      <w:pPr>
        <w:pStyle w:val="TextBody"/>
        <w:bidi w:val="0"/>
        <w:jc w:val="left"/>
        <w:rPr/>
      </w:pPr>
      <w:r>
        <w:rPr/>
        <w:t> </w:t>
      </w:r>
    </w:p>
    <w:tbl>
      <w:tblPr>
        <w:tblW w:w="9517" w:type="dxa"/>
        <w:jc w:val="left"/>
        <w:tblInd w:w="0" w:type="dxa"/>
        <w:tblLayout w:type="fixed"/>
        <w:tblCellMar>
          <w:top w:w="28" w:type="dxa"/>
          <w:left w:w="28" w:type="dxa"/>
          <w:bottom w:w="28" w:type="dxa"/>
          <w:right w:w="28" w:type="dxa"/>
        </w:tblCellMar>
      </w:tblPr>
      <w:tblGrid>
        <w:gridCol w:w="3616"/>
        <w:gridCol w:w="146"/>
        <w:gridCol w:w="211"/>
        <w:gridCol w:w="961"/>
        <w:gridCol w:w="146"/>
        <w:gridCol w:w="146"/>
        <w:gridCol w:w="211"/>
        <w:gridCol w:w="961"/>
        <w:gridCol w:w="146"/>
        <w:gridCol w:w="146"/>
        <w:gridCol w:w="211"/>
        <w:gridCol w:w="961"/>
        <w:gridCol w:w="146"/>
        <w:gridCol w:w="146"/>
        <w:gridCol w:w="211"/>
        <w:gridCol w:w="961"/>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Ecommerce units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12,621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35,134</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Vehicle gross profit per ecommerce unit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1,314</w:t>
            </w:r>
          </w:p>
        </w:tc>
        <w:tc>
          <w:tcPr>
            <w:tcW w:w="19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gross profit per ecommerce unit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gross profit per ecommerce unit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Average monthly unique visitors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2,319,456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1,647,920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2,336,988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1,989,962</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Ecommerce average days to 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118</w:t>
            </w:r>
          </w:p>
        </w:tc>
        <w:tc>
          <w:tcPr>
            <w:tcW w:w="19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Inventory turnover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3.29</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Inventory days to supply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Ecommerce Units Sold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Ecommerce units sold is defined as the number of vehicles sold and shipped to customers through our ecommerce platform, net of returns under our Vroom 7-Day Return Program. Ecommerce units sold exclude on-site sales of vehicles at TDA and through the Wholesale segment. Each vehicle sale through our ecommerce platform also creates the opportunity to leverage such sale to provide vehicle financing, sell value-added products and acquire trade-in vehicles from our customers, which we can either recondition and add to our inventory or sell through wholesale channels.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Vehicle Gross Profit per Ecommerce Unit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We believe Vehicle GPPU is a key driver of our long-term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Product Gross Profit per Ecommerce Unit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Product Gross Profit per ecommerce unit, which we refer to as Product GPPU, for a given period is defined as the aggregate fees earned on sales of third-party vehicle financing and value-added products in that period, net of the reserves for chargebacks on such products in that period, divided by the number of ecommerce units sold in that period. Because we are paid fees on the vehicle financing and value-added products we sell, our gross profit is equal to the revenue we generate from the sale of such products. Starting in 2022, Product Gross Profit also includes (i) interest income earned on finance receivables from Vroom customers to finance vehicle sales that we originate through UACC before the loans are sold, (ii) interest income on finance receivables held in consolidated VIEs less the interest expense incurred on securitization debt, and when applicable (iii) gain on sales of securitized finance receivables, divided by the number of ecommerce units sold in that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Total Gross Profit per Ecommerce Unit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Total Gross Profit per ecommerce unit, which we refer to as Total GPPU, for a given period is calculated as the sum of Vehicle GPPU and Product GPPU. We view Total GPPU as a key metric of the profitability of our Ecommerce segment.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Average Monthly Unique Visitors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Ecommerce Average Days to Sale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on-site at TDA and through the Wholesale segment. Ecommerce average days to sale is an important metric because a reduction in the number of days between the acquisition of a vehicle and the delivery of such vehicle typically results in a higher gross profit per unit.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Inventory turnover</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Inventory turnover is a measure of how well we are optimizing our inventory. We calculate inventory turnover for a given period as total retail and wholesale cost of sales for the respective period annualized and divided by average inventory (computed using the current and immediately preceding quarter-end balances). Our inventory turnover ratio is an important metric as a higher turnover ratio reflects a more efficient use of our capital and typically results in a higher gross profit per unit.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Inventory days to supply</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We calculate inventory days to supply for a given period by dividing average inventory by total retail and wholesale cost of sales per day for the respective period. Inventory days to supply is an important metric because a reduction in the inventory days to supply typically results in a higher gross profit per unit.</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Non-GAAP Financial Measures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addition to our results determined in accordance with U.S. GAAP, we believe the following non-GAAP financial measures are useful in evaluating our operating performance: EBITDA, Adjusted EBITDA, and Adjusted EBITDA excluding securitization gain.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EBITDA, Adjusted EBITDA, and Adjusted EBITDA excluding securitization gain are supplemental performance measures that our management uses to assess our operating performance and the operating leverage in our business. Because EBITDA, Adjusted EBITDA, and Adjusted EBITDA excluding securitization gain facilitate internal comparisons of our historical operating performance on a more consistent basis, we use these measures for business planning purposes.</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EBITDA, Adjusted EBITDA, and Adjusted EBITDA excluding securitization gain</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We calculate EBITDA as net loss before interest expense, interest income, income tax expense and depreciation and amortization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We calculate Adjusted EBITDA as EBITDA adjusted to exclude severance costs, gain on debt extinguishment, severe weather-related costs, goodwill impairment charge, realignment costs, acquisition related costs, and other costs, which relate to the impairment of long-lived assets. Changes in fair value of financial instruments can fluctuate significantly from period to period and were previously related primarily to historical loans and debt that have been securitized, and were acquired on February 1, 2022 from UACC. Our ongoing business model is to originate or purchase finance receivables with the intent to sell, which we recognize at the lower of cost or fair value. As a result of current market conditions, the financial instruments related to the 2022-2 and 2023-1 securitization transactions are recognized on balance-sheet and accounted for under the fair value option. See Note 16 — Financial Instruments and Fair Value Measurements to our condensed consolidated financial statements included elsewhere in this Quarterly Report on Form 10-Q. As a result, the majority of our finance receivables are now carried at fair value and a significant portion of the risk of loss associated with these finance receivables have been retained by UACC. We therefore have determined we will no longer make any adjustments for such fluctuations in fair value to our Adjusted EBITDA results. We have recast the prior periods presented to conform to current period presentation. We may account for future securitizations as on balance sheet transactions depending on market conditions.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We calculate Adjusted EBITDA excluding securitization gain as Adjusted EBITDA adjusted to exclude the securitization gain from the sale of UACC's finance receivables as it provides a useful perspective on the underlying operating results and trends as well as a means to compare our period-over-period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following table presents a reconciliation of EBITDA, Adjusted EBITDA, and Adjusted EBITDA excluding securitization gain to net loss, which is the most directly comparable U.S. GAAP measure:</w:t>
      </w:r>
    </w:p>
    <w:p>
      <w:pPr>
        <w:pStyle w:val="TextBody"/>
        <w:bidi w:val="0"/>
        <w:jc w:val="left"/>
        <w:rPr/>
      </w:pPr>
      <w:r>
        <w:rPr/>
        <w:t> </w:t>
      </w:r>
    </w:p>
    <w:tbl>
      <w:tblPr>
        <w:tblW w:w="9537" w:type="dxa"/>
        <w:jc w:val="left"/>
        <w:tblInd w:w="0" w:type="dxa"/>
        <w:tblLayout w:type="fixed"/>
        <w:tblCellMar>
          <w:top w:w="28" w:type="dxa"/>
          <w:left w:w="28" w:type="dxa"/>
          <w:bottom w:w="28" w:type="dxa"/>
          <w:right w:w="28" w:type="dxa"/>
        </w:tblCellMar>
      </w:tblPr>
      <w:tblGrid>
        <w:gridCol w:w="4186"/>
        <w:gridCol w:w="146"/>
        <w:gridCol w:w="211"/>
        <w:gridCol w:w="751"/>
        <w:gridCol w:w="166"/>
        <w:gridCol w:w="146"/>
        <w:gridCol w:w="211"/>
        <w:gridCol w:w="751"/>
        <w:gridCol w:w="166"/>
        <w:gridCol w:w="146"/>
        <w:gridCol w:w="211"/>
        <w:gridCol w:w="856"/>
        <w:gridCol w:w="166"/>
        <w:gridCol w:w="146"/>
        <w:gridCol w:w="211"/>
        <w:gridCol w:w="856"/>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(82,857</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(51,127</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(224,219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(476,675</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Adjusted to exclude the following:</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1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9,704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30,915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28,617</w:t>
            </w:r>
          </w:p>
        </w:tc>
        <w:tc>
          <w:tcPr>
            <w:tcW w:w="21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(5,506</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(5,104</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(16,369</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(12,991</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(22,085</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28,005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EBITDA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(176,334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(455,129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Severance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Gain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(37,917</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(19,640</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(37,917</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Hail storm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Goodwill impairment charge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201,703</w:t>
            </w:r>
          </w:p>
        </w:tc>
        <w:tc>
          <w:tcPr>
            <w:tcW w:w="21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Realignment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12,772</w:t>
            </w:r>
          </w:p>
        </w:tc>
        <w:tc>
          <w:tcPr>
            <w:tcW w:w="21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Acquisition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5,653</w:t>
            </w:r>
          </w:p>
        </w:tc>
        <w:tc>
          <w:tcPr>
            <w:tcW w:w="21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(185,614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(270,791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Securitization gain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(45,589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Adjusted EBITDA excluding securitization gain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(185,614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(316,380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Other Key Factors and Trends Affecting our Operating Results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b w:val="false"/>
          <w:color w:val="000000"/>
          <w:sz w:val="20"/>
        </w:rPr>
        <w:t>Our financial condition and results of operations have been, and will continue to be, affected by a number of factors and trends, including the following: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Ability to convert visitors to our platform into customers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quality of the customer experience on our ecommerce platform is critical to our ability to attract new visitors to our platform, convert such visitors into customers and increase repeat customers. Our ability to drive higher customer conversion depends on our ability to make our platform a compelling choice for consumers based on our functionalities and consumer offerings.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Data science and testing drive decision making across all of our conversion and sourcing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 for consumers looking to purchase vehicles. Similarly, for consumers looking to sell vehicles to us, we use a vast set of data and data science to provide an automated pricing platform that delivers real time, market-driven appraisals, and continually test and optimize in order to further refine our approach to enhance the customer experience and drive increased vehicle purchases.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Increased conversion also depends on our ability to provide the necessary customer support and sales support. Our ongoing investment in our customer experience operations includes investments in processes, technology, and data science. We are continuing to invest in our processes, in order to remove friction and increase transaction flow, and in technology and data science to automate and improve our customer experience, reduce costs per transaction and to drive conversion</w:t>
      </w:r>
      <w:r>
        <w:rPr>
          <w:rFonts w:ascii="Arial" w:hAnsi="Arial"/>
          <w:b w:val="false"/>
          <w:i/>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part of our long-term roadmap, we have been scaling our in-house sales team, have ceased using all third-party sales providers and have meaningfully increased the level of sales supported internally, which we believe will improve our customer experience, and lower our selling costs. Our sales operation is now fully in-house, however, the transition away from third-party sales providers negatively impacted our sales volume through the first half of 2023. Nevertheless, we do not expect this transition to have a long-term impact on our sales volume, or financial condition and results of operations as we continue to reduce costs and optimize our internal sales force. The ability to successfully grow an effective internal sales team will be critical to our ability to achieve profitable growth.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order to address the operational challenges created by our prior rapid growth from 2020 through the first quarter of 2022, including delays in titling and registering vehicles purchased by our customers, we have undertaken various initiatives to improve our transaction processing, enhance our customer experience, and reduce our regulatory risk. These initiatives include increased digitization and electronic transmission of transaction documents and implementation of our digital title vault to ensure that titles are quality checked and vaulted in Vroom's name prior to listing of vehicles on our website. As we improve the customer experience and drive efficiency in transaction processing, we expect that we will attract more visitors, improve conversion, drive greater sales and continue to source vehicles from consumers. If we cannot manage our growth effectively to maintain the quality and efficiency of our customers’ experience, our business, financial condition and results of operations could be materially and adversely affected. See “Risks Related to Our Growth and Strategy—Our prior rapid growth is not indicative of our short-term strategy under our long-term roadmap and, if and when we return to rapid growth, we may not be able to manage our growth effectively" in our Annual Report.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i/>
          <w:color w:val="000000"/>
          <w:sz w:val="20"/>
        </w:rPr>
        <w:t>Ability to optimize the mix of inventory to drive increased gross profit and improvements to our unit economics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Improving unit economics and driving increased gross profit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In addition, our ability to accurately forecast pricing and consumer demand for specific types of vehicles is critical to sourcing high quality, high-demand vehicles, as well as lower-price point vehicles to take advantage of the expanded sales opportunities to customers across the credit spectrum enabled by the UACC Acquisition. The ability to source the optimal mix of quality inventory will continue to be a key driver of improved unit economics and increased gross profit. This ability is enabled by our data science capabilities that leverage the growing amount of data at our disposal and generate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predictive data analytics that fine-tune our supply and sourcing models. As we continue to invest in our operational efficiency and data science, we expect that we will improve our unit economics and in turn drive increased gross profit.</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We strategically source inventory from consumers, auctions, rental car companies, OEMs and dealers. For the three and nine months ended September 30, 2023, vehicles sourced from consumers represent the substantial majority of our retail inventory sold, although we expect the percentage of vehicles sourced from consumers to decline in the fourth quarter as we evaluate the optimal mix of sourcing channels and strive to source vehicles in a way to maximize our average gross profit per unit and improve unit economics. Because the quality of vehicles and associated contribution margin (gross margin less variable costs) profile vary across each channel, the mix of inventory sources has an impact on our profitability. For example, purchasing vehicles at third party auctions is competitive, and consequently, vehicle prices at third party auctions tend to be higher than vehicle prices for vehicles sourced directly from consumers. However, sourcing from consumers requires increased marketing, transportation, and reconditioning expenses. We continually evaluate the optimal mix of sourcing channels and strive to source vehicles in a way that generates the highest sales margins, lowest variable costs, and shortest inventory turns in order to maximize our average gross profit per unit and improve our unit economics.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As we made progress on our initiatives to address the operational challenges created by our prior rapid growth from 2020 through the first quarter of 2022, a higher portion of our unit sales in the first half of 2023 was from aged inventory as we obtained titles for vehicles not previously listed for sale, which negatively impacted our GPPU. As of September 30, 2023, we sold through the substantial majority of our aged inventory and expect our sales margin and GPPU to be negatively impacted by our aged inventory mix to a lesser extent in the fourth quarter of 2023.</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 the latter half of 2022, we began inspecting consumer sourced vehicles at pickup and making real time adjustments to acquisition pricing as a result of our scaling proprietary logistics operation, which we expect will provide improvements to our overall gross profit per unit over time.</w:t>
      </w:r>
    </w:p>
    <w:p>
      <w:pPr>
        <w:pStyle w:val="TextBody"/>
        <w:bidi w:val="0"/>
        <w:jc w:val="left"/>
        <w:rPr>
          <w:rFonts w:ascii="Times New Roman" w:hAnsi="Times New Roman"/>
          <w:sz w:val="20"/>
        </w:rPr>
      </w:pPr>
      <w:r>
        <w:rPr>
          <w:rFonts w:ascii="Arial" w:hAnsi="Arial"/>
          <w:b/>
          <w:i/>
          <w:color w:val="000000"/>
          <w:sz w:val="20"/>
        </w:rPr>
        <w:t>Ability to optimize our reconditioning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Before a vehicle is listed for retail sale on our platform, it undergoes a thorough reconditioning process in order to meet our Vroom retail sales criteria. The efficiency of this reconditioning process is a key element in our ability to grow profitably. Our ability to recondition purchased vehicles to our quality standards is a critical component of our business. Historically, we have successfully increased our reconditioning capacity as our business has grown, and our future success will depend on our ability to continue to optimize our reconditioning capacity to satisfy customer demand, maximize profitability, and enhance the customer experience.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We employ a hybrid approach that combines the use of our proprietary vehicle reconditioning center ("VRC") and VRCs primarily operated by a single third-party provider to best meet our reconditioning needs. We intend to optimize reconditioning capacity and operational efficiency through distributed third-party VRC locations and additional proprietary VRCs. Our use of third-party VRCs to recondition vehicles allows us to avoid additional capital expenditures, quickly adjust capacity, maintain greater operational flexibility and broaden our geographic footprint to drive lower logistics costs. Proprietary VRCs will enable us to have increased control over our reconditioning operations, ensure adequate capacity, optimize our end-to-end supply chain and support our regional operating model. We have integrated regional management of our distributed reconditioning and logistics operations as part of our ongoing efforts to optimize our operations and enhance our customer experience.</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Our existing facilities in the Atlanta area provide us with the space and opportunity to develop a second proprietary VRC in the future, depending on our future reconditioning needs. Going forward, we will continue to seek to optimize the combination of strategic and geographically dispersed proprietary and third-party VRCs. We will continue to leverage our data science and deep industry experience to strategically select VRC locations where we believe there is the highest supply and demand for our vehicles and enable us to leverage a regional operating model.</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Ability to optimize our logistics network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we scaled our business, we not only added proprietary line-haul capability, but also built our third-party logistics network nationwide through the development of strategic carrier arrangements with national haulers and the consolidation of our carrier base into a smaller number of carriers in dedicated operating regions. We expect that these enhanced logistics operations, combined with the expansion of strategically located VRCs, will drive efficiency in our logistics operations. We have been accelerating our strategy to optimize our hybrid approach by focusing on improving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quality and reliability of our logistics operations. We previously prioritized investment in our last mile hub delivery operations, where we had the greatest impact on the customer experience, including by investing in short-haul vehicles to make regional deliveries from our last mile hubs, and line-haul vehicles for hub-to-hub shipments on high-volume routes and to shorten delivery routes for third-party carriers. We are continuing to expand the range of our proprietary logistics network to increase the percentage of vehicles picked up from and delivered to customers by our Vroom fleet. By leveraging our proprietary logistics network for inbound transportation related to acquisitions, we are able to increase driveway inspections for consumer sourced vehicles, which in turn improves the quality and pricing of acquisitions. We are also continuing to invest in our processes and technology to remove inefficiencies and increase automation. Consistent with our long-term roadmap and the continued development of our regional operating model, we intend to continue to strategically combine the operation of our proprietary fleet with the use of third-party carriers, as well as synchronize our end-to-end supply chain to increase sales velocity and optimize flow of our inventory. We plan to reduce the number of miles our vehicles travel and lower our inbound and outbound transportation costs using our regional operating model. We believe these initiatives will enable us to reduce logistics costs per mile, improve our inventory turnover and provide the highest level of customer service. We expect that optimizing our logistics network through this hybrid approach will result in improved unit economics, increased profitability and an enhanced customer experience.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Ability to leverage a regional operating model</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As we scaled our business, we achieved a national presence and brand that provides a significant competitive advantage versus local and regional dealers, and has enabled us to take advantage of efficiencies and lower costs of national brand advertising. Our national vehicle operations enable us to leverage a regional operating model, which is designed to drive growth, reduce our operating expenses, increase our operating leverage and improve our unit economics, while also enhancing our customer experience. The regional operating model will increasingly enhance our approach to each component of our vehicle operations. We are currently evaluating initiatives to be rolled out in select markets in order to leverage our regional operating model. We believe the efficiencies and cost savings expected to be achieved through the regional operating model will be important components of our path to profitability.</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Ability to develop and manage our financing capabilities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Revenue earned on vehicle financing, both through our continued partnerships with third-party lenders and the development of our captive financing capabilities, present an opportunity to grow our business and drive profitability. Strategic partnerships with lenders such as Chase and Ally Financial provide enhanced revenue streams for us, as well as offering convenience, assurance and efficiency for our customers and have contributed to improvements in Product GPPU. In addition, the acquisition of UACC in February 2022 has enabled us to expand our offerings across the credit spectrum and accelerate the development of our captive financing operation, which is one of the key strategic initiatives under our long-term roadmap. We expect to develop UACC into a full captive financing arm with disciplined lending expertise, which would enable us to increase our ecommerce unit sales, expand our penetration into sales to customers across the credit spectrum and improve our unit economics.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While credit losses are inherent in the automotive finance receivables business, several variables have affected UACC’s recent loss and delinquency rates, including rising interest rates, the current inflationary environment and vehicle depreciation. UACC is currently experiencing higher loss severity and higher losses on its finance receivables, which has negatively impacted the fair value of our finance receivables and the losses recognized for the three and nine months ended September 30, 2023. Higher than anticipated credit losses may continue to negatively impact our business throughout the remainder of 2023, especially because UACC primarily operates in the sub-prime sector of the market which is expected to have more volatility.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w:t>
      </w:r>
      <w:r>
        <w:rPr>
          <w:rFonts w:ascii="Times New Roman" w:hAnsi="Times New Roman"/>
          <w:b w:val="false"/>
          <w:color w:val="000000"/>
          <w:sz w:val="24"/>
        </w:rPr>
        <w:br/>
      </w:r>
      <w:r>
        <w:rPr>
          <w:rFonts w:ascii="Times New Roman" w:hAnsi="Times New Roman"/>
          <w:color w:val="000000"/>
          <w:sz w:val="20"/>
        </w:rPr>
        <w:t> </w:t>
      </w:r>
    </w:p>
    <w:p>
      <w:pPr>
        <w:pStyle w:val="TextBody"/>
        <w:bidi w:val="0"/>
        <w:jc w:val="left"/>
        <w:rPr>
          <w:rFonts w:ascii="Arial" w:hAnsi="Arial"/>
          <w:b/>
          <w:i/>
          <w:color w:val="000000"/>
          <w:sz w:val="20"/>
        </w:rPr>
      </w:pPr>
      <w:r>
        <w:rPr>
          <w:rFonts w:ascii="Arial" w:hAnsi="Arial"/>
          <w:b/>
          <w:i/>
          <w:color w:val="000000"/>
          <w:sz w:val="20"/>
        </w:rPr>
        <w:t>Ability to securitize UACC's loan portfolio</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success of UACC's business is highly dependent on the ability to securitize and sell the automotive finance receivables that it underwrites. As a result of increasing interest rates, the current inflationary environment and vehicle depreciation in the used automotive industry, UACC is experiencing higher loss severity in a soft securitization market. As a result, UACC may not be able to securitize its loan portfolio on favorable terms, or may not be able to sell the subordinate notes or residual certificates issued in its securitizations at a favorable price or at all.</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We intend to structure UACC's securitization transactions to achieve off-balance sheet accounting treatment and recognize a gain on sale of the securitized finance receivables. However, if UACC fails to sell the subordinate notes or the residual interests, it will preclude us from recognizing the sale and result in the securitization trust being consolidated and therefore remaining on balance sheet. In January 2023, UACC completed the 2023-1 securitization transaction, selling the investment grade rated asset-backed securities, and in April 2023, UACC sold the non-investment grade rated securities. As a result of current market conditions, which led to unfavorable pricing, UACC retained the residual interests and we accounted for the 2023-1 securitization transaction as secured borrowings. The related finance receivables and securitization debt remain on balance sheet. In the future, we may account for UACC securitizations as on balance sheet transactions depending on the market conditions.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addition, due to the increased loss severity,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resulted in reduced servicing income.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Ability to increase and better monetize value-added products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We generate revenue by earning fees for selling value-added products to customers in connection with vehicle sales. Currently, our other third-party value-added product offerings consist of protection products, such as vehicle service contracts, GAP protection and tire and wheel coverage. Our offering of value-added products in addition to vehicle financing is an integral part of providing a seamless vehicle-buying experience to our customers. We sell our protection products through our strategic relationships with third parties who bear the incremental risks associated with the underwriting of such protection products. Because we are paid fees on value-added products we sell, our gross profit is equal to the revenue we generate on such sales. As a result, such sales help drive total gross profit per unit.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Seasonality</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typically depreciate at a faster rate in the last two quarters of each year and a slower rate in the first two quarters of each year. However, the past few years have not followed typical depreciation trends and there remains continued uncertainty surrounding market trends. See “Risk Factors—Risks Related to Our Financial Condition and Results of Operations—We may experience seasonal and other fluctuations in our quarterly results of operations, which may not fully reflect the underlying performance of our business” in our Annual Report.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Macroeconomic Factors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Both the United States and global economies are experiencing a sustained inflationary environment and the Federal Reserve’s efforts to tame inflation have led to, and may continue to lead to, increased interest rates, which affects automotive finance rates, reducing discretionary spending and making vehicle financing more costly and less accessible to many consumers. On March 10 and March 12, 2023, the Federal Deposit Insurance Corporation ("FDIC") took control and was appointed receiver of Silicon Valley Bank and Signature Bank, respectively. Other regional banks also closed or faced risk of closure, which created additional economic uncertainty. Starting on September 15, 2023, the International Union, United Automobile, Aerospace and Agricultural Implement Workers of America ("UAW") initiated a strike against three of America's major automakers. As of October 30, 2023, the three automakers made tentative deals with the UAW, which ended the strike, but has led to economic uncertainty within the automotive industry and may lead to potential shortages of vehicle parts. Moreover, geopolitical conflicts and war, including those in Europe and the Middle East, have increased global economic and political uncertainty, which has caused dramatic fluctuations in global financial markets. A significant escalation or expansion of economic disruption could continue to impact consumer spending, disrupt our supply chain, broaden inflationary costs, and could have a material adverse effect on our results of operations. We will continue to actively monitor and develop responses to these disruptions, but depending on duration and severity, these trends could continue to negatively impact our business throughout the remainder of 2023 and into 2024.</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Components of Results of Operations</w:t>
      </w:r>
    </w:p>
    <w:p>
      <w:pPr>
        <w:pStyle w:val="TextBody"/>
        <w:bidi w:val="0"/>
        <w:jc w:val="center"/>
        <w:rPr/>
      </w:pPr>
      <w:r>
        <w:rPr/>
        <w:t> </w:t>
      </w:r>
    </w:p>
    <w:p>
      <w:pPr>
        <w:pStyle w:val="TextBody"/>
        <w:bidi w:val="0"/>
        <w:jc w:val="left"/>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i/>
          <w:color w:val="000000"/>
          <w:sz w:val="20"/>
        </w:rPr>
        <w:t>Retail vehicle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We sell retail vehicles through both our ecommerce platform and TDA. Revenue from vehicle sales, including any delivery charges, is recognized when vehicles are delivered to the customers or picked up at our TDA retail location, net of a reserve for estimated returns. The number of units sold and the average selling price (“ASP”) per unit are the primary factors impacting our retail revenue stream.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number of units sold depends on the volume of inventory and the selection of vehicles listed on our ecommerce platform, our ability to attract and convert customers, our brand awareness, our ability to optimize our reconditioning operations and logistics network, and our ability to provide adequate sales and sales support to service our demand.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ASP depends primarily on our acquisition and pricing strategies (which in turn depend in part on demand predicted by our data analytics), retail used vehicle market prices, our average days to sale and our reconditioning and logistics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As a data-driven company, we acquire inventory based upon demand predicted by our data analytics. We expect ASP to continue to fluctuate as a result of market conditions and based upon demand predicted by our data analytics.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i/>
          <w:color w:val="000000"/>
          <w:sz w:val="20"/>
        </w:rPr>
        <w:t>Wholesale vehicle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We sell vehicles that do not meet our Vroom retail sales criteria through wholesale channels. Vehicles sold through wholesale channels are acquired from customers who trade-in their vehicles when making a purchase from us, from customers who sell their vehicle to us in direct-buy transactions, and from liquidation of vehicles previously listed for retail sale. The number of wholesale vehicles sold and the ASP per unit are the primary drivers of wholesale revenue. The ASP per unit is affected by the mix of the vehicles we acquire and general supply and demand conditions in the wholesale market.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i/>
          <w:color w:val="000000"/>
          <w:sz w:val="20"/>
        </w:rPr>
        <w:t>Product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We generate revenue by financing vehicle sales through UACC, earning fees on sales of third-party financing, and sales of value-added products to our customers in connection with vehicle sales, such as vehicle service contracts, GAP protection and tire and wheel coverage.</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 xml:space="preserve">As a result of the UACC Acquisition, we generate ecommerce product revenue from receivables generated by financing provided to Vroom customers through our captive financing operation. We earn interest income on such finance receivables before the loans are sold, interest income on finance receivables held in consolidated VIEs, and, when applicable, gain on the sales of these securitized finance receivables. We account for sales of these finance receivables in accordance with ASC Topic 860, </w:t>
      </w:r>
      <w:r>
        <w:rPr>
          <w:rFonts w:ascii="Arial" w:hAnsi="Arial"/>
          <w:b w:val="false"/>
          <w:i/>
          <w:color w:val="000000"/>
          <w:sz w:val="20"/>
        </w:rPr>
        <w:t>Transfers and Servicing of Financial Assets ("ASC 860")</w:t>
      </w:r>
      <w:r>
        <w:rPr>
          <w:rFonts w:ascii="Arial" w:hAnsi="Arial"/>
          <w:b w:val="false"/>
          <w:color w:val="000000"/>
          <w:sz w:val="20"/>
        </w:rPr>
        <w:t>. In order for transfers of the finance receivables to qualify as sales, the finance receivables being transferred must be legally isolated, may not be constrained by restrictions from further transfer, and must be deemed to be beyond our control. Although our long-term plan is to structure future securitization transactions to qualify for sale accounting, similar to the 2022-1 securitization transaction, for which the gain on sale was recorded in “Finance revenue”, as discussed below, current market conditions may impact our ability to achieve sales accounting treatment.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January 2023, UACC completed the 2023-1 securitization transaction, retaining the residual interests, and we accounted for this transaction as secured borrowings. During the first quarter of 2023, we also consolidated the 2022-2 securitization transaction and accounted for it as secured borrowings. Refer to "Finance revenue" below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revenue we are able to generate from these sales will be dependent on the current market conditions, the number of finance receivables UACC originates with our customers, the average principal balance of the finance receivables, the credit quality of the portfolio, and the price at which they are sold in securitization transactions or through forward flow arrangements.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We also earn fees on third-party financing and value-added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 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 A portion of the fees we receive is subject to chargeback in the event of early termination, default, or prepayment of the contracts by our customers. We recognize product revenue net of reserves for estimated chargebacks.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i/>
          <w:color w:val="000000"/>
          <w:sz w:val="20"/>
        </w:rPr>
        <w:t>Finance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Our finance revenue is related to finance receivables originated by UACC for its network of third-party dealership customers and consists of interest income earned on finance receivables before the loans are sold, interest income earned on finance receivables held in consolidated VIEs, and, when applicable, gains on the sale of securitized finance receivables.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UACC acquires and services finance receivables from its network of third-party dealership customers and generates revenue through the sales of these financing receivables. We account for sales of finance receivables in accordance with ASC 860.</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For any securitization transactions that are accounted for as secured borrowings, we recognize interest income, which includes finance charges and servicing fees in accordance with the terms of the related customer agreements.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 February 2022, UACC completed the 2022-1 securitization transaction, which qualified as sales, therefore we recorded a gain on the sale of the finance receivables. The amount of the gain is equal to the fair value of the net proceeds received less the carrying amount of the finance receivables. Although our long-term plan is to structure future securitization transactions similar to the 2022-1 securitization transaction and account for them as sales, market conditions may impact our ability to achieve sales accounting treatment. In January 2023, UACC completed the 2023-1 securitization transaction, selling the investment grade rated asset-backed securities, and in April 2023, UACC sold the non-investment grade rated securities. As a result of current market conditions, which led to unfavorable pricing, UACC retained the residual interests and we accounted for the 2023-1 securitization transaction as secured borrowings. The related finance receivables and securitization debt remain on balance sheet. We may account for future securitizations as on balance sheet transactions depending on the market conditions.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Servicing income represents the annual fees earned on the outstanding principal balance of the finance receivables serviced. Fees are earned monthly at an annual rate of approximately 4% for the 2022-1 securitization transaction and 3.25% for the 2022-2 and 2023-1 securitization transactions of the outstanding principal balance of the finance receivables serviced.</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As a result of increasing interest rates, the current inflationary environment and vehicle depreciation in the used automotive industry, UACC is experiencing higher loss severity in a soft securitization market. The increased loss severity could lead to reduced servicing income if UACC elects to waive monthly servicing fees going forward as it did in the first quarter of 2023. The waiver of servicing fees related to the 2022-2 securitization transaction resulted in consolidation of the related finance receivables and securitization debt on our financial statements.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See “Note 3—Revenue Recognition” and "Note 4 – Variable Interest Entities and Securitizations" to our condensed consolidated financial statements included elsewhere in this Quarterly Report on Form 10-Q.</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Cost of sales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i/>
          <w:color w:val="000000"/>
          <w:sz w:val="20"/>
        </w:rPr>
      </w:pPr>
      <w:r>
        <w:rPr>
          <w:rFonts w:ascii="Arial" w:hAnsi="Arial"/>
          <w:b w:val="false"/>
          <w:i/>
          <w:color w:val="000000"/>
          <w:sz w:val="20"/>
        </w:rPr>
        <w:t>Retail cost of sales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Retail 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i/>
          <w:color w:val="000000"/>
          <w:sz w:val="20"/>
        </w:rPr>
      </w:pPr>
      <w:r>
        <w:rPr>
          <w:rFonts w:ascii="Arial" w:hAnsi="Arial"/>
          <w:b w:val="false"/>
          <w:i/>
          <w:color w:val="000000"/>
          <w:sz w:val="20"/>
        </w:rPr>
        <w:t>Wholesale cost of sales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Wholesale cost of sales primarily includes costs to acquire vehicles sold through wholesale channels as well as any accounting adjustments to reflect vehicle inventory at the lower of cost or net realizable value.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i/>
          <w:color w:val="000000"/>
          <w:sz w:val="20"/>
        </w:rPr>
      </w:pPr>
      <w:r>
        <w:rPr>
          <w:rFonts w:ascii="Arial" w:hAnsi="Arial"/>
          <w:b w:val="false"/>
          <w:i/>
          <w:color w:val="000000"/>
          <w:sz w:val="20"/>
        </w:rPr>
        <w:t>Product cost of sales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Product cost of sales consists of interest expense incurred on securitization debt related to finance receivables originated by UACC for Vroom customers.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i/>
          <w:color w:val="000000"/>
          <w:sz w:val="20"/>
        </w:rPr>
      </w:pPr>
      <w:r>
        <w:rPr>
          <w:rFonts w:ascii="Arial" w:hAnsi="Arial"/>
          <w:b w:val="false"/>
          <w:i/>
          <w:color w:val="000000"/>
          <w:sz w:val="20"/>
        </w:rPr>
        <w:t>Finance cost of sales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Finance cost of sales consists of interest expense incurred on securitization debt originated by UACC for its network of third-party dealership customers and collection expenses related to servicing finance receivables.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Total gross profit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Total gross profit is defined as total revenue less costs associated with such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Our selling, general, and administrative expenses, which we refer to as SG&amp;A expenses, consist primarily of advertising and marketing expenses, outbound transportation costs, employee compensation, occupancy costs of our facilities, professional fees for accounting, auditing, tax, legal and consulting services and software and IT costs.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i/>
          <w:color w:val="000000"/>
          <w:sz w:val="20"/>
        </w:rPr>
        <w:t>Depreciation and amortization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Our depreciation and amortization expense primarily includes: depreciation related to our leasehold improvements and logistics fleet; amortization related to intangible assets in acquired businesses; and capitalized internal use software costs incurred in the development of our platform and website applications. Depreciation expense related to our Vroom VRC and the portion of depreciation expense for our proprietary logistics fleet related to inbound transportation is included in cost of sales in the condensed consolidated 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Impairment Charges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Impairment charges represent an impairment charge to write down the carrying amount of goodwill to fair value and lease impairment charges related to closing physical office locations and Sell Us Your Car® centers.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Gain on debt extinguishment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Gain on debt extinguishment represents the gain recognized from the repurchase of a portion of our outstanding Convertible Senior Notes due 2026 (the "Notes") in open-market transactions.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Our interest expense primarily includes (i) interest expense related to our vehicle floorplan facility with Ally Bank and Ally Financial (the "2022 Vehicle Floorplan Facility"), as discussed below, which is used to finance our inventory, (ii)</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interest expense on our Notes, and (iii) interest expense on UACC's Warehouse Credit Facilities, which is used to fund our finance receivables.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Income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Interest income primarily represents interest credits earned on cash deposits maintained in relation to our 2022 Vehicle Floorplan Facility as well as interest earned on cash and cash equivalents.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Loss,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Other loss, net primarily represents realized and unrealized losses on finance receivables, securitization debt and beneficial interests in securitizations as well as recoveries from losses previously recognized on finance receivables.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b w:val="false"/>
          <w:color w:val="000000"/>
          <w:sz w:val="20"/>
        </w:rPr>
        <w:t>The following table presents our condensed consolidated results of operations for the periods indicated:</w:t>
      </w:r>
      <w:r>
        <w:rPr>
          <w:rFonts w:ascii="Times New Roman" w:hAnsi="Times New Roman"/>
          <w:color w:val="000000"/>
          <w:sz w:val="20"/>
        </w:rPr>
        <w:t xml:space="preserve"> </w:t>
      </w:r>
    </w:p>
    <w:p>
      <w:pPr>
        <w:pStyle w:val="TextBody"/>
        <w:bidi w:val="0"/>
        <w:jc w:val="left"/>
        <w:rPr/>
      </w:pPr>
      <w:r>
        <w:rPr/>
        <w:t> </w:t>
      </w:r>
    </w:p>
    <w:tbl>
      <w:tblPr>
        <w:tblW w:w="10267" w:type="dxa"/>
        <w:jc w:val="left"/>
        <w:tblInd w:w="0" w:type="dxa"/>
        <w:tblLayout w:type="fixed"/>
        <w:tblCellMar>
          <w:top w:w="28" w:type="dxa"/>
          <w:left w:w="28" w:type="dxa"/>
          <w:bottom w:w="28" w:type="dxa"/>
          <w:right w:w="28" w:type="dxa"/>
        </w:tblCellMar>
      </w:tblPr>
      <w:tblGrid>
        <w:gridCol w:w="1441"/>
        <w:gridCol w:w="146"/>
        <w:gridCol w:w="211"/>
        <w:gridCol w:w="146"/>
        <w:gridCol w:w="796"/>
        <w:gridCol w:w="166"/>
        <w:gridCol w:w="146"/>
        <w:gridCol w:w="211"/>
        <w:gridCol w:w="146"/>
        <w:gridCol w:w="796"/>
        <w:gridCol w:w="166"/>
        <w:gridCol w:w="146"/>
        <w:gridCol w:w="168"/>
        <w:gridCol w:w="748"/>
        <w:gridCol w:w="286"/>
        <w:gridCol w:w="146"/>
        <w:gridCol w:w="211"/>
        <w:gridCol w:w="146"/>
        <w:gridCol w:w="856"/>
        <w:gridCol w:w="166"/>
        <w:gridCol w:w="146"/>
        <w:gridCol w:w="211"/>
        <w:gridCol w:w="146"/>
        <w:gridCol w:w="961"/>
        <w:gridCol w:w="166"/>
        <w:gridCol w:w="146"/>
        <w:gridCol w:w="182"/>
        <w:gridCol w:w="734"/>
        <w:gridCol w:w="33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r>
      <w:tr>
        <w:trPr/>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2407" w:type="dxa"/>
            <w:gridSpan w:val="7"/>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2632" w:type="dxa"/>
            <w:gridSpan w:val="7"/>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9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1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Retail vehicle,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147,710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234,353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(37.0</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419,548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1,283,263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(67.3</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Wholesale vehicle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30,898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(35.1</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270,489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(72.1</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13,075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(0.8</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36,499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(29.7</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0.4</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114,939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120,005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235,634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340,797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(30.9</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657,279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1,739,552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(62.2</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Retail vehicle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144,654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218,726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(33.9</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414,917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1,234,138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(66.4</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Wholesale vehicle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32,393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(34.1</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276,749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(70.7</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100.0</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100.0</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80.5</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22,755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10,368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119.5</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187,540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273,466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(31.4</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524,379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1,524,224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(65.6</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48,094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67,331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(28.6</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132,900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215,328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(38.3</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79,586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134,643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(40.9</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263,078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475,627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(44.7</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27,728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14.8</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Impairment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206,127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(42,502</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(78,162</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45.6</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(163,376</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(494,154</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66.9</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(37,917</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100.0</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(19,640</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(37,917</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48.2</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9,704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24.3</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30,915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28,617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(5,506</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(5,104</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(16,369</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(12,991</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26.0</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loss,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523.1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141.7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Loss before 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(82,597</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(50,228</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64.4</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(223,301</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(498,760</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55.2</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104.2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(224,219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Segments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We manage and report operating results through three reportable segments: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Ecommerce </w:t>
      </w:r>
      <w:r>
        <w:rPr>
          <w:rFonts w:ascii="Arial" w:hAnsi="Arial"/>
          <w:b w:val="false"/>
          <w:color w:val="000000"/>
          <w:sz w:val="20"/>
        </w:rPr>
        <w:t xml:space="preserve">(63.6% and 64.5% of total revenue for the three and nine months ended September 30, 2023): The Ecommerce segment represents retail sales of used vehicles through our ecommerce platform, revenue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earned on vehicle financing originated by UACC or our third-party financing sources and sales of value-added products associated with those vehicles sales.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Wholesale </w:t>
      </w:r>
      <w:r>
        <w:rPr>
          <w:rFonts w:ascii="Arial" w:hAnsi="Arial"/>
          <w:b w:val="false"/>
          <w:color w:val="000000"/>
          <w:sz w:val="20"/>
        </w:rPr>
        <w:t xml:space="preserve">(13.1% and 11.5% of total revenue for the three and nine months ended September 30, 2023): The Wholesale segment represents sales of used vehicles through wholesale channels.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 xml:space="preserve">Retail Financing </w:t>
      </w:r>
      <w:r>
        <w:rPr>
          <w:rFonts w:ascii="Arial" w:hAnsi="Arial"/>
          <w:b w:val="false"/>
          <w:color w:val="000000"/>
          <w:sz w:val="20"/>
        </w:rPr>
        <w:t>(17.3% and 17.5% of total revenue for the three and nine months ended September 30, 2023): The Retail Financing segment represents UACC’s operations with its network of third-party dealership customers.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Three Months Ended September 30, 2023 and 2022</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Ecommerce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following table presents our Ecommerce segment results of operations for the periods indicated:</w:t>
      </w:r>
      <w:r>
        <w:rPr>
          <w:rFonts w:ascii="Times New Roman" w:hAnsi="Times New Roman"/>
          <w:color w:val="000000"/>
          <w:sz w:val="20"/>
        </w:rPr>
        <w:t xml:space="preserve"> </w:t>
      </w:r>
    </w:p>
    <w:p>
      <w:pPr>
        <w:pStyle w:val="TextBody"/>
        <w:bidi w:val="0"/>
        <w:jc w:val="left"/>
        <w:rPr/>
      </w:pPr>
      <w:r>
        <w:rPr/>
        <w:t> </w:t>
      </w:r>
    </w:p>
    <w:tbl>
      <w:tblPr>
        <w:tblW w:w="10159" w:type="dxa"/>
        <w:jc w:val="left"/>
        <w:tblInd w:w="0" w:type="dxa"/>
        <w:tblLayout w:type="fixed"/>
        <w:tblCellMar>
          <w:top w:w="28" w:type="dxa"/>
          <w:left w:w="28" w:type="dxa"/>
          <w:bottom w:w="28" w:type="dxa"/>
          <w:right w:w="28" w:type="dxa"/>
        </w:tblCellMar>
      </w:tblPr>
      <w:tblGrid>
        <w:gridCol w:w="4396"/>
        <w:gridCol w:w="146"/>
        <w:gridCol w:w="211"/>
        <w:gridCol w:w="146"/>
        <w:gridCol w:w="796"/>
        <w:gridCol w:w="146"/>
        <w:gridCol w:w="146"/>
        <w:gridCol w:w="211"/>
        <w:gridCol w:w="146"/>
        <w:gridCol w:w="796"/>
        <w:gridCol w:w="146"/>
        <w:gridCol w:w="146"/>
        <w:gridCol w:w="211"/>
        <w:gridCol w:w="146"/>
        <w:gridCol w:w="751"/>
        <w:gridCol w:w="166"/>
        <w:gridCol w:w="146"/>
        <w:gridCol w:w="194"/>
        <w:gridCol w:w="722"/>
        <w:gridCol w:w="39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8" w:type="dxa"/>
            <w:gridSpan w:val="8"/>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8" w:type="dxa"/>
            <w:gridSpan w:val="8"/>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unit</w:t>
              <w:br/>
              <w:t>data and average days to sale)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43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Ecommerce units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(1,867</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(29.0</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Ecommerce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3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Vehicle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136,949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212,980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(76,031</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(35.7</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ecommerce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149,851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225,441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Ecommerce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3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Vehicle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(12,219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(83.8</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ecommerce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Average vehicle selling price per ecommerce unit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33,133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(3,107</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(9.4</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revenue per ecommerce unit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45.9</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Gross profit per ecommerce unit: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3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Vehicle gross profit per ecommerce unit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(1,751</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(77.2</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gross profit per ecommerce unit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gross profit per ecommerce unit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3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Ecommerce average days to 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Ecommerce units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Ecommerce units sold decreased 1,867, or 29.0%, from 6,428 for the three months ended September 30, 2022 to 4,561 for the three months ended September 30, 2023. This decrease was driven by our strategic decision to prioritize unit economics over unit sales volume as well as macroeconomic factors. As we continue to improve our processes, we began to resume growth in the second quarter of 2023. Going forward, we expect to continue to grow ecommerce units sequentially.</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Ecommerce average days to sale increased from 186 days for the three months ended September 30, 2022 to 202 days for the three months ended September 30, 2023. We have undertaken various initiatives to address the operational challenges created by our prior rapid growth from 2020 through the first quarter of 2022, in particular with titling and registration processes. While these initiatives are designed to improve our transaction processing, enhance our customer experience, and reduce our regulatory risk, they resulted in delays in listing vehicles for sale and caused a higher portion of our unit sales in the third quarter of 2023 to be from aged inventory as compared to the third quarter of 2022, which increased the number of days between our acquisition of vehicles and the final delivery of such vehicles to customers. As of September 30, 2023, we have sold through the substantial majority of our aged inventory, therefore we expect ecommerce average days to sale to continue to decrease sequentially in the fourth quarter of 2023 and into 2024.</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Vehicle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Ecommerce vehicle revenue decreased $76.1 million, or 35.7%, from $213.0 million for the three months ended September 30, 2022 to $136.9 million for the three months ended September 30, 2023. The decrease in ecommerce vehicle revenue was primarily attributable to the 1,867 decrease in ecommerce units sold, which decreased vehicle revenue by $61.9 million, and a decrease in ASP per unit, which decreased from $33,133 for the three months ended September 30, 2022 to $30,026 for the three months ended September 30, 2023 and decreased vehicle revenue by $14.2 million.</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222222"/>
          <w:sz w:val="20"/>
        </w:rPr>
        <w:t>The decrease in ASP per unit was due to the mix of vehicles sold during the third quarter of 2023, primarily as a result of a higher portion of our unit sales being from aged inventory compared to the third quarter of 2022, as well as market depreciation.</w:t>
      </w:r>
      <w:r>
        <w:rPr>
          <w:rFonts w:ascii="Times New Roman" w:hAnsi="Times New Roman"/>
          <w:color w:val="000000"/>
          <w:sz w:val="20"/>
        </w:rPr>
        <w:t xml:space="preserve"> </w:t>
      </w:r>
      <w:r>
        <w:rPr>
          <w:rFonts w:ascii="Arial" w:hAnsi="Arial"/>
          <w:b w:val="false"/>
          <w:color w:val="000000"/>
          <w:sz w:val="20"/>
        </w:rPr>
        <w:t>We expect ASP to continue to fluctuate as a result of market conditions and adjustments to our inventory based upon demand predicted by our data analytics.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Product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Ecommerce product revenue increased $0.4 million, or 3.5%, from $12.5 million for the three months ended September 30, 2022 to $12.9 million for the three months ended September 30, 2023. The increase in ecommerce product revenue was primarily attributable to an increase in product revenue per unit, which increased from $1,939 for the three months ended September 30, 2022 to $2,829 for the three months ended September 30, 2023 and increased product revenue by $4.0 million, partially offset by the 1,867 decrease in ecommerce units sold, which decreased product revenue by $3.6 million. The increase in product revenue per unit is primarily due to an increase in interest income earned on finance receivables from Vroom customers originated or serviced by UACC as compared to the third quarter of 2022.</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Vehicle Gross Profit</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Ecommerce vehicle gross profit decreased $12.2 million, or 83.8%, from $14.6 million for the three months ended September 30, 2022 to $2.4 million for the three months ended September 30, 2023. The decrease in vehicle gross profit was primarily attributable to the $1,751 decrease in vehicle gross profit per unit from $2,267 for the three months ended September 30, 2022 to $516 for three months ended September 30, 2023, which decreased vehicle gross profit by $8.0 million, as well as the 1,867 decrease in ecommerce units sold, which decreased vehicle gross profit by $4.2 million. The decrease in vehicle gross profit per unit was primarily driven by lower sales margin on aged inventory, and lower shipping fees as a result of free shipping options for customers.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we made progress on our initiatives to address the operational challenges created by our prior rapid growth from 2020 through the first quarter of 2022, our unit sales in the third quarter of 2023 continued to be affected by sales of aged inventory, which negatively impacted our sales margin and GPPU. As of September 30, 2023, we sold through the substantial majority of our aged inventory and expect our sales margin and GPPU to be negatively impacted by our aged inventory mix to a lesser extent in the fourth quarter of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Product Gross Profit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Ecommerce product gross profit decreased $0.5 million, or 3.8%, from $12.5 million for the three months ended September 30, 2022 to $12.0 million for the three months ended September 30, 2023. The decrease in ecommerce product gross profit was primarily attributable to the 1,867 decrease in ecommerce units sold, which decreased product gross profit by $3.6 million, partially offset by a $689 increase in product gross profit per unit, which increased product gross profit by $3.1 million. Product gross profit per unit increased from $1,939 for the three months ended September 30, 2022 to $2,628 for the three months ended September 30, 2023, primarily due to an increase in interest income earned, partially offset by interest expense on securitization debt related to finance receivables from Vroom customers originated or serviced by UACC as compared to the third quarter of 2022.</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Wholesale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following table presents our Wholesale segment results of operations for the periods indicated:</w:t>
      </w:r>
      <w:r>
        <w:rPr>
          <w:rFonts w:ascii="Times New Roman" w:hAnsi="Times New Roman"/>
          <w:color w:val="000000"/>
          <w:sz w:val="20"/>
        </w:rPr>
        <w:t xml:space="preserve"> </w:t>
      </w:r>
    </w:p>
    <w:p>
      <w:pPr>
        <w:pStyle w:val="TextBody"/>
        <w:bidi w:val="0"/>
        <w:jc w:val="left"/>
        <w:rPr/>
      </w:pPr>
      <w:r>
        <w:rPr/>
        <w:t> </w:t>
      </w:r>
    </w:p>
    <w:tbl>
      <w:tblPr>
        <w:tblW w:w="8509" w:type="dxa"/>
        <w:jc w:val="left"/>
        <w:tblInd w:w="0" w:type="dxa"/>
        <w:tblLayout w:type="fixed"/>
        <w:tblCellMar>
          <w:top w:w="28" w:type="dxa"/>
          <w:left w:w="28" w:type="dxa"/>
          <w:bottom w:w="28" w:type="dxa"/>
          <w:right w:w="28" w:type="dxa"/>
        </w:tblCellMar>
      </w:tblPr>
      <w:tblGrid>
        <w:gridCol w:w="2686"/>
        <w:gridCol w:w="146"/>
        <w:gridCol w:w="231"/>
        <w:gridCol w:w="160"/>
        <w:gridCol w:w="757"/>
        <w:gridCol w:w="182"/>
        <w:gridCol w:w="160"/>
        <w:gridCol w:w="231"/>
        <w:gridCol w:w="160"/>
        <w:gridCol w:w="757"/>
        <w:gridCol w:w="166"/>
        <w:gridCol w:w="146"/>
        <w:gridCol w:w="211"/>
        <w:gridCol w:w="146"/>
        <w:gridCol w:w="751"/>
        <w:gridCol w:w="166"/>
        <w:gridCol w:w="146"/>
        <w:gridCol w:w="194"/>
        <w:gridCol w:w="722"/>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11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638" w:type="dxa"/>
            <w:gridSpan w:val="8"/>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unit data)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Wholesale units sold</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center"/>
              <w:rPr/>
            </w:pPr>
            <w:r>
              <w:rPr/>
              <w:t> </w:t>
            </w:r>
          </w:p>
        </w:tc>
        <w:tc>
          <w:tcPr>
            <w:tcW w:w="160"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2,270</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center"/>
              <w:rPr/>
            </w:pPr>
            <w:r>
              <w:rPr/>
              <w:t> </w:t>
            </w:r>
          </w:p>
        </w:tc>
        <w:tc>
          <w:tcPr>
            <w:tcW w:w="160"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(858</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(27.4</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6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Wholesale revenue</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30,898</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(16,706</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(35.1</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6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Wholesale gross loss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(1,495</w:t>
            </w:r>
          </w:p>
        </w:tc>
        <w:tc>
          <w:tcPr>
            <w:tcW w:w="18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(1,574</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6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Average selling price per unit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13,611</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15,219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(1,608</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(10.6</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6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Wholesale gross loss per unit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(659</w:t>
            </w:r>
          </w:p>
        </w:tc>
        <w:tc>
          <w:tcPr>
            <w:tcW w:w="18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(503</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(156</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Arial" w:hAnsi="Arial"/>
          <w:b/>
          <w:i/>
          <w:color w:val="000000"/>
          <w:sz w:val="20"/>
        </w:rPr>
        <w:t>Wholesale Units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Wholesale units sold decreased 858, or 27.4%, from 3,128 for the three months ended September 30, 2022 to 2,270 for the three months ended September 30, 2023, primarily driven by a decrease in wholesale units purchased from consumers and a lower number of trade-in vehicles associated with the decrease in the number of ecommerce units sold.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Wholesale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Wholesale revenue decreased $16.7 million, or 35.1%, from $47.6 million for the three months ended September 30, 2022 to $30.9 million for the three months ended September 30, 2023. The decrease was primarily attributable to the 858 decrease in wholesale units sold, which decreased wholesale revenue by $13.1 million, as well as a lower ASP per wholesale unit, which decreased wholesale revenue by $3.6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Wholesale Gross Loss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Wholesale gross loss remained relatively flat at $1.6 million for the three months ended September 30, 2022 as compared to $1.5 million for the three months ended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Retail Financing</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following table presents our Retail Financing segment results of operations for the periods indicated:</w:t>
      </w:r>
      <w:r>
        <w:rPr>
          <w:rFonts w:ascii="Times New Roman" w:hAnsi="Times New Roman"/>
          <w:color w:val="000000"/>
          <w:sz w:val="20"/>
        </w:rPr>
        <w:t xml:space="preserve"> </w:t>
      </w:r>
    </w:p>
    <w:p>
      <w:pPr>
        <w:pStyle w:val="TextBody"/>
        <w:bidi w:val="0"/>
        <w:jc w:val="left"/>
        <w:rPr/>
      </w:pPr>
      <w:r>
        <w:rPr/>
        <w:t> </w:t>
      </w:r>
    </w:p>
    <w:tbl>
      <w:tblPr>
        <w:tblW w:w="7999" w:type="dxa"/>
        <w:jc w:val="left"/>
        <w:tblInd w:w="0" w:type="dxa"/>
        <w:tblLayout w:type="fixed"/>
        <w:tblCellMar>
          <w:top w:w="28" w:type="dxa"/>
          <w:left w:w="28" w:type="dxa"/>
          <w:bottom w:w="28" w:type="dxa"/>
          <w:right w:w="28" w:type="dxa"/>
        </w:tblCellMar>
      </w:tblPr>
      <w:tblGrid>
        <w:gridCol w:w="2551"/>
        <w:gridCol w:w="146"/>
        <w:gridCol w:w="211"/>
        <w:gridCol w:w="146"/>
        <w:gridCol w:w="691"/>
        <w:gridCol w:w="146"/>
        <w:gridCol w:w="146"/>
        <w:gridCol w:w="211"/>
        <w:gridCol w:w="146"/>
        <w:gridCol w:w="691"/>
        <w:gridCol w:w="146"/>
        <w:gridCol w:w="146"/>
        <w:gridCol w:w="211"/>
        <w:gridCol w:w="146"/>
        <w:gridCol w:w="646"/>
        <w:gridCol w:w="166"/>
        <w:gridCol w:w="146"/>
        <w:gridCol w:w="194"/>
        <w:gridCol w:w="722"/>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7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388" w:type="dxa"/>
            <w:gridSpan w:val="8"/>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7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Retail Financing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40,823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40,654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0.4</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5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Retail Financing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32,341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(3,613</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Retail Financing Revenue</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Retail Financing revenue remained relatively flat at $40.7 million for the three months ended September 30, 2022 as compared to $40.8 million for the three months ended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Retail Financing Gross Profit</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Retail Financing gross profit decreased $3.7 million, or 10.0%, from $36.0 million for the three months ended September 30, 2022 to $32.3 million for the three months ended September 30, 2023. The decrease was primarily driven by the gain on sale recognized in the third quarter of 2022 and an increase in interest expense on securitization debt,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partially offset by an increase in interest income earned on finance receivables with third-party dealership customers as a result of the consolidation of the 2022-2 and 2023-1 securitization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tbl>
      <w:tblPr>
        <w:tblW w:w="9803" w:type="dxa"/>
        <w:jc w:val="left"/>
        <w:tblInd w:w="0" w:type="dxa"/>
        <w:tblLayout w:type="fixed"/>
        <w:tblCellMar>
          <w:top w:w="28" w:type="dxa"/>
          <w:left w:w="28" w:type="dxa"/>
          <w:bottom w:w="28" w:type="dxa"/>
          <w:right w:w="28" w:type="dxa"/>
        </w:tblCellMar>
      </w:tblPr>
      <w:tblGrid>
        <w:gridCol w:w="4291"/>
        <w:gridCol w:w="146"/>
        <w:gridCol w:w="211"/>
        <w:gridCol w:w="146"/>
        <w:gridCol w:w="691"/>
        <w:gridCol w:w="146"/>
        <w:gridCol w:w="146"/>
        <w:gridCol w:w="211"/>
        <w:gridCol w:w="146"/>
        <w:gridCol w:w="796"/>
        <w:gridCol w:w="146"/>
        <w:gridCol w:w="146"/>
        <w:gridCol w:w="211"/>
        <w:gridCol w:w="751"/>
        <w:gridCol w:w="166"/>
        <w:gridCol w:w="146"/>
        <w:gridCol w:w="194"/>
        <w:gridCol w:w="722"/>
        <w:gridCol w:w="3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4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282" w:type="dxa"/>
            <w:gridSpan w:val="7"/>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42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Compensation &amp;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37,695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(17,999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(32.3</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Marketing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(1,516</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 xml:space="preserve">Outbound logistics </w:t>
            </w:r>
            <w:r>
              <w:rPr>
                <w:rFonts w:ascii="Arial" w:hAnsi="Arial"/>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(2,736</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(55.3</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Occupancy and related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(1,466</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(24.3</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Professional fees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(1,182</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(18.3</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Software and IT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11,277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(2,050</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(18.2</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selling, general &amp;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134,643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spacing w:before="120" w:after="283"/>
        <w:jc w:val="left"/>
        <w:rPr>
          <w:rFonts w:ascii="Arial" w:hAnsi="Arial"/>
          <w:b w:val="false"/>
          <w:color w:val="000000"/>
          <w:sz w:val="16"/>
        </w:rPr>
      </w:pPr>
      <w:r>
        <w:rPr>
          <w:rFonts w:ascii="Arial" w:hAnsi="Arial"/>
          <w:b w:val="false"/>
          <w:color w:val="000000"/>
          <w:sz w:val="16"/>
        </w:rPr>
        <w:t>(1)</w:t>
      </w:r>
    </w:p>
    <w:p>
      <w:pPr>
        <w:pStyle w:val="TextBody"/>
        <w:bidi w:val="0"/>
        <w:spacing w:before="120" w:after="283"/>
        <w:jc w:val="left"/>
        <w:rPr>
          <w:rFonts w:ascii="Arial" w:hAnsi="Arial"/>
          <w:b w:val="false"/>
          <w:color w:val="000000"/>
          <w:sz w:val="16"/>
        </w:rPr>
      </w:pPr>
      <w:r>
        <w:rPr>
          <w:rFonts w:ascii="Arial" w:hAnsi="Arial"/>
          <w:b w:val="false"/>
          <w:color w:val="000000"/>
          <w:sz w:val="16"/>
        </w:rPr>
        <w:t>Outbound logistics primarily includes third-party transportation fees as well as cost related to operating our proprietary logistics network, including fuel, tolls, and maintenance expenses associated with vehicle deliveries. Inbound transportation costs, from the point of acquisition to the relevant reconditioning facility, are included in cost of sales.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SG&amp;A expenses decreased $55.0 million, or 40.9%, from $134.6 million for the three months ended September 30, 2022 to $79.6 million for the three months ended September 30, 2023. The total decrease was primarily caused by: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a $18.0 million decrease in compensation and benefits primarily as a result of workforce reductions;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a $2.7 million decrease in outbound logistics costs attributable to the decrease in ecommerce units sold as well as a decrease in outbound logistics cost per ecommerce unit;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 xml:space="preserve">a $2.1 million decrease in software and IT costs primarily related to volume-based fees as a result of reduced headcount and more efficient targeted software use;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a $1.5 million decrease in marketing expense contemplated by our long-term roadmap;</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a $1.5 million decrease in occupancy expense primarily as a result of physical office location closures from the fourth quarter of 2022 through the second quarter of 2023;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a $28.1 million decrease in other SG&amp;A expenses primarily due to a decrease in our non-recurring costs, including legal settlements and rental car expenses, as we worked to address our operational challenges created by our rapid growth from 2020 through the first quarter of 2022 as well as reduced fixed and variable costs contemplated by our long-term roadmap.</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We expect SG&amp;A expenses to decrease in the future driven by further reductions in both fixed and variable cost components as we continue to optimize our operations. We may not be able to fully realize further cost savings and benefits initially anticipated from the long-term roadmap, and the future costs may be greater than expected.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Depreciation and amortization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Depreciation and amortization expenses increased from $9.8 million for the three months ended September 30, 2022 to $11.0 million for the three months ended September 30, 2023 as a result of amortization related to our capitalized internal use software costs incurred in the development of our platform and website applications.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Impairment Charges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Impairment charges represent lease impairment charges of $1.0 million for the three months ended September 30, 2022, related to closing a physical office location in Houston, Texas.</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Gain on debt extinguishment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Gain on debt extinguishment represents a gain of $37.9 million for the three months ended September 30, 2022, related to the repurchase of $56.4 million in aggregate principal balance of the Notes, net of deferred issuance costs, for $18.5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Interest expense increased $2.4 million, or 24.3%, from $9.7 million for the three months ended September 30, 2023, to $12.1 million for the three months ended September 30, 2023. The increase was primarily attributable to an increase in interest expense incurred on UACC's Warehouse Credit Facilities, which increased interest expense by $4.7 million. The increase was partially offset by a decrease of $1.5 million in interest expense related to a lower outstanding balance on the 2022 Vehicle Floorplan Facility, as well as a decrease in interest expense on the Notes of $0.9 million due to the repurchase of a portion of the Notes during the second half of 2022 and first half of 2023.</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income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Interest income remained relatively flat at $5.1 million for the three months ended September 30, 2022 as compared to $5.5 million for the three months ended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loss, net</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 xml:space="preserve">Other loss, net increased $28.1 million, or 523.1%, from $5.4 million for the three months ended September 30, 2022 to $33.5 million for the three months ended September 30, 2023. </w:t>
      </w:r>
      <w:r>
        <w:rPr>
          <w:rFonts w:ascii="Arial" w:hAnsi="Arial"/>
          <w:b w:val="false"/>
          <w:color w:val="1D1C1D"/>
          <w:sz w:val="20"/>
        </w:rPr>
        <w:t xml:space="preserve">The increase in other loss was primarily driven by an increase in realized and unrealized losses on finance receivables as a result of a </w:t>
      </w:r>
      <w:r>
        <w:rPr>
          <w:rFonts w:ascii="Arial" w:hAnsi="Arial"/>
          <w:b w:val="false"/>
          <w:color w:val="000000"/>
          <w:sz w:val="20"/>
        </w:rPr>
        <w:t>larger loan portfolio as well higher loss rates on our overall portfolio as of September 30, 2023 as compared to September 30, 2022.</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Nine Months Ended September 30, 2023 and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Ecommerce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following table presents our Ecommerce segment results of operations for the periods indicated: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76"/>
        <w:gridCol w:w="146"/>
        <w:gridCol w:w="211"/>
        <w:gridCol w:w="146"/>
        <w:gridCol w:w="796"/>
        <w:gridCol w:w="146"/>
        <w:gridCol w:w="146"/>
        <w:gridCol w:w="211"/>
        <w:gridCol w:w="146"/>
        <w:gridCol w:w="961"/>
        <w:gridCol w:w="146"/>
        <w:gridCol w:w="146"/>
        <w:gridCol w:w="211"/>
        <w:gridCol w:w="146"/>
        <w:gridCol w:w="856"/>
        <w:gridCol w:w="166"/>
        <w:gridCol w:w="146"/>
        <w:gridCol w:w="182"/>
        <w:gridCol w:w="734"/>
        <w:gridCol w:w="387"/>
      </w:tblGrid>
      <w:tr>
        <w:trPr/>
        <w:tc>
          <w:tcPr>
            <w:tcW w:w="4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4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87" w:type="dxa"/>
            <w:tcBorders/>
            <w:shd w:fill="FFFFFF" w:val="clear"/>
            <w:vAlign w:val="center"/>
          </w:tcPr>
          <w:p>
            <w:pPr>
              <w:pStyle w:val="TableContents"/>
              <w:bidi w:val="0"/>
              <w:spacing w:before="0" w:after="283"/>
              <w:jc w:val="center"/>
              <w:rPr/>
            </w:pPr>
            <w:r>
              <w:rPr/>
              <w:t> </w:t>
            </w:r>
          </w:p>
        </w:tc>
      </w:tr>
      <w:tr>
        <w:trPr/>
        <w:tc>
          <w:tcPr>
            <w:tcW w:w="4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63" w:type="dxa"/>
            <w:gridSpan w:val="8"/>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unit</w:t>
              <w:br/>
              <w:t>data and average days to sale)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87" w:type="dxa"/>
            <w:tcBorders/>
            <w:shd w:fill="FFFFFF" w:val="clear"/>
            <w:vAlign w:val="center"/>
          </w:tcPr>
          <w:p>
            <w:pPr>
              <w:pStyle w:val="TableContents"/>
              <w:bidi w:val="0"/>
              <w:spacing w:before="0" w:after="283"/>
              <w:jc w:val="center"/>
              <w:rPr/>
            </w:pPr>
            <w:r>
              <w:rPr/>
              <w:t> </w:t>
            </w:r>
          </w:p>
        </w:tc>
      </w:tr>
      <w:tr>
        <w:trPr/>
        <w:tc>
          <w:tcPr>
            <w:tcW w:w="41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Ecommerce units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12,621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(22,513</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(64.1</w:t>
            </w:r>
          </w:p>
        </w:tc>
        <w:tc>
          <w:tcPr>
            <w:tcW w:w="38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Ecommerce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387" w:type="dxa"/>
            <w:tcBorders/>
            <w:shd w:fill="FFFFFF" w:val="clear"/>
            <w:vAlign w:val="center"/>
          </w:tcPr>
          <w:p>
            <w:pPr>
              <w:pStyle w:val="TableContents"/>
              <w:bidi w:val="0"/>
              <w:spacing w:before="0" w:after="283"/>
              <w:jc w:val="right"/>
              <w:rPr/>
            </w:pPr>
            <w:r>
              <w:rPr/>
              <w:t> </w:t>
            </w:r>
          </w:p>
        </w:tc>
      </w:tr>
      <w:tr>
        <w:trPr/>
        <w:tc>
          <w:tcPr>
            <w:tcW w:w="41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Vehicle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387,585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1,173,727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(786,142</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(67.0</w:t>
            </w:r>
          </w:p>
        </w:tc>
        <w:tc>
          <w:tcPr>
            <w:tcW w:w="38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(25.8</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ecommerce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423,713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1,222,436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(798,723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(65.3</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Ecommerce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387" w:type="dxa"/>
            <w:tcBorders/>
            <w:shd w:fill="FFFFFF" w:val="clear"/>
            <w:vAlign w:val="center"/>
          </w:tcPr>
          <w:p>
            <w:pPr>
              <w:pStyle w:val="TableContents"/>
              <w:bidi w:val="0"/>
              <w:spacing w:before="0" w:after="283"/>
              <w:jc w:val="right"/>
              <w:rPr/>
            </w:pPr>
            <w:r>
              <w:rPr/>
              <w:t> </w:t>
            </w:r>
          </w:p>
        </w:tc>
      </w:tr>
      <w:tr>
        <w:trPr/>
        <w:tc>
          <w:tcPr>
            <w:tcW w:w="41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Vehicle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46,153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(43,197</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(93.6</w:t>
            </w:r>
          </w:p>
        </w:tc>
        <w:tc>
          <w:tcPr>
            <w:tcW w:w="38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ecommerce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94,862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(61.5</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Average vehicle selling price per ecommerce unit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33,407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(2,697</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w:t>
            </w:r>
          </w:p>
        </w:tc>
        <w:tc>
          <w:tcPr>
            <w:tcW w:w="38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revenue per ecommerce unit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106.6</w:t>
            </w:r>
          </w:p>
        </w:tc>
        <w:tc>
          <w:tcPr>
            <w:tcW w:w="38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Gross profit per ecommerce unit: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387" w:type="dxa"/>
            <w:tcBorders/>
            <w:shd w:fill="FFFFFF" w:val="clear"/>
            <w:vAlign w:val="center"/>
          </w:tcPr>
          <w:p>
            <w:pPr>
              <w:pStyle w:val="TableContents"/>
              <w:bidi w:val="0"/>
              <w:spacing w:before="0" w:after="283"/>
              <w:jc w:val="right"/>
              <w:rPr/>
            </w:pPr>
            <w:r>
              <w:rPr/>
              <w:t> </w:t>
            </w:r>
          </w:p>
        </w:tc>
      </w:tr>
      <w:tr>
        <w:trPr/>
        <w:tc>
          <w:tcPr>
            <w:tcW w:w="41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Vehicle gross profit per ecommerce unit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(1,080</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(82.2</w:t>
            </w:r>
          </w:p>
        </w:tc>
        <w:tc>
          <w:tcPr>
            <w:tcW w:w="38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gross profit per ecommerce unit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92.1</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gross profit per ecommerce unit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Ecommerce average days to 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125.4</w:t>
            </w:r>
          </w:p>
        </w:tc>
        <w:tc>
          <w:tcPr>
            <w:tcW w:w="38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Ecommerce units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Ecommerce units sold decreased 22,513, or 64.1%, from 35,134 for the nine months ended September 30, 2022 to 12,621 for the nine months ended September 30, 2023. This decrease was driven by our strategic decision to prioritize unit economics over unit sales volume starting in the middle of the second quarter of 2022, pressure on servicing our demand as a result of reducing third-party sales support staff and scaling our internal sales team, as well as macroeconomic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Ecommerce average days to sale increased from 118 days for the nine months ended September 30, 2022 to 266 days for the nine months ended September 30, 2023. We have undertaken various initiatives to address the operational challenges created by our prior rapid growth from 2020 through the first quarter of 2022, in particular with titling and registration processes. While these initiatives are designed to improve our transaction processing, enhance our customer experience, and reduce our regulatory risk, they resulted in delays in listing vehicles for sale and caused a higher portion of our unit sales throughout 2023 to be from aged inventory which increased the number of days between our acquisition of vehicles and the final delivery of such vehicles to customers. As of September 30, 2023, we have sold through the substantial majority of our aged inventory, therefore we expect ecommerce average days to sale to continue to decrease in the fourth quarter of 2023 and into 2024.</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Vehicle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Ecommerce vehicle revenue decreased $786.1 million, or 67.0%, from $1,173.7 million for the nine months ended September 30, 2022 to $387.6 million for the nine months ended September 30, 2023. The decrease in ecommerce vehicle revenue was primarily attributable to the 22,513 decrease in ecommerce units sold, which decreased vehicle revenue by $752.1 million, and a decrease in ASP per unit, which decreased from $33,407 for the nine months ended September 30, 2022 to $30,710 for the nine months ended September 30, 2023 and decreased vehicle revenue by $34.0 million.</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decrease in ASP per unit was primarily due to significant market appreciation in the first half of 2022. We expect ASP to continue to fluctuate as a result of market conditions and adjustments to our inventory based upon demand predicted by our data analytics.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Product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Ecommerce product revenue decreased $12.6 million, or 25.8%, from $48.7 million for the nine months ended September 30, 2022 to $36.1 million for the nine months ended September 30, 2023. The decrease in ecommerce product revenue was primarily attributable to the 22,513 decrease in ecommerce units sold, which decreased product revenue by $31.2 million, partially offset by an increase in product revenue per unit, which increased from $1,386 for the nine months ended September 30, 2022 to $2,863 for the nine months ended September 30, 2023 and increased product revenue by $18.6 million. The increase in product revenue per unit is primarily due to an increase in interest income earned on finance receivables from Vroom customers originated or serviced by UACC as compared to the nine months ended September 30, 2022.</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Vehicle Gross Profit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Ecommerce vehicle gross profit decreased $43.2 million, or 93.6%, from $46.2 million for the nine months ended September 30, 2022 to $3.0 million for the nine months ended September 30, 2023. The decrease in vehicle gross profit was primarily attributable to the 22,513 decrease in ecommerce units sold, which decreased vehicle gross profit by $29.6 million. Additionally, vehicle gross profit per unit decreased $1,080 from $1,314 for the nine months ended September 30, 2022 to $234 for nine months ended September 30, 2023, which decreased vehicle gross profit by $13.6 million. The decrease was primarily driven by lower sales margin on aged inventory and higher reconditioning costs per unit related to an increased mix of higher mileage and aged vehicles along with significant parts inflation. The decreases were partially offset by a lower inventory reserve as a result of a decrease in inventory levels as we continued to sell through our aged inventory.</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we made progress on our initiatives to address the operational challenges created by our prior rapid growth from 2020 through the first quarter of 2022, a higher portion of our unit sales through the third quarter of 2023 was from aged inventory, which negatively impacted our sales margin and GPPU. As of September 30, 2023, we sold through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substantial majority of our aged inventory and expect our sales margin and GPPU to be negatively impacted by our aged inventory mix to a lesser extent in the fourth quarter of 2023.</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Product Gross Profit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Ecommerce product gross profit decreased $15.1 million, or 31.0%, from $48.7 million for the nine months ended September 30, 2022 to $33.6 million for the nine months ended September 30, 2023. The decrease in ecommerce product gross profit was primarily attributable to the 22,513 decrease in ecommerce units sold, which decreased product gross profit by $31.2 million, partially offset by a $1,277 increase in product gross profit per unit, which increased product gross profit by $16.1 million. Product gross profit per unit increased from $1,386 for the nine months ended September 30, 2022 to $2,663 for the nine months ended September 30, 2023, primarily due to an increase in interest income earned, partially offset by interest expense on securitization debt related to finance receivables from Vroom customers originated or serviced by UACC.</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Wholesale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following table presents our Wholesale segment results of operations for the periods indicated:</w:t>
      </w:r>
      <w:r>
        <w:rPr>
          <w:rFonts w:ascii="Times New Roman" w:hAnsi="Times New Roman"/>
          <w:color w:val="000000"/>
          <w:sz w:val="20"/>
        </w:rPr>
        <w:t xml:space="preserve"> </w:t>
      </w:r>
    </w:p>
    <w:p>
      <w:pPr>
        <w:pStyle w:val="TextBody"/>
        <w:bidi w:val="0"/>
        <w:jc w:val="left"/>
        <w:rPr/>
      </w:pPr>
      <w:r>
        <w:rPr/>
        <w:t> </w:t>
      </w:r>
    </w:p>
    <w:tbl>
      <w:tblPr>
        <w:tblW w:w="8613" w:type="dxa"/>
        <w:jc w:val="left"/>
        <w:tblInd w:w="0" w:type="dxa"/>
        <w:tblLayout w:type="fixed"/>
        <w:tblCellMar>
          <w:top w:w="28" w:type="dxa"/>
          <w:left w:w="28" w:type="dxa"/>
          <w:bottom w:w="28" w:type="dxa"/>
          <w:right w:w="28" w:type="dxa"/>
        </w:tblCellMar>
      </w:tblPr>
      <w:tblGrid>
        <w:gridCol w:w="2686"/>
        <w:gridCol w:w="146"/>
        <w:gridCol w:w="221"/>
        <w:gridCol w:w="153"/>
        <w:gridCol w:w="726"/>
        <w:gridCol w:w="174"/>
        <w:gridCol w:w="153"/>
        <w:gridCol w:w="221"/>
        <w:gridCol w:w="153"/>
        <w:gridCol w:w="836"/>
        <w:gridCol w:w="166"/>
        <w:gridCol w:w="146"/>
        <w:gridCol w:w="211"/>
        <w:gridCol w:w="146"/>
        <w:gridCol w:w="856"/>
        <w:gridCol w:w="166"/>
        <w:gridCol w:w="146"/>
        <w:gridCol w:w="182"/>
        <w:gridCol w:w="734"/>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121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637" w:type="dxa"/>
            <w:gridSpan w:val="8"/>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unit data)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0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Wholesale units sold</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5,273</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19,108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(13,835</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(72.4</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6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Wholesale revenue</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75,593</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270,489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(194,896</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(72.1</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6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Wholesale gross loss</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(5,426</w:t>
            </w:r>
          </w:p>
        </w:tc>
        <w:tc>
          <w:tcPr>
            <w:tcW w:w="17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(6,260</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13.3</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6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Average selling price per unit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14,336</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14,156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6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Wholesale gross loss per unit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(1,029</w:t>
            </w:r>
          </w:p>
        </w:tc>
        <w:tc>
          <w:tcPr>
            <w:tcW w:w="17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(328</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(701</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213.7</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Wholesale Units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Wholesale units sold decreased 13,835, or 72.4%, from 19,108 for the nine months ended September 30, 2022 to 5,273 for the nine months ended September 30, 2023, primarily driven by a decrease in wholesale units purchased from consumers and a lower number of trade-in vehicles associated with the decrease in the number of ecommerce units sold.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Wholesale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Wholesale revenue decreased $194.9 million, or 72.1%, from $270.5 million for the nine months ended September 30, 2022 to $75.6 million for the nine months ended September 30, 2023. The decrease was primarily attributable to the 13,835 decrease in wholesale units sold, which decreased wholesale revenue by $195.8 million, partially offset by a higher ASP per wholesale unit, which increased wholesale revenue by $0.9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Wholesale Gross Loss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Wholesale gross loss decreased $0.9 million, or 13.3%, from $6.3 million for the nine months ended September 30, 2022 to $5.4 million for the nine months ended September 30, 2023. The change was primarily attributable to the 13,835 decrease in wholesale units sold, which decreased wholesale gross loss by $4.5 million, partially offset by a $701 increase in wholesale gross loss per unit from $328 for the nine months ended September 30, 2022 to $1,029 for the nine months ended September 30, 2023, which increased wholesale gross loss by $3.6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increase in wholesale gross loss per unit was primarily driven by lower sales margins and was partially offset by a lower inventory reserve as a result of a decrease in inventory levels. During the nine months ended September 30, 2023, certain of our vehicles located in our Orlando, Florida and Denver, Colorado locations were damaged by hail storms, which resulted in an aggregate loss of $2.4 million, net of insurance recoveries. As of September 30, 2023, the majority of hail damaged vehicles have been sold through the wholesale market.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Retail Financing</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following table presents our Retail Financing segment results of operations for the periods indicated:</w:t>
      </w:r>
      <w:r>
        <w:rPr>
          <w:rFonts w:ascii="Times New Roman" w:hAnsi="Times New Roman"/>
          <w:color w:val="000000"/>
          <w:sz w:val="20"/>
        </w:rPr>
        <w:t xml:space="preserve"> </w:t>
      </w:r>
    </w:p>
    <w:p>
      <w:pPr>
        <w:pStyle w:val="TextBody"/>
        <w:bidi w:val="0"/>
        <w:jc w:val="left"/>
        <w:rPr/>
      </w:pPr>
      <w:r>
        <w:rPr/>
        <w:t> </w:t>
      </w:r>
    </w:p>
    <w:tbl>
      <w:tblPr>
        <w:tblW w:w="8314" w:type="dxa"/>
        <w:jc w:val="left"/>
        <w:tblInd w:w="0" w:type="dxa"/>
        <w:tblLayout w:type="fixed"/>
        <w:tblCellMar>
          <w:top w:w="28" w:type="dxa"/>
          <w:left w:w="28" w:type="dxa"/>
          <w:bottom w:w="28" w:type="dxa"/>
          <w:right w:w="28" w:type="dxa"/>
        </w:tblCellMar>
      </w:tblPr>
      <w:tblGrid>
        <w:gridCol w:w="2551"/>
        <w:gridCol w:w="146"/>
        <w:gridCol w:w="211"/>
        <w:gridCol w:w="146"/>
        <w:gridCol w:w="796"/>
        <w:gridCol w:w="146"/>
        <w:gridCol w:w="146"/>
        <w:gridCol w:w="211"/>
        <w:gridCol w:w="146"/>
        <w:gridCol w:w="796"/>
        <w:gridCol w:w="146"/>
        <w:gridCol w:w="146"/>
        <w:gridCol w:w="211"/>
        <w:gridCol w:w="146"/>
        <w:gridCol w:w="751"/>
        <w:gridCol w:w="166"/>
        <w:gridCol w:w="146"/>
        <w:gridCol w:w="194"/>
        <w:gridCol w:w="722"/>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98" w:type="dxa"/>
            <w:gridSpan w:val="8"/>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Retail Financing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(5,066</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5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Retail Financing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92,184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(17,453</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(15.9</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Retail Financing Revenue</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Retail Financing revenue decreased $5.1 million, or 4.2%, from $120.0 million for the nine months ended September 30, 2022 to $114.9 million for the nine months ended September 30, 2023. The decrease was primarily driven by the gain on sale of finance receivables of $45.6 million for the nine months ended September 30, 2022 related to the 2022-1 and 2022-2 securitization transactions, as well as a decline in servicing income and product income net of cancellations. The decrease was partially offset by an increase in interest income earned on finance receivables with third-party dealership customers as a result of the consolidation of the 2022-2 and 2023-1 securitization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Retail Financing Gross Profit</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Retail Financing gross profit decreased $17.4 million, or 15.9%, from $109.6 million for the nine months ended September 30, 2022 to $92.2 million for the nine months ended September 30, 2023. The decrease was primarily driven by the gain on sale of finance receivables of $45.6 million for the nine months ended September 30, 2022 related to the 2022-1 and 2022-2 securitization transactions, as well as a decline in servicing income and product income net of cancellations. Additionally, the decrease was caused by increase in collection expenses related to servicing finance receivables originated by UACC and an increase in interest expense on securitization debt. The decrease was partially offset by an increase in interest income earned on finance receivables with third-party dealership customers as a result of the consolidation of the 2022-2 and 2023-1 securitization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tbl>
      <w:tblPr>
        <w:tblW w:w="10013" w:type="dxa"/>
        <w:jc w:val="left"/>
        <w:tblInd w:w="0" w:type="dxa"/>
        <w:tblLayout w:type="fixed"/>
        <w:tblCellMar>
          <w:top w:w="28" w:type="dxa"/>
          <w:left w:w="28" w:type="dxa"/>
          <w:bottom w:w="28" w:type="dxa"/>
          <w:right w:w="28" w:type="dxa"/>
        </w:tblCellMar>
      </w:tblPr>
      <w:tblGrid>
        <w:gridCol w:w="4291"/>
        <w:gridCol w:w="146"/>
        <w:gridCol w:w="211"/>
        <w:gridCol w:w="146"/>
        <w:gridCol w:w="796"/>
        <w:gridCol w:w="146"/>
        <w:gridCol w:w="146"/>
        <w:gridCol w:w="211"/>
        <w:gridCol w:w="146"/>
        <w:gridCol w:w="796"/>
        <w:gridCol w:w="146"/>
        <w:gridCol w:w="146"/>
        <w:gridCol w:w="211"/>
        <w:gridCol w:w="856"/>
        <w:gridCol w:w="166"/>
        <w:gridCol w:w="146"/>
        <w:gridCol w:w="194"/>
        <w:gridCol w:w="722"/>
        <w:gridCol w:w="3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4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387" w:type="dxa"/>
            <w:gridSpan w:val="7"/>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42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Compensation &amp;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130,318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199,111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(68,793</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(34.6</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Marketing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39,871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69,818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(29,947</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(42.9</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 xml:space="preserve">Outbound logistics </w:t>
            </w:r>
            <w:r>
              <w:rPr>
                <w:rFonts w:ascii="Arial" w:hAnsi="Arial"/>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39,925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(33,674</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(84.3</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Occupancy and related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17,408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(3,808</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(21.9</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Professional fees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15,504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(11,081</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(41.7</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Software and IT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33,406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(5,851</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(17.5</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selling, general &amp;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263,078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475,627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(212,549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spacing w:before="120" w:after="283"/>
        <w:jc w:val="left"/>
        <w:rPr>
          <w:rFonts w:ascii="Arial" w:hAnsi="Arial"/>
          <w:b w:val="false"/>
          <w:color w:val="000000"/>
          <w:sz w:val="16"/>
        </w:rPr>
      </w:pPr>
      <w:r>
        <w:rPr>
          <w:rFonts w:ascii="Arial" w:hAnsi="Arial"/>
          <w:b w:val="false"/>
          <w:color w:val="000000"/>
          <w:sz w:val="16"/>
        </w:rPr>
        <w:t>(1)</w:t>
      </w:r>
    </w:p>
    <w:p>
      <w:pPr>
        <w:pStyle w:val="TextBody"/>
        <w:bidi w:val="0"/>
        <w:spacing w:before="120" w:after="283"/>
        <w:jc w:val="left"/>
        <w:rPr>
          <w:rFonts w:ascii="Arial" w:hAnsi="Arial"/>
          <w:b w:val="false"/>
          <w:color w:val="000000"/>
          <w:sz w:val="16"/>
        </w:rPr>
      </w:pPr>
      <w:r>
        <w:rPr>
          <w:rFonts w:ascii="Arial" w:hAnsi="Arial"/>
          <w:b w:val="false"/>
          <w:color w:val="000000"/>
          <w:sz w:val="16"/>
        </w:rPr>
        <w:t>Outbound logistics primarily includes third-party transportation fees as well as cost related to operating our proprietary logistics network, including fuel, tolls, and maintenance expenses associated with vehicle deliveries. Inbound transportation costs, from the point of acquisition to the relevant reconditioning facility, are included in cost of sales.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SG&amp;A expenses decreased $212.5 million, or 44.7%, from $475.6 million for the nine months ended September 30, 2022 to $263.1 million for the nine months ended September 30, 2023. The total decrease was primarily caused by: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a $68.8 million decrease in compensation and benefits primarily as a result of workforce reductions;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a $33.7 million decrease in outbound logistics costs attributable to the decrease in ecommerce units sold as well as a decrease in outbound logistics cost per ecommerce unit;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a $29.9 million decrease in marketing expense contemplated by our long-term roadmap;</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 xml:space="preserve">a $11.1 million decrease in professional fees primarily related to costs incurred in connection with the UACC Acquisition during the first quarter of 2022 as well as a decrease in legal and other consulting fees;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 xml:space="preserve">a $5.9 million decrease in software and IT costs primarily related to volume-based fees as a result of reduced headcount and more efficient targeted software use;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a $3.8 million decrease in occupancy expense primarily as a result of physical office location closures from the second quarter of 2022 through the second quarter of 2023;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b w:val="false"/>
          <w:color w:val="000000"/>
          <w:sz w:val="20"/>
        </w:rPr>
      </w:pPr>
      <w:r>
        <w:rPr>
          <w:rFonts w:ascii="Arial" w:hAnsi="Arial"/>
          <w:b w:val="false"/>
          <w:color w:val="000000"/>
          <w:sz w:val="20"/>
        </w:rPr>
        <w:t>a $59.4 million decrease in other SG&amp;A expenses primarily due to a decrease in our non-recurring costs, including legal settlements and rental car expenses, as we worked to address our operational challenges created by our rapid growth from 2020 through the first quarter of 2022 as well as reduced fixed and variable costs contemplated by our long-term roadmap.</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We expect SG&amp;A expenses to decrease in the future driven by further reductions in both fixed and variable cost components as we continue to optimize our operations. We may not be able to fully realize further cost savings and benefits initially anticipated from the long-term roadmap, and the future costs may be greater than expected.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Depreciation and amortization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Depreciation and amortization expenses increased $4.1 million, or 14.8%, from $27.7 million for the nine months ended September 30, 2022 to $31.8 million for the nine months ended September 30, 2023. The increase was primarily due to an additional month of amortization expense of intangible assets acquired as part of the UACC Acquisition for the nine months ended September 30, 2023 and amortization related to our capitalized internal use software costs incurred in the development of our platform and website applications.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Impairment Charges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Impairment charges of $1.4 million for the nine months ended September 30, 2023 represent lease impairment charges related to closing a physical office location. Impairment charges of $206.1 million for the nine months ended September 30, 2022 represent an impairment charge to write down the carrying amount of the goodwill to fair value and lease impairment charges related to closing physical office locations and Sell Us Your Car® centers as part of the Realignment Plan.</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Gain on debt extinguishment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Gain on debt extinguishment represents a gain of $19.6 million and $37.9 million for the nine months ended September 30, 2023 and 2022, respectively, related to the repurchase of $32.8 million and $56.4 million in aggregate principal balance of the Notes, net of deferred issuance costs, for $13.2 million and $18.5 million,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Interest expense increased $2.3 million, or 8.0%, from $28.6 million for the nine months ended September 30, 2022 to $30.9 million for the nine months ended September 30, 2023. Interest expense incurred on UACC's Warehouse Credit Facilities increased, which was offset by a decrease in interest expense related to a lower outstanding balance on the 2022 Vehicle Floorplan Facility, as well as a decrease in interest expense on the Notes due to the repurchase of a portion of the Notes during the second half of 2022 and first half of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income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Interest income increased $3.4 million, or 26.0%, from $13.0 million for the nine months ended September 30, 2022 to $16.4 million for the nine months ended September 30, 2023. The increase in interest income was primarily driven by higher interest rates earned on cash and cash equivalents.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loss, net</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 xml:space="preserve">Other loss, net increased $38.1 million, or 141.7%, from $26.9 million for the nine months ended September 30, 2022 to $65.0 million for the nine months ended September 30, 2023. </w:t>
      </w:r>
      <w:r>
        <w:rPr>
          <w:rFonts w:ascii="Arial" w:hAnsi="Arial"/>
          <w:b w:val="false"/>
          <w:color w:val="1D1C1D"/>
          <w:sz w:val="20"/>
        </w:rPr>
        <w:t xml:space="preserve">The increase in other loss was primarily driven by an increase in realized and unrealized losses on finance receivables as a result of a </w:t>
      </w:r>
      <w:r>
        <w:rPr>
          <w:rFonts w:ascii="Arial" w:hAnsi="Arial"/>
          <w:b w:val="false"/>
          <w:color w:val="000000"/>
          <w:sz w:val="20"/>
        </w:rPr>
        <w:t>larger loan portfolio as well higher loss rates on our overall portfolio as of September 30, 2023 as compared to September 30, 2022.</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Quarterly Results of Operations Supplemental data</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following tables set forth our quarterly financial information for the third quarter and second quarter of 2023:</w:t>
      </w:r>
    </w:p>
    <w:p>
      <w:pPr>
        <w:pStyle w:val="TextBody"/>
        <w:bidi w:val="0"/>
        <w:jc w:val="left"/>
        <w:rPr/>
      </w:pPr>
      <w:r>
        <w:rPr/>
        <w:t> </w:t>
      </w:r>
    </w:p>
    <w:tbl>
      <w:tblPr>
        <w:tblW w:w="10072" w:type="dxa"/>
        <w:jc w:val="left"/>
        <w:tblInd w:w="0" w:type="dxa"/>
        <w:tblLayout w:type="fixed"/>
        <w:tblCellMar>
          <w:top w:w="28" w:type="dxa"/>
          <w:left w:w="28" w:type="dxa"/>
          <w:bottom w:w="28" w:type="dxa"/>
          <w:right w:w="28" w:type="dxa"/>
        </w:tblCellMar>
      </w:tblPr>
      <w:tblGrid>
        <w:gridCol w:w="3781"/>
        <w:gridCol w:w="146"/>
        <w:gridCol w:w="354"/>
        <w:gridCol w:w="1251"/>
        <w:gridCol w:w="166"/>
        <w:gridCol w:w="146"/>
        <w:gridCol w:w="354"/>
        <w:gridCol w:w="1251"/>
        <w:gridCol w:w="166"/>
        <w:gridCol w:w="146"/>
        <w:gridCol w:w="196"/>
        <w:gridCol w:w="601"/>
        <w:gridCol w:w="166"/>
        <w:gridCol w:w="146"/>
        <w:gridCol w:w="216"/>
        <w:gridCol w:w="625"/>
        <w:gridCol w:w="36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22" w:type="dxa"/>
            <w:gridSpan w:val="6"/>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(in thousands, except unit data)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center"/>
              <w:rPr/>
            </w:pPr>
            <w:r>
              <w:rPr/>
              <w:t> </w:t>
            </w:r>
          </w:p>
        </w:tc>
        <w:tc>
          <w:tcPr>
            <w:tcW w:w="361" w:type="dxa"/>
            <w:tcBorders/>
            <w:shd w:fill="FFFFFF" w:val="clear"/>
            <w:vAlign w:val="center"/>
          </w:tcPr>
          <w:p>
            <w:pPr>
              <w:pStyle w:val="TableContents"/>
              <w:bidi w:val="0"/>
              <w:spacing w:before="0" w:after="283"/>
              <w:jc w:val="center"/>
              <w:rPr/>
            </w:pPr>
            <w:r>
              <w:rPr/>
              <w:t> </w:t>
            </w:r>
          </w:p>
        </w:tc>
      </w:tr>
      <w:tr>
        <w:trPr/>
        <w:tc>
          <w:tcPr>
            <w:tcW w:w="378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Total revenues</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235,634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225,178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0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10,456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4.6</w:t>
            </w:r>
          </w:p>
        </w:tc>
        <w:tc>
          <w:tcPr>
            <w:tcW w:w="36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Total gross profit</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48,094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46,001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0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2,093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4.5</w:t>
            </w:r>
          </w:p>
        </w:tc>
        <w:tc>
          <w:tcPr>
            <w:tcW w:w="36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Ecommerce units sold</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4,561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4,127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10.5</w:t>
            </w:r>
          </w:p>
        </w:tc>
        <w:tc>
          <w:tcPr>
            <w:tcW w:w="36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Ecommerce revenue</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149,851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138,225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0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11,626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8.4</w:t>
            </w:r>
          </w:p>
        </w:tc>
        <w:tc>
          <w:tcPr>
            <w:tcW w:w="36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Ecommerce gross profit</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14,339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12,189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0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2,150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17.6</w:t>
            </w:r>
          </w:p>
        </w:tc>
        <w:tc>
          <w:tcPr>
            <w:tcW w:w="36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Vehicle gross profit (loss) per ecommerce unit</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516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0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77.9</w:t>
            </w:r>
          </w:p>
        </w:tc>
        <w:tc>
          <w:tcPr>
            <w:tcW w:w="36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Product gross profit per ecommerce unit</w:t>
            </w:r>
          </w:p>
        </w:tc>
        <w:tc>
          <w:tcPr>
            <w:tcW w:w="146" w:type="dxa"/>
            <w:tcBorders/>
            <w:shd w:fill="CFF0FC" w:val="clear"/>
            <w:vAlign w:val="center"/>
          </w:tcPr>
          <w:p>
            <w:pPr>
              <w:pStyle w:val="TableContents"/>
              <w:bidi w:val="0"/>
              <w:spacing w:before="0" w:after="283"/>
              <w:jc w:val="center"/>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(1.4</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Total gross profit per ecommerce unit</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3,144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0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6.4</w:t>
            </w:r>
          </w:p>
        </w:tc>
        <w:tc>
          <w:tcPr>
            <w:tcW w:w="36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Wholesale units sold</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2,270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436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23.8</w:t>
            </w:r>
          </w:p>
        </w:tc>
        <w:tc>
          <w:tcPr>
            <w:tcW w:w="36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Wholesale revenue</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30,898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30,800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0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0.3</w:t>
            </w:r>
          </w:p>
        </w:tc>
        <w:tc>
          <w:tcPr>
            <w:tcW w:w="36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Wholesale gross (loss) profit</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(1,495</w:t>
            </w:r>
          </w:p>
        </w:tc>
        <w:tc>
          <w:tcPr>
            <w:tcW w:w="1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(3,993</w:t>
            </w:r>
          </w:p>
        </w:tc>
        <w:tc>
          <w:tcPr>
            <w:tcW w:w="1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0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2,498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62.6</w:t>
            </w:r>
          </w:p>
        </w:tc>
        <w:tc>
          <w:tcPr>
            <w:tcW w:w="36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Wholesale gross (loss) profit per unit</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(659</w:t>
            </w:r>
          </w:p>
        </w:tc>
        <w:tc>
          <w:tcPr>
            <w:tcW w:w="1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(2,177</w:t>
            </w:r>
          </w:p>
        </w:tc>
        <w:tc>
          <w:tcPr>
            <w:tcW w:w="1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0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1,518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69.7</w:t>
            </w:r>
          </w:p>
        </w:tc>
        <w:tc>
          <w:tcPr>
            <w:tcW w:w="36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Retail Financing revenue</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40,823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42,128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0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(1,305</w:t>
            </w:r>
          </w:p>
        </w:tc>
        <w:tc>
          <w:tcPr>
            <w:tcW w:w="1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(3.1</w:t>
            </w:r>
          </w:p>
        </w:tc>
        <w:tc>
          <w:tcPr>
            <w:tcW w:w="36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Retail Financing gross profit</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32,341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34,068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0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(1,727</w:t>
            </w:r>
          </w:p>
        </w:tc>
        <w:tc>
          <w:tcPr>
            <w:tcW w:w="1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(5.1</w:t>
            </w:r>
          </w:p>
        </w:tc>
        <w:tc>
          <w:tcPr>
            <w:tcW w:w="36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78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Total selling, general, and administrative expenses</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79,586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5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86,955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0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(7,369</w:t>
            </w:r>
          </w:p>
        </w:tc>
        <w:tc>
          <w:tcPr>
            <w:tcW w:w="1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(8.5</w:t>
            </w:r>
          </w:p>
        </w:tc>
        <w:tc>
          <w:tcPr>
            <w:tcW w:w="36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bl>
    <w:p>
      <w:pPr>
        <w:pStyle w:val="TextBody"/>
        <w:bidi w:val="0"/>
        <w:jc w:val="left"/>
        <w:rPr/>
      </w:pPr>
      <w:r>
        <w:rPr/>
        <w:t> </w:t>
      </w:r>
    </w:p>
    <w:tbl>
      <w:tblPr>
        <w:tblW w:w="9817" w:type="dxa"/>
        <w:jc w:val="left"/>
        <w:tblInd w:w="0" w:type="dxa"/>
        <w:tblLayout w:type="fixed"/>
        <w:tblCellMar>
          <w:top w:w="28" w:type="dxa"/>
          <w:left w:w="28" w:type="dxa"/>
          <w:bottom w:w="28" w:type="dxa"/>
          <w:right w:w="28" w:type="dxa"/>
        </w:tblCellMar>
      </w:tblPr>
      <w:tblGrid>
        <w:gridCol w:w="3466"/>
        <w:gridCol w:w="146"/>
        <w:gridCol w:w="367"/>
        <w:gridCol w:w="1238"/>
        <w:gridCol w:w="166"/>
        <w:gridCol w:w="146"/>
        <w:gridCol w:w="367"/>
        <w:gridCol w:w="1238"/>
        <w:gridCol w:w="166"/>
        <w:gridCol w:w="146"/>
        <w:gridCol w:w="196"/>
        <w:gridCol w:w="661"/>
        <w:gridCol w:w="166"/>
        <w:gridCol w:w="146"/>
        <w:gridCol w:w="171"/>
        <w:gridCol w:w="670"/>
        <w:gridCol w:w="36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22" w:type="dxa"/>
            <w:gridSpan w:val="6"/>
            <w:tcBorders/>
            <w:shd w:fill="FFFFFF" w:val="clear"/>
            <w:vAlign w:val="center"/>
          </w:tcPr>
          <w:p>
            <w:pPr>
              <w:pStyle w:val="TableContents"/>
              <w:bidi w:val="0"/>
              <w:spacing w:before="0" w:after="283"/>
              <w:jc w:val="center"/>
              <w:rPr>
                <w:rFonts w:ascii="Arial" w:hAnsi="Arial"/>
                <w:b/>
                <w:color w:val="000000"/>
                <w:sz w:val="15"/>
              </w:rPr>
            </w:pPr>
            <w:r>
              <w:rPr>
                <w:rFonts w:ascii="Arial" w:hAnsi="Arial"/>
                <w:b/>
                <w:color w:val="000000"/>
                <w:sz w:val="15"/>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0" w:type="dxa"/>
            <w:gridSpan w:val="6"/>
            <w:tcBorders/>
            <w:shd w:fill="FFFFFF" w:val="clear"/>
            <w:vAlign w:val="center"/>
          </w:tcPr>
          <w:p>
            <w:pPr>
              <w:pStyle w:val="TableContents"/>
              <w:bidi w:val="0"/>
              <w:spacing w:before="0" w:after="283"/>
              <w:jc w:val="center"/>
              <w:rPr/>
            </w:pPr>
            <w:r>
              <w:rPr/>
              <w:t> </w:t>
            </w:r>
          </w:p>
        </w:tc>
        <w:tc>
          <w:tcPr>
            <w:tcW w:w="361" w:type="dxa"/>
            <w:tcBorders/>
            <w:shd w:fill="FFFFFF" w:val="cle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Net loss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38"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(82,857</w:t>
            </w:r>
          </w:p>
        </w:tc>
        <w:tc>
          <w:tcPr>
            <w:tcW w:w="1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38"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(66,318</w:t>
            </w:r>
          </w:p>
        </w:tc>
        <w:tc>
          <w:tcPr>
            <w:tcW w:w="1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6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(16,539</w:t>
            </w:r>
          </w:p>
        </w:tc>
        <w:tc>
          <w:tcPr>
            <w:tcW w:w="1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24.9</w:t>
            </w:r>
          </w:p>
        </w:tc>
        <w:tc>
          <w:tcPr>
            <w:tcW w:w="36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4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Adjusted to exclude the following:</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Interest expense</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238"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12,058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238"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8,938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3,120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34.9</w:t>
            </w:r>
          </w:p>
        </w:tc>
        <w:tc>
          <w:tcPr>
            <w:tcW w:w="36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4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Interest income</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(5,506</w:t>
            </w:r>
          </w:p>
        </w:tc>
        <w:tc>
          <w:tcPr>
            <w:tcW w:w="1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(4,921</w:t>
            </w:r>
          </w:p>
        </w:tc>
        <w:tc>
          <w:tcPr>
            <w:tcW w:w="1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(585</w:t>
            </w:r>
          </w:p>
        </w:tc>
        <w:tc>
          <w:tcPr>
            <w:tcW w:w="1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11.9</w:t>
            </w:r>
          </w:p>
        </w:tc>
        <w:tc>
          <w:tcPr>
            <w:tcW w:w="36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4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Provision for income taxes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238"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238"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385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(125</w:t>
            </w:r>
          </w:p>
        </w:tc>
        <w:tc>
          <w:tcPr>
            <w:tcW w:w="1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(32.5</w:t>
            </w:r>
          </w:p>
        </w:tc>
        <w:tc>
          <w:tcPr>
            <w:tcW w:w="36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4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11,248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10,536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6.8</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4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EBITDA</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(64,797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(51,380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(13,417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26.1</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4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Severance costs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38"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38"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6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(2,003</w:t>
            </w:r>
          </w:p>
        </w:tc>
        <w:tc>
          <w:tcPr>
            <w:tcW w:w="1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(88.0</w:t>
            </w:r>
          </w:p>
        </w:tc>
        <w:tc>
          <w:tcPr>
            <w:tcW w:w="36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4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Gain on debt extinguishment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2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238"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(10,931</w:t>
            </w:r>
          </w:p>
        </w:tc>
        <w:tc>
          <w:tcPr>
            <w:tcW w:w="1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10,931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100.0</w:t>
            </w:r>
          </w:p>
        </w:tc>
        <w:tc>
          <w:tcPr>
            <w:tcW w:w="361"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4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Hail storm costs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(2,353</w:t>
            </w:r>
          </w:p>
        </w:tc>
        <w:tc>
          <w:tcPr>
            <w:tcW w:w="1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(100.0</w:t>
            </w:r>
          </w:p>
        </w:tc>
        <w:tc>
          <w:tcPr>
            <w:tcW w:w="361"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4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Other</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(100.0</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4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Adjusted EBITDA</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(64,523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(56,329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(8,194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14.5</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466" w:type="dxa"/>
            <w:tcBorders/>
            <w:shd w:fill="CFF0FC"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Securitization gain</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0.0</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r>
        <w:trPr/>
        <w:tc>
          <w:tcPr>
            <w:tcW w:w="3466" w:type="dxa"/>
            <w:tcBorders/>
            <w:shd w:fill="FFFFFF" w:val="cle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Adjusted EBITDA excluding securitization gain</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(64,523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(56,329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(8,194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7"/>
              </w:rPr>
            </w:pPr>
            <w:r>
              <w:rPr>
                <w:rFonts w:ascii="Arial" w:hAnsi="Arial"/>
                <w:b w:val="false"/>
                <w:color w:val="000000"/>
                <w:sz w:val="17"/>
              </w:rPr>
              <w:t>14.5</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w:t>
            </w:r>
          </w:p>
        </w:tc>
      </w:tr>
    </w:tbl>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Liquidity and Capital Resources</w:t>
      </w:r>
    </w:p>
    <w:p>
      <w:pPr>
        <w:pStyle w:val="TextBody"/>
        <w:bidi w:val="0"/>
        <w:jc w:val="center"/>
        <w:rPr/>
      </w:pPr>
      <w:r>
        <w:rPr/>
        <w:t> </w:t>
      </w:r>
    </w:p>
    <w:p>
      <w:pPr>
        <w:pStyle w:val="TextBody"/>
        <w:bidi w:val="0"/>
        <w:jc w:val="left"/>
        <w:rPr>
          <w:rFonts w:ascii="Arial" w:hAnsi="Arial"/>
          <w:b w:val="false"/>
          <w:color w:val="000000"/>
          <w:sz w:val="20"/>
        </w:rPr>
      </w:pPr>
      <w:r>
        <w:rPr>
          <w:rFonts w:ascii="Arial" w:hAnsi="Arial"/>
          <w:b w:val="false"/>
          <w:color w:val="000000"/>
          <w:sz w:val="20"/>
        </w:rPr>
        <w:t>As of September 30, 2023, we had cash and cash equivalents of $208.6 million and restricted cash of $80.5 million. Restricted cash primarily includes cash deposits required under our 2022 Vehicle Floorplan Facility of $31.9 million and restricted cash required under UACC’s securitization transactions and Warehouse Credit Facilities of $47.2 million. Our primary source of liquidity is cash generated through financing activities. Additionally, we had excess borrowing capacity of $72.5 million under UACC's Warehouse Credit Facilities as of September 30, 2023.</w:t>
      </w:r>
    </w:p>
    <w:p>
      <w:pPr>
        <w:pStyle w:val="TextBody"/>
        <w:bidi w:val="0"/>
        <w:jc w:val="left"/>
        <w:rPr>
          <w:rFonts w:ascii="Times New Roman" w:hAnsi="Times New Roman"/>
          <w:sz w:val="20"/>
        </w:rPr>
      </w:pPr>
      <w:r>
        <w:rPr>
          <w:rFonts w:ascii="Arial" w:hAnsi="Arial"/>
          <w:b w:val="false"/>
          <w:color w:val="000000"/>
          <w:sz w:val="20"/>
        </w:rPr>
        <w:t>Since inception, we have relied on borrowings under our vehicle floorplan facilities to finance our inventory. The term of the vehicle floorplan facility generally matures within one to two years and we typically renew those facilities at least annually. Our 2022 Vehicle Floorplan Facility expires on March 31, 2024, and we have commenced discussions with our floorplan lender, Ally Bank and Ally Financial (together “Ally”), regarding an amended floorplan facility that would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extend the term beyond the current expiration date. Ally has indicated its willingness to extend the floorplan facility beyond June 2024 would be contingent upon Vroom raising additional capital. The 2022 Vehicle Floorplan Facility remains a committed facility through March 31, 2024. Prior to that date, we intend to continue our discussions with Ally over the terms of an amended facility and may engage with other lenders over the terms of an alternative facility. There can be no assurance that Ally would agree to extend the 2022 Vehicle Floorplan Facility on terms acceptable to us, or that alternative floorplan financing would be available on acceptable terms from another lender. In the event that a capital raise is required by Ally or another lender, there can be no assurance that such additional capital would be available in an amount or on terms acceptable to us, if at all. Failure to secure floorplan financing beyond the expiration of the 2022 Vehicle Floorplan Facility would have a material adverse effect on our ability to finance our inventory and operate our core used automotive sales business.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20"/>
        </w:rPr>
        <w:t>Our future capital requirements will depend on many factors, including our efforts to increase sales volume, optimize our sales margin, GPPU and marketing costs, as well as reduce fixed and variable expenses; scale our internal sales force to support sales volume growth; invest in our website and mobile applications; continue automation of our selling experience; and increase inventory as we resume growth. We have no significant debt maturities due until 2026 and the payments on our securitization debt are funded by cashflows on the finance receivables within the securitization trusts.</w:t>
      </w:r>
      <w:r>
        <w:rPr>
          <w:rFonts w:ascii="Times New Roman" w:hAnsi="Times New Roman"/>
          <w:color w:val="000000"/>
          <w:sz w:val="20"/>
        </w:rPr>
        <w:t xml:space="preserve"> </w:t>
      </w:r>
    </w:p>
    <w:p>
      <w:pPr>
        <w:pStyle w:val="TextBody"/>
        <w:bidi w:val="0"/>
        <w:jc w:val="left"/>
        <w:rPr>
          <w:rFonts w:ascii="Arial" w:hAnsi="Arial"/>
          <w:b w:val="false"/>
          <w:color w:val="000000"/>
          <w:sz w:val="20"/>
        </w:rPr>
      </w:pPr>
      <w:r>
        <w:rPr>
          <w:rFonts w:ascii="Arial" w:hAnsi="Arial"/>
          <w:b w:val="false"/>
          <w:color w:val="000000"/>
          <w:sz w:val="20"/>
        </w:rPr>
        <w:t>We expect to use our cash and cash equivalents to finance our future capital requirements, borrowings under the 2022 Vehicle Floorplan Facility and any amended or alternative vehicle floorplan facility to finance our inventory, and UACC’s Warehouse Credit Facilities to fund our finance receivables.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 In addition, our projected capital requirements are subject to various assumptions, including our growth rate, sales margin, GPPU, marketing costs, and reductions in fixed and variable expenses, as well as market conditions.</w:t>
      </w:r>
    </w:p>
    <w:p>
      <w:pPr>
        <w:pStyle w:val="TextBody"/>
        <w:bidi w:val="0"/>
        <w:jc w:val="left"/>
        <w:rPr>
          <w:rFonts w:ascii="Times New Roman" w:hAnsi="Times New Roman"/>
          <w:sz w:val="20"/>
        </w:rPr>
      </w:pPr>
      <w:r>
        <w:rPr>
          <w:rFonts w:ascii="Arial" w:hAnsi="Arial"/>
          <w:b w:val="false"/>
          <w:color w:val="000000"/>
          <w:sz w:val="20"/>
        </w:rPr>
        <w:t>If we are unable to enter into an amended or alternative floorplan facility, we will pursue strategies to adjust our core used automotive sales operations and reduce variable and fixed costs. We anticipate that (i) our existing cash and cash equivalents, (ii) 2022 Vehicle Floorplan Facility, and (iii) UACC's Warehouse Credit Facilities will be sufficient to support the Company for at least the next twelve months from the date of this Quarterly Report on Form 10-Q.</w:t>
      </w:r>
      <w:r>
        <w:rPr>
          <w:rFonts w:ascii="Times New Roman" w:hAnsi="Times New Roman"/>
          <w:color w:val="000000"/>
          <w:sz w:val="20"/>
        </w:rPr>
        <w:t xml:space="preserve"> </w:t>
      </w:r>
    </w:p>
    <w:p>
      <w:pPr>
        <w:pStyle w:val="TextBody"/>
        <w:bidi w:val="0"/>
        <w:jc w:val="left"/>
        <w:rPr>
          <w:rFonts w:ascii="Arial" w:hAnsi="Arial"/>
          <w:b w:val="false"/>
          <w:color w:val="000000"/>
          <w:sz w:val="20"/>
        </w:rPr>
      </w:pPr>
      <w:r>
        <w:rPr>
          <w:rFonts w:ascii="Arial" w:hAnsi="Arial"/>
          <w:b w:val="false"/>
          <w:color w:val="000000"/>
          <w:sz w:val="20"/>
        </w:rPr>
        <w:t>We intend to seek additional equity or debt financing to fund our current operations and support the extension of our vehicle floorplan financing. Such additional financing could take the form of a private investment in equity securities, convertible debt securities or other debt financing, an at-the-market offering of our common stock, rights offering or other public offering of equity or debt securities. The availability of additional equity or debt financing will depend on the continued execution of our long-term roadmap, our ability to demonstrate a path to long-term profitable growth, as well as market conditions. The sale of additional equity would result in significant dilution to our stockholders. The incurrence of debt financing would result in additional debt service obligations and the instruments governing such debt could provide for restrictive operating and financial covenants, security interests on our assets, and other terms that could be adverse to our current stakeholders. There can be no assurance that such equity or debt financing will be available in amounts or on terms acceptable to us, if at all. Failure to raise additional capital through equity or debt financing would have a material adverse effect on our ability to meet our short and long-term liquidity needs and achieve our business objectives.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Convertible Senior Notes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June 18, 2021, we issued $625.0 million aggregate principal amount of the Notes pursuant to an indenture between us and U.S. Bank National Association, as trustee (the “Indenture”).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were approximately $608.9 million. During the three months ended September 30, 2023, the conditions allowing holders of the Notes to convert were not met.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During the nine months ended September 30, 2023, we repurchased $32.8 million in aggregate principal amount of the Notes, net of deferred issuance costs, for $13.2 million, respectively, in open-market transactions. We recognized a gain on extinguishment of debt of $19.6 million for the nine months ended September 30, 2023. As a result of these repurchases and repurchases made in 2022, as of September 30, 2023, $327.8 million aggregate principal amount of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Notes remain outstanding, net of deferred issuance costs of $4.7 million. Subject to market conditions and availability, we may continue to opportunistically repurchase Notes from time to time to reduce our outstanding indebtedness at a discount. Refer to Note 12 — Long Term Debt to our condensed consolidated financial statements included elsewhere in this Quarterly Report on Form 10-Q, for further discussion.</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Vehicle Financing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 November 2022, we amended our floorplan facility with Ally Bank and Ally Financial (the “2022 Vehicle Floorplan Facility”). The 2022 Vehicle Floorplan Facility provides a committed credit line of up to $500.0 million which is scheduled to mature on March 31, 2024.</w:t>
      </w:r>
    </w:p>
    <w:p>
      <w:pPr>
        <w:pStyle w:val="TextBody"/>
        <w:bidi w:val="0"/>
        <w:jc w:val="left"/>
        <w:rPr>
          <w:rFonts w:ascii="Arial" w:hAnsi="Arial"/>
          <w:b w:val="false"/>
          <w:color w:val="000000"/>
          <w:sz w:val="20"/>
        </w:rPr>
      </w:pPr>
      <w:r>
        <w:rPr>
          <w:rFonts w:ascii="Arial" w:hAnsi="Arial"/>
          <w:b w:val="false"/>
          <w:color w:val="000000"/>
          <w:sz w:val="20"/>
        </w:rPr>
        <w:t>The amount of credit available to us on a monthly basis equals the product of (1) the greater of five times the aggregate number of retail units sold during the most recent month for which information is available or the aggregate number of retail units sold during the five most recent months for which information is available and (2) the greater of the average outstanding floorplan balance of all vehicles on the floorplan as of the immediately preceding month-end or the average monthly outstanding floorplan balance of all vehicles on the floorplan as of month-end for the immediately preceding five months. The amendment also provides that we may elect to increase our monthly credit line availability by an additional $25.0 million during any four months in the period from November 1, 2022 through March 31, 2024, subject to the maximum $500.0 million credit limit. Consistent with the terms of the 2020 Vehicle Floorplan Facility, we have provided Ally with a guaranty of payment of all amounts owed under the 2022 Vehicle Floorplan Facility as well as a security interest in all or substantially all tangible, intangible, and other personal property of Vroom, Inc., to secure obligations under the 2022 Vehicle Floorplan Facility.</w:t>
      </w:r>
    </w:p>
    <w:p>
      <w:pPr>
        <w:pStyle w:val="TextBody"/>
        <w:bidi w:val="0"/>
        <w:jc w:val="left"/>
        <w:rPr>
          <w:rFonts w:ascii="Times New Roman" w:hAnsi="Times New Roman"/>
          <w:sz w:val="20"/>
        </w:rPr>
      </w:pPr>
      <w:r>
        <w:rPr>
          <w:rFonts w:ascii="Arial" w:hAnsi="Arial"/>
          <w:b w:val="false"/>
          <w:color w:val="000000"/>
          <w:sz w:val="20"/>
        </w:rPr>
        <w:t>The 2022 Vehicle Floorplan Facility bears interest at a rate equal to the Prime Rate, announced per annum by Ally Bank, plus 175 basis points. Additionally, we are subject to amended covenants and events of default. We are required to maintain a certain level of equity in the vehicles that are financed, to maintain at least 20.0% of the credit line in cash and cash equivalents, and to maintain a minimum required balance with Ally of at least 12.5% of the daily floorplan principal balance outstanding through December 31, 2022 and 15.0% effective January 1, 2023. We were required to pay a commitment fee upon execution of the 2022 Vehicle Floorplan Facility.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 August 2023, the Company amended its 2022 Vehicle Floorplan Facility to modify certain terms, and also amended the credit balance agreements to modify the minimum required credit balance calculation.</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Finance Receivables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Subject to market conditions, we plan to sell finance receivables originated by UACC through asset-backed securitization transactions and forward flow arrangements. In January 2023, UACC sold approximately $238.7 million of investment grade rated asset-backed securities in an auto loan securitization transaction from a securitization trust, established and sponsored by UACC for proceeds of $237.8 million. On April 19, 2023, UACC sold the non-investment grade rated securities related to the 2023-1 securitization transaction for $23.1 million. The trust is collateralized by finance receivables with an aggregate principal balance of $326.4 million. As a result of current market conditions, which led to unfavorable pricing, UACC retained the residual interests, and we accounted for the 2023-1 securitization transaction as secured borrowings.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the nine months ended September 30, 2022, UACC sold $523.7 million of rated asset-backed securities and $49.6 million of residual certificates in auto loan securitization offerings from securitization trusts, established and sponsored by UACC, for proceeds of $582.9 million. The trusts are collateralized by finance receivables with an aggregate principal balance of $603.5 million and has a carrying value of $534.6 million at the time of sale.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Finance receivables are serviced by UACC. UACC retains at least 5% of the notes and residual certificates sold as required by applicable risk retention rules and generally uses the proceeds of the securitization transactions to pay down outstanding debt under its Warehouse Credit Facilities.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Although our long-term strategy is to structure future securitization transactions similar to the 2022-1 securitization transaction and account for them as sales, market conditions may impact our ability to achieve sales accounting treatment. Depending on market conditions, future securitization transactions may be accounted for as secured borrowings and remain on balance sheet.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As a result of increasing interest rates, the current inflationary environment and vehicle depreciation in the used automotive industry, UACC is experiencing higher loss severity and higher losses in a soft securitization market. The increased loss severity could lead to reduced servicing income if UACC elects to waive monthly servicing fees going forward as it did in the first quarter of 2023. The waiver of monthly servicing fees related to the 2022-2 securitization transaction resulted in consolidation of the related finance receivables and securitization debt on our financial statements.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Refer to Note 4 — Variable Interest Entities and Securitizations to our condensed consolidated financial statements included elsewhere in this Quarterly Report on Form 10-Q, for further discussion.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UACC Risk Retention Financing Facility</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On May 3, 2023, UACC entered into a Risk Retention Financing Facility enabling it to finance asset-backed securities issued in its securitization transactions and held by UACC pursuant to applicable risk retention rules. Under this facility, UACC sells such retained interests and agrees to repurchase them at fair value on a future date. In its initial transaction under this facility, UACC pledged $24.5 million of its retained beneficial interests as collateral, and received proceeds of $24.1 million, with expected repurchase dates ranging from March 2025 to September 2029. The securitization trusts will distribute payments related to UACC's pledged beneficial interests in securitizations directly to the lenders, which will reduce the beneficial interests in securitizations and the related debt balance</w:t>
      </w:r>
      <w:r>
        <w:rPr>
          <w:rFonts w:ascii="Calibri;sans-serif" w:hAnsi="Calibri;sans-serif"/>
          <w:b w:val="false"/>
          <w:color w:val="000000"/>
          <w:sz w:val="22"/>
        </w:rPr>
        <w: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Warehouse Credit Facilities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UACC has four senior secured warehouse facility agreements the (“Warehouse Credit Facilities”) with banking institutions. The Warehouse Credit Facilities are collateralized by eligible finance receivables and available borrowings are computed based on a percentage of eligible finance receivables. The aggregate borrowing limit is $825.0 million with maturities between July 2024 and September 2025. As of September 30, 2023, outstanding borrowings related to the Warehouse Credit Facilities were $294.7 million and we were in compliance with all covenants related to the Warehouse Credit Facilities. Failure to satisfy these and or any other requirements contained within the agreements would restrict access to the Warehouse Credit Facilities and could have a material adverse effect on our financial condition, results of operations and liquidity. Certain breaches of covenants may also result in acceleration of the repayment of borrowings prior to the scheduled maturity. Refer to Note 11 — Warehouse Credit Facilities of Consolidated VIEs to our condensed consolidated financial statements included elsewhere in this Quarterly Report on Form 10-Q, for further discussion.</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Cash Flows from Operating, Investing, and Financing Activities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b w:val="false"/>
          <w:color w:val="000000"/>
          <w:sz w:val="20"/>
        </w:rPr>
        <w:t>The following table summarizes our cash flows for the nine months ended September 30, 2023 and 2022:</w:t>
      </w:r>
      <w:r>
        <w:rPr>
          <w:rFonts w:ascii="Times New Roman" w:hAnsi="Times New Roman"/>
          <w:color w:val="000000"/>
          <w:sz w:val="20"/>
        </w:rPr>
        <w:t xml:space="preserve"> </w:t>
      </w:r>
    </w:p>
    <w:p>
      <w:pPr>
        <w:pStyle w:val="TextBody"/>
        <w:bidi w:val="0"/>
        <w:jc w:val="left"/>
        <w:rPr/>
      </w:pPr>
      <w:r>
        <w:rPr/>
        <w:t> </w:t>
      </w:r>
    </w:p>
    <w:tbl>
      <w:tblPr>
        <w:tblW w:w="9321" w:type="dxa"/>
        <w:jc w:val="left"/>
        <w:tblInd w:w="0" w:type="dxa"/>
        <w:tblLayout w:type="fixed"/>
        <w:tblCellMar>
          <w:top w:w="28" w:type="dxa"/>
          <w:left w:w="28" w:type="dxa"/>
          <w:bottom w:w="28" w:type="dxa"/>
          <w:right w:w="28" w:type="dxa"/>
        </w:tblCellMar>
      </w:tblPr>
      <w:tblGrid>
        <w:gridCol w:w="6121"/>
        <w:gridCol w:w="146"/>
        <w:gridCol w:w="211"/>
        <w:gridCol w:w="146"/>
        <w:gridCol w:w="856"/>
        <w:gridCol w:w="166"/>
        <w:gridCol w:w="146"/>
        <w:gridCol w:w="211"/>
        <w:gridCol w:w="146"/>
        <w:gridCol w:w="961"/>
        <w:gridCol w:w="21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4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43" w:type="dxa"/>
            <w:gridSpan w:val="8"/>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61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(425,631</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(23,102</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12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137,442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(181,269</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1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105,258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(406,439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12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(182,931</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(610,810</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1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and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472,010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1,214,775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and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289,079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603,965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Operating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Net cash flows used in operating activities increased by $402.5 million, from $23.1 million for the nine months ended September 30, 2022 to $425.6 million for the nine months ended September 30, 2023. For the nine months ended September 30, 2022, the cash used in operating activities was partially offset by the proceeds from the sale of finance receivables held for sale related to the 2022-1 and 2022-2 securitization transactions of $509.6 million. The remaining increase in net cash used in operating activities is due to a change in working capital of $132.6 million primarily related to the change in inventory levels. The increases were partially offset by a $138.6 million decrease in net loss after reconciling adjustments for the nine months ended September 30, 2023, as compared to the nine months ended September 30, 2022, a decrease of originations of finance receivables held for sale of $62.4 million, and an increase in principal payments received on finance receivables held for sale of $33.6 million.</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the 2023-1 securitization transaction was accounted for as secured borrowings, the proceeds are included as a financing activity in our condensed consolidated statement of cash flows.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We finance a majority of our inventory with the 2022 Vehicle Floorplan Facility. In accordance with U.S. GAAP, we report all cash flows arising in connection with the 2022 Vehicle Floorplan Facility, as a financing activity in our condensed consolidated statement of cash flows.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Investing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Net cash flows from investing activities changed $318.7 million, from net cash used in investing activities of $181.3 million for the nine months ended September 30, 2022 to net cash provided by investing activities of $137.4 million for the nine months ended September 30, 2023, primarily as a result of the UACC Acquisition in February 2022 which resulted in cash outflow of $267.5 million during the nine months ended September 30, 2022, a decrease in purchases of finance receivables at fair value of $46.1 million, an increase in principal payments received on finance receivables at fair value of $29.8 million, and the consolidation of the 2022-2 securitization transaction which resulted in a cash inflow of $11.4 million during the nine months ended September 30, 2023. The increases were partially offset by a decrease in proceeds from the sale of finance receivables at fair value for the 2022-1 and 2022-2 securitization transactions of $43.3 million during the nine months ended September 30, 2022.</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Financing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Net cash flows from financing activities changed $511.7 million, from net cash used in financing activities of $406.4 million for the nine months ended September 30, 2022 to net cash provided by financing activities of $105.3 million for the nine months ended September 30, 2023. The change was primarily related to proceeds from borrowings under secured financing arrangements of $262.0 million, an increase in net cash inflow of $104.6 million related to our Warehouse Credit Facilities, a decrease in net repayments of $103.0 million related to our Vehicle Floorplan Facility, proceeds from financing beneficial interests in securitizations of $24.5 million for the nine months ended September 30, 2023, and a decrease in principal repayments under secured financing agreements of $17.5 million.</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b w:val="false"/>
          <w:color w:val="000000"/>
          <w:sz w:val="20"/>
        </w:rPr>
        <w:t>Our condensed consolidated financial statements are prepared in accordance with GAAP. The preparation of condensed consolidated financial statements requires us to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There have been no material changes to our critical accounting policies and estimates as compared to the critical accounting policies and estimates disclosed in our Annual Report on Form 10-K for the year ended December 31, 2022.</w:t>
      </w:r>
    </w:p>
    <w:p>
      <w:pPr>
        <w:pStyle w:val="TextBody"/>
        <w:bidi w:val="0"/>
        <w:jc w:val="center"/>
        <w:rPr/>
      </w:pPr>
      <w:r>
        <w:rPr/>
        <w:t> </w:t>
      </w:r>
    </w:p>
    <w:p>
      <w:pPr>
        <w:pStyle w:val="TextBody"/>
        <w:bidi w:val="0"/>
        <w:jc w:val="center"/>
        <w:rPr>
          <w:rFonts w:ascii="Times New Roman" w:hAnsi="Times New Roman"/>
          <w:sz w:val="20"/>
        </w:rPr>
      </w:pPr>
      <w:r>
        <w:rPr>
          <w:rFonts w:ascii="Arial" w:hAnsi="Arial"/>
          <w:b/>
          <w:i/>
          <w:color w:val="000000"/>
          <w:sz w:val="20"/>
        </w:rPr>
        <w:t>Recently Issued and Adopted Accounting Pronouncement</w:t>
      </w:r>
      <w:r>
        <w:rPr>
          <w:rFonts w:ascii="Arial" w:hAnsi="Arial"/>
          <w:b/>
          <w:color w:val="000000"/>
          <w:sz w:val="20"/>
        </w:rPr>
        <w: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Arial" w:hAnsi="Arial"/>
          <w:b w:val="false"/>
          <w:color w:val="000000"/>
          <w:sz w:val="20"/>
        </w:rPr>
      </w:pPr>
      <w:r>
        <w:rPr>
          <w:rFonts w:ascii="Arial" w:hAnsi="Arial"/>
          <w:b w:val="false"/>
          <w:color w:val="000000"/>
          <w:sz w:val="20"/>
        </w:rPr>
        <w:t>Refer to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1" w:name="quantitative_and_qualitative_disclosure"/>
      <w:bookmarkEnd w:id="11"/>
      <w:r>
        <w:rPr>
          <w:rFonts w:ascii="Arial" w:hAnsi="Arial"/>
          <w:b/>
          <w:color w:val="000000"/>
          <w:sz w:val="20"/>
        </w:rPr>
        <w:t>Item 3. Quantitative and Qualitative Disclosure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Market risk is the risk of economic losses due to adverse changes in financial market prices and rates. Our primary market risk has been interest rate risk. We do not have material exposure to commodity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Rate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 of September 30, 2023, we had an outstanding balance under the 2020 Vehicle Floorplan Facility of $212.5 million and an outstanding balance under our Warehouse Credit Facilities of $294.7 million. The 2020 Vehicle Floorplan Facility bears interest at a rate equal to the Prime Rate, announced per annum by Ally Bank, plus 105 basis points. The Warehouse Credit Facilities bear interest at a rate equal to SOFR plus a fixed percentage based on the agreement with the banking institution. A hypothetical 10% change in interest rates during the three and nine months ended September 30, 2023 would result in a change to interest expense of $0.8 million and $1.9 million,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As of September 30, 2023, we had $718.4 million of long-term debt including the current portion of long term debt of $197.0 million. As the interest rate on the long term debt is fixed, we do not have exposure to interest rate risk.</w:t>
      </w:r>
    </w:p>
    <w:p>
      <w:pPr>
        <w:pStyle w:val="TextBody"/>
        <w:bidi w:val="0"/>
        <w:jc w:val="left"/>
        <w:rPr/>
      </w:pPr>
      <w:r>
        <w:rPr/>
        <w:t> </w:t>
      </w:r>
    </w:p>
    <w:p>
      <w:pPr>
        <w:pStyle w:val="TextBody"/>
        <w:bidi w:val="0"/>
        <w:jc w:val="left"/>
        <w:rPr>
          <w:rFonts w:ascii="Arial" w:hAnsi="Arial"/>
          <w:b/>
          <w:color w:val="000000"/>
          <w:sz w:val="20"/>
        </w:rPr>
      </w:pPr>
      <w:bookmarkStart w:id="12" w:name="controls_procedures"/>
      <w:bookmarkEnd w:id="12"/>
      <w:r>
        <w:rPr>
          <w:rFonts w:ascii="Arial" w:hAnsi="Arial"/>
          <w:b/>
          <w:color w:val="000000"/>
          <w:sz w:val="20"/>
        </w:rPr>
        <w:t>Item 4. Controls and Procedures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Limitations on effectiveness of controls and procedures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Our management, with the participation of our Principal Executive Officer and Principal Financial Officer, evaluated the effectiveness of our disclosure controls and procedures (as defined in Rules 13a-15(e) and 15d-15(e) under the Exchange Act) as of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Based on that evaluation, our Principal Executive Officer and Principal Financial Officer have concluded that, as of September 30, 2023, our disclosure controls and procedures were effective at the reasonable assurance level.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Changes in Internal Control over Financial Reporting</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There was no change in our internal control over financial reporting (as defined in Rules 13a-15(f) and 15d-15(f) under the Exchange Act) that occurred during the quarterly period ended September 30, 2023,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3" w:name="part_ii"/>
      <w:bookmarkEnd w:id="13"/>
      <w:r>
        <w:rPr>
          <w:rFonts w:ascii="Arial" w:hAnsi="Arial"/>
          <w:b/>
          <w:color w:val="000000"/>
          <w:sz w:val="20"/>
        </w:rPr>
        <w:t>PART II - OTHER</w:t>
      </w:r>
      <w:r>
        <w:rPr>
          <w:rFonts w:ascii="Times New Roman" w:hAnsi="Times New Roman"/>
          <w:color w:val="000000"/>
          <w:sz w:val="20"/>
        </w:rPr>
        <w:t xml:space="preserve"> </w:t>
      </w:r>
      <w:r>
        <w:rPr>
          <w:rFonts w:ascii="Arial" w:hAnsi="Arial"/>
          <w:b/>
          <w:color w:val="000000"/>
          <w:sz w:val="20"/>
        </w:rPr>
        <w:t>INFORMATION</w:t>
      </w:r>
    </w:p>
    <w:p>
      <w:pPr>
        <w:pStyle w:val="TextBody"/>
        <w:bidi w:val="0"/>
        <w:jc w:val="left"/>
        <w:rPr/>
      </w:pPr>
      <w:r>
        <w:rPr/>
        <w:t> </w:t>
      </w:r>
    </w:p>
    <w:p>
      <w:pPr>
        <w:pStyle w:val="TextBody"/>
        <w:bidi w:val="0"/>
        <w:jc w:val="left"/>
        <w:rPr>
          <w:rFonts w:ascii="Times New Roman" w:hAnsi="Times New Roman"/>
          <w:sz w:val="20"/>
        </w:rPr>
      </w:pPr>
      <w:bookmarkStart w:id="14" w:name="legal_proceedings"/>
      <w:bookmarkEnd w:id="14"/>
      <w:r>
        <w:rPr>
          <w:rFonts w:ascii="Arial" w:hAnsi="Arial"/>
          <w:b/>
          <w:color w:val="000000"/>
          <w:sz w:val="20"/>
        </w:rPr>
        <w:t>Item 1.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pStyle w:val="TextBody"/>
        <w:bidi w:val="0"/>
        <w:jc w:val="left"/>
        <w:rPr>
          <w:rFonts w:ascii="Arial" w:hAnsi="Arial"/>
          <w:b w:val="false"/>
          <w:color w:val="000000"/>
          <w:sz w:val="20"/>
        </w:rPr>
      </w:pPr>
      <w:r>
        <w:rPr>
          <w:rFonts w:ascii="Arial" w:hAnsi="Arial"/>
          <w:b w:val="false"/>
          <w:color w:val="000000"/>
          <w:sz w:val="20"/>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pStyle w:val="TextBody"/>
        <w:bidi w:val="0"/>
        <w:jc w:val="left"/>
        <w:rPr>
          <w:rFonts w:ascii="Arial" w:hAnsi="Arial"/>
          <w:b w:val="false"/>
          <w:color w:val="000000"/>
          <w:sz w:val="20"/>
        </w:rPr>
      </w:pPr>
      <w:r>
        <w:rPr>
          <w:rFonts w:ascii="Arial" w:hAnsi="Arial"/>
          <w:b w:val="false"/>
          <w:color w:val="000000"/>
          <w:sz w:val="20"/>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and the court has approved the parties’ stipulation that the case would remain stayed pending final resolution of In re: Vroom, Inc. Securities Litigation. This lawsuit remains in preliminary stages and there have been no substantive developments.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 xml:space="preserve">The Attorney General of Texas, on behalf of the State of Texas, filed a petition in April 2022 and an amended petition in October 2023, in the District Court of Travis County Texas against the Company, alleging violation of the Texas Deceptive Trade Practices − Consumer Protection Act, Texas Business and Commerce Code § 17.41 et seq (Texas v. Vroom Automotive LLC, and Vroom Inc., Case No. D-1-GN-001809). The purported violations are based on alleged deficiencies and other issues in the Company’s marketing of used vehicles and fulfilment of customer orders, including the titling and registration of sold vehicles.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The parties are engaged in discovery and Vroom continues to work cooperatively with the office of the Attorney General of the State of Texas towards a resolution.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 </w:t>
      </w:r>
      <w:r>
        <w:rPr>
          <w:rFonts w:ascii="Times New Roman" w:hAnsi="Times New Roman"/>
          <w:b w:val="false"/>
          <w:color w:val="000000"/>
          <w:sz w:val="20"/>
        </w:rPr>
        <w:br/>
        <w:br/>
      </w:r>
      <w:r>
        <w:rPr>
          <w:rFonts w:ascii="Times New Roman" w:hAnsi="Times New Roman"/>
          <w:color w:val="000000"/>
          <w:sz w:val="20"/>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 July 2022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Blake Sonne, individually and on behalf of all others similar situated, v. Vroom Automotive, LLC and Vroom, Inc., No. CJ-2022-822 and Emely Reyes Martinez, on behalf of all others similarly situated, v. Vroom Automotive, LLC and Vroom Inc., No. 652684/2022. The Company removed the cases to the U.S. District Court for the Western District of Oklahoma (Case No. 22-cv-761) and the U.S. District Court for the Southern District of New York (Case No. 22-cv-7631), respectively, and filed motions to compel arbitration of all claims in both cases. In September 2023, Vroom’s motions to compel arbitration were granted in both cases, and the court actions are stayed pending the outcome of any arbitration proceeding over the respective plaintiffs’ individual claims.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20"/>
        </w:rPr>
        <w:t>As previously disclosed, we have been subject to audits, requests for information, investigations and other inquiries from our regulators relating to increased customer complaints concerning the same or similar matters alleged in the State of Texas petition.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20"/>
        </w:rPr>
        <w:br/>
      </w:r>
      <w:r>
        <w:rPr>
          <w:rFonts w:ascii="Times New Roman" w:hAnsi="Times New Roman"/>
          <w:color w:val="000000"/>
          <w:sz w:val="20"/>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color w:val="000000"/>
          <w:sz w:val="20"/>
        </w:rPr>
      </w:pPr>
      <w:bookmarkStart w:id="15" w:name="risk_factors"/>
      <w:bookmarkEnd w:id="15"/>
      <w:r>
        <w:rPr>
          <w:rFonts w:ascii="Arial" w:hAnsi="Arial"/>
          <w:b/>
          <w:color w:val="000000"/>
          <w:sz w:val="20"/>
        </w:rPr>
        <w:t>Item 1A. Risk Factors</w:t>
      </w:r>
    </w:p>
    <w:p>
      <w:pPr>
        <w:pStyle w:val="TextBody"/>
        <w:bidi w:val="0"/>
        <w:jc w:val="left"/>
        <w:rPr/>
      </w:pPr>
      <w:r>
        <w:rPr/>
        <w:t> </w:t>
      </w:r>
    </w:p>
    <w:p>
      <w:pPr>
        <w:pStyle w:val="TextBody"/>
        <w:bidi w:val="0"/>
        <w:jc w:val="left"/>
        <w:rPr>
          <w:rFonts w:ascii="Times New Roman" w:hAnsi="Times New Roman"/>
          <w:sz w:val="20"/>
        </w:rPr>
      </w:pPr>
      <w:r>
        <w:rPr>
          <w:rFonts w:ascii="Arial" w:hAnsi="Arial"/>
          <w:b w:val="false"/>
          <w:i/>
          <w:color w:val="000000"/>
          <w:sz w:val="20"/>
        </w:rPr>
        <w:t xml:space="preserve">Our operations and financial results are subject to various risks and uncertainties including those disclosed under “Item 1A. Risk Factors” in our </w:t>
      </w:r>
      <w:r>
        <w:rPr>
          <w:rFonts w:ascii="Arial" w:hAnsi="Arial"/>
          <w:b w:val="false"/>
          <w:i/>
          <w:color w:val="000000"/>
          <w:sz w:val="20"/>
          <w:u w:val="single"/>
        </w:rPr>
        <w:t>Annual Report</w:t>
      </w:r>
      <w:r>
        <w:rPr>
          <w:rFonts w:ascii="Arial" w:hAnsi="Arial"/>
          <w:b w:val="false"/>
          <w:i/>
          <w:color w:val="000000"/>
          <w:sz w:val="20"/>
        </w:rPr>
        <w:t xml:space="preserve">. We provide below the material changes to our risk factors described in our </w:t>
      </w:r>
      <w:r>
        <w:rPr>
          <w:rFonts w:ascii="Arial" w:hAnsi="Arial"/>
          <w:b w:val="false"/>
          <w:i/>
          <w:color w:val="000000"/>
          <w:sz w:val="20"/>
          <w:u w:val="single"/>
        </w:rPr>
        <w:t>Annual Report</w:t>
      </w:r>
      <w:r>
        <w:rPr>
          <w:rFonts w:ascii="Arial" w:hAnsi="Arial"/>
          <w:b w:val="false"/>
          <w:i/>
          <w:color w:val="0563C1"/>
          <w:sz w:val="20"/>
          <w:u w:val="single"/>
        </w:rPr>
        <w:t xml:space="preserve">. </w:t>
      </w:r>
      <w:r>
        <w:rPr>
          <w:rFonts w:ascii="Arial" w:hAnsi="Arial"/>
          <w:b w:val="false"/>
          <w:i/>
          <w:color w:val="000000"/>
          <w:sz w:val="20"/>
        </w:rPr>
        <w:t>If any of these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r>
        <w:rPr>
          <w:rFonts w:ascii="Times New Roman" w:hAnsi="Times New Roman"/>
          <w:color w:val="000000"/>
          <w:sz w:val="20"/>
        </w:rPr>
        <w:t xml:space="preserve"> </w:t>
      </w:r>
    </w:p>
    <w:p>
      <w:pPr>
        <w:pStyle w:val="TextBody"/>
        <w:bidi w:val="0"/>
        <w:jc w:val="left"/>
        <w:rPr>
          <w:rFonts w:ascii="Arial" w:hAnsi="Arial"/>
          <w:b/>
          <w:i/>
          <w:color w:val="000000"/>
          <w:sz w:val="20"/>
        </w:rPr>
      </w:pPr>
      <w:r>
        <w:rPr>
          <w:rFonts w:ascii="Arial" w:hAnsi="Arial"/>
          <w:b/>
          <w:i/>
          <w:color w:val="000000"/>
          <w:sz w:val="20"/>
        </w:rPr>
        <w:t>Despite the cost saving measures, reduced growth rates and increased focus on liquidity and profitability contemplated by our long-term roadmap, we intend to raise additional capital through equity or debt financings to achieve our business objectives and there can be no assurance that such financings will be available in amounts or on terms acceptable to us, if at all.</w:t>
      </w:r>
    </w:p>
    <w:p>
      <w:pPr>
        <w:pStyle w:val="TextBody"/>
        <w:bidi w:val="0"/>
        <w:jc w:val="left"/>
        <w:rPr>
          <w:rFonts w:ascii="Arial" w:hAnsi="Arial"/>
          <w:b w:val="false"/>
          <w:color w:val="000000"/>
          <w:sz w:val="20"/>
        </w:rPr>
      </w:pPr>
      <w:r>
        <w:rPr>
          <w:rFonts w:ascii="Arial" w:hAnsi="Arial"/>
          <w:b w:val="false"/>
          <w:color w:val="000000"/>
          <w:sz w:val="20"/>
        </w:rPr>
        <w:t>As of September 30, 2023, we had cash and cash equivalents of $208.6 million. In 2022 we adopted our long-term roadmap, which was designed to prioritize unit economics, reduce operating expenses and maximize liquidity. Nevertheless, our future capital requirements will depend on many factors, including our efforts to increase sales volume; optimize our sales margin, GPPU and marketing costs, as well as reduce fixed and variable expenses; scale our internal sales force to support sales volume growth; invest in our website and mobile applications; continue automation of our selling experience; and increase inventory as we resume growth. We rely on borrowings under our 2022 Vehicle Floorplan Facility to finance our inventory and we have commenced discussions with our floorplan lender, Ally Bank and Ally Financial (together, "Ally") regarding an amended floorplan facility that would extend the term beyond the current expiration date. While we have typically extended our floorplan facility annually, Ally has indicated its willingness to extend the floorplan facility beyond June 2024 would be contingent upon Vroom raising additional capital. The 2022 Vehicle Floorplan Facility remains a committed facility through March 31, 2024. Prior to that date, we intend to continue our discussions with Ally over the terms of an amended facility and may engage with other lenders over the terms of an alternative facility. There can be no assurance that Ally would agree to extend the 2022 Vehicle Floorplan Facility on terms acceptable to us, or that alternative floorplan financing would be available on acceptable terms from another lender. We intend to seek additional equity or debt financing to fund our current operations and support the extension of our vehicle floorplan financing, however, there can be no assurance that such financing will be available in amounts or on terms acceptable to us, if at all. Failure to raise additional capital through equity or debt financings would have a material adverse effect on our ability to meet our short and long-term liquidity needs and achieve our business objectives. See “We intend to seek additional capital to pursue our business objectives and respond to business opportunities, challenges or unforeseen circumstances. If such capital is not available to us, our business, financial condition and results of operations would be materially and adversely affected."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currently rely on an agreement with a single lender to finance our vehicle inventory purchases under our 2022 Vehicle Floorplan Facility. If we fail to extend our current floorplan facility and our relationship with this lender were to terminate, and we fail to acquire alternative sources of funding to finance our vehicle inventory purchases, we may be unable to maintain sufficient inventory, which would adversely affect our business, financial condition and results of operations.</w:t>
      </w:r>
    </w:p>
    <w:p>
      <w:pPr>
        <w:pStyle w:val="TextBody"/>
        <w:bidi w:val="0"/>
        <w:jc w:val="left"/>
        <w:rPr>
          <w:rFonts w:ascii="Times New Roman" w:hAnsi="Times New Roman"/>
          <w:sz w:val="20"/>
        </w:rPr>
      </w:pPr>
      <w:r>
        <w:rPr>
          <w:rFonts w:ascii="Arial" w:hAnsi="Arial"/>
          <w:b w:val="false"/>
          <w:color w:val="000000"/>
          <w:sz w:val="20"/>
        </w:rPr>
        <w:t>We rely on a revolving credit agreement with a single lender, Ally, to finance our vehicle inventory purchases under our 2022 Vehicle Floorplan Facility. Outstanding borrowings are due as financed vehicles are sold, and the 2022 Vehicle Floorplan Facility is secured by our vehicle inventory and certain other assets. Our 2022 Vehicle Floorplan Facility expires on March 31, 2024, and we have commenced discussions with Ally regarding an amended floorplan facility that would extend the term beyond the current expiration date. Ally has indicated that its willingness to extend the floorplan facility beyond June 2024 would be contingent upon Vroom raising additional capital. The 2022 Vehicle Floorplan Facility remains a committed facility through March 31, 2024. Prior to that date, we intend to continue our discussions with Ally over the terms of an amended facility and may engage with other lenders over the terms of an alternative facility. There can be no assurance that Ally would agree to extend the 2022 Vehicle Floorplan Facility on acceptable terms to us, or that alternative floorplan financing would be available on acceptable terms from another lender. In the event that a capital raise is required by Ally or another lender, there can be no assurance that such additional capital would be available in an amount or on terms acceptable to us, if at all. If we are unable to extend the 2022 Vehicle Floorplan Facility, or we are unable to find a satisfactory replacement, our inventory supply may decline, resulting in fewer vehicles available for sale on our website. Failure to secure floorplan financing beyond the expiration of the 2022 Vehicle Floorplan Facility would have a material adverse effect on our ability to finance our inventory and operate our core used automotive sales business. These financing risks, in addition to potential rising interest rates, inflation, and changes in market conditions, if realized, could negatively impact our business, financial condition and results of operations. See “Management’s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Discussion and Analysis of Financial Condition and Results of Operations—Liquidity and Capital Resources—Vehicle Financing”.</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 xml:space="preserve">We intend to seek additional capital to pursue our business objectives and respond to business opportunities, challenges or unforeseen circumstances. If such capital is not available to us, our business, financial condition and results of operations would be materially and adversely affected. </w:t>
      </w:r>
      <w:r>
        <w:rPr>
          <w:rFonts w:ascii="Times New Roman" w:hAnsi="Times New Roman"/>
          <w:b w:val="false"/>
          <w:color w:val="000000"/>
          <w:sz w:val="20"/>
        </w:rPr>
        <w:br/>
      </w:r>
      <w:r>
        <w:rPr>
          <w:rFonts w:ascii="Times New Roman" w:hAnsi="Times New Roman"/>
          <w:color w:val="000000"/>
          <w:sz w:val="20"/>
        </w:rPr>
        <w:t> </w:t>
      </w:r>
    </w:p>
    <w:p>
      <w:pPr>
        <w:pStyle w:val="TextBody"/>
        <w:bidi w:val="0"/>
        <w:jc w:val="left"/>
        <w:rPr>
          <w:rFonts w:ascii="Arial" w:hAnsi="Arial"/>
          <w:b w:val="false"/>
          <w:color w:val="000000"/>
          <w:sz w:val="20"/>
        </w:rPr>
      </w:pPr>
      <w:r>
        <w:rPr>
          <w:rFonts w:ascii="Arial" w:hAnsi="Arial"/>
          <w:b w:val="false"/>
          <w:color w:val="000000"/>
          <w:sz w:val="20"/>
        </w:rPr>
        <w:t>We intend to seek additional capital to fund our operations and support the extension of our vehicle floorplan financing. In addition, we may raise additional capital in the future to pursue our business objectives and respond to business opportunities, challenges or unforeseen circumstances, including to successfully execute on our long-term roadmap, make certain marketing expenditures to improve our brand awareness, build and maintain our inventory of used vehicles, develop our captive finance operation, expand our internal sales force, improve our customer experience operations, develop new products or services or further improve existing products and services, expand and enhance our operating and proprietary logistics and reconditioning infrastructure and acquire complementary businesses and technologies. However, there can be no assurance that additional funds, including any additional equity or debt financings, will be available in amounts or on terms acceptable to us, if at all. Moreover, any debt financing that we secure would result in additional debt service obligations and the instruments governing such debt could provide for restrictive operating and financial covenants, security interests on our assets, and other terms that could be adverse to our current stakeholders, which may make it more difficult for us to obtain additional capital and to pursue business opportunities. Volatility in the credit markets may also have an adverse effect on our ability to obtain debt financing. If we raise additional funds through further issuances of equity or convertible debt securities, our existing stockholders would suffer significant dilution, and any new equity securities we issue could have rights, preferences and privileges superior to those of holders of our common stock. If we are unable to obtain adequate financing or financing on terms or conditions satisfactory to us, we may be forced to obtain financing on undesirable terms or our ability to continue to pursue our business objectives, including to support the extension of our vehicle floorplan financing, successfully execute our long-term roadmap and to respond to business opportunities, challenges or unforeseen circumstances, would be significantly limited, and our business, financial condition and results of operations would be materially and adversely affected.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level of indebtedness could have a material adverse effect on our ability to generate sufficient cash to fulfill our obligations under such indebtedness, to react to changes in our business and to incur additional indebtedness to fund future needs.</w:t>
      </w:r>
    </w:p>
    <w:p>
      <w:pPr>
        <w:pStyle w:val="TextBody"/>
        <w:bidi w:val="0"/>
        <w:jc w:val="left"/>
        <w:rPr>
          <w:rFonts w:ascii="Arial" w:hAnsi="Arial"/>
          <w:b w:val="false"/>
          <w:color w:val="000000"/>
          <w:sz w:val="20"/>
        </w:rPr>
      </w:pPr>
      <w:r>
        <w:rPr>
          <w:rFonts w:ascii="Arial" w:hAnsi="Arial"/>
          <w:b w:val="false"/>
          <w:color w:val="000000"/>
          <w:sz w:val="20"/>
        </w:rPr>
        <w:t>As of September 30, 2023, we had outstanding $212.5 million aggregate principal amount of borrowings under our 2022 Vehicle Floorplan Facility and $332.5 million aggregate principal amount of our 0.75% Convertible Senior Notes due 2026 (the "Notes"). Our interest expense was $4.9 million and $14.1 million for the three and nine months ended September 30, 2023, respectively, related to the 2022 Vehicle Floorplan Facility. In addition, as of September 30, 2023, UACC had $361.9 million of securitization indebtedness as well as four senior secured warehouse facility agreements the (“Warehouse Credit Facilities”) with banking institutions, with an aggregate borrowing limit of $825.0 million. As of September 30, 2023, there was $294.7 million in outstanding borrowings related to the Warehouse Credit Facilities. In the nine months ended September 30, 2023, we repurchased $32.8 million in aggregate principal amount of our Notes, net of deferred issuance costs, in open market transactions for $13.2 million. Subject to market conditions and availability, we may continue to opportunistically repurchase Notes from time to time to reduce our outstanding indebtedness at a discount. However, we may be unable to repay, restructure or refinance the remaining Notes.</w:t>
      </w:r>
    </w:p>
    <w:p>
      <w:pPr>
        <w:pStyle w:val="TextBody"/>
        <w:bidi w:val="0"/>
        <w:jc w:val="left"/>
        <w:rPr>
          <w:rFonts w:ascii="Times New Roman" w:hAnsi="Times New Roman"/>
          <w:sz w:val="20"/>
        </w:rPr>
      </w:pPr>
      <w:r>
        <w:rPr>
          <w:rFonts w:ascii="Arial" w:hAnsi="Arial"/>
          <w:b w:val="false"/>
          <w:color w:val="000000"/>
          <w:sz w:val="20"/>
        </w:rPr>
        <w:t>If our cash flows and capital resources are insufficient to fund our debt service obligations, we may be forced to reduce or delay investments and capital expenditures, or to sell assets or restructure or refinance our indebtedness. We intend to seek additional equity or debt financing to fund our operations and support the extension of our vehicle floorplan financing with Ally, which could include a restructuring of some or all of our outstanding debt. Our ability to restructure or refinance our current or future debt or obtain additional debt financing will depend on the condition of the capital markets and our financial condition at such time, including the continued execution of our long-term roadmap and our ability to demonstrate a path to long-term profitable growth.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 Furthermore, our 2022 Vehicle Floorplan Facility restricts our ability to dispose of assets and/or use the proceeds from the disposition, and any amended or alternative vehicle floorplan facility may include similar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restrictions. We may not be able to consummate any such dispositions or to obtain the proceeds that we could realize from them and these proceeds may not be adequate to meet any debt service obligations then due.</w:t>
      </w:r>
    </w:p>
    <w:p>
      <w:pPr>
        <w:pStyle w:val="TextBody"/>
        <w:bidi w:val="0"/>
        <w:jc w:val="left"/>
        <w:rPr>
          <w:rFonts w:ascii="Arial" w:hAnsi="Arial"/>
          <w:b w:val="false"/>
          <w:color w:val="000000"/>
          <w:sz w:val="20"/>
        </w:rPr>
      </w:pPr>
      <w:r>
        <w:rPr>
          <w:rFonts w:ascii="Arial" w:hAnsi="Arial"/>
          <w:b w:val="false"/>
          <w:color w:val="000000"/>
          <w:sz w:val="20"/>
        </w:rPr>
        <w:t>In addition, our indebtedness under our 2022 Vehicle Floorplan Facility bears interest at variable rates, and any amended or alternative floorplan facility may bear interest at variable rates as well. As a result, fluctuations in interest rates may affect our cash flows or business, financial condition and results of operations. In addition, any future funding arrangements may be at higher interest rates or subject to other less favorable terms. We may attempt to minimize interest rate risk and lower our overall borrowing costs through the utilization of derivative financial instruments, primarily interest rate swaps.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The issuance by us of additional shares of common stock or convertible securities would significantly dilute your ownership of us and could adversely affect our stock price.</w:t>
      </w:r>
    </w:p>
    <w:p>
      <w:pPr>
        <w:pStyle w:val="TextBody"/>
        <w:bidi w:val="0"/>
        <w:jc w:val="left"/>
        <w:rPr>
          <w:rFonts w:ascii="Arial" w:hAnsi="Arial"/>
          <w:b w:val="false"/>
          <w:color w:val="000000"/>
          <w:sz w:val="20"/>
        </w:rPr>
      </w:pPr>
      <w:r>
        <w:rPr>
          <w:rFonts w:ascii="Arial" w:hAnsi="Arial"/>
          <w:b w:val="false"/>
          <w:color w:val="000000"/>
          <w:sz w:val="20"/>
        </w:rPr>
        <w:t>We intend to seek additional equity or debt financing. The issuance of any additional capital stock would result in significant dilution to our stockholders. We also expect to continue to grant equity awards to employees, directors and consultants under our equity incentive plans.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pStyle w:val="TextBody"/>
        <w:bidi w:val="0"/>
        <w:jc w:val="left"/>
        <w:rPr>
          <w:rFonts w:ascii="Arial" w:hAnsi="Arial"/>
          <w:b/>
          <w:i/>
          <w:color w:val="000000"/>
          <w:sz w:val="20"/>
        </w:rPr>
      </w:pPr>
      <w:r>
        <w:rPr>
          <w:rFonts w:ascii="Arial" w:hAnsi="Arial"/>
          <w:b/>
          <w:i/>
          <w:color w:val="000000"/>
          <w:sz w:val="20"/>
        </w:rPr>
        <w:t>The issuance or sale of shares of our common stock, or rights to acquire shares of our common stock, could depress the trading price of our common stock and our notes, and would significantly dilute existing stockholders.</w:t>
      </w:r>
    </w:p>
    <w:p>
      <w:pPr>
        <w:pStyle w:val="TextBody"/>
        <w:bidi w:val="0"/>
        <w:jc w:val="left"/>
        <w:rPr>
          <w:rFonts w:ascii="Arial" w:hAnsi="Arial"/>
          <w:b w:val="false"/>
          <w:color w:val="000000"/>
          <w:sz w:val="20"/>
        </w:rPr>
      </w:pPr>
      <w:r>
        <w:rPr>
          <w:rFonts w:ascii="Arial" w:hAnsi="Arial"/>
          <w:b w:val="false"/>
          <w:color w:val="000000"/>
          <w:sz w:val="20"/>
        </w:rPr>
        <w:t>We intend to seek additional equity or debt financing to fund our current operations and support the extension of our vehicle floorplan financing, which may include offerings of our common stock, preferred stock or other securities that are convertible into or exercisable for our common stock to finance our operations or fund acquisitions, or for other purposes. In addition, as of September 30, 2023, we had reserved 4,074,751 shares of our common stock for issuance under our equity incentive plans. The Indenture for our Notes does not restrict our ability to issue additional equity securities. If we issue or sell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our Notes may significantly decline. In addition, our issuance or sale of additional shares of common stock would significantly dilute the ownership interests of our existing common stockholders, including noteholders who receive shares of our common stock upon conversion of their Notes.</w:t>
      </w:r>
    </w:p>
    <w:p>
      <w:pPr>
        <w:pStyle w:val="TextBody"/>
        <w:bidi w:val="0"/>
        <w:jc w:val="left"/>
        <w:rPr>
          <w:rFonts w:ascii="Arial" w:hAnsi="Arial"/>
          <w:b/>
          <w:i/>
          <w:color w:val="000000"/>
          <w:sz w:val="20"/>
        </w:rPr>
      </w:pPr>
      <w:r>
        <w:rPr>
          <w:rFonts w:ascii="Arial" w:hAnsi="Arial"/>
          <w:b/>
          <w:i/>
          <w:color w:val="000000"/>
          <w:sz w:val="20"/>
        </w:rPr>
        <w:t>Future sales, or the perception of future sales, by us or our existing stockholders in the public market could cause the market price for our common stock to decline.</w:t>
      </w:r>
    </w:p>
    <w:p>
      <w:pPr>
        <w:pStyle w:val="TextBody"/>
        <w:bidi w:val="0"/>
        <w:jc w:val="left"/>
        <w:rPr>
          <w:rFonts w:ascii="Arial" w:hAnsi="Arial"/>
          <w:b w:val="false"/>
          <w:color w:val="000000"/>
          <w:sz w:val="20"/>
        </w:rPr>
      </w:pPr>
      <w:r>
        <w:rPr>
          <w:rFonts w:ascii="Arial" w:hAnsi="Arial"/>
          <w:b w:val="false"/>
          <w:color w:val="000000"/>
          <w:sz w:val="20"/>
        </w:rPr>
        <w:t>We intend to seek additional equity or debt financing to fund our current operations and support the extension of our vehicle floorplan financing, which may include the sale of substantial amounts of shares of our common stock in the public or private markets. Such sales of shares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Other than shares held by our affiliates, stockholders who held our capital stock prior to completion of our IPO now hold freely tradable shares of our common stock without restriction or further registration requirements under the Securities Act, and therefore they may take steps to sell their shares or otherwise secure any unrecognized gains on those shares. Additionally, any shares of common stock held by our affiliates are eligible for resale pursuant to Rule 144 under the Securities Act, subject to the volume, manner of sale, holding period and other limitations of Rule 144.</w:t>
      </w:r>
    </w:p>
    <w:p>
      <w:pPr>
        <w:pStyle w:val="TextBody"/>
        <w:bidi w:val="0"/>
        <w:jc w:val="left"/>
        <w:rPr>
          <w:rFonts w:ascii="Arial" w:hAnsi="Arial"/>
          <w:b w:val="false"/>
          <w:color w:val="000000"/>
          <w:sz w:val="20"/>
        </w:rPr>
      </w:pPr>
      <w:r>
        <w:rPr>
          <w:rFonts w:ascii="Arial" w:hAnsi="Arial"/>
          <w:b w:val="false"/>
          <w:color w:val="000000"/>
          <w:sz w:val="20"/>
        </w:rPr>
        <w:t>We filed a registration statement on Form S-8 to register shares of our common stock issued or reserved for issuance under our 2020 Incentive Award Plan and Second Amended and Restated 2014 Equity Incentive Plan, as well as a registration statement on Form S-8 to register shares of our common stock issued or reserved for issuance under our 2022 Inducement Award Plan. Subject to the satisfaction of vesting conditions, shares registered under these registration statements on Form S-8 became available for resale immediately in the public market without restriction.</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Further, certain holders of our common stock have rights, subject to some conditions, to require us to file registration statements covering the sale of their shares or to include their shares in registration statements that we may file on our behalf or for other stockholders.</w:t>
      </w:r>
    </w:p>
    <w:p>
      <w:pPr>
        <w:pStyle w:val="TextBody"/>
        <w:bidi w:val="0"/>
        <w:jc w:val="left"/>
        <w:rPr>
          <w:rFonts w:ascii="Arial" w:hAnsi="Arial"/>
          <w:b w:val="false"/>
          <w:color w:val="000000"/>
          <w:sz w:val="20"/>
        </w:rPr>
      </w:pPr>
      <w:r>
        <w:rPr>
          <w:rFonts w:ascii="Arial" w:hAnsi="Arial"/>
          <w:b w:val="false"/>
          <w:color w:val="000000"/>
          <w:sz w:val="20"/>
        </w:rPr>
        <w:t>We are unable to predict the timing of or the effect that such sales may have on the prevailing market price of our common stock, which in turn may impact our continued listing on Nasdaq. See “We may be unable to satisfy a continued listing rule from the Nasdaq”.</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We may be unable to satisfy a continued listing rule from the Nasdaq.</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Arial" w:hAnsi="Arial"/>
          <w:b w:val="false"/>
          <w:color w:val="000000"/>
          <w:sz w:val="20"/>
        </w:rPr>
      </w:pPr>
      <w:r>
        <w:rPr>
          <w:rFonts w:ascii="Arial" w:hAnsi="Arial"/>
          <w:b w:val="false"/>
          <w:color w:val="000000"/>
          <w:sz w:val="20"/>
        </w:rPr>
        <w:t>The Nasdaq Stock Market LLC ("Nasdaq") maintains several requirements for continued listing of our common stock, one of which is the maintenance of a minimum closing bid price of $1.00. On April 14, 2023, we received written notice from Nasdaq notifying us that, for the last 30 consecutive business days, the bid price for our common stock had closed below the $1.00 minimum bid price requirement for continued inclusion on the Nasdaq Global Select Market. The notice had no immediate effect on the listing of our common stock, which continues to trade on the Nasdaq Global Select Market under the symbol "VRM". Pursuant to the Nasdaq listing rules, we were provided a period of 180 calendar days, or until October 11, 2023, to regain compliance with the minimum closing bid price requirement of at least $1.00 per share for a minimum of 10 consecutive business days. On June 23, 2023, we received written notice from Nasdaq informing us that, from June 8, 2023 to June 22, 2023, our minimum bid price had been $1.00 per share or higher and, accordingly, we had regained compliance with Nasdaq Listing Rule 5450(a)(1) and that the matter was now closed. However, there can be no assurance that our common stock will continue to close at or above the $1.00 per share minimum bid price as required by Nasdaq, or that we will otherwise meet the requirements of Nasdaq for continued inclusion for trading on Nasdaq Global Select Market.</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If our common stock again closes below the $1.00 per share minimum bid price required by Nasdaq for 30 consecutive business days, we would receive another written notice of non-compliance with Nasdaq’s listing standards and be provided a period of 180 calendar days from the date of such notice to regain compliance with the minimum closing bid price requirement of at least $1.00 per share for a minimum of 10 consecutive business days.</w:t>
      </w:r>
    </w:p>
    <w:p>
      <w:pPr>
        <w:pStyle w:val="TextBody"/>
        <w:bidi w:val="0"/>
        <w:jc w:val="left"/>
        <w:rPr>
          <w:rFonts w:ascii="Times New Roman" w:hAnsi="Times New Roman"/>
          <w:sz w:val="20"/>
        </w:rPr>
      </w:pPr>
      <w:r>
        <w:rPr>
          <w:rFonts w:ascii="Arial" w:hAnsi="Arial"/>
          <w:b w:val="false"/>
          <w:color w:val="000000"/>
          <w:sz w:val="20"/>
        </w:rPr>
        <w:t>We intend to actively monitor the closing bid price of our common stock and, if we lose compliance with Nasdaq’s minimum bid price closing requirements, will consider all available options to regain compliance.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20"/>
        </w:rPr>
        <w:t>If our common stock is delisted in the future, it is unlikely that we will be able to list our common stock on another national securities exchange and, as a result, we expect our securities would be quoted on an over-the-counter market. If this were to occur, we and our stockholders could face significant material adverse consequences, including limited availability of market quotations and analyst coverage for our common stock, and reduced liquidity for the trading of our securities. In addition, a delisting would constitute a fundamental change under the terms of our Indenture and make our Notes redeemable at par upon delisting (as described further below), and we could also experience a decreased ability to issue additional securities and obtain additional financing in the future. Delisting also could result in, among other things, a loss of investor confidence or interest in strategic transactions or opportunities, us being subject to regulation in each state in which we offer our securities, and difficulty in recruiting and retaining personnel through equity incentive awards.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indebtedness and liabilities could limit the cash flow available for our operations, expose us to risks that could adversely affect our business, financial condition and results of operations and impair our ability to satisfy our debt obligations.</w:t>
      </w:r>
    </w:p>
    <w:p>
      <w:pPr>
        <w:pStyle w:val="TextBody"/>
        <w:bidi w:val="0"/>
        <w:jc w:val="left"/>
        <w:rPr>
          <w:rFonts w:ascii="Times New Roman" w:hAnsi="Times New Roman"/>
          <w:sz w:val="20"/>
        </w:rPr>
      </w:pPr>
      <w:r>
        <w:rPr>
          <w:rFonts w:ascii="Arial" w:hAnsi="Arial"/>
          <w:b w:val="false"/>
          <w:color w:val="000000"/>
          <w:sz w:val="20"/>
        </w:rPr>
        <w:t>As of September 30, 2023, we, including our subsidiaries, had approximately $1,225.5 million principal amount of consolidated indebtedness. We intend to seek additional equity or debt financing to fund our current operations and support the extension of our vehicle floorplan financing. Our indebtedness could have significant negative consequences for our security holders and our business, results of operations and financial condition by,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increasing our vulnerability to adverse economic and industry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limiting our ability to obtain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requiring the dedication of a substantial portion of our cash flow from operations to service our indebtedness, which will reduce the amount of cash available for other purposes, including the successful execution of our long-term roadmap;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limiting our flexibility to plan for, or react to, changes in our business;</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diluting the interests of our existing stockholders as a result of issuing shares of our common stock upon conversion of our Notes due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placing us at a possible competitive disadvantage with competitors that are less leveraged than us or have better access to capital.</w:t>
      </w:r>
    </w:p>
    <w:p>
      <w:pPr>
        <w:pStyle w:val="TextBody"/>
        <w:bidi w:val="0"/>
        <w:jc w:val="left"/>
        <w:rPr>
          <w:rFonts w:ascii="Arial" w:hAnsi="Arial"/>
          <w:b w:val="false"/>
          <w:color w:val="000000"/>
          <w:sz w:val="20"/>
        </w:rPr>
      </w:pPr>
      <w:r>
        <w:rPr>
          <w:rFonts w:ascii="Arial" w:hAnsi="Arial"/>
          <w:b w:val="false"/>
          <w:color w:val="000000"/>
          <w:sz w:val="20"/>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 For example, on April 14, 2023, we received written notice from Nasdaq notifying us that, for the prior 30 consecutive business days, the bid price for our common stock had closed below the $1.00 minimum bid price requirement for continued inclusion on the Nasdaq Global Select Market. On June 23, 2023, we received written notice from Nasdaq informing us that, from June 8, 2023 to June 22, 2023, our minimum bid price had been $1.00 per share or higher and, accordingly, we had regained compliance with the Nasdaq listing rules. If our common stock again closes below the $1.00 per share minimum bid price required by Nasdaq for 30 consecutive business days, we would receive another notice of non-compliance with Nasdaq's listing standards and may be provided a period of 180 calendar days from the date of such notice to regain compliance with the minimum bid closing price requirement of at least $1.00 per share for a minimum of 10 consecutive business days. However, there can be no assurance that our common stock will continue to close at or above the $1.00 per share minimum bid price as required by Nasdaq, or that we will otherwise meet the requirements of Nasdaq for continued inclusion for trading on Nasdaq Global Select Market. The delisting of our common stock from the Nasdaq Global Select Market would constitute a fundamental change under the terms of our Indenture and make our Notes redeemable at par upon delisting. If we fail to comply with these covenants or to make payments under our indebtedness when due, then we would be in default under that indebtedness, which could, in turn, result in that and our other indebtedness becoming immediately payable in full.</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common stock price may be volatile and the value of our common stock has declined since our initial public offering and may continue to decline regardless of our operating performance, and you may not be able to resell your shares at or above the price which you paid for them.</w:t>
      </w:r>
    </w:p>
    <w:p>
      <w:pPr>
        <w:pStyle w:val="TextBody"/>
        <w:bidi w:val="0"/>
        <w:jc w:val="left"/>
        <w:rPr>
          <w:rFonts w:ascii="Arial" w:hAnsi="Arial"/>
          <w:b w:val="false"/>
          <w:color w:val="000000"/>
          <w:sz w:val="20"/>
        </w:rPr>
      </w:pPr>
      <w:r>
        <w:rPr>
          <w:rFonts w:ascii="Arial" w:hAnsi="Arial"/>
          <w:b w:val="false"/>
          <w:color w:val="000000"/>
          <w:sz w:val="20"/>
        </w:rPr>
        <w:t>It is possible that an active trading market for shares of our common stock will not be sustained, which could make it difficult for you to sell your shares of common stock at an attractive price or at all.</w:t>
      </w:r>
    </w:p>
    <w:p>
      <w:pPr>
        <w:pStyle w:val="TextBody"/>
        <w:bidi w:val="0"/>
        <w:jc w:val="left"/>
        <w:rPr>
          <w:rFonts w:ascii="Arial" w:hAnsi="Arial"/>
          <w:b w:val="false"/>
          <w:color w:val="000000"/>
          <w:sz w:val="20"/>
        </w:rPr>
      </w:pPr>
      <w:r>
        <w:rPr>
          <w:rFonts w:ascii="Arial" w:hAnsi="Arial"/>
          <w:b w:val="false"/>
          <w:color w:val="000000"/>
          <w:sz w:val="20"/>
        </w:rPr>
        <w:t>Many factors, some of which are outside our control, may cause the market price of our common stock to fluctuate significantly, including those described in this “Risk Factors” section and the "Risk Factors" section in our Annual Report, as well as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potential delisting of our common stock, as described above;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our operating and financial performance and prospects, including as a result of operational changes and initiatives we have and continue to undertake as part of our long-term roadmap;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liquidity and ability to raise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our quarterly or annual earnings or those of other companies in our industry compared to market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our guidance regarding future quarterly or annual earnings, and our financial results in relation to previously issued guidance;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our ability to achieve the benefits of any cost saving measures;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conditions that impact demand for our offerings and platform, including demand in the automotive industry generally and the performance of the third parties through whom we conduct significant parts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future announcements concerning our business or our competitors’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the public’s reaction to our press releases, other public announcements and filings with the SEC;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coverage by or changes in financial estimates by securities analysts or failure to meet their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market and industry perception of our success, or lack thereof, in pursuing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changes in market sentiment regarding growth companies that are not yet profitable;</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strategic actions by us or our competitors, such as acquisitions or restructurings;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changes in laws or regulations which adversely affect our industry or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changes in accounting standards, policies, guidance, interpretations or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changes in senior management or key personnel and the impact of reductions in our workforce;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issuances, exchanges or sales, or expected issuances, exchanges or sales of our capital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changes in our dividend policy;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new, or adverse resolution of pending, litigation or other claims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global political unrest and wars, including geopolitical conflicts and war in Europe and the Middle East, which could delay and disrupt our business, and if such political unrest further escalates or leads to disruptions in the financial markets or puts further pressure on global supply chains, it could heighten many of the other risk factors included in this Item 1A;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current inflationary environment in the United States and in other global economies, the impact of rising interest rates and the impact of any recession or general economic downturn;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potential volatility in the banking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other changes in general market, economic and political conditions in the United States and global economies or financial markets, including those resulting from the federal government's ongoing negotiations regarding the federal debt limit, natural disasters, terrorist attacks, global pandemics, and responses to such events.</w:t>
      </w:r>
    </w:p>
    <w:p>
      <w:pPr>
        <w:pStyle w:val="TextBody"/>
        <w:bidi w:val="0"/>
        <w:jc w:val="left"/>
        <w:rPr>
          <w:rFonts w:ascii="Arial" w:hAnsi="Arial"/>
          <w:b w:val="false"/>
          <w:color w:val="000000"/>
          <w:sz w:val="20"/>
        </w:rPr>
      </w:pPr>
      <w:r>
        <w:rPr>
          <w:rFonts w:ascii="Arial" w:hAnsi="Arial"/>
          <w:b w:val="false"/>
          <w:color w:val="000000"/>
          <w:sz w:val="20"/>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w:t>
      </w:r>
    </w:p>
    <w:p>
      <w:pPr>
        <w:pStyle w:val="TextBody"/>
        <w:bidi w:val="0"/>
        <w:jc w:val="left"/>
        <w:rPr>
          <w:rFonts w:ascii="Arial" w:hAnsi="Arial"/>
          <w:b w:val="false"/>
          <w:color w:val="000000"/>
          <w:sz w:val="20"/>
        </w:rPr>
      </w:pPr>
      <w:r>
        <w:rPr>
          <w:rFonts w:ascii="Arial" w:hAnsi="Arial"/>
          <w:b w:val="false"/>
          <w:color w:val="000000"/>
          <w:sz w:val="20"/>
        </w:rPr>
        <w:t>We have recently experienced significant declines in the market price of our common stock, and it could continue to decline in the future, including as a result of the execution, and implementation of our long-term roadmap. Based upon the decline in our stock price, we recorded a goodwill impairment charge in our condensed consolidated statement of operations for the quarter ended March 31, 2022. See Note 8 to our Consolidated Financial Statements in our Annual Report. Further declines in our stock price could, among other things, make it more difficult to raise capital on terms acceptable to us, or at all, and make it difficult for our investors to sell their shares of common stock. If our stock price continues to close below $1.00 per share minimum bid price for 30 consecutive business days we would be out of compliance with the $1.00 per share minimum bid price requirement for continued inclusion on the Nasdaq Global Select Market and our stock would be at risk of delisting. See "Risk Factors—We may be unable to satisfy a continued listing rule from the Nasdaq" and "Risk Factors—Our indebtedness and liabilities could limit the cash flow available for our operations, expose us to risks that could adversely affect our business, financial condition and results of operations and impair our ability to satisfy our debt obligations" for more information on the risk of delisting from the Nasdaq Global Select Market. In addition, companies that experience volatility in the market price of their securities often are the subject of securities class action litigation. For example, a consolidated class action is pending in the U.S. District Court for the Southern District of New York against us, certain of our officers, and certain of our directors, among others, alleging violations of the federal securities laws. See Part II, Item 1. “Legal Proceedings.”</w:t>
      </w:r>
    </w:p>
    <w:p>
      <w:pPr>
        <w:pStyle w:val="TextBody"/>
        <w:bidi w:val="0"/>
        <w:jc w:val="center"/>
        <w:rPr/>
      </w:pPr>
      <w:r>
        <w:rPr/>
        <w:t> </w:t>
      </w:r>
    </w:p>
    <w:p>
      <w:pPr>
        <w:pStyle w:val="TextBody"/>
        <w:bidi w:val="0"/>
        <w:jc w:val="left"/>
        <w:rPr>
          <w:rFonts w:ascii="Arial" w:hAnsi="Arial"/>
          <w:b/>
          <w:i/>
          <w:color w:val="000000"/>
          <w:sz w:val="20"/>
        </w:rPr>
      </w:pPr>
      <w:r>
        <w:rPr>
          <w:rFonts w:ascii="Arial" w:hAnsi="Arial"/>
          <w:b/>
          <w:i/>
          <w:color w:val="000000"/>
          <w:sz w:val="20"/>
        </w:rPr>
        <w:t>We may not realize the anticipated benefits of the UACC Acquisition or realization of those benefits could take longer than anticipated.</w:t>
      </w:r>
    </w:p>
    <w:p>
      <w:pPr>
        <w:pStyle w:val="TextBody"/>
        <w:bidi w:val="0"/>
        <w:jc w:val="left"/>
        <w:rPr>
          <w:rFonts w:ascii="Times New Roman" w:hAnsi="Times New Roman"/>
          <w:sz w:val="20"/>
        </w:rPr>
      </w:pPr>
      <w:r>
        <w:rPr>
          <w:rFonts w:ascii="Arial" w:hAnsi="Arial"/>
          <w:b w:val="false"/>
          <w:color w:val="000000"/>
          <w:sz w:val="20"/>
        </w:rPr>
        <w:t>We acquired UACC with the expectation that the transaction would result in benefits to our business over time, including the benefits of a captive finance arm that would enable us to increase ecommerce unit sales, expand our penetration into non-prime sales, accelerate total revenue growth, enhance aggregate gross profit and GPPU, and leverage our fixed cost base. We expect that the development of our captive financing capabilities through the UACC Acquisition will be a significant element of our path to profitability and help position us for long-term growth in accordance with our long-term roadmap. Achieving these benefits will require the successful integration, development and operation of the combined businesses and it is not certain that we will succeed in those efforts. If we fail to fully integrate, develop</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and operate the combined businesses, we may not realize the benefits we expect to receive from the transaction or realization of those benefits may take substantially longer than anticipated. In addition to these operational risks, ownership of a captive lender will subject us to increased legal and regulatory scrutiny of our lending operations, including credit bureau reporting, credit underwriting practices and debt collection practices.</w:t>
      </w:r>
    </w:p>
    <w:p>
      <w:pPr>
        <w:pStyle w:val="TextBody"/>
        <w:bidi w:val="0"/>
        <w:jc w:val="left"/>
        <w:rPr>
          <w:rFonts w:ascii="Arial" w:hAnsi="Arial"/>
          <w:b w:val="false"/>
          <w:color w:val="000000"/>
          <w:sz w:val="20"/>
        </w:rPr>
      </w:pPr>
      <w:r>
        <w:rPr>
          <w:rFonts w:ascii="Arial" w:hAnsi="Arial"/>
          <w:b w:val="false"/>
          <w:color w:val="000000"/>
          <w:sz w:val="20"/>
        </w:rPr>
        <w:t>In addition, with regard to UACC’s financing, subject to market conditions, we intend to maintain a hybrid funding approach through the use of off-balance sheet securitization transactions and forward flow arrangements. Achievement of off-balance sheet accounting treatment requires the Company to sell all of the rated notes and residual certificates in the securitization, subject to holding 5% vertical risk retention. Execution of securitization transactions, including achievement of off-balance sheet accounting treatment for those transactions, is subject to market conditions. Even if UACC is able to complete its securitizations, it may not be able to sell its lower-rated securities or residual interests and those securitizations may not qualify for off-balance sheet accounting treatment, resulting in retention of the underlying loans (or residual interests) on our consolidated balance sheet, which could have an adverse impact on our liquidity. For example, as a result of current market conditions, which led to unfavorable pricing, we retained the non-investment grade securities and residual interests in UACC's 2023-1 securitization, requiring that the transaction remain on balance sheet pending the sale of the additional retained interests. Although we subsequently sold the non-investment grade securities, we continue to hold the residual interests. There can be no assurance that these residual interests will be sold and off-balance sheet treatment will be achieved in the future for this transaction. In addition, as a result of increasing interest rates, the current inflationary environment and vehicle depreciation in the used automotive industry, UACC is experiencing higher losses in a soft securitization market. Due to the increased losses,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results in reduced servicing income. Any future waivers of monthly servicing fees on other prior off-balance sheet securitization transactions could result in consolidation of such transactions. Such future consolidations could increase our indebtedness and may have a material adverse effect on our results of operations, financial condition and liquidity.</w:t>
      </w:r>
    </w:p>
    <w:p>
      <w:pPr>
        <w:pStyle w:val="TextBody"/>
        <w:bidi w:val="0"/>
        <w:jc w:val="left"/>
        <w:rPr>
          <w:rFonts w:ascii="Arial" w:hAnsi="Arial"/>
          <w:b/>
          <w:i/>
          <w:color w:val="000000"/>
          <w:sz w:val="20"/>
        </w:rPr>
      </w:pPr>
      <w:r>
        <w:rPr>
          <w:rFonts w:ascii="Arial" w:hAnsi="Arial"/>
          <w:b/>
          <w:i/>
          <w:color w:val="000000"/>
          <w:sz w:val="20"/>
        </w:rPr>
        <w:t>UACC may be unable to sell automotive finance receivables and generate gains on sales of those finance receivables, which could harm our business, results of operations, and financial condition.</w:t>
      </w:r>
    </w:p>
    <w:p>
      <w:pPr>
        <w:pStyle w:val="TextBody"/>
        <w:bidi w:val="0"/>
        <w:jc w:val="left"/>
        <w:rPr>
          <w:rFonts w:ascii="Arial" w:hAnsi="Arial"/>
          <w:b w:val="false"/>
          <w:color w:val="000000"/>
          <w:sz w:val="20"/>
        </w:rPr>
      </w:pPr>
      <w:r>
        <w:rPr>
          <w:rFonts w:ascii="Arial" w:hAnsi="Arial"/>
          <w:b w:val="false"/>
          <w:color w:val="000000"/>
          <w:sz w:val="20"/>
        </w:rPr>
        <w:t>UACC provides indirect financing by drawing on its Warehouse Credit Facilities to purchase motor vehicle retail installment sales contracts and pledging eligible finance receivables as collateral, then typically selling the receivables related to the financing contract.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 In addition, UACC has entered into arrangements to sell automotive finance receivables that it purchases, such as securitizations, and we expect UACC to enter into additional securitizations, loan sales to financing partners and other new arrangements in the future, subject to market conditions. If UACC is not able to sell receivables under these current or future arrangements for a variety of reasons, including increased credit losses or because it has reached its capacity under the arrangements, its financing partners exercise termination rights before it reaches capacity, general economic or credit market conditions, market disruption or it reaches the scheduled expiration date of the commitment, and it is not able to enter into new arrangements on similar terms, it may not have adequate liquidity and our business, financial condition and results of operations may be adversely affected. For example, as a result of current market conditions, which led to unfavorable pricing, we retained the non-investment grade securities and residual interests in UACC's 2023-1 securitization, requiring that the transaction remain on balance sheet pending the sale of the additional retained interests. Although we subsequently sold the non-investment grade securities, we continue to hold the residual interests. There can be no assurance that these residual interests will be sold and off-balance sheet treatment will be achieved in the future for this transaction. Furthermore, if its financing partners do not purchase these receivables, we could be subject to the risk that some of these receivables are not paid when due and be forced to incur unexpected asset write-offs and bad-debt expense. In addition, as a result of increasing interest rates, the current inflationary environment and vehicle depreciation in the used automotive industry, UACC is experiencing higher loss severity in a soft securitization market. Due to the increased loss severity,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results in reduced servicing income. Any future waivers of monthly servicing fees on other prior off-balance sheet securitization transactions could result in consolidation of such transactions. Such future consolidations could increase our indebtedness and may have a material adverse effect on our results of operations, financial condition and liquidity.</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UACC's securitizations may expose it to financing and other risks, and there can be no assurance that it will be able to access the securitization market in the future, which may require it to seek more costly financing.</w:t>
      </w:r>
    </w:p>
    <w:p>
      <w:pPr>
        <w:pStyle w:val="TextBody"/>
        <w:bidi w:val="0"/>
        <w:jc w:val="left"/>
        <w:rPr>
          <w:rFonts w:ascii="Arial" w:hAnsi="Arial"/>
          <w:b w:val="false"/>
          <w:color w:val="000000"/>
          <w:sz w:val="20"/>
        </w:rPr>
      </w:pPr>
      <w:r>
        <w:rPr>
          <w:rFonts w:ascii="Arial" w:hAnsi="Arial"/>
          <w:b w:val="false"/>
          <w:color w:val="000000"/>
          <w:sz w:val="20"/>
        </w:rPr>
        <w:t>UACC has securitized, and we expect will in the future securitize, certain of its automotive finance receivables to generate cash. In such transactions, it conveys a pool of automotive finance receivables to a special purpose vehicle, typically a trust that, in turn, issues certain securities. The securities issued by the special purpose vehicle are collateralized by the pool of automotive finance receivables. In exchange for the transfer of finance receivables to the special purpose vehicle, UACC typically receives the cash proceeds from the sale of the securities.</w:t>
      </w:r>
    </w:p>
    <w:p>
      <w:pPr>
        <w:pStyle w:val="TextBody"/>
        <w:bidi w:val="0"/>
        <w:jc w:val="left"/>
        <w:rPr>
          <w:rFonts w:ascii="Times New Roman" w:hAnsi="Times New Roman"/>
          <w:sz w:val="20"/>
        </w:rPr>
      </w:pPr>
      <w:r>
        <w:rPr>
          <w:rFonts w:ascii="Arial" w:hAnsi="Arial"/>
          <w:b w:val="false"/>
          <w:color w:val="000000"/>
          <w:sz w:val="20"/>
        </w:rPr>
        <w:t>There can be no assurance that UACC will be able to complete additional securitizations in the future, particularly if the securitization markets become increasingly constrained. In addition, the value of any securities that UACC may retain in its securitizations, including securities retained to comply with applicable risk retention rules, might be reduced or, in some cases, eliminated as a result of an adverse change in economic conditions or the financial markets. For example, o</w:t>
      </w:r>
      <w:r>
        <w:rPr>
          <w:rFonts w:ascii="Arial" w:hAnsi="Arial"/>
          <w:b w:val="false"/>
          <w:color w:val="222222"/>
          <w:sz w:val="20"/>
        </w:rPr>
        <w:t xml:space="preserve">n April 18, 2023, UACC's BB-rated securities from the 2022-2 securitization transaction were downgraded by one ratings agency to a single-B rating. UACC's other rated securities may also be downgraded or put on negative credit watch. </w:t>
      </w:r>
      <w:r>
        <w:rPr>
          <w:rFonts w:ascii="Arial" w:hAnsi="Arial"/>
          <w:b w:val="false"/>
          <w:color w:val="000000"/>
          <w:sz w:val="20"/>
        </w:rPr>
        <w:t>Furthermore, although our intent is to sell receivables originated by UACC using off-balance sheet securitization transactions, even if UACC is able to complete its securitizations, those securitizations may not qualify for sales accounting if market conditions do not allow for the sale of lower-rated securities or residual certificates. For example, as a result of current market conditions, which led to unfavorable pricing, we retained the non-investment grade securities and residual interests in UACC's 2023-1 securitization, requiring that the transaction remain on balance sheet pending the sale of the additional retained interests. Although we subsequently sold the non-investment grade securities, we continue to hold the residual interests. There can be no assurance that these residual interests will be sold and off-balance sheet treatment will be achieved in the future for this transaction. In addition, as a result of increasing interest rates, the current inflationary environment and vehicle depreciation in the used automotive industry, UACC is experiencing higher losses in a soft securitization market. The increased losses could lead to reduced servicing income if UACC elects to waive monthly servicing fees going forward as it did in the first quarter of 2023 on the 2022-2 securitization transaction. The waiver of monthly servicing fees on the 2022-2 securitization transaction resulted in consolidation of the related finance receivables and securitization debt on Vroom’s financial statements. If it is not possible or economical for UACC to securitize its automotive finance receivables in the future, it would need to seek alternative financing to support its operations and to meet its existing debt obligations, which may be less efficient and more expensive than raising capital via securitizations and may have a material adverse effect on our results of operations, financial condition, and liquidity.</w:t>
      </w:r>
    </w:p>
    <w:p>
      <w:pPr>
        <w:pStyle w:val="TextBody"/>
        <w:bidi w:val="0"/>
        <w:jc w:val="left"/>
        <w:rPr>
          <w:color w:val="000000"/>
        </w:rPr>
      </w:pPr>
      <w:r>
        <w:rPr>
          <w:color w:val="000000"/>
        </w:rPr>
        <w:t>​​</w:t>
      </w:r>
    </w:p>
    <w:p>
      <w:pPr>
        <w:pStyle w:val="TextBody"/>
        <w:bidi w:val="0"/>
        <w:jc w:val="left"/>
        <w:rPr>
          <w:rFonts w:ascii="Arial" w:hAnsi="Arial"/>
          <w:b/>
          <w:i/>
          <w:color w:val="000000"/>
          <w:sz w:val="20"/>
        </w:rPr>
      </w:pPr>
      <w:r>
        <w:rPr>
          <w:rFonts w:ascii="Arial" w:hAnsi="Arial"/>
          <w:b/>
          <w:i/>
          <w:color w:val="000000"/>
          <w:sz w:val="20"/>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have and may continue to negatively impact its operating results.</w:t>
      </w:r>
    </w:p>
    <w:p>
      <w:pPr>
        <w:pStyle w:val="TextBody"/>
        <w:bidi w:val="0"/>
        <w:jc w:val="left"/>
        <w:rPr>
          <w:rFonts w:ascii="Times New Roman" w:hAnsi="Times New Roman"/>
          <w:sz w:val="20"/>
        </w:rPr>
      </w:pPr>
      <w:r>
        <w:rPr>
          <w:rFonts w:ascii="Arial" w:hAnsi="Arial"/>
          <w:b w:val="false"/>
          <w:color w:val="000000"/>
          <w:sz w:val="20"/>
        </w:rPr>
        <w:t>UACC is currently experiencing increasing credit losses on its finance receivables, which has negatively impacted the fair value of our financial receivables and the losses recognized during 2022 and 2023. Increasing credit losses may continue to negatively impact our business during 2023, especially due to the fact that UACC primarily operates in the sub-prime sector of the market. As UACC has become and will continue to be an increasingly significant part of our consolidated operations, our business, results of operations, and financial condition is increasingly vulnerable to adverse developments in UACC's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Until UACC sells automotive finance receivables, and to the extent it retains interests in automotive finance receivables after it sells them, whether pursuant to securitization transactions or otherwise, UACC is exposed to the risk that applicable customers will be unable or unwilling to repay their loans according to their terms and that the vehicle collateral securing the payment of their loans may not be sufficient to ensure full repayment. Additionally, higher energy prices (including the price of gasoline) and other consumer prices, unstable real estate values, reset of adjustable-rate mortgages to higher interest rates, geopolitical tensions (including outbreaks of military hostilities such as the ongoing geopolitical conflicts and war in Europe and the Middle East), interest rate increases, regional bank failures, inflation and other factors can affect consumer confidence and disposable income. While credit losses are inherent in the automotive finance receivables business, these conditions can increase loss frequency and severity, decrease consumer demand for motor vehicles and weaken collateral values on certain types of motor vehicles in any period of extended economic slowdown or recession and could have a material adverse effect on our results of operations. Because UACC focuses predominately on sub-prime borrowers, the actual rates of delinquencies, defaults, repossessions and losses on its receivables are higher than those experienced in the general motor vehicle finance industry and may be affected to a</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greater extent during an economic downturn. In addition, caps on interest rates by individual states may limit UACC's ability to offset rising interest rates against automotive financing rates it offers to dealers.</w:t>
      </w:r>
      <w:r>
        <w:rPr>
          <w:rFonts w:ascii="Times New Roman" w:hAnsi="Times New Roman"/>
          <w:color w:val="000000"/>
          <w:sz w:val="20"/>
        </w:rPr>
        <w:t xml:space="preserve"> </w:t>
      </w:r>
    </w:p>
    <w:p>
      <w:pPr>
        <w:pStyle w:val="TextBody"/>
        <w:bidi w:val="0"/>
        <w:jc w:val="left"/>
        <w:rPr>
          <w:rFonts w:ascii="Arial" w:hAnsi="Arial"/>
          <w:b w:val="false"/>
          <w:color w:val="000000"/>
          <w:sz w:val="20"/>
        </w:rPr>
      </w:pPr>
      <w:r>
        <w:rPr>
          <w:rFonts w:ascii="Arial" w:hAnsi="Arial"/>
          <w:b w:val="false"/>
          <w:color w:val="000000"/>
          <w:sz w:val="20"/>
        </w:rPr>
        <w:t>In addition, the success of UACC's business is highly dependent on the ability to securitize and sell the automotive finance receivables that it underwrites. As a result of increasing interest rates, the current inflationary environment and vehicle depreciation in the used automotive industry, UACC is experiencing higher losses in a soft securitization market. As a result, UACC may not be able to sell the subordinate notes or residual certificates issued in the securitizations at a favorable price or at all. Due to the increased losses,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results in reduced servicing income. Any future waivers of monthly servicing fees on other prior off-balance sheet securitization transactions could result in consolidation of such transactions. Such future consolidations could increase our indebtedness and may have a material adverse effect on our results of operations, financial condition and liquidity.</w:t>
      </w:r>
    </w:p>
    <w:p>
      <w:pPr>
        <w:pStyle w:val="TextBody"/>
        <w:bidi w:val="0"/>
        <w:jc w:val="left"/>
        <w:rPr>
          <w:rFonts w:ascii="Arial" w:hAnsi="Arial"/>
          <w:b w:val="false"/>
          <w:color w:val="000000"/>
          <w:sz w:val="20"/>
        </w:rPr>
      </w:pPr>
      <w:r>
        <w:rPr>
          <w:rFonts w:ascii="Arial" w:hAnsi="Arial"/>
          <w:b w:val="false"/>
          <w:color w:val="000000"/>
          <w:sz w:val="20"/>
        </w:rPr>
        <w:t>UACC makes various assumptions and judgments about the automotive finance receivables it originates and may establish a valuation allowance and value beneficial ownership interests based on a number of factors. Although management may establish a valuation allowance and value beneficial ownership interests based on analysis it believes is appropriate, this may not be adequate, particularly in periods of increased industry-wide vehicle depreciation rates, which we are currently experiencing. For example, if economic conditions were to deteriorate unexpectedly, additional loan losses not incorporated in the existing valuation may occur. Several variables have affected UACC’s recent loss and delinquency rates, including general economic conditions and market interest rates, and such variables are likely to differ in the future. In particular, given the impact the COVID-19 pandemic had on the economy and individuals, historical loss and delinquency expectations may not accurately predict the performance of UACC's receivables and impact its ability to effectively forecast loss rates. Losses in excess of expectations could have a material adverse effect on our business, results of operations, and financial condition. Further, the rate of prepayments cannot be predicted and may be influenced by a variety of factors, including changes in the economic and social conditions of our borrowers.</w:t>
      </w:r>
    </w:p>
    <w:p>
      <w:pPr>
        <w:pStyle w:val="TextBody"/>
        <w:bidi w:val="0"/>
        <w:jc w:val="left"/>
        <w:rPr>
          <w:rFonts w:ascii="Arial" w:hAnsi="Arial"/>
          <w:b w:val="false"/>
          <w:color w:val="000000"/>
          <w:sz w:val="20"/>
        </w:rPr>
      </w:pPr>
      <w:r>
        <w:rPr>
          <w:rFonts w:ascii="Arial" w:hAnsi="Arial"/>
          <w:b w:val="false"/>
          <w:color w:val="000000"/>
          <w:sz w:val="20"/>
        </w:rPr>
        <w:t>UACC relies on its internally developed credit scoring systems to forecast loss rates of the automotive finance receivables it originates. If it relies on systems that fail to effectively forecast loss rates on receivables it originates, those receivables may suffer higher losses than expected. UACC’s credit scoring systems were developed prior to the onset of the COVID-19 pandemic and, accordingly, were not designed to take into account the effect of the economic, financial and social disruptions resulting from the pandemic. UACC generally seeks to sell these receivables through securitization transactions and expects to enter into loan sales to financing partners and other new arrangements in the future. If the receivables it sells experience higher loss rates than forecasted, it may obtain less favorable pricing on the receivables it sells to those parties in the future and suffer reputational harm in the marketplace for the receivables it sells and its business, results of operations, and financial condition may be adversely affected. If UACC holds receivables that it originates on its balance sheet until it sells them in securitization transactions or, in the future, through loan sales to its financing partners or other arrangements, and to the extent those receivables fail to perform during its holding period, they may become ineligible for sale.</w:t>
      </w:r>
    </w:p>
    <w:p>
      <w:pPr>
        <w:pStyle w:val="TextBody"/>
        <w:bidi w:val="0"/>
        <w:jc w:val="left"/>
        <w:rPr>
          <w:rFonts w:ascii="Times New Roman" w:hAnsi="Times New Roman"/>
          <w:sz w:val="20"/>
        </w:rPr>
      </w:pPr>
      <w:r>
        <w:rPr>
          <w:rFonts w:ascii="Times New Roman" w:hAnsi="Times New Roman"/>
          <w:b w:val="false"/>
          <w:color w:val="000000"/>
          <w:sz w:val="2"/>
        </w:rPr>
        <w:br/>
      </w:r>
      <w:r>
        <w:rPr>
          <w:rFonts w:ascii="Times New Roman" w:hAnsi="Times New Roman"/>
          <w:color w:val="000000"/>
          <w:sz w:val="20"/>
        </w:rPr>
        <w:t> </w:t>
      </w:r>
    </w:p>
    <w:p>
      <w:pPr>
        <w:pStyle w:val="TextBody"/>
        <w:bidi w:val="0"/>
        <w:jc w:val="left"/>
        <w:rPr>
          <w:rFonts w:ascii="Times New Roman" w:hAnsi="Times New Roman"/>
          <w:sz w:val="20"/>
        </w:rPr>
      </w:pPr>
      <w:bookmarkStart w:id="16" w:name="unregistered_sales_of_equity_securities"/>
      <w:bookmarkEnd w:id="16"/>
      <w:r>
        <w:rPr>
          <w:rFonts w:ascii="Arial" w:hAnsi="Arial"/>
          <w:b/>
          <w:color w:val="000000"/>
          <w:sz w:val="20"/>
        </w:rPr>
        <w:t>Item 2. Unregistered</w:t>
      </w:r>
      <w:r>
        <w:rPr>
          <w:rFonts w:ascii="Times New Roman" w:hAnsi="Times New Roman"/>
          <w:color w:val="000000"/>
          <w:sz w:val="20"/>
        </w:rPr>
        <w:t xml:space="preserve"> </w:t>
      </w:r>
      <w:r>
        <w:rPr>
          <w:rFonts w:ascii="Arial" w:hAnsi="Arial"/>
          <w:b/>
          <w:color w:val="000000"/>
          <w:sz w:val="20"/>
        </w:rPr>
        <w:t>Sales of Equity Securities, Use of Proceeds, and Issuer Purchases of Equity Securities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Use of Proceeds from Public Offering of Common Stock</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On June 11, 2020, we completed our IPO. The offer and sale of all of the shares in the IPO were registered under the Securities Act pursuant to a registration statement on Form S-1 (File No. 333-238482), as amended, which was declared effective by the SEC on June 8, 2020. There has been no material change in the planned use of proceeds from our IPO as described in our final prospectus filed with the SEC on June 9, 2020 pursuant to Rule 424(b)(4).</w:t>
      </w:r>
    </w:p>
    <w:p>
      <w:pPr>
        <w:pStyle w:val="TextBody"/>
        <w:bidi w:val="0"/>
        <w:jc w:val="left"/>
        <w:rPr/>
      </w:pPr>
      <w:r>
        <w:rPr/>
        <w:t> </w:t>
      </w:r>
    </w:p>
    <w:p>
      <w:pPr>
        <w:pStyle w:val="TextBody"/>
        <w:bidi w:val="0"/>
        <w:jc w:val="left"/>
        <w:rPr>
          <w:rFonts w:ascii="Times New Roman" w:hAnsi="Times New Roman"/>
          <w:sz w:val="20"/>
        </w:rPr>
      </w:pPr>
      <w:bookmarkStart w:id="17" w:name="default_upon_senior_securities"/>
      <w:bookmarkEnd w:id="17"/>
      <w:r>
        <w:rPr>
          <w:rFonts w:ascii="Arial" w:hAnsi="Arial"/>
          <w:b/>
          <w:color w:val="000000"/>
          <w:sz w:val="20"/>
        </w:rPr>
        <w:t>Item 3. Defaults</w:t>
      </w:r>
      <w:r>
        <w:rPr>
          <w:rFonts w:ascii="Times New Roman" w:hAnsi="Times New Roman"/>
          <w:color w:val="000000"/>
          <w:sz w:val="20"/>
        </w:rPr>
        <w:t xml:space="preserve"> </w:t>
      </w:r>
      <w:r>
        <w:rPr>
          <w:rFonts w:ascii="Arial" w:hAnsi="Arial"/>
          <w:b/>
          <w:color w:val="000000"/>
          <w:sz w:val="20"/>
        </w:rPr>
        <w:t>Upon Senior Securities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None.</w:t>
      </w:r>
    </w:p>
    <w:p>
      <w:pPr>
        <w:pStyle w:val="TextBody"/>
        <w:bidi w:val="0"/>
        <w:jc w:val="left"/>
        <w:rPr/>
      </w:pPr>
      <w:r>
        <w:rPr/>
        <w:t> </w:t>
      </w:r>
    </w:p>
    <w:p>
      <w:pPr>
        <w:pStyle w:val="TextBody"/>
        <w:bidi w:val="0"/>
        <w:jc w:val="left"/>
        <w:rPr>
          <w:rFonts w:ascii="Arial" w:hAnsi="Arial"/>
          <w:b/>
          <w:color w:val="000000"/>
          <w:sz w:val="20"/>
        </w:rPr>
      </w:pPr>
      <w:bookmarkStart w:id="18" w:name="mine_safety_disclosures"/>
      <w:bookmarkEnd w:id="18"/>
      <w:r>
        <w:rPr>
          <w:rFonts w:ascii="Arial" w:hAnsi="Arial"/>
          <w:b/>
          <w:color w:val="000000"/>
          <w:sz w:val="20"/>
        </w:rPr>
        <w:t>Item 4. Mine Safety Disclosures</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Not applicable.</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bookmarkStart w:id="19" w:name="other_information"/>
      <w:bookmarkEnd w:id="19"/>
      <w:r>
        <w:rPr>
          <w:rFonts w:ascii="Arial" w:hAnsi="Arial"/>
          <w:b/>
          <w:color w:val="000000"/>
          <w:sz w:val="20"/>
        </w:rPr>
        <w:t>Item 5. Other Information</w:t>
      </w:r>
    </w:p>
    <w:p>
      <w:pPr>
        <w:pStyle w:val="TextBody"/>
        <w:bidi w:val="0"/>
        <w:spacing w:before="120" w:after="283"/>
        <w:jc w:val="left"/>
        <w:rPr>
          <w:rFonts w:ascii="Arial" w:hAnsi="Arial"/>
          <w:b w:val="false"/>
          <w:color w:val="000000"/>
          <w:sz w:val="20"/>
        </w:rPr>
      </w:pPr>
      <w:r>
        <w:rPr>
          <w:rFonts w:ascii="Arial" w:hAnsi="Arial"/>
          <w:b w:val="false"/>
          <w:color w:val="000000"/>
          <w:sz w:val="20"/>
        </w:rPr>
        <w:t>(a)</w:t>
      </w:r>
    </w:p>
    <w:p>
      <w:pPr>
        <w:pStyle w:val="TextBody"/>
        <w:bidi w:val="0"/>
        <w:spacing w:before="120" w:after="283"/>
        <w:jc w:val="left"/>
        <w:rPr>
          <w:rFonts w:ascii="Arial" w:hAnsi="Arial"/>
          <w:b w:val="false"/>
          <w:color w:val="000000"/>
          <w:sz w:val="20"/>
        </w:rPr>
      </w:pPr>
      <w:r>
        <w:rPr>
          <w:rFonts w:ascii="Arial" w:hAnsi="Arial"/>
          <w:b w:val="false"/>
          <w:color w:val="000000"/>
          <w:sz w:val="20"/>
        </w:rPr>
        <w:t>None.</w:t>
      </w:r>
    </w:p>
    <w:p>
      <w:pPr>
        <w:pStyle w:val="TextBody"/>
        <w:bidi w:val="0"/>
        <w:spacing w:before="120" w:after="283"/>
        <w:jc w:val="left"/>
        <w:rPr>
          <w:rFonts w:ascii="Arial" w:hAnsi="Arial"/>
          <w:b w:val="false"/>
          <w:color w:val="000000"/>
          <w:sz w:val="20"/>
        </w:rPr>
      </w:pPr>
      <w:r>
        <w:rPr>
          <w:rFonts w:ascii="Arial" w:hAnsi="Arial"/>
          <w:b w:val="false"/>
          <w:color w:val="000000"/>
          <w:sz w:val="20"/>
        </w:rPr>
        <w:t>(b)</w:t>
      </w:r>
    </w:p>
    <w:p>
      <w:pPr>
        <w:pStyle w:val="TextBody"/>
        <w:bidi w:val="0"/>
        <w:spacing w:before="120" w:after="283"/>
        <w:jc w:val="left"/>
        <w:rPr>
          <w:rFonts w:ascii="Arial" w:hAnsi="Arial"/>
          <w:b w:val="false"/>
          <w:color w:val="000000"/>
          <w:sz w:val="20"/>
        </w:rPr>
      </w:pPr>
      <w:r>
        <w:rPr>
          <w:rFonts w:ascii="Arial" w:hAnsi="Arial"/>
          <w:b w:val="false"/>
          <w:color w:val="000000"/>
          <w:sz w:val="20"/>
        </w:rPr>
        <w:t>None.</w:t>
      </w:r>
    </w:p>
    <w:p>
      <w:pPr>
        <w:pStyle w:val="TextBody"/>
        <w:bidi w:val="0"/>
        <w:spacing w:before="120" w:after="283"/>
        <w:jc w:val="left"/>
        <w:rPr>
          <w:rFonts w:ascii="Arial" w:hAnsi="Arial"/>
          <w:b w:val="false"/>
          <w:color w:val="000000"/>
          <w:sz w:val="20"/>
        </w:rPr>
      </w:pPr>
      <w:r>
        <w:rPr>
          <w:rFonts w:ascii="Arial" w:hAnsi="Arial"/>
          <w:b w:val="false"/>
          <w:color w:val="000000"/>
          <w:sz w:val="20"/>
        </w:rPr>
        <w:t>(c)</w:t>
      </w:r>
    </w:p>
    <w:p>
      <w:pPr>
        <w:pStyle w:val="TextBody"/>
        <w:bidi w:val="0"/>
        <w:spacing w:before="120" w:after="283"/>
        <w:jc w:val="left"/>
        <w:rPr>
          <w:rFonts w:ascii="Arial" w:hAnsi="Arial"/>
          <w:b w:val="false"/>
          <w:color w:val="000000"/>
          <w:sz w:val="20"/>
        </w:rPr>
      </w:pPr>
      <w:r>
        <w:rPr>
          <w:rFonts w:ascii="Arial" w:hAnsi="Arial"/>
          <w:b w:val="false"/>
          <w:color w:val="000000"/>
          <w:sz w:val="20"/>
        </w:rPr>
        <w:t>Not applicable.</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20" w:name="exhibits_and_financial_statement_schedul"/>
      <w:bookmarkEnd w:id="20"/>
      <w:r>
        <w:rPr>
          <w:rFonts w:ascii="Arial" w:hAnsi="Arial"/>
          <w:b/>
          <w:color w:val="000000"/>
          <w:sz w:val="20"/>
        </w:rPr>
        <w:t>Item 6. Exhibits</w:t>
      </w:r>
      <w:r>
        <w:rPr>
          <w:rFonts w:ascii="Times New Roman" w:hAnsi="Times New Roman"/>
          <w:color w:val="000000"/>
          <w:sz w:val="20"/>
        </w:rPr>
        <w:t xml:space="preserve"> </w:t>
      </w:r>
    </w:p>
    <w:p>
      <w:pPr>
        <w:pStyle w:val="TextBody"/>
        <w:bidi w:val="0"/>
        <w:spacing w:before="240" w:after="283"/>
        <w:jc w:val="center"/>
        <w:rPr>
          <w:rFonts w:ascii="Arial" w:hAnsi="Arial"/>
          <w:b/>
          <w:color w:val="000000"/>
          <w:sz w:val="20"/>
        </w:rPr>
      </w:pPr>
      <w:r>
        <w:rPr>
          <w:rFonts w:ascii="Arial" w:hAnsi="Arial"/>
          <w:b/>
          <w:color w:val="000000"/>
          <w:sz w:val="20"/>
        </w:rPr>
        <w:t>INDEX TO EXHIBITS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3823"/>
        <w:gridCol w:w="146"/>
        <w:gridCol w:w="535"/>
        <w:gridCol w:w="146"/>
        <w:gridCol w:w="784"/>
        <w:gridCol w:w="146"/>
        <w:gridCol w:w="661"/>
        <w:gridCol w:w="146"/>
        <w:gridCol w:w="945"/>
        <w:gridCol w:w="146"/>
        <w:gridCol w:w="866"/>
        <w:gridCol w:w="964"/>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shd w:fill="FFFFFF" w:val="clear"/>
            <w:tcMar>
              <w:top w:w="0" w:type="dxa"/>
              <w:left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Exhibit</w:t>
            </w:r>
            <w:r>
              <w:rPr>
                <w:rFonts w:ascii="Times New Roman" w:hAnsi="Times New Roman"/>
                <w:color w:val="000000"/>
                <w:sz w:val="16"/>
              </w:rPr>
              <w:t xml:space="preserve"> </w:t>
            </w:r>
          </w:p>
          <w:p>
            <w:pPr>
              <w:pStyle w:val="TableContents"/>
              <w:bidi w:val="0"/>
              <w:spacing w:before="0" w:after="283"/>
              <w:jc w:val="left"/>
              <w:rPr>
                <w:rFonts w:ascii="Arial" w:hAnsi="Arial"/>
                <w:b/>
                <w:color w:val="000000"/>
                <w:sz w:val="16"/>
              </w:rPr>
            </w:pPr>
            <w:r>
              <w:rPr>
                <w:rFonts w:ascii="Arial" w:hAnsi="Arial"/>
                <w:b/>
                <w:color w:val="000000"/>
                <w:sz w:val="16"/>
              </w:rPr>
              <w:t>Number</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Exhibit Description</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Form</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File No.</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Exhibit</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212529"/>
                <w:sz w:val="16"/>
              </w:rPr>
            </w:pPr>
            <w:r>
              <w:rPr>
                <w:rFonts w:ascii="Arial" w:hAnsi="Arial"/>
                <w:b/>
                <w:color w:val="212529"/>
                <w:sz w:val="16"/>
              </w:rPr>
              <w:t>Filing</w:t>
            </w:r>
          </w:p>
          <w:p>
            <w:pPr>
              <w:pStyle w:val="TableContents"/>
              <w:bidi w:val="0"/>
              <w:spacing w:before="0" w:after="283"/>
              <w:jc w:val="center"/>
              <w:rPr>
                <w:rFonts w:ascii="Arial" w:hAnsi="Arial"/>
                <w:b/>
                <w:color w:val="212529"/>
                <w:sz w:val="16"/>
              </w:rPr>
            </w:pPr>
            <w:r>
              <w:rPr>
                <w:rFonts w:ascii="Arial" w:hAnsi="Arial"/>
                <w:b/>
                <w:color w:val="212529"/>
                <w:sz w:val="16"/>
              </w:rPr>
              <w:t>Date</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Filed Herewith</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212529"/>
                <w:sz w:val="16"/>
              </w:rPr>
            </w:pPr>
            <w:r>
              <w:rPr>
                <w:rFonts w:ascii="Arial" w:hAnsi="Arial"/>
                <w:b/>
                <w:color w:val="212529"/>
                <w:sz w:val="16"/>
              </w:rPr>
              <w:t>Furnished</w:t>
            </w:r>
          </w:p>
          <w:p>
            <w:pPr>
              <w:pStyle w:val="TableContents"/>
              <w:bidi w:val="0"/>
              <w:spacing w:before="0" w:after="283"/>
              <w:jc w:val="center"/>
              <w:rPr>
                <w:rFonts w:ascii="Arial" w:hAnsi="Arial"/>
                <w:b/>
                <w:color w:val="212529"/>
                <w:sz w:val="16"/>
              </w:rPr>
            </w:pPr>
            <w:r>
              <w:rPr>
                <w:rFonts w:ascii="Arial" w:hAnsi="Arial"/>
                <w:b/>
                <w:color w:val="212529"/>
                <w:sz w:val="16"/>
              </w:rPr>
              <w:t>Herewith</w:t>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pPr>
            <w:hyperlink r:id="rId3">
              <w:r>
                <w:rPr>
                  <w:rStyle w:val="InternetLink"/>
                  <w:rFonts w:ascii="Arial" w:hAnsi="Arial"/>
                  <w:b w:val="false"/>
                  <w:color w:val="0000FF"/>
                  <w:sz w:val="20"/>
                  <w:u w:val="single"/>
                </w:rPr>
                <w:t>Agreement and Plan of Merger, dated as of October 11, 2021, by and among Vroom, Inc., Vroom Finance Corporation, Unitas Holdings Corp. and Fortis Advisors LLC, solely in its capacity as the equityholders' representative</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October 12, 2021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pPr>
            <w:hyperlink r:id="rId4">
              <w:r>
                <w:rPr>
                  <w:rStyle w:val="InternetLink"/>
                  <w:rFonts w:ascii="Arial" w:hAnsi="Arial"/>
                  <w:b w:val="false"/>
                  <w:color w:val="0000FF"/>
                  <w:sz w:val="20"/>
                  <w:u w:val="single"/>
                </w:rPr>
                <w:t>Amended and Restated Certificate of Incorporation of Vroom, Inc.</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10-Q</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3.1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center"/>
              <w:rPr>
                <w:color w:val="000000"/>
              </w:rPr>
            </w:pPr>
            <w:r>
              <w:rPr>
                <w:color w:val="000000"/>
              </w:rPr>
              <w:t>  </w:t>
            </w:r>
            <w:r>
              <w:rPr>
                <w:rFonts w:ascii="Arial" w:hAnsi="Arial"/>
                <w:b w:val="false"/>
                <w:color w:val="000000"/>
                <w:sz w:val="20"/>
              </w:rPr>
              <w:t>August 13, 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pPr>
            <w:hyperlink r:id="rId5">
              <w:r>
                <w:rPr>
                  <w:rStyle w:val="InternetLink"/>
                  <w:rFonts w:ascii="Arial" w:hAnsi="Arial"/>
                  <w:b w:val="false"/>
                  <w:color w:val="0000FF"/>
                  <w:sz w:val="20"/>
                  <w:u w:val="single"/>
                </w:rPr>
                <w:t>Amended and Restated Bylaws of Vroom, Inc.</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10-Q</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3.2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center"/>
              <w:rPr>
                <w:color w:val="000000"/>
              </w:rPr>
            </w:pPr>
            <w:r>
              <w:rPr>
                <w:color w:val="000000"/>
              </w:rPr>
              <w:t>  </w:t>
            </w:r>
            <w:r>
              <w:rPr>
                <w:rFonts w:ascii="Arial" w:hAnsi="Arial"/>
                <w:b w:val="false"/>
                <w:color w:val="000000"/>
                <w:sz w:val="20"/>
              </w:rPr>
              <w:t>August 13, 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pPr>
            <w:hyperlink r:id="rId6">
              <w:r>
                <w:rPr>
                  <w:rStyle w:val="InternetLink"/>
                  <w:rFonts w:ascii="Arial" w:hAnsi="Arial"/>
                  <w:b w:val="false"/>
                  <w:color w:val="0000FF"/>
                  <w:sz w:val="20"/>
                  <w:u w:val="single"/>
                </w:rPr>
                <w:t>Specimen Stock Certificate evidencing the shares of common stock</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S-1/A</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333-238482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June 1, 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4.2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pPr>
            <w:hyperlink r:id="rId7">
              <w:r>
                <w:rPr>
                  <w:rStyle w:val="InternetLink"/>
                  <w:rFonts w:ascii="Arial" w:hAnsi="Arial"/>
                  <w:b w:val="false"/>
                  <w:color w:val="0000FF"/>
                  <w:sz w:val="20"/>
                  <w:u w:val="single"/>
                </w:rPr>
                <w:t>Indenture, dated as of June 18, 2021, between Vroom, Inc. and U.S. Bank National Association, as trustee</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June 21, 2021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4.3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pPr>
            <w:hyperlink r:id="rId8">
              <w:r>
                <w:rPr>
                  <w:rStyle w:val="InternetLink"/>
                  <w:rFonts w:ascii="Arial" w:hAnsi="Arial"/>
                  <w:b w:val="false"/>
                  <w:color w:val="0000FF"/>
                  <w:sz w:val="20"/>
                  <w:u w:val="single"/>
                </w:rPr>
                <w:t>Form of Global Note representing the 0.750% Convertible Senior Notes due 2026 (included in Exhibit 4.2)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4.2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June 21, 2021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color w:val="000000"/>
              </w:rPr>
            </w:pPr>
            <w:r>
              <w:rPr>
                <w:color w:val="000000"/>
              </w:rPr>
              <w:t> </w:t>
            </w:r>
            <w:r>
              <w:rPr>
                <w:rFonts w:ascii="Arial" w:hAnsi="Arial"/>
                <w:b w:val="false"/>
                <w:color w:val="000000"/>
                <w:sz w:val="20"/>
              </w:rPr>
              <w:t>4.4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pPr>
            <w:hyperlink r:id="rId9">
              <w:r>
                <w:rPr>
                  <w:rStyle w:val="InternetLink"/>
                  <w:rFonts w:ascii="Arial" w:hAnsi="Arial"/>
                  <w:b w:val="false"/>
                  <w:color w:val="0000FF"/>
                  <w:sz w:val="20"/>
                  <w:u w:val="single"/>
                </w:rPr>
                <w:t>Eighth Amended and Restated Investors’ Rights Agreement, dated as of November 21, 2019, by and among Vroom, Inc. and certain holders of its capital stock</w:t>
              </w:r>
            </w:hyperlink>
            <w:r>
              <w:rPr>
                <w:rFonts w:ascii="Times New Roman" w:hAnsi="Times New Roman"/>
                <w:color w:val="000000"/>
                <w:sz w:val="20"/>
              </w:rPr>
              <w:t xml:space="preserve">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S-1/A</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333-238482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4.2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May 18, 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center"/>
              <w:rPr/>
            </w:pPr>
            <w:r>
              <w:rPr/>
              <w:t> </w:t>
            </w:r>
          </w:p>
        </w:tc>
        <w:tc>
          <w:tcPr>
            <w:tcW w:w="964" w:type="dxa"/>
            <w:tcBorders/>
            <w:shd w:fill="FFFFFF" w:val="clear"/>
            <w:vAlign w:val="center"/>
          </w:tcPr>
          <w:p>
            <w:pPr>
              <w:pStyle w:val="TableContents"/>
              <w:bidi w:val="0"/>
              <w:spacing w:before="0" w:after="283"/>
              <w:jc w:val="center"/>
              <w:rPr/>
            </w:pPr>
            <w:r>
              <w:rPr/>
              <w:t> </w:t>
            </w:r>
          </w:p>
        </w:tc>
      </w:tr>
      <w:tr>
        <w:trPr/>
        <w:tc>
          <w:tcPr>
            <w:tcW w:w="7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pPr>
            <w:hyperlink w:anchor="vrm-ex31_1.htm">
              <w:r>
                <w:rPr>
                  <w:rStyle w:val="InternetLink"/>
                  <w:rFonts w:ascii="Arial" w:hAnsi="Arial"/>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6"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4"/>
        <w:gridCol w:w="109"/>
        <w:gridCol w:w="7853"/>
        <w:gridCol w:w="109"/>
        <w:gridCol w:w="109"/>
        <w:gridCol w:w="109"/>
        <w:gridCol w:w="109"/>
        <w:gridCol w:w="109"/>
        <w:gridCol w:w="109"/>
        <w:gridCol w:w="109"/>
        <w:gridCol w:w="109"/>
        <w:gridCol w:w="109"/>
        <w:gridCol w:w="301"/>
        <w:gridCol w:w="287"/>
      </w:tblGrid>
      <w:tr>
        <w:trPr/>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pPr>
            <w:hyperlink w:anchor="vrm-ex31_2.htm">
              <w:r>
                <w:rPr>
                  <w:rStyle w:val="InternetLink"/>
                  <w:rFonts w:ascii="Arial" w:hAnsi="Arial"/>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pPr>
            <w:hyperlink w:anchor="vrm-ex32_1.htm">
              <w:r>
                <w:rPr>
                  <w:rStyle w:val="InternetLink"/>
                  <w:rFonts w:ascii="Arial" w:hAnsi="Arial"/>
                  <w:b w:val="false"/>
                  <w:color w:val="0000FF"/>
                  <w:sz w:val="20"/>
                  <w:u w:val="single"/>
                </w:rPr>
                <w:t>Certification of Principal Executive Officer Pursuant to 18 U.S.C. Section 1350, as Adopted Pursuant to Section 906 of the Sarbanes-Oxley Act of 2002</w:t>
              </w:r>
            </w:hyperlink>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pPr>
            <w:hyperlink w:anchor="vrm-ex32_2.htm">
              <w:r>
                <w:rPr>
                  <w:rStyle w:val="InternetLink"/>
                  <w:rFonts w:ascii="Arial" w:hAnsi="Arial"/>
                  <w:b w:val="false"/>
                  <w:color w:val="0000FF"/>
                  <w:sz w:val="20"/>
                  <w:u w:val="single"/>
                </w:rPr>
                <w:t>Certification of Principal Financial Officer Pursuant to 18 U.S.C. Section 1350, as Adopted Pursuant to Section 906 of the Sarbanes-Oxley Act of 2002</w:t>
              </w:r>
            </w:hyperlink>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101.INS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Instance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b w:val="false"/>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101.SCH</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Schema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b w:val="false"/>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101.CAL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Calculation Linkbase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b w:val="false"/>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101.DEF</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Definition Linkbase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color w:val="000000"/>
              </w:rPr>
            </w:pPr>
            <w:r>
              <w:rPr>
                <w:color w:val="000000"/>
              </w:rPr>
              <w:t> </w:t>
            </w:r>
            <w:r>
              <w:rPr>
                <w:rFonts w:ascii="Arial" w:hAnsi="Arial"/>
                <w:b w:val="false"/>
                <w:color w:val="000000"/>
                <w:sz w:val="20"/>
              </w:rPr>
              <w:t>X</w:t>
            </w:r>
          </w:p>
        </w:tc>
        <w:tc>
          <w:tcPr>
            <w:tcW w:w="287"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101.LAB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Label Linkbase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b w:val="false"/>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101.PRE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Presentation Linkbase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b w:val="false"/>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Cover Page Interactive Data File (embedded within the Inline XBRL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color w:val="000000"/>
              </w:rPr>
            </w:pPr>
            <w:r>
              <w:rPr>
                <w:color w:val="000000"/>
              </w:rPr>
              <w:t> </w:t>
            </w:r>
            <w:r>
              <w:rPr>
                <w:rFonts w:ascii="Arial" w:hAnsi="Arial"/>
                <w:b w:val="false"/>
                <w:color w:val="000000"/>
                <w:sz w:val="20"/>
              </w:rPr>
              <w:t>X</w:t>
            </w:r>
          </w:p>
        </w:tc>
        <w:tc>
          <w:tcPr>
            <w:tcW w:w="287" w:type="dxa"/>
            <w:tcBorders/>
            <w:shd w:fill="FFFFFF" w:val="cle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b w:val="false"/>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21" w:name="signature"/>
      <w:bookmarkEnd w:id="21"/>
      <w:r>
        <w:rPr>
          <w:rFonts w:ascii="Arial" w:hAnsi="Arial"/>
          <w:b/>
          <w:color w:val="000000"/>
          <w:sz w:val="20"/>
        </w:rPr>
        <w:t>SIGNATURES</w:t>
      </w:r>
    </w:p>
    <w:p>
      <w:pPr>
        <w:pStyle w:val="TextBody"/>
        <w:bidi w:val="0"/>
        <w:spacing w:before="240" w:after="283"/>
        <w:jc w:val="left"/>
        <w:rPr>
          <w:rFonts w:ascii="Arial" w:hAnsi="Arial"/>
          <w:b w:val="false"/>
          <w:color w:val="000000"/>
          <w:sz w:val="20"/>
        </w:rPr>
      </w:pPr>
      <w:r>
        <w:rPr>
          <w:rFonts w:ascii="Arial" w:hAnsi="Arial"/>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324" w:type="dxa"/>
        <w:jc w:val="left"/>
        <w:tblInd w:w="0" w:type="dxa"/>
        <w:tblLayout w:type="fixed"/>
        <w:tblCellMar>
          <w:top w:w="28" w:type="dxa"/>
          <w:left w:w="28" w:type="dxa"/>
          <w:bottom w:w="28" w:type="dxa"/>
          <w:right w:w="28" w:type="dxa"/>
        </w:tblCellMar>
      </w:tblPr>
      <w:tblGrid>
        <w:gridCol w:w="2236"/>
        <w:gridCol w:w="146"/>
        <w:gridCol w:w="406"/>
        <w:gridCol w:w="253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Vroom, Inc.</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left"/>
              <w:rPr/>
            </w:pPr>
            <w:r>
              <w:rPr/>
              <w:t> </w:t>
            </w:r>
          </w:p>
        </w:tc>
      </w:tr>
      <w:tr>
        <w:trPr/>
        <w:tc>
          <w:tcPr>
            <w:tcW w:w="223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7,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25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/s/ Thomas H. Shortt</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Thomas H. Shortt</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Chief Executive Officer</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val="false"/>
                <w:i/>
                <w:color w:val="000000"/>
                <w:sz w:val="20"/>
              </w:rPr>
              <w:t>(principal executive officer)</w:t>
            </w:r>
            <w:r>
              <w:rPr>
                <w:rFonts w:ascii="Times New Roman" w:hAnsi="Times New Roman"/>
                <w:color w:val="000000"/>
                <w:sz w:val="20"/>
              </w:rPr>
              <w:t xml:space="preserve"> </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left"/>
              <w:rPr/>
            </w:pPr>
            <w:r>
              <w:rPr/>
              <w:t> </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left"/>
              <w:rPr/>
            </w:pPr>
            <w:r>
              <w:rPr/>
              <w:t> </w:t>
            </w:r>
          </w:p>
        </w:tc>
      </w:tr>
      <w:tr>
        <w:trPr/>
        <w:tc>
          <w:tcPr>
            <w:tcW w:w="223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7,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25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/s/ Robert R. Krakowiak</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Robert R. Krakowiak</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Chief Financial Officer</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b w:val="false"/>
                <w:i/>
                <w:color w:val="000000"/>
                <w:sz w:val="20"/>
              </w:rPr>
            </w:pPr>
            <w:r>
              <w:rPr>
                <w:rFonts w:ascii="Arial" w:hAnsi="Arial"/>
                <w:b w:val="false"/>
                <w:i/>
                <w:color w:val="000000"/>
                <w:sz w:val="20"/>
              </w:rPr>
              <w:t>(principal financial officer)</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89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vrm-ex31_1.htm"/>
      <w:bookmarkStart w:id="23" w:name="ksvrmex31_1"/>
      <w:bookmarkEnd w:id="22"/>
      <w:bookmarkEnd w:id="2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Thomas H. Shortt, certify that:</w:t>
      </w:r>
    </w:p>
    <w:tbl>
      <w:tblPr>
        <w:tblW w:w="5882" w:type="dxa"/>
        <w:jc w:val="left"/>
        <w:tblInd w:w="0" w:type="dxa"/>
        <w:tblLayout w:type="fixed"/>
        <w:tblCellMar>
          <w:top w:w="28" w:type="dxa"/>
          <w:left w:w="28" w:type="dxa"/>
          <w:bottom w:w="28" w:type="dxa"/>
          <w:right w:w="28" w:type="dxa"/>
        </w:tblCellMar>
      </w:tblPr>
      <w:tblGrid>
        <w:gridCol w:w="271"/>
        <w:gridCol w:w="5611"/>
      </w:tblGrid>
      <w:tr>
        <w:trPr/>
        <w:tc>
          <w:tcPr>
            <w:tcW w:w="271"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tc>
        <w:tc>
          <w:tcPr>
            <w:tcW w:w="5611"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Vroom,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tc>
        <w:tc>
          <w:tcPr>
            <w:tcW w:w="9962"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tc>
        <w:tc>
          <w:tcPr>
            <w:tcW w:w="9960"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tc>
        <w:tc>
          <w:tcPr>
            <w:tcW w:w="9964"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74"/>
        <w:gridCol w:w="9807"/>
      </w:tblGrid>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80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tc>
        <w:tc>
          <w:tcPr>
            <w:tcW w:w="9807"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9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tc>
        <w:tc>
          <w:tcPr>
            <w:tcW w:w="9792"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tc>
        <w:tc>
          <w:tcPr>
            <w:tcW w:w="9755"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61" w:type="dxa"/>
            <w:tcBorders/>
            <w:vAlign w:val="center"/>
          </w:tcPr>
          <w:p>
            <w:pPr>
              <w:pStyle w:val="TableContents"/>
              <w:bidi w:val="0"/>
              <w:spacing w:before="240" w:after="283"/>
              <w:jc w:val="left"/>
              <w:rPr/>
            </w:pPr>
            <w:r>
              <w:rPr/>
              <w:t> </w:t>
            </w:r>
          </w:p>
        </w:tc>
        <w:tc>
          <w:tcPr>
            <w:tcW w:w="289"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tc>
        <w:tc>
          <w:tcPr>
            <w:tcW w:w="9755"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tc>
        <w:tc>
          <w:tcPr>
            <w:tcW w:w="9961"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tc>
        <w:tc>
          <w:tcPr>
            <w:tcW w:w="9799"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tc>
        <w:tc>
          <w:tcPr>
            <w:tcW w:w="9770"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tc>
      </w:tr>
    </w:tbl>
    <w:p>
      <w:pPr>
        <w:pStyle w:val="HorizontalLine"/>
        <w:pBdr>
          <w:bottom w:val="double" w:sz="2" w:space="0" w:color="808080"/>
        </w:pBdr>
        <w:bidi w:val="0"/>
        <w:spacing w:before="0" w:after="283"/>
        <w:jc w:val="left"/>
        <w:rPr/>
      </w:pPr>
      <w:r>
        <w:rPr/>
      </w:r>
    </w:p>
    <w:tbl>
      <w:tblPr>
        <w:tblW w:w="5047" w:type="dxa"/>
        <w:jc w:val="left"/>
        <w:tblInd w:w="0" w:type="dxa"/>
        <w:tblLayout w:type="fixed"/>
        <w:tblCellMar>
          <w:top w:w="28" w:type="dxa"/>
          <w:left w:w="28" w:type="dxa"/>
          <w:bottom w:w="28" w:type="dxa"/>
          <w:right w:w="28" w:type="dxa"/>
        </w:tblCellMar>
      </w:tblPr>
      <w:tblGrid>
        <w:gridCol w:w="2101"/>
        <w:gridCol w:w="109"/>
        <w:gridCol w:w="406"/>
        <w:gridCol w:w="24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43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Thomas H. Shortt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Thomas H. Shortt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val="false"/>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vrm-ex31_2.htm"/>
      <w:bookmarkStart w:id="25" w:name="ksvrmex31_2"/>
      <w:bookmarkEnd w:id="24"/>
      <w:bookmarkEnd w:id="2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Robert R. Krakowiak, certify that:</w:t>
      </w:r>
    </w:p>
    <w:tbl>
      <w:tblPr>
        <w:tblW w:w="5882" w:type="dxa"/>
        <w:jc w:val="left"/>
        <w:tblInd w:w="0" w:type="dxa"/>
        <w:tblLayout w:type="fixed"/>
        <w:tblCellMar>
          <w:top w:w="28" w:type="dxa"/>
          <w:left w:w="28" w:type="dxa"/>
          <w:bottom w:w="28" w:type="dxa"/>
          <w:right w:w="28" w:type="dxa"/>
        </w:tblCellMar>
      </w:tblPr>
      <w:tblGrid>
        <w:gridCol w:w="271"/>
        <w:gridCol w:w="5611"/>
      </w:tblGrid>
      <w:tr>
        <w:trPr/>
        <w:tc>
          <w:tcPr>
            <w:tcW w:w="271"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tc>
        <w:tc>
          <w:tcPr>
            <w:tcW w:w="5611"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Vroom,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tc>
        <w:tc>
          <w:tcPr>
            <w:tcW w:w="9962"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tc>
        <w:tc>
          <w:tcPr>
            <w:tcW w:w="9960"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tc>
        <w:tc>
          <w:tcPr>
            <w:tcW w:w="9964"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240" w:after="283"/>
              <w:jc w:val="left"/>
              <w:rPr/>
            </w:pPr>
            <w:r>
              <w:rPr/>
              <w:t> </w:t>
            </w:r>
          </w:p>
        </w:tc>
        <w:tc>
          <w:tcPr>
            <w:tcW w:w="289"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tc>
        <w:tc>
          <w:tcPr>
            <w:tcW w:w="9755"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tc>
        <w:tc>
          <w:tcPr>
            <w:tcW w:w="9755"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240" w:after="283"/>
              <w:jc w:val="left"/>
              <w:rPr/>
            </w:pPr>
            <w:r>
              <w:rPr/>
              <w:t> </w:t>
            </w:r>
          </w:p>
        </w:tc>
        <w:tc>
          <w:tcPr>
            <w:tcW w:w="289"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tc>
        <w:tc>
          <w:tcPr>
            <w:tcW w:w="9755"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61" w:type="dxa"/>
            <w:tcBorders/>
            <w:vAlign w:val="center"/>
          </w:tcPr>
          <w:p>
            <w:pPr>
              <w:pStyle w:val="TableContents"/>
              <w:bidi w:val="0"/>
              <w:spacing w:before="240" w:after="283"/>
              <w:jc w:val="left"/>
              <w:rPr/>
            </w:pPr>
            <w:r>
              <w:rPr/>
              <w:t> </w:t>
            </w:r>
          </w:p>
        </w:tc>
        <w:tc>
          <w:tcPr>
            <w:tcW w:w="289"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tc>
        <w:tc>
          <w:tcPr>
            <w:tcW w:w="9755"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tc>
        <w:tc>
          <w:tcPr>
            <w:tcW w:w="9961"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tc>
        <w:tc>
          <w:tcPr>
            <w:tcW w:w="9799"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tc>
        <w:tc>
          <w:tcPr>
            <w:tcW w:w="9770"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tc>
      </w:tr>
    </w:tbl>
    <w:tbl>
      <w:tblPr>
        <w:tblW w:w="5032" w:type="dxa"/>
        <w:jc w:val="left"/>
        <w:tblInd w:w="0" w:type="dxa"/>
        <w:tblLayout w:type="fixed"/>
        <w:tblCellMar>
          <w:top w:w="28" w:type="dxa"/>
          <w:left w:w="28" w:type="dxa"/>
          <w:bottom w:w="28" w:type="dxa"/>
          <w:right w:w="28" w:type="dxa"/>
        </w:tblCellMar>
      </w:tblPr>
      <w:tblGrid>
        <w:gridCol w:w="2101"/>
        <w:gridCol w:w="109"/>
        <w:gridCol w:w="406"/>
        <w:gridCol w:w="241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Robert R. Krakowiak</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Robert R. Krakowiak</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principal financial officer</w:t>
            </w:r>
            <w:r>
              <w:rPr>
                <w:rFonts w:ascii="Times New Roman" w:hAnsi="Times New Roman"/>
                <w:b w:val="false"/>
                <w:color w:val="000000"/>
                <w:sz w:val="20"/>
              </w:rPr>
              <w:t>)</w:t>
            </w:r>
          </w:p>
        </w:tc>
      </w:tr>
    </w:tbl>
    <w:p>
      <w:pPr>
        <w:pStyle w:val="HorizontalLine"/>
        <w:pBdr>
          <w:bottom w:val="double" w:sz="2" w:space="0" w:color="808080"/>
        </w:pBdr>
        <w:bidi w:val="0"/>
        <w:spacing w:before="0" w:after="283"/>
        <w:jc w:val="left"/>
        <w:rPr/>
      </w:pPr>
      <w:r>
        <w:rPr/>
      </w:r>
    </w:p>
    <w:p>
      <w:pPr>
        <w:pStyle w:val="TextBody"/>
        <w:bidi w:val="0"/>
        <w:jc w:val="left"/>
        <w:rPr/>
      </w:pPr>
      <w:bookmarkStart w:id="26" w:name="vrm-ex32_1.htm"/>
      <w:bookmarkStart w:id="27" w:name="ksvrm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of Vroom, Inc. (the “Company”) for the period ended September 30, 2023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tc>
        <w:tc>
          <w:tcPr>
            <w:tcW w:w="9757"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tc>
        <w:tc>
          <w:tcPr>
            <w:tcW w:w="9762"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tc>
      </w:tr>
    </w:tbl>
    <w:tbl>
      <w:tblPr>
        <w:tblW w:w="5047" w:type="dxa"/>
        <w:jc w:val="left"/>
        <w:tblInd w:w="0" w:type="dxa"/>
        <w:tblLayout w:type="fixed"/>
        <w:tblCellMar>
          <w:top w:w="28" w:type="dxa"/>
          <w:left w:w="28" w:type="dxa"/>
          <w:bottom w:w="28" w:type="dxa"/>
          <w:right w:w="28" w:type="dxa"/>
        </w:tblCellMar>
      </w:tblPr>
      <w:tblGrid>
        <w:gridCol w:w="2101"/>
        <w:gridCol w:w="109"/>
        <w:gridCol w:w="406"/>
        <w:gridCol w:w="24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Thomas H. Shortt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Thomas H. Shortt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val="false"/>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principal executive officer</w:t>
            </w:r>
            <w:r>
              <w:rPr>
                <w:rFonts w:ascii="Times New Roman" w:hAnsi="Times New Roman"/>
                <w:b w:val="false"/>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vrm-ex32_2.htm"/>
      <w:bookmarkStart w:id="29" w:name="ksvrmex32_2"/>
      <w:bookmarkEnd w:id="28"/>
      <w:bookmarkEnd w:id="29"/>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of Vroom, Inc. (the “Company”) for the period ended September 30, 2023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tc>
        <w:tc>
          <w:tcPr>
            <w:tcW w:w="9757"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tc>
        <w:tc>
          <w:tcPr>
            <w:tcW w:w="9762" w:type="dxa"/>
            <w:tcBorders/>
            <w:vAlign w:val="center"/>
          </w:tcPr>
          <w:p>
            <w:pPr>
              <w:pStyle w:val="TableContents"/>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tc>
      </w:tr>
    </w:tbl>
    <w:tbl>
      <w:tblPr>
        <w:tblW w:w="5032" w:type="dxa"/>
        <w:jc w:val="left"/>
        <w:tblInd w:w="0" w:type="dxa"/>
        <w:tblLayout w:type="fixed"/>
        <w:tblCellMar>
          <w:top w:w="28" w:type="dxa"/>
          <w:left w:w="28" w:type="dxa"/>
          <w:bottom w:w="28" w:type="dxa"/>
          <w:right w:w="28" w:type="dxa"/>
        </w:tblCellMar>
      </w:tblPr>
      <w:tblGrid>
        <w:gridCol w:w="2101"/>
        <w:gridCol w:w="109"/>
        <w:gridCol w:w="406"/>
        <w:gridCol w:w="241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Robert R. Krakowiak</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Robert R. Krakowiak</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80864/000095017021002077/vrm-ex2_1.htm" TargetMode="External"/><Relationship Id="rId4" Type="http://schemas.openxmlformats.org/officeDocument/2006/relationships/hyperlink" Target="https://www.sec.gov/Archives/edgar/data/1580864/000156459020039778/vrm-ex31_460.htm" TargetMode="External"/><Relationship Id="rId5" Type="http://schemas.openxmlformats.org/officeDocument/2006/relationships/hyperlink" Target="https://www.sec.gov/Archives/edgar/data/1580864/000156459020039778/vrm-ex32_234.htm" TargetMode="External"/><Relationship Id="rId6" Type="http://schemas.openxmlformats.org/officeDocument/2006/relationships/hyperlink" Target="https://www.sec.gov/Archives/edgar/data/1580864/000119312520157158/d801274dex41.htm" TargetMode="External"/><Relationship Id="rId7" Type="http://schemas.openxmlformats.org/officeDocument/2006/relationships/hyperlink" Target="https://www.sec.gov/Archives/edgar/data/1580864/000119312521195245/d93781dex41.htm" TargetMode="External"/><Relationship Id="rId8" Type="http://schemas.openxmlformats.org/officeDocument/2006/relationships/hyperlink" Target="https://www.sec.gov/Archives/edgar/data/1580864/000119312521195245/d93781dex41.htm" TargetMode="External"/><Relationship Id="rId9" Type="http://schemas.openxmlformats.org/officeDocument/2006/relationships/hyperlink" Target="https://www.sec.gov/Archives/edgar/data/1580864/000119312520145219/d801274dex4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50888</Words>
  <Characters>280756</Characters>
  <CharactersWithSpaces>334065</CharactersWithSpaces>
  <Paragraphs>11881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