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877-1_4seq1.xml.htm"/>
      <w:bookmarkStart w:id="1" w:name="kstm262787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Vroom, Inc.</w:t>
              </w:r>
            </w:hyperlink>
            <w:r>
              <w:rPr/>
              <w:t xml:space="preserve"> [ </w:t>
            </w:r>
            <w:r>
              <w:rPr>
                <w:rFonts w:ascii="Times;serif" w:hAnsi="Times;serif"/>
                <w:color w:val="0000FF"/>
                <w:sz w:val="24"/>
                <w:shd w:fill="FFFFFF" w:val="clear"/>
              </w:rPr>
              <w:t>VRM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42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1221"/>
        <w:gridCol w:w="276"/>
        <w:gridCol w:w="906"/>
        <w:gridCol w:w="801"/>
        <w:gridCol w:w="891"/>
        <w:gridCol w:w="981"/>
        <w:gridCol w:w="801"/>
        <w:gridCol w:w="1326"/>
        <w:gridCol w:w="831"/>
        <w:gridCol w:w="846"/>
      </w:tblGrid>
      <w:tr>
        <w:trPr>
          <w:tblHeader w:val="true"/>
        </w:trPr>
        <w:tc>
          <w:tcPr>
            <w:tcW w:w="134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10.86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8,500,035.12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04/01/2032</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782,692</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30,500,036.03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Notes</w:t>
            </w:r>
            <w:r>
              <w:rPr>
                <w:rFonts w:ascii="Times;serif" w:hAnsi="Times;serif"/>
                <w:color w:val="008000"/>
                <w:position w:val="7"/>
                <w:sz w:val="16"/>
                <w:sz w:val="20"/>
                <w:shd w:fill="FFFFFF" w:val="clear"/>
              </w:rPr>
              <w:t>(1)(2)(3)(6)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Mudrick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Mudrick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Mudrick Distressed Opportunity Drawdown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Mudrick Distressed Opportunity Drawdown Fund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Pietroforte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Mudrick Distressed Opportunity Drawdown Fund II SC,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Mudrick Distressed Opportunity Drawdown Fund 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Mudrick Distressed Opportunity Drawdown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8">
                    <w:r>
                      <w:rPr>
                        <w:rStyle w:val="InternetLink"/>
                      </w:rPr>
                      <w:t>Mudrick Distressed Opportunity 2020 Dislocation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statement is being filed by the following Reporting Persons: Mudrick Capital Management, L.P. ("MCM"); Mudrick Capital Management, LLC ("MCM GP"); Jason Mudrick; Mudrick Distressed Opportunity Fund Global, L.P. ("Mudrick Opp Global"); Mudrick GP, LLC ("Mudrick GP"); Mudrick Distressed Opportunity Drawdown Fund II, L.P. ("Drawdown II"); Mudrick Distressed Opportunity Drawdown Fund II SC, L.P. ("Drawdown II SC"); Mudrick Distressed Opportunity Drawdown Fund II GP, LLC ("Drawdown II GP"); Mudrick Distressed Opportunity Drawdown Fund III, L.P. ("Drawdown III"); Mudrick Distressed Opportunity Drawdown Fund III GP, LLC ("Drawdown III GP"); Mudrick Distressed Opportunity 2020 Dislocation Fund, L.P. ("DISL"); Mudrick Distressed Opportunity 2020 Dislocation Fund GP, LLC ("DISL GP"); and Matthew Pietroforte, who is a member of the Issuer's board of directors and a Managing Director and Senior Analyst at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Mudrick GP is the general partner of Mudrick Opp Global and may be deemed to beneficially own the number of securities of the Issuer directly held by Mudrick Opp Global. Drawdown II GP is the general partner of Drawdown II and Drawdown II SC and may be deemed to beneficially own the securities of the Issuer directly held by Drawdown II and Drawdown II SC. Drawdown III GP is the general partner of Drawdown III and may be deemed to beneficially own the securities of the Issuer directly held by Drawdown III. DISL GP is the general partner of DISL and may be deemed to beneficially own the number of securities of the Issuer held by DISL.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MCM is the investment manager to Drawdown II, Mudrick Opp Global, Drawdown II SC, Drawdown III and DISL and certain accounts managed by MCM. Mr. Mudrick is the sole member of Mudrick GP, Drawdown II GP, Drawdown III GP, MCM GP, and DISL GP. By virtue of these relationships, each of MCM, MCM GP and Mr. Mudrick may be deemed to beneficially own the securities held directly by Mudrick Opp Global, Drawdown II, Drawdown II SC, Drawdown III and DISL and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an Exchange and Subscription Agreement with the Issuer, dated as of May 14, 2026 (the "Exchange Agreement"), the Reporting Persons acquired from the Issuer Senior Secured Delayed Draw Convertible Notes due 2032 ("Notes") that are convertible into shares of Common Stock pursuant to the terms of the Exchange Agreement and the terms of the Senior Secured Delayed Draw Convertible 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into which the Notes acquired from the Issuer on October 14, 2026 may be converted in each case, subject to adjustment and other terms of the Notes as follows: 233,206 by Mudrick Opp Global; 160,681 by Drawdown II; 14,996 by Drawdown II SC; 9,912 by Drawdown III; 44,448 by DISL; and 319,449 by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Persons disclaim any beneficial ownership of the reported securities other than to the extent of any pecuniary interest they may have therein, directly or indirectly. Pursuant to Rule 16a-1(a)(4) under the Securities Exchange Act of 1934, as amended (the "Exchange Act"), this filing shall not be deemed an admission that the Reporting Persons are, for purposes of Section 16 of the Exchange Act or otherwise, the beneficial owners of any equity securities of the Issuer in excess of their respective pecuniary interests. The Reporting Persons are jointly filing this Form 4 pursuant to Rule 16a-3(j) under the Exchange Act. Exhibit List: Joint Filer Information. This filing shall not be deemed an admission that any of the Reporting Persons is subject to Section 16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99.1 (Joint Filer Information) is incorporated herein by reference. This Form 4 is the first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Mudrick Capital Management,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7877d1_ex99-1.htm"/>
      <w:bookmarkStart w:id="3" w:name="kstm2627877d1_ex991"/>
      <w:bookmarkEnd w:id="2"/>
      <w:bookmarkEnd w:id="3"/>
      <w:r>
        <w:rPr/>
        <w:t> </w:t>
      </w:r>
      <w:r>
        <w:br w:type="page"/>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560"/>
        <w:gridCol w:w="449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LLC, its general partner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0"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4490" w:type="dxa"/>
            <w:tcBorders/>
            <w:vAlign w:val="center"/>
          </w:tcPr>
          <w:p>
            <w:pPr>
              <w:pStyle w:val="TableContents"/>
              <w:bidi w:val="0"/>
              <w:spacing w:before="0" w:after="283"/>
              <w:jc w:val="left"/>
              <w:rPr/>
            </w:pPr>
            <w:r>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28" w:type="dxa"/>
          <w:right w:w="0" w:type="dxa"/>
        </w:tblCellMar>
      </w:tblPr>
      <w:tblGrid>
        <w:gridCol w:w="1475"/>
        <w:gridCol w:w="75"/>
      </w:tblGrid>
      <w:tr>
        <w:trPr/>
        <w:tc>
          <w:tcPr>
            <w:tcW w:w="14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tcMar>
              <w:bottom w:w="0" w:type="dxa"/>
            </w:tcMar>
            <w:vAlign w:val="center"/>
          </w:tcPr>
          <w:p>
            <w:pPr>
              <w:pStyle w:val="TableContents"/>
              <w:bidi w:val="0"/>
              <w:spacing w:before="0" w:after="283"/>
              <w:jc w:val="left"/>
              <w:rPr/>
            </w:pPr>
            <w:r>
              <w:rPr/>
              <w:t> </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560"/>
        <w:gridCol w:w="654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 its general partner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Pietroforte</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560"/>
        <w:gridCol w:w="192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Pietroforte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Pietroforte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35"/>
        <w:gridCol w:w="648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 its general partner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560"/>
        <w:gridCol w:w="14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95"/>
        <w:gridCol w:w="5910"/>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vAlign w:val="center"/>
          </w:tcPr>
          <w:p>
            <w:pPr>
              <w:pStyle w:val="TableContents"/>
              <w:bidi w:val="0"/>
              <w:spacing w:before="0" w:after="283"/>
              <w:jc w:val="left"/>
              <w:rPr>
                <w:caps w:val="false"/>
                <w:smallCaps w:val="false"/>
              </w:rPr>
            </w:pPr>
            <w:r>
              <w:rPr>
                <w:caps w:val="false"/>
                <w:smallCaps w:val="false"/>
              </w:rPr>
              <w:t> </w:t>
            </w:r>
          </w:p>
        </w:tc>
        <w:tc>
          <w:tcPr>
            <w:tcW w:w="59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560"/>
        <w:gridCol w:w="648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 its general partner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64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19, 2026</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pPr>
      <w:r>
        <w:rPr/>
        <w:t> </w:t>
      </w:r>
    </w:p>
    <w:tbl>
      <w:tblPr>
        <w:tblW w:w="9430" w:type="dxa"/>
        <w:jc w:val="left"/>
        <w:tblInd w:w="0" w:type="dxa"/>
        <w:tblLayout w:type="fixed"/>
        <w:tblCellMar>
          <w:top w:w="0" w:type="dxa"/>
          <w:left w:w="0" w:type="dxa"/>
          <w:bottom w:w="0" w:type="dxa"/>
          <w:right w:w="0" w:type="dxa"/>
        </w:tblCellMar>
      </w:tblPr>
      <w:tblGrid>
        <w:gridCol w:w="4445"/>
        <w:gridCol w:w="4985"/>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L.P.</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4985"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bl>
    <w:p>
      <w:pPr>
        <w:pStyle w:val="TextBody"/>
        <w:bidi w:val="0"/>
        <w:spacing w:before="0" w:after="283"/>
        <w:jc w:val="left"/>
        <w:rPr/>
      </w:pPr>
      <w:r>
        <w:rPr/>
        <w:t> </w:t>
      </w:r>
    </w:p>
    <w:tbl>
      <w:tblPr>
        <w:tblW w:w="7495" w:type="dxa"/>
        <w:jc w:val="left"/>
        <w:tblInd w:w="0" w:type="dxa"/>
        <w:tblLayout w:type="fixed"/>
        <w:tblCellMar>
          <w:top w:w="0" w:type="dxa"/>
          <w:left w:w="0" w:type="dxa"/>
          <w:bottom w:w="0" w:type="dxa"/>
          <w:right w:w="0" w:type="dxa"/>
        </w:tblCellMar>
      </w:tblPr>
      <w:tblGrid>
        <w:gridCol w:w="560"/>
        <w:gridCol w:w="6860"/>
        <w:gridCol w:w="75"/>
      </w:tblGrid>
      <w:tr>
        <w:trPr/>
        <w:tc>
          <w:tcPr>
            <w:tcW w:w="742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4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L.P.</w:t>
            </w:r>
          </w:p>
        </w:tc>
        <w:tc>
          <w:tcPr>
            <w:tcW w:w="75" w:type="dxa"/>
            <w:tcBorders/>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GP, LLC, its general partner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68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860"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68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pPr>
      <w:r>
        <w:rPr/>
        <w:t> </w:t>
      </w:r>
    </w:p>
    <w:tbl>
      <w:tblPr>
        <w:tblW w:w="9775" w:type="dxa"/>
        <w:jc w:val="left"/>
        <w:tblInd w:w="0" w:type="dxa"/>
        <w:tblLayout w:type="fixed"/>
        <w:tblCellMar>
          <w:top w:w="0" w:type="dxa"/>
          <w:left w:w="0" w:type="dxa"/>
          <w:bottom w:w="0" w:type="dxa"/>
          <w:right w:w="0" w:type="dxa"/>
        </w:tblCellMar>
      </w:tblPr>
      <w:tblGrid>
        <w:gridCol w:w="4445"/>
        <w:gridCol w:w="5330"/>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GP, LLC</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53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5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bl>
    <w:p>
      <w:pPr>
        <w:pStyle w:val="TextBody"/>
        <w:bidi w:val="0"/>
        <w:spacing w:before="0" w:after="283"/>
        <w:jc w:val="left"/>
        <w:rPr/>
      </w:pPr>
      <w:r>
        <w:rPr/>
        <w:t> </w:t>
      </w:r>
    </w:p>
    <w:tbl>
      <w:tblPr>
        <w:tblW w:w="5405" w:type="dxa"/>
        <w:jc w:val="left"/>
        <w:tblInd w:w="0" w:type="dxa"/>
        <w:tblLayout w:type="fixed"/>
        <w:tblCellMar>
          <w:top w:w="0" w:type="dxa"/>
          <w:left w:w="0" w:type="dxa"/>
          <w:bottom w:w="0" w:type="dxa"/>
          <w:right w:w="0" w:type="dxa"/>
        </w:tblCellMar>
      </w:tblPr>
      <w:tblGrid>
        <w:gridCol w:w="1456"/>
        <w:gridCol w:w="3874"/>
        <w:gridCol w:w="75"/>
      </w:tblGrid>
      <w:tr>
        <w:trPr/>
        <w:tc>
          <w:tcPr>
            <w:tcW w:w="533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pPr>
            <w:r>
              <w:rPr/>
              <w:t> </w:t>
            </w:r>
          </w:p>
        </w:tc>
        <w:tc>
          <w:tcPr>
            <w:tcW w:w="387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30"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2020 Dislocation Fund GP, LLC</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pPr>
            <w:r>
              <w:rPr/>
              <w:t> </w:t>
            </w:r>
          </w:p>
        </w:tc>
        <w:tc>
          <w:tcPr>
            <w:tcW w:w="387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4"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14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38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4445"/>
        <w:gridCol w:w="4130"/>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Fund Global, L.P.</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4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r>
        <w:trPr/>
        <w:tc>
          <w:tcPr>
            <w:tcW w:w="4445" w:type="dxa"/>
            <w:tcBorders/>
            <w:shd w:fill="FFFFFF" w:val="clear"/>
            <w:vAlign w:val="center"/>
          </w:tcPr>
          <w:p>
            <w:pPr>
              <w:pStyle w:val="TableContents"/>
              <w:bidi w:val="0"/>
              <w:spacing w:before="0" w:after="283"/>
              <w:jc w:val="left"/>
              <w:rPr/>
            </w:pPr>
            <w:r>
              <w:rPr/>
              <w:t> </w:t>
            </w:r>
          </w:p>
        </w:tc>
        <w:tc>
          <w:tcPr>
            <w:tcW w:w="413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413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204" w:type="dxa"/>
        <w:jc w:val="left"/>
        <w:tblInd w:w="0" w:type="dxa"/>
        <w:tblLayout w:type="fixed"/>
        <w:tblCellMar>
          <w:top w:w="0" w:type="dxa"/>
          <w:left w:w="0" w:type="dxa"/>
          <w:bottom w:w="0" w:type="dxa"/>
          <w:right w:w="0" w:type="dxa"/>
        </w:tblCellMar>
      </w:tblPr>
      <w:tblGrid>
        <w:gridCol w:w="1128"/>
        <w:gridCol w:w="3001"/>
        <w:gridCol w:w="75"/>
      </w:tblGrid>
      <w:tr>
        <w:trPr/>
        <w:tc>
          <w:tcPr>
            <w:tcW w:w="41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Distressed Opportunity Fund Global, L.P.</w:t>
            </w:r>
          </w:p>
        </w:tc>
        <w:tc>
          <w:tcPr>
            <w:tcW w:w="75" w:type="dxa"/>
            <w:tcBorders/>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pPr>
            <w:r>
              <w:rPr/>
              <w:t> </w:t>
            </w:r>
          </w:p>
        </w:tc>
        <w:tc>
          <w:tcPr>
            <w:tcW w:w="30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2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Mudrick GP, LLC its general partner</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pPr>
            <w:r>
              <w:rPr/>
              <w:t> </w:t>
            </w:r>
          </w:p>
        </w:tc>
        <w:tc>
          <w:tcPr>
            <w:tcW w:w="3001"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1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30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4445"/>
        <w:gridCol w:w="2900"/>
      </w:tblGrid>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Joint Filer: </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GP, LLC</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Joint Filer:</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 West 52</w:t>
            </w:r>
            <w:r>
              <w:rPr>
                <w:rFonts w:ascii="Times New Roman;Times;Serif" w:hAnsi="Times New Roman;Times;Serif"/>
                <w:position w:val="7"/>
                <w:sz w:val="16"/>
                <w:sz w:val="20"/>
              </w:rPr>
              <w:t>nd</w:t>
            </w:r>
            <w:r>
              <w:rPr>
                <w:rFonts w:ascii="Times New Roman;Times;Serif" w:hAnsi="Times New Roman;Times;Serif"/>
                <w:sz w:val="20"/>
              </w:rPr>
              <w:t xml:space="preserve"> Street</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16th Floor</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10019</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Name and Ticker or Trading Symbol:</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Vroom, Inc. [ VRM ]</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Earliest Transaction:</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14, 2026</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Amendment, Date Original Filed (Month/Day/Year):</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pPr>
            <w:r>
              <w:rPr/>
              <w:t> </w:t>
            </w:r>
          </w:p>
        </w:tc>
        <w:tc>
          <w:tcPr>
            <w:tcW w:w="2900" w:type="dxa"/>
            <w:tcBorders/>
            <w:shd w:fill="FFFFFF" w:val="clear"/>
            <w:vAlign w:val="center"/>
          </w:tcPr>
          <w:p>
            <w:pPr>
              <w:pStyle w:val="TableContents"/>
              <w:bidi w:val="0"/>
              <w:spacing w:before="0" w:after="283"/>
              <w:jc w:val="left"/>
              <w:rPr/>
            </w:pPr>
            <w:r>
              <w:rPr/>
              <w:t> </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Designated Filer:</w:t>
            </w:r>
          </w:p>
        </w:tc>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L.P.</w:t>
            </w:r>
          </w:p>
        </w:tc>
      </w:tr>
    </w:tbl>
    <w:p>
      <w:pPr>
        <w:pStyle w:val="TextBody"/>
        <w:bidi w:val="0"/>
        <w:spacing w:before="0" w:after="283"/>
        <w:jc w:val="left"/>
        <w:rPr/>
      </w:pPr>
      <w:r>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224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4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GP, LLC</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shd w:fill="FFFFFF" w:val="clear"/>
            <w:vAlign w:val="center"/>
          </w:tcPr>
          <w:p>
            <w:pPr>
              <w:pStyle w:val="TableContents"/>
              <w:bidi w:val="0"/>
              <w:spacing w:before="0" w:after="283"/>
              <w:jc w:val="left"/>
              <w:rPr/>
            </w:pPr>
            <w:r>
              <w:rPr/>
              <w:t> </w:t>
            </w:r>
          </w:p>
        </w:tc>
      </w:tr>
      <w:tr>
        <w:trPr/>
        <w:tc>
          <w:tcPr>
            <w:tcW w:w="560" w:type="dxa"/>
            <w:tcBorders/>
            <w:shd w:fill="FFFFFF" w:val="clear"/>
            <w:vAlign w:val="center"/>
          </w:tcPr>
          <w:p>
            <w:pPr>
              <w:pStyle w:val="TableContents"/>
              <w:bidi w:val="0"/>
              <w:spacing w:before="0" w:after="283"/>
              <w:jc w:val="left"/>
              <w:rPr/>
            </w:pPr>
            <w:r>
              <w:rPr/>
              <w:t>Date:</w:t>
            </w:r>
          </w:p>
        </w:tc>
        <w:tc>
          <w:tcPr>
            <w:tcW w:w="1685" w:type="dxa"/>
            <w:tcBorders/>
            <w:shd w:fill="FFFFFF" w:val="clear"/>
            <w:vAlign w:val="center"/>
          </w:tcPr>
          <w:p>
            <w:pPr>
              <w:pStyle w:val="TableContents"/>
              <w:bidi w:val="0"/>
              <w:spacing w:before="0" w:after="283"/>
              <w:jc w:val="left"/>
              <w:rPr/>
            </w:pPr>
            <w:r>
              <w:rPr/>
              <w:t>October 19, 2026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183" TargetMode="External"/><Relationship Id="rId5" Type="http://schemas.openxmlformats.org/officeDocument/2006/relationships/hyperlink" Target="http://www.sec.gov/cgi-bin/browse-edgar?action=getcompany&amp;CIK=00015808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55183" TargetMode="External"/><Relationship Id="rId10" Type="http://schemas.openxmlformats.org/officeDocument/2006/relationships/hyperlink" Target="http://www.sec.gov/cgi-bin/browse-edgar?action=getcompany&amp;CIK=0001730922" TargetMode="External"/><Relationship Id="rId11" Type="http://schemas.openxmlformats.org/officeDocument/2006/relationships/hyperlink" Target="http://www.sec.gov/cgi-bin/browse-edgar?action=getcompany&amp;CIK=0001367262" TargetMode="External"/><Relationship Id="rId12" Type="http://schemas.openxmlformats.org/officeDocument/2006/relationships/hyperlink" Target="http://www.sec.gov/cgi-bin/browse-edgar?action=getcompany&amp;CIK=0002024855" TargetMode="External"/><Relationship Id="rId13" Type="http://schemas.openxmlformats.org/officeDocument/2006/relationships/hyperlink" Target="http://www.sec.gov/cgi-bin/browse-edgar?action=getcompany&amp;CIK=0002051254" TargetMode="External"/><Relationship Id="rId14" Type="http://schemas.openxmlformats.org/officeDocument/2006/relationships/hyperlink" Target="http://www.sec.gov/cgi-bin/browse-edgar?action=getcompany&amp;CIK=0001926971" TargetMode="External"/><Relationship Id="rId15" Type="http://schemas.openxmlformats.org/officeDocument/2006/relationships/hyperlink" Target="http://www.sec.gov/cgi-bin/browse-edgar?action=getcompany&amp;CIK=0001813394" TargetMode="External"/><Relationship Id="rId16" Type="http://schemas.openxmlformats.org/officeDocument/2006/relationships/hyperlink" Target="http://www.sec.gov/cgi-bin/browse-edgar?action=getcompany&amp;CIK=0001813765" TargetMode="External"/><Relationship Id="rId17" Type="http://schemas.openxmlformats.org/officeDocument/2006/relationships/hyperlink" Target="http://www.sec.gov/cgi-bin/browse-edgar?action=getcompany&amp;CIK=0001763080" TargetMode="External"/><Relationship Id="rId18" Type="http://schemas.openxmlformats.org/officeDocument/2006/relationships/hyperlink" Target="http://www.sec.gov/cgi-bin/browse-edgar?action=getcompany&amp;CIK=0001860577"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2605</Words>
  <Characters>14064</Characters>
  <CharactersWithSpaces>16510</CharactersWithSpaces>
  <Paragraphs>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