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7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83185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122555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3"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17" w:lineRule="exact"/>
        <w:rPr>
          <w:rFonts w:ascii="MS PGothic" w:cs="MS PGothic" w:eastAsia="MS PGothic" w:hAnsi="MS PGothic"/>
          <w:sz w:val="18"/>
          <w:szCs w:val="18"/>
          <w:color w:val="auto"/>
        </w:rPr>
      </w:pPr>
    </w:p>
    <w:p>
      <w:pPr>
        <w:ind w:left="36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March 31, 2021</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240"/>
          </w:cols>
          <w:pgMar w:left="320" w:top="247" w:right="339" w:bottom="1440" w:gutter="0" w:footer="0" w:header="0"/>
        </w:sectPr>
      </w:pPr>
    </w:p>
    <w:p>
      <w:pPr>
        <w:spacing w:after="0" w:line="144" w:lineRule="exact"/>
        <w:rPr>
          <w:sz w:val="24"/>
          <w:szCs w:val="24"/>
          <w:color w:val="auto"/>
        </w:rPr>
      </w:pPr>
    </w:p>
    <w:p>
      <w:pPr>
        <w:ind w:left="3780"/>
        <w:spacing w:after="0"/>
        <w:rPr>
          <w:sz w:val="20"/>
          <w:szCs w:val="20"/>
          <w:color w:val="auto"/>
        </w:rPr>
      </w:pPr>
      <w:r>
        <w:rPr>
          <w:rFonts w:ascii="Arial" w:cs="Arial" w:eastAsia="Arial" w:hAnsi="Arial"/>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104" w:lineRule="exact"/>
        <w:rPr>
          <w:sz w:val="24"/>
          <w:szCs w:val="24"/>
          <w:color w:val="auto"/>
        </w:rPr>
      </w:pPr>
    </w:p>
    <w:p>
      <w:pPr>
        <w:sectPr>
          <w:pgSz w:w="11900" w:h="16838" w:orient="portrait"/>
          <w:cols w:equalWidth="0" w:num="2">
            <w:col w:w="6300" w:space="700"/>
            <w:col w:w="4240"/>
          </w:cols>
          <w:pgMar w:left="320" w:top="247" w:right="339" w:bottom="144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Commission File Number: 001-39315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113030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type w:val="continuous"/>
        </w:sectPr>
      </w:pPr>
    </w:p>
    <w:p>
      <w:pPr>
        <w:spacing w:after="0" w:line="252" w:lineRule="exact"/>
        <w:rPr>
          <w:sz w:val="24"/>
          <w:szCs w:val="24"/>
          <w:color w:val="auto"/>
        </w:rPr>
      </w:pPr>
    </w:p>
    <w:tbl>
      <w:tblPr>
        <w:tblLayout w:type="fixed"/>
        <w:tblInd w:w="900" w:type="dxa"/>
        <w:tblCellMar>
          <w:top w:w="0" w:type="dxa"/>
          <w:left w:w="0" w:type="dxa"/>
          <w:bottom w:w="0" w:type="dxa"/>
          <w:right w:w="0" w:type="dxa"/>
        </w:tblCellMar>
      </w:tblPr>
      <w:tr>
        <w:trPr>
          <w:trHeight w:val="453"/>
        </w:trPr>
        <w:tc>
          <w:tcPr>
            <w:tcW w:w="2500" w:type="dxa"/>
            <w:vAlign w:val="bottom"/>
          </w:tcPr>
          <w:p>
            <w:pPr>
              <w:spacing w:after="0"/>
              <w:rPr>
                <w:sz w:val="24"/>
                <w:szCs w:val="24"/>
                <w:color w:val="auto"/>
              </w:rPr>
            </w:pPr>
          </w:p>
        </w:tc>
        <w:tc>
          <w:tcPr>
            <w:tcW w:w="6760" w:type="dxa"/>
            <w:vAlign w:val="bottom"/>
            <w:gridSpan w:val="3"/>
          </w:tcPr>
          <w:p>
            <w:pPr>
              <w:jc w:val="center"/>
              <w:ind w:right="2248"/>
              <w:spacing w:after="0"/>
              <w:rPr>
                <w:sz w:val="20"/>
                <w:szCs w:val="20"/>
                <w:color w:val="auto"/>
              </w:rPr>
            </w:pPr>
            <w:r>
              <w:rPr>
                <w:rFonts w:ascii="Arial" w:cs="Arial" w:eastAsia="Arial" w:hAnsi="Arial"/>
                <w:sz w:val="36"/>
                <w:szCs w:val="36"/>
                <w:b w:val="1"/>
                <w:bCs w:val="1"/>
                <w:color w:val="auto"/>
                <w:w w:val="99"/>
              </w:rPr>
              <w:t>VROOM, INC.</w:t>
            </w:r>
          </w:p>
        </w:tc>
      </w:tr>
      <w:tr>
        <w:trPr>
          <w:trHeight w:val="190"/>
        </w:trPr>
        <w:tc>
          <w:tcPr>
            <w:tcW w:w="2500" w:type="dxa"/>
            <w:vAlign w:val="bottom"/>
          </w:tcPr>
          <w:p>
            <w:pPr>
              <w:spacing w:after="0"/>
              <w:rPr>
                <w:sz w:val="16"/>
                <w:szCs w:val="16"/>
                <w:color w:val="auto"/>
              </w:rPr>
            </w:pPr>
          </w:p>
        </w:tc>
        <w:tc>
          <w:tcPr>
            <w:tcW w:w="6760" w:type="dxa"/>
            <w:vAlign w:val="bottom"/>
            <w:gridSpan w:val="3"/>
          </w:tcPr>
          <w:p>
            <w:pPr>
              <w:jc w:val="center"/>
              <w:ind w:right="2228"/>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120"/>
        </w:trPr>
        <w:tc>
          <w:tcPr>
            <w:tcW w:w="25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3420" w:type="dxa"/>
            <w:vAlign w:val="bottom"/>
          </w:tcPr>
          <w:p>
            <w:pPr>
              <w:spacing w:after="0"/>
              <w:rPr>
                <w:sz w:val="10"/>
                <w:szCs w:val="10"/>
                <w:color w:val="auto"/>
              </w:rPr>
            </w:pPr>
          </w:p>
        </w:tc>
      </w:tr>
      <w:tr>
        <w:trPr>
          <w:trHeight w:val="292"/>
        </w:trPr>
        <w:tc>
          <w:tcPr>
            <w:tcW w:w="2500" w:type="dxa"/>
            <w:vAlign w:val="bottom"/>
          </w:tcPr>
          <w:p>
            <w:pPr>
              <w:jc w:val="center"/>
              <w:ind w:right="388"/>
              <w:spacing w:after="0"/>
              <w:rPr>
                <w:sz w:val="20"/>
                <w:szCs w:val="20"/>
                <w:color w:val="auto"/>
              </w:rPr>
            </w:pPr>
            <w:r>
              <w:rPr>
                <w:rFonts w:ascii="Arial" w:cs="Arial" w:eastAsia="Arial" w:hAnsi="Arial"/>
                <w:sz w:val="14"/>
                <w:szCs w:val="14"/>
                <w:b w:val="1"/>
                <w:bCs w:val="1"/>
                <w:color w:val="auto"/>
              </w:rPr>
              <w:t>Delaware</w:t>
            </w:r>
          </w:p>
        </w:tc>
        <w:tc>
          <w:tcPr>
            <w:tcW w:w="6760" w:type="dxa"/>
            <w:vAlign w:val="bottom"/>
            <w:gridSpan w:val="3"/>
          </w:tcPr>
          <w:p>
            <w:pPr>
              <w:jc w:val="center"/>
              <w:ind w:left="5141"/>
              <w:spacing w:after="0"/>
              <w:rPr>
                <w:sz w:val="20"/>
                <w:szCs w:val="20"/>
                <w:color w:val="auto"/>
              </w:rPr>
            </w:pPr>
            <w:r>
              <w:rPr>
                <w:rFonts w:ascii="Arial" w:cs="Arial" w:eastAsia="Arial" w:hAnsi="Arial"/>
                <w:sz w:val="14"/>
                <w:szCs w:val="14"/>
                <w:b w:val="1"/>
                <w:bCs w:val="1"/>
                <w:color w:val="auto"/>
              </w:rPr>
              <w:t>901112566</w:t>
            </w:r>
          </w:p>
        </w:tc>
      </w:tr>
      <w:tr>
        <w:trPr>
          <w:trHeight w:val="174"/>
        </w:trPr>
        <w:tc>
          <w:tcPr>
            <w:tcW w:w="2500" w:type="dxa"/>
            <w:vAlign w:val="bottom"/>
          </w:tcPr>
          <w:p>
            <w:pPr>
              <w:jc w:val="center"/>
              <w:ind w:right="388"/>
              <w:spacing w:after="0"/>
              <w:rPr>
                <w:sz w:val="20"/>
                <w:szCs w:val="20"/>
                <w:color w:val="auto"/>
              </w:rPr>
            </w:pPr>
            <w:r>
              <w:rPr>
                <w:rFonts w:ascii="Arial" w:cs="Arial" w:eastAsia="Arial" w:hAnsi="Arial"/>
                <w:sz w:val="14"/>
                <w:szCs w:val="14"/>
                <w:b w:val="1"/>
                <w:bCs w:val="1"/>
                <w:color w:val="auto"/>
              </w:rPr>
              <w:t>(State or other jurisdiction of</w:t>
            </w:r>
          </w:p>
        </w:tc>
        <w:tc>
          <w:tcPr>
            <w:tcW w:w="11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420" w:type="dxa"/>
            <w:vAlign w:val="bottom"/>
          </w:tcPr>
          <w:p>
            <w:pPr>
              <w:jc w:val="center"/>
              <w:ind w:left="1808"/>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2500" w:type="dxa"/>
            <w:vAlign w:val="bottom"/>
          </w:tcPr>
          <w:p>
            <w:pPr>
              <w:jc w:val="center"/>
              <w:ind w:right="388"/>
              <w:spacing w:after="0"/>
              <w:rPr>
                <w:sz w:val="20"/>
                <w:szCs w:val="20"/>
                <w:color w:val="auto"/>
              </w:rPr>
            </w:pPr>
            <w:r>
              <w:rPr>
                <w:rFonts w:ascii="Arial" w:cs="Arial" w:eastAsia="Arial" w:hAnsi="Arial"/>
                <w:sz w:val="14"/>
                <w:szCs w:val="14"/>
                <w:b w:val="1"/>
                <w:bCs w:val="1"/>
                <w:color w:val="auto"/>
              </w:rPr>
              <w:t>incorporation or organization)</w:t>
            </w:r>
          </w:p>
        </w:tc>
        <w:tc>
          <w:tcPr>
            <w:tcW w:w="1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420" w:type="dxa"/>
            <w:vAlign w:val="bottom"/>
          </w:tcPr>
          <w:p>
            <w:pPr>
              <w:jc w:val="center"/>
              <w:ind w:left="1808"/>
              <w:spacing w:after="0"/>
              <w:rPr>
                <w:sz w:val="20"/>
                <w:szCs w:val="20"/>
                <w:color w:val="auto"/>
              </w:rPr>
            </w:pPr>
            <w:r>
              <w:rPr>
                <w:rFonts w:ascii="Arial" w:cs="Arial" w:eastAsia="Arial" w:hAnsi="Arial"/>
                <w:sz w:val="14"/>
                <w:szCs w:val="14"/>
                <w:b w:val="1"/>
                <w:bCs w:val="1"/>
                <w:color w:val="auto"/>
              </w:rPr>
              <w:t>Identification Number)</w:t>
            </w:r>
          </w:p>
        </w:tc>
      </w:tr>
      <w:tr>
        <w:trPr>
          <w:trHeight w:val="282"/>
        </w:trPr>
        <w:tc>
          <w:tcPr>
            <w:tcW w:w="2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60" w:type="dxa"/>
            <w:vAlign w:val="bottom"/>
            <w:gridSpan w:val="2"/>
          </w:tcPr>
          <w:p>
            <w:pPr>
              <w:jc w:val="center"/>
              <w:ind w:right="3348"/>
              <w:spacing w:after="0"/>
              <w:rPr>
                <w:sz w:val="20"/>
                <w:szCs w:val="20"/>
                <w:color w:val="auto"/>
              </w:rPr>
            </w:pPr>
            <w:r>
              <w:rPr>
                <w:rFonts w:ascii="Arial" w:cs="Arial" w:eastAsia="Arial" w:hAnsi="Arial"/>
                <w:sz w:val="14"/>
                <w:szCs w:val="14"/>
                <w:b w:val="1"/>
                <w:bCs w:val="1"/>
                <w:color w:val="auto"/>
              </w:rPr>
              <w:t>1375 Broadway, Floor 11</w:t>
            </w:r>
          </w:p>
        </w:tc>
      </w:tr>
      <w:tr>
        <w:trPr>
          <w:trHeight w:val="162"/>
        </w:trPr>
        <w:tc>
          <w:tcPr>
            <w:tcW w:w="2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60" w:type="dxa"/>
            <w:vAlign w:val="bottom"/>
            <w:gridSpan w:val="2"/>
          </w:tcPr>
          <w:p>
            <w:pPr>
              <w:jc w:val="center"/>
              <w:ind w:right="3348"/>
              <w:spacing w:after="0"/>
              <w:rPr>
                <w:sz w:val="20"/>
                <w:szCs w:val="20"/>
                <w:color w:val="auto"/>
              </w:rPr>
            </w:pPr>
            <w:r>
              <w:rPr>
                <w:rFonts w:ascii="Arial" w:cs="Arial" w:eastAsia="Arial" w:hAnsi="Arial"/>
                <w:sz w:val="14"/>
                <w:szCs w:val="14"/>
                <w:b w:val="1"/>
                <w:bCs w:val="1"/>
                <w:color w:val="auto"/>
              </w:rPr>
              <w:t>New York, New York 10018</w:t>
            </w:r>
          </w:p>
        </w:tc>
      </w:tr>
      <w:tr>
        <w:trPr>
          <w:trHeight w:val="190"/>
        </w:trPr>
        <w:tc>
          <w:tcPr>
            <w:tcW w:w="2500" w:type="dxa"/>
            <w:vAlign w:val="bottom"/>
          </w:tcPr>
          <w:p>
            <w:pPr>
              <w:spacing w:after="0"/>
              <w:rPr>
                <w:sz w:val="16"/>
                <w:szCs w:val="16"/>
                <w:color w:val="auto"/>
              </w:rPr>
            </w:pPr>
          </w:p>
        </w:tc>
        <w:tc>
          <w:tcPr>
            <w:tcW w:w="6760" w:type="dxa"/>
            <w:vAlign w:val="bottom"/>
            <w:gridSpan w:val="3"/>
          </w:tcPr>
          <w:p>
            <w:pPr>
              <w:jc w:val="center"/>
              <w:ind w:right="2228"/>
              <w:spacing w:after="0"/>
              <w:rPr>
                <w:sz w:val="20"/>
                <w:szCs w:val="20"/>
                <w:color w:val="auto"/>
              </w:rPr>
            </w:pPr>
            <w:r>
              <w:rPr>
                <w:rFonts w:ascii="Arial" w:cs="Arial" w:eastAsia="Arial" w:hAnsi="Arial"/>
                <w:sz w:val="14"/>
                <w:szCs w:val="14"/>
                <w:b w:val="1"/>
                <w:bCs w:val="1"/>
                <w:color w:val="auto"/>
              </w:rPr>
              <w:t>(Address of principal executive offices) (Zip code)</w:t>
            </w:r>
          </w:p>
        </w:tc>
      </w:tr>
    </w:tbl>
    <w:p>
      <w:pPr>
        <w:spacing w:after="0" w:line="9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(855) 524-1300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Not Applicable</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83185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7" w:lineRule="exact"/>
        <w:rPr>
          <w:sz w:val="24"/>
          <w:szCs w:val="24"/>
          <w:color w:val="auto"/>
        </w:rPr>
      </w:pPr>
    </w:p>
    <w:p>
      <w:pPr>
        <w:ind w:left="38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5"/>
                <w:szCs w:val="15"/>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00" w:type="dxa"/>
            <w:vAlign w:val="bottom"/>
          </w:tcPr>
          <w:p>
            <w:pPr>
              <w:spacing w:after="0"/>
              <w:rPr>
                <w:sz w:val="15"/>
                <w:szCs w:val="15"/>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90"/>
        </w:trPr>
        <w:tc>
          <w:tcPr>
            <w:tcW w:w="4240" w:type="dxa"/>
            <w:vAlign w:val="bottom"/>
            <w:gridSpan w:val="2"/>
          </w:tcPr>
          <w:p>
            <w:pPr>
              <w:jc w:val="center"/>
              <w:ind w:right="80"/>
              <w:spacing w:after="0"/>
              <w:rPr>
                <w:sz w:val="20"/>
                <w:szCs w:val="20"/>
                <w:color w:val="auto"/>
              </w:rPr>
            </w:pPr>
            <w:r>
              <w:rPr>
                <w:rFonts w:ascii="Arial" w:cs="Arial" w:eastAsia="Arial" w:hAnsi="Arial"/>
                <w:sz w:val="16"/>
                <w:szCs w:val="16"/>
                <w:color w:val="auto"/>
              </w:rPr>
              <w:t>Common Stock, $0.001 par value</w:t>
            </w:r>
          </w:p>
        </w:tc>
        <w:tc>
          <w:tcPr>
            <w:tcW w:w="2900" w:type="dxa"/>
            <w:vAlign w:val="bottom"/>
            <w:gridSpan w:val="2"/>
          </w:tcPr>
          <w:p>
            <w:pPr>
              <w:jc w:val="center"/>
              <w:ind w:right="60"/>
              <w:spacing w:after="0"/>
              <w:rPr>
                <w:sz w:val="20"/>
                <w:szCs w:val="20"/>
                <w:color w:val="auto"/>
              </w:rPr>
            </w:pPr>
            <w:r>
              <w:rPr>
                <w:rFonts w:ascii="Arial" w:cs="Arial" w:eastAsia="Arial" w:hAnsi="Arial"/>
                <w:sz w:val="16"/>
                <w:szCs w:val="16"/>
                <w:color w:val="auto"/>
              </w:rPr>
              <w:t>VRM</w:t>
            </w:r>
          </w:p>
        </w:tc>
        <w:tc>
          <w:tcPr>
            <w:tcW w:w="4100" w:type="dxa"/>
            <w:vAlign w:val="bottom"/>
          </w:tcPr>
          <w:p>
            <w:pPr>
              <w:jc w:val="center"/>
              <w:spacing w:after="0"/>
              <w:rPr>
                <w:sz w:val="20"/>
                <w:szCs w:val="20"/>
                <w:color w:val="auto"/>
              </w:rPr>
            </w:pPr>
            <w:r>
              <w:rPr>
                <w:rFonts w:ascii="Arial" w:cs="Arial" w:eastAsia="Arial" w:hAnsi="Arial"/>
                <w:sz w:val="16"/>
                <w:szCs w:val="16"/>
                <w:color w:val="auto"/>
              </w:rPr>
              <w:t>Nasdaq Global Select</w:t>
            </w:r>
          </w:p>
        </w:tc>
      </w:tr>
    </w:tbl>
    <w:p>
      <w:pPr>
        <w:spacing w:after="0" w:line="116" w:lineRule="exact"/>
        <w:rPr>
          <w:sz w:val="24"/>
          <w:szCs w:val="24"/>
          <w:color w:val="auto"/>
        </w:rPr>
      </w:pPr>
    </w:p>
    <w:p>
      <w:pPr>
        <w:ind w:right="80" w:firstLine="374"/>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3" w:lineRule="exact"/>
        <w:rPr>
          <w:sz w:val="24"/>
          <w:szCs w:val="24"/>
          <w:color w:val="auto"/>
        </w:rPr>
      </w:pPr>
    </w:p>
    <w:p>
      <w:pPr>
        <w:ind w:right="100" w:firstLine="374"/>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3" w:lineRule="exact"/>
        <w:rPr>
          <w:sz w:val="24"/>
          <w:szCs w:val="24"/>
          <w:color w:val="auto"/>
        </w:rPr>
      </w:pPr>
    </w:p>
    <w:p>
      <w:pPr>
        <w:ind w:right="220" w:firstLine="374"/>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5"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80" w:type="dxa"/>
            <w:vAlign w:val="bottom"/>
          </w:tcPr>
          <w:p>
            <w:pPr>
              <w:ind w:left="3180"/>
              <w:spacing w:after="0"/>
              <w:rPr>
                <w:sz w:val="20"/>
                <w:szCs w:val="20"/>
                <w:color w:val="auto"/>
              </w:rPr>
            </w:pPr>
            <w:r>
              <w:rPr>
                <w:rFonts w:ascii="Arial" w:cs="Arial" w:eastAsia="Arial" w:hAnsi="Arial"/>
                <w:sz w:val="16"/>
                <w:szCs w:val="16"/>
                <w:color w:val="auto"/>
              </w:rPr>
              <w:t>Accelerated filer</w:t>
            </w:r>
          </w:p>
        </w:tc>
        <w:tc>
          <w:tcPr>
            <w:tcW w:w="32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36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80" w:type="dxa"/>
            <w:vAlign w:val="bottom"/>
          </w:tcPr>
          <w:p>
            <w:pPr>
              <w:ind w:left="3180"/>
              <w:spacing w:after="0"/>
              <w:rPr>
                <w:sz w:val="20"/>
                <w:szCs w:val="20"/>
                <w:color w:val="auto"/>
              </w:rPr>
            </w:pPr>
            <w:r>
              <w:rPr>
                <w:rFonts w:ascii="Arial" w:cs="Arial" w:eastAsia="Arial" w:hAnsi="Arial"/>
                <w:sz w:val="16"/>
                <w:szCs w:val="16"/>
                <w:color w:val="auto"/>
              </w:rPr>
              <w:t>Smaller reporting company</w:t>
            </w:r>
          </w:p>
        </w:tc>
        <w:tc>
          <w:tcPr>
            <w:tcW w:w="32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86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5280" w:type="dxa"/>
            <w:vAlign w:val="bottom"/>
          </w:tcPr>
          <w:p>
            <w:pPr>
              <w:ind w:left="3180"/>
              <w:spacing w:after="0"/>
              <w:rPr>
                <w:sz w:val="20"/>
                <w:szCs w:val="20"/>
                <w:color w:val="auto"/>
              </w:rPr>
            </w:pPr>
            <w:r>
              <w:rPr>
                <w:rFonts w:ascii="Arial" w:cs="Arial" w:eastAsia="Arial" w:hAnsi="Arial"/>
                <w:sz w:val="16"/>
                <w:szCs w:val="16"/>
                <w:color w:val="auto"/>
              </w:rPr>
              <w:t>Emerging growth company</w:t>
            </w:r>
          </w:p>
        </w:tc>
        <w:tc>
          <w:tcPr>
            <w:tcW w:w="32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98" w:lineRule="exact"/>
        <w:rPr>
          <w:sz w:val="24"/>
          <w:szCs w:val="24"/>
          <w:color w:val="auto"/>
        </w:rPr>
      </w:pPr>
    </w:p>
    <w:p>
      <w:pPr>
        <w:ind w:right="280" w:firstLine="374"/>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1" w:lineRule="exact"/>
        <w:rPr>
          <w:sz w:val="24"/>
          <w:szCs w:val="24"/>
          <w:color w:val="auto"/>
        </w:rPr>
      </w:pPr>
    </w:p>
    <w:p>
      <w:pPr>
        <w:ind w:left="380" w:right="1780"/>
        <w:spacing w:after="0" w:line="28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May 10, 2021, 136,456,295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574675</wp:posOffset>
            </wp:positionV>
            <wp:extent cx="71748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520" w:type="dxa"/>
            <w:vAlign w:val="bottom"/>
            <w:gridSpan w:val="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39"/>
        </w:trPr>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360" w:type="dxa"/>
            <w:vAlign w:val="bottom"/>
            <w:gridSpan w:val="10"/>
          </w:tcPr>
          <w:p>
            <w:pPr>
              <w:jc w:val="center"/>
              <w:ind w:right="3440"/>
              <w:spacing w:after="0"/>
              <w:rPr>
                <w:sz w:val="20"/>
                <w:szCs w:val="20"/>
                <w:color w:val="auto"/>
              </w:rPr>
            </w:pPr>
            <w:r>
              <w:rPr>
                <w:rFonts w:ascii="Arial" w:cs="Arial" w:eastAsia="Arial" w:hAnsi="Arial"/>
                <w:sz w:val="18"/>
                <w:szCs w:val="18"/>
                <w:b w:val="1"/>
                <w:bCs w:val="1"/>
                <w:color w:val="auto"/>
                <w:w w:val="98"/>
              </w:rPr>
              <w:t>TABLE OF CONTENTS</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5"/>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Page</w:t>
            </w:r>
          </w:p>
        </w:tc>
        <w:tc>
          <w:tcPr>
            <w:tcW w:w="20" w:type="dxa"/>
            <w:vAlign w:val="bottom"/>
          </w:tcPr>
          <w:p>
            <w:pPr>
              <w:spacing w:after="0"/>
              <w:rPr>
                <w:sz w:val="24"/>
                <w:szCs w:val="24"/>
                <w:color w:val="auto"/>
              </w:rPr>
            </w:pPr>
          </w:p>
        </w:tc>
      </w:tr>
      <w:tr>
        <w:trPr>
          <w:trHeight w:val="371"/>
        </w:trPr>
        <w:tc>
          <w:tcPr>
            <w:tcW w:w="40" w:type="dxa"/>
            <w:vAlign w:val="bottom"/>
          </w:tcPr>
          <w:p>
            <w:pPr>
              <w:spacing w:after="0"/>
              <w:rPr>
                <w:sz w:val="24"/>
                <w:szCs w:val="24"/>
                <w:color w:val="auto"/>
              </w:rPr>
            </w:pPr>
          </w:p>
        </w:tc>
        <w:tc>
          <w:tcPr>
            <w:tcW w:w="2260" w:type="dxa"/>
            <w:vAlign w:val="bottom"/>
            <w:tcBorders>
              <w:bottom w:val="single" w:sz="8" w:color="0000EE"/>
            </w:tcBorders>
            <w:gridSpan w:val="7"/>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Part I - Financial Information</w:t>
              </w:r>
            </w:hyperlink>
          </w:p>
        </w:tc>
        <w:tc>
          <w:tcPr>
            <w:tcW w:w="8220" w:type="dxa"/>
            <w:vAlign w:val="bottom"/>
            <w:gridSpan w:val="19"/>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183"/>
        </w:trPr>
        <w:tc>
          <w:tcPr>
            <w:tcW w:w="40" w:type="dxa"/>
            <w:vAlign w:val="bottom"/>
          </w:tcPr>
          <w:p>
            <w:pPr>
              <w:spacing w:after="0"/>
              <w:rPr>
                <w:sz w:val="15"/>
                <w:szCs w:val="15"/>
                <w:color w:val="auto"/>
              </w:rPr>
            </w:pPr>
          </w:p>
        </w:tc>
        <w:tc>
          <w:tcPr>
            <w:tcW w:w="1480" w:type="dxa"/>
            <w:vAlign w:val="bottom"/>
            <w:gridSpan w:val="4"/>
          </w:tcPr>
          <w:p>
            <w:pPr>
              <w:spacing w:after="0" w:line="182" w:lineRule="exact"/>
              <w:rPr>
                <w:sz w:val="20"/>
                <w:szCs w:val="20"/>
                <w:color w:val="auto"/>
              </w:rPr>
            </w:pPr>
            <w:r>
              <w:rPr>
                <w:rFonts w:ascii="Arial" w:cs="Arial" w:eastAsia="Arial" w:hAnsi="Arial"/>
                <w:sz w:val="18"/>
                <w:szCs w:val="18"/>
                <w:color w:val="auto"/>
              </w:rPr>
              <w:t>Item 1.</w:t>
            </w:r>
          </w:p>
        </w:tc>
        <w:tc>
          <w:tcPr>
            <w:tcW w:w="9000" w:type="dxa"/>
            <w:vAlign w:val="bottom"/>
            <w:gridSpan w:val="22"/>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Financial Statements (unaudited)</w:t>
              </w:r>
            </w:hyperlink>
          </w:p>
        </w:tc>
        <w:tc>
          <w:tcPr>
            <w:tcW w:w="7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5</w:t>
            </w: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20" w:type="dxa"/>
            <w:vAlign w:val="bottom"/>
            <w:tcBorders>
              <w:bottom w:val="single" w:sz="8" w:color="0000EE"/>
            </w:tcBorders>
            <w:gridSpan w:val="18"/>
          </w:tcPr>
          <w:p>
            <w:pPr>
              <w:spacing w:after="0" w:line="18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Condensed Consolidated Balance Sheets as of March 31, 2021 and December 31, 2020 (unaudited)</w:t>
              </w:r>
            </w:hyperlink>
          </w:p>
        </w:tc>
        <w:tc>
          <w:tcPr>
            <w:tcW w:w="980" w:type="dxa"/>
            <w:vAlign w:val="bottom"/>
            <w:gridSpan w:val="4"/>
          </w:tcPr>
          <w:p>
            <w:pPr>
              <w:spacing w:after="0"/>
              <w:rPr>
                <w:sz w:val="15"/>
                <w:szCs w:val="15"/>
                <w:color w:val="auto"/>
              </w:rPr>
            </w:pPr>
          </w:p>
        </w:tc>
        <w:tc>
          <w:tcPr>
            <w:tcW w:w="7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5</w:t>
            </w:r>
          </w:p>
        </w:tc>
      </w:tr>
      <w:tr>
        <w:trPr>
          <w:trHeight w:val="183"/>
        </w:trPr>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0" w:type="dxa"/>
            <w:vAlign w:val="bottom"/>
            <w:gridSpan w:val="22"/>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Operations for the Three Months Ended March 31, 2021 and 2020</w:t>
              </w:r>
            </w:hyperlink>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8"/>
              </w:rPr>
            </w:pPr>
            <w:hyperlink w:anchor="page6">
              <w:r>
                <w:rPr>
                  <w:rFonts w:ascii="Arial" w:cs="Arial" w:eastAsia="Arial" w:hAnsi="Arial"/>
                  <w:sz w:val="18"/>
                  <w:szCs w:val="18"/>
                  <w:color w:val="0000EE"/>
                  <w:w w:val="98"/>
                </w:rPr>
                <w:t>(unaudited)</w:t>
              </w:r>
            </w:hyperlink>
          </w:p>
        </w:tc>
        <w:tc>
          <w:tcPr>
            <w:tcW w:w="7580" w:type="dxa"/>
            <w:vAlign w:val="bottom"/>
            <w:tcBorders>
              <w:top w:val="single" w:sz="8" w:color="0000EE"/>
            </w:tcBorders>
            <w:gridSpan w:val="14"/>
          </w:tcPr>
          <w:p>
            <w:pPr>
              <w:spacing w:after="0"/>
              <w:rPr>
                <w:sz w:val="15"/>
                <w:szCs w:val="15"/>
                <w:color w:val="auto"/>
              </w:rPr>
            </w:pPr>
          </w:p>
        </w:tc>
        <w:tc>
          <w:tcPr>
            <w:tcW w:w="500" w:type="dxa"/>
            <w:vAlign w:val="bottom"/>
            <w:gridSpan w:val="3"/>
          </w:tcPr>
          <w:p>
            <w:pPr>
              <w:spacing w:after="0"/>
              <w:rPr>
                <w:sz w:val="15"/>
                <w:szCs w:val="15"/>
                <w:color w:val="auto"/>
              </w:rPr>
            </w:pPr>
          </w:p>
        </w:tc>
        <w:tc>
          <w:tcPr>
            <w:tcW w:w="7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w:t>
            </w:r>
          </w:p>
        </w:tc>
      </w:tr>
      <w:tr>
        <w:trPr>
          <w:trHeight w:val="183"/>
        </w:trPr>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0" w:type="dxa"/>
            <w:vAlign w:val="bottom"/>
            <w:gridSpan w:val="22"/>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Changes in Redeemable Convertible Preferred Stock and Stockholders'</w:t>
              </w:r>
            </w:hyperlink>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94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Equity (Deficit) for the Three Months Ended March 31, 2021 and 2020 (unaudited)</w:t>
              </w:r>
            </w:hyperlink>
          </w:p>
        </w:tc>
        <w:tc>
          <w:tcPr>
            <w:tcW w:w="60" w:type="dxa"/>
            <w:vAlign w:val="bottom"/>
          </w:tcPr>
          <w:p>
            <w:pPr>
              <w:spacing w:after="0"/>
              <w:rPr>
                <w:sz w:val="15"/>
                <w:szCs w:val="15"/>
                <w:color w:val="auto"/>
              </w:rPr>
            </w:pPr>
          </w:p>
        </w:tc>
        <w:tc>
          <w:tcPr>
            <w:tcW w:w="7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w:t>
            </w: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0" w:type="dxa"/>
            <w:vAlign w:val="bottom"/>
            <w:gridSpan w:val="22"/>
          </w:tcPr>
          <w:p>
            <w:pPr>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for the Three Months Ended March 31, 2021 and 2020</w:t>
              </w:r>
            </w:hyperlink>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8"/>
              </w:rPr>
            </w:pPr>
            <w:hyperlink w:anchor="page8">
              <w:r>
                <w:rPr>
                  <w:rFonts w:ascii="Arial" w:cs="Arial" w:eastAsia="Arial" w:hAnsi="Arial"/>
                  <w:sz w:val="18"/>
                  <w:szCs w:val="18"/>
                  <w:color w:val="0000EE"/>
                  <w:w w:val="98"/>
                </w:rPr>
                <w:t>(unaudited)</w:t>
              </w:r>
            </w:hyperlink>
          </w:p>
        </w:tc>
        <w:tc>
          <w:tcPr>
            <w:tcW w:w="7640" w:type="dxa"/>
            <w:vAlign w:val="bottom"/>
            <w:tcBorders>
              <w:top w:val="single" w:sz="8" w:color="0000EE"/>
            </w:tcBorders>
            <w:gridSpan w:val="15"/>
          </w:tcPr>
          <w:p>
            <w:pPr>
              <w:spacing w:after="0"/>
              <w:rPr>
                <w:sz w:val="15"/>
                <w:szCs w:val="15"/>
                <w:color w:val="auto"/>
              </w:rPr>
            </w:pPr>
          </w:p>
        </w:tc>
        <w:tc>
          <w:tcPr>
            <w:tcW w:w="440" w:type="dxa"/>
            <w:vAlign w:val="bottom"/>
            <w:gridSpan w:val="2"/>
          </w:tcPr>
          <w:p>
            <w:pPr>
              <w:spacing w:after="0"/>
              <w:rPr>
                <w:sz w:val="15"/>
                <w:szCs w:val="15"/>
                <w:color w:val="auto"/>
              </w:rPr>
            </w:pPr>
          </w:p>
        </w:tc>
        <w:tc>
          <w:tcPr>
            <w:tcW w:w="7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8</w:t>
            </w:r>
          </w:p>
        </w:tc>
      </w:tr>
      <w:tr>
        <w:trPr>
          <w:trHeight w:val="183"/>
        </w:trPr>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40" w:type="dxa"/>
            <w:vAlign w:val="bottom"/>
            <w:tcBorders>
              <w:bottom w:val="single" w:sz="8" w:color="0000EE"/>
            </w:tcBorders>
            <w:gridSpan w:val="15"/>
          </w:tcPr>
          <w:p>
            <w:pPr>
              <w:spacing w:after="0" w:line="182" w:lineRule="exact"/>
              <w:rPr>
                <w:rFonts w:ascii="Arial" w:cs="Arial" w:eastAsia="Arial" w:hAnsi="Arial"/>
                <w:sz w:val="18"/>
                <w:szCs w:val="18"/>
                <w:color w:val="0000EE"/>
                <w:w w:val="99"/>
              </w:rPr>
            </w:pPr>
            <w:hyperlink w:anchor="page9">
              <w:r>
                <w:rPr>
                  <w:rFonts w:ascii="Arial" w:cs="Arial" w:eastAsia="Arial" w:hAnsi="Arial"/>
                  <w:sz w:val="18"/>
                  <w:szCs w:val="18"/>
                  <w:color w:val="0000EE"/>
                  <w:w w:val="99"/>
                </w:rPr>
                <w:t>Notes to Condensed Consolidated Financial Statements (unaudited)</w:t>
              </w:r>
            </w:hyperlink>
          </w:p>
        </w:tc>
        <w:tc>
          <w:tcPr>
            <w:tcW w:w="3560" w:type="dxa"/>
            <w:vAlign w:val="bottom"/>
            <w:gridSpan w:val="7"/>
          </w:tcPr>
          <w:p>
            <w:pPr>
              <w:spacing w:after="0"/>
              <w:rPr>
                <w:sz w:val="15"/>
                <w:szCs w:val="15"/>
                <w:color w:val="auto"/>
              </w:rPr>
            </w:pPr>
          </w:p>
        </w:tc>
        <w:tc>
          <w:tcPr>
            <w:tcW w:w="7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9</w:t>
            </w:r>
          </w:p>
        </w:tc>
      </w:tr>
      <w:tr>
        <w:trPr>
          <w:trHeight w:val="183"/>
        </w:trPr>
        <w:tc>
          <w:tcPr>
            <w:tcW w:w="40" w:type="dxa"/>
            <w:vAlign w:val="bottom"/>
          </w:tcPr>
          <w:p>
            <w:pPr>
              <w:spacing w:after="0"/>
              <w:rPr>
                <w:sz w:val="15"/>
                <w:szCs w:val="15"/>
                <w:color w:val="auto"/>
              </w:rPr>
            </w:pPr>
          </w:p>
        </w:tc>
        <w:tc>
          <w:tcPr>
            <w:tcW w:w="660" w:type="dxa"/>
            <w:vAlign w:val="bottom"/>
            <w:tcBorders>
              <w:bottom w:val="single" w:sz="8" w:color="auto"/>
            </w:tcBorders>
            <w:gridSpan w:val="2"/>
          </w:tcPr>
          <w:p>
            <w:pPr>
              <w:spacing w:after="0" w:line="182" w:lineRule="exact"/>
              <w:rPr>
                <w:sz w:val="20"/>
                <w:szCs w:val="20"/>
                <w:color w:val="auto"/>
              </w:rPr>
            </w:pPr>
            <w:r>
              <w:rPr>
                <w:rFonts w:ascii="Arial" w:cs="Arial" w:eastAsia="Arial" w:hAnsi="Arial"/>
                <w:sz w:val="18"/>
                <w:szCs w:val="18"/>
                <w:color w:val="auto"/>
              </w:rPr>
              <w:t>Item 2.</w:t>
            </w:r>
          </w:p>
        </w:tc>
        <w:tc>
          <w:tcPr>
            <w:tcW w:w="820" w:type="dxa"/>
            <w:vAlign w:val="bottom"/>
            <w:gridSpan w:val="2"/>
          </w:tcPr>
          <w:p>
            <w:pPr>
              <w:spacing w:after="0"/>
              <w:rPr>
                <w:sz w:val="15"/>
                <w:szCs w:val="15"/>
                <w:color w:val="auto"/>
              </w:rPr>
            </w:pPr>
          </w:p>
        </w:tc>
        <w:tc>
          <w:tcPr>
            <w:tcW w:w="708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w:anchor="page24">
              <w:r>
                <w:rPr>
                  <w:rFonts w:ascii="Arial" w:cs="Arial" w:eastAsia="Arial" w:hAnsi="Arial"/>
                  <w:sz w:val="18"/>
                  <w:szCs w:val="18"/>
                  <w:color w:val="0000EE"/>
                  <w:w w:val="99"/>
                </w:rPr>
                <w:t>Management's Discussion and Analysis of Financial Condition and Results of Operations</w:t>
              </w:r>
            </w:hyperlink>
          </w:p>
        </w:tc>
        <w:tc>
          <w:tcPr>
            <w:tcW w:w="1920" w:type="dxa"/>
            <w:vAlign w:val="bottom"/>
            <w:gridSpan w:val="5"/>
          </w:tcPr>
          <w:p>
            <w:pPr>
              <w:spacing w:after="0"/>
              <w:rPr>
                <w:sz w:val="15"/>
                <w:szCs w:val="15"/>
                <w:color w:val="auto"/>
              </w:rPr>
            </w:pPr>
          </w:p>
        </w:tc>
        <w:tc>
          <w:tcPr>
            <w:tcW w:w="7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24</w:t>
            </w:r>
          </w:p>
        </w:tc>
      </w:tr>
      <w:tr>
        <w:trPr>
          <w:trHeight w:val="183"/>
        </w:trPr>
        <w:tc>
          <w:tcPr>
            <w:tcW w:w="40" w:type="dxa"/>
            <w:vAlign w:val="bottom"/>
          </w:tcPr>
          <w:p>
            <w:pPr>
              <w:spacing w:after="0"/>
              <w:rPr>
                <w:sz w:val="15"/>
                <w:szCs w:val="15"/>
                <w:color w:val="auto"/>
              </w:rPr>
            </w:pPr>
          </w:p>
        </w:tc>
        <w:tc>
          <w:tcPr>
            <w:tcW w:w="660" w:type="dxa"/>
            <w:vAlign w:val="bottom"/>
            <w:tcBorders>
              <w:bottom w:val="single" w:sz="8" w:color="auto"/>
            </w:tcBorders>
            <w:gridSpan w:val="2"/>
          </w:tcPr>
          <w:p>
            <w:pPr>
              <w:spacing w:after="0" w:line="182" w:lineRule="exact"/>
              <w:rPr>
                <w:sz w:val="20"/>
                <w:szCs w:val="20"/>
                <w:color w:val="auto"/>
              </w:rPr>
            </w:pPr>
            <w:r>
              <w:rPr>
                <w:rFonts w:ascii="Arial" w:cs="Arial" w:eastAsia="Arial" w:hAnsi="Arial"/>
                <w:sz w:val="18"/>
                <w:szCs w:val="18"/>
                <w:color w:val="auto"/>
              </w:rPr>
              <w:t>Item 3.</w:t>
            </w:r>
          </w:p>
        </w:tc>
        <w:tc>
          <w:tcPr>
            <w:tcW w:w="820" w:type="dxa"/>
            <w:vAlign w:val="bottom"/>
            <w:gridSpan w:val="2"/>
          </w:tcPr>
          <w:p>
            <w:pPr>
              <w:spacing w:after="0"/>
              <w:rPr>
                <w:sz w:val="15"/>
                <w:szCs w:val="15"/>
                <w:color w:val="auto"/>
              </w:rPr>
            </w:pPr>
          </w:p>
        </w:tc>
        <w:tc>
          <w:tcPr>
            <w:tcW w:w="470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w:anchor="page43">
              <w:r>
                <w:rPr>
                  <w:rFonts w:ascii="Arial" w:cs="Arial" w:eastAsia="Arial" w:hAnsi="Arial"/>
                  <w:sz w:val="18"/>
                  <w:szCs w:val="18"/>
                  <w:color w:val="0000EE"/>
                  <w:w w:val="99"/>
                </w:rPr>
                <w:t>Quantitative and Qualitative Disclosures about Market Risk</w:t>
              </w:r>
            </w:hyperlink>
          </w:p>
        </w:tc>
        <w:tc>
          <w:tcPr>
            <w:tcW w:w="4300" w:type="dxa"/>
            <w:vAlign w:val="bottom"/>
            <w:gridSpan w:val="9"/>
          </w:tcPr>
          <w:p>
            <w:pPr>
              <w:spacing w:after="0"/>
              <w:rPr>
                <w:sz w:val="15"/>
                <w:szCs w:val="15"/>
                <w:color w:val="auto"/>
              </w:rPr>
            </w:pPr>
          </w:p>
        </w:tc>
        <w:tc>
          <w:tcPr>
            <w:tcW w:w="7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43</w:t>
            </w:r>
          </w:p>
        </w:tc>
      </w:tr>
      <w:tr>
        <w:trPr>
          <w:trHeight w:val="183"/>
        </w:trPr>
        <w:tc>
          <w:tcPr>
            <w:tcW w:w="40" w:type="dxa"/>
            <w:vAlign w:val="bottom"/>
          </w:tcPr>
          <w:p>
            <w:pPr>
              <w:spacing w:after="0"/>
              <w:rPr>
                <w:sz w:val="15"/>
                <w:szCs w:val="15"/>
                <w:color w:val="auto"/>
              </w:rPr>
            </w:pPr>
          </w:p>
        </w:tc>
        <w:tc>
          <w:tcPr>
            <w:tcW w:w="1480" w:type="dxa"/>
            <w:vAlign w:val="bottom"/>
            <w:gridSpan w:val="4"/>
          </w:tcPr>
          <w:p>
            <w:pPr>
              <w:spacing w:after="0" w:line="182" w:lineRule="exact"/>
              <w:rPr>
                <w:sz w:val="20"/>
                <w:szCs w:val="20"/>
                <w:color w:val="auto"/>
              </w:rPr>
            </w:pPr>
            <w:r>
              <w:rPr>
                <w:rFonts w:ascii="Arial" w:cs="Arial" w:eastAsia="Arial" w:hAnsi="Arial"/>
                <w:sz w:val="18"/>
                <w:szCs w:val="18"/>
                <w:color w:val="auto"/>
              </w:rPr>
              <w:t>Item 4.</w:t>
            </w:r>
          </w:p>
        </w:tc>
        <w:tc>
          <w:tcPr>
            <w:tcW w:w="9000" w:type="dxa"/>
            <w:vAlign w:val="bottom"/>
            <w:gridSpan w:val="22"/>
          </w:tcPr>
          <w:p>
            <w:pPr>
              <w:spacing w:after="0" w:line="182" w:lineRule="exact"/>
              <w:rPr>
                <w:rFonts w:ascii="Arial" w:cs="Arial" w:eastAsia="Arial" w:hAnsi="Arial"/>
                <w:sz w:val="18"/>
                <w:szCs w:val="18"/>
                <w:color w:val="0000EE"/>
              </w:rPr>
            </w:pPr>
            <w:hyperlink w:anchor="page44">
              <w:r>
                <w:rPr>
                  <w:rFonts w:ascii="Arial" w:cs="Arial" w:eastAsia="Arial" w:hAnsi="Arial"/>
                  <w:sz w:val="18"/>
                  <w:szCs w:val="18"/>
                  <w:color w:val="0000EE"/>
                </w:rPr>
                <w:t>Controls and Procedures</w:t>
              </w:r>
            </w:hyperlink>
          </w:p>
        </w:tc>
        <w:tc>
          <w:tcPr>
            <w:tcW w:w="7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44</w:t>
            </w: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4140" w:type="dxa"/>
            <w:vAlign w:val="bottom"/>
            <w:gridSpan w:val="8"/>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385"/>
        </w:trPr>
        <w:tc>
          <w:tcPr>
            <w:tcW w:w="40" w:type="dxa"/>
            <w:vAlign w:val="bottom"/>
          </w:tcPr>
          <w:p>
            <w:pPr>
              <w:spacing w:after="0"/>
              <w:rPr>
                <w:sz w:val="24"/>
                <w:szCs w:val="24"/>
                <w:color w:val="auto"/>
              </w:rPr>
            </w:pPr>
          </w:p>
        </w:tc>
        <w:tc>
          <w:tcPr>
            <w:tcW w:w="2040" w:type="dxa"/>
            <w:vAlign w:val="bottom"/>
            <w:tcBorders>
              <w:bottom w:val="single" w:sz="8" w:color="0000EE"/>
            </w:tcBorders>
            <w:gridSpan w:val="5"/>
          </w:tcPr>
          <w:p>
            <w:pPr>
              <w:spacing w:after="0"/>
              <w:rPr>
                <w:rFonts w:ascii="Arial" w:cs="Arial" w:eastAsia="Arial" w:hAnsi="Arial"/>
                <w:sz w:val="18"/>
                <w:szCs w:val="18"/>
                <w:color w:val="0000EE"/>
                <w:w w:val="98"/>
              </w:rPr>
            </w:pPr>
            <w:hyperlink w:anchor="page46">
              <w:r>
                <w:rPr>
                  <w:rFonts w:ascii="Arial" w:cs="Arial" w:eastAsia="Arial" w:hAnsi="Arial"/>
                  <w:sz w:val="18"/>
                  <w:szCs w:val="18"/>
                  <w:color w:val="0000EE"/>
                  <w:w w:val="98"/>
                </w:rPr>
                <w:t>Part II - Other Information</w:t>
              </w:r>
            </w:hyperlink>
          </w:p>
        </w:tc>
        <w:tc>
          <w:tcPr>
            <w:tcW w:w="8440" w:type="dxa"/>
            <w:vAlign w:val="bottom"/>
            <w:gridSpan w:val="21"/>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r>
      <w:tr>
        <w:trPr>
          <w:trHeight w:val="183"/>
        </w:trPr>
        <w:tc>
          <w:tcPr>
            <w:tcW w:w="40" w:type="dxa"/>
            <w:vAlign w:val="bottom"/>
          </w:tcPr>
          <w:p>
            <w:pPr>
              <w:spacing w:after="0"/>
              <w:rPr>
                <w:sz w:val="15"/>
                <w:szCs w:val="15"/>
                <w:color w:val="auto"/>
              </w:rPr>
            </w:pPr>
          </w:p>
        </w:tc>
        <w:tc>
          <w:tcPr>
            <w:tcW w:w="660" w:type="dxa"/>
            <w:vAlign w:val="bottom"/>
            <w:tcBorders>
              <w:bottom w:val="single" w:sz="8" w:color="auto"/>
            </w:tcBorders>
            <w:gridSpan w:val="2"/>
          </w:tcPr>
          <w:p>
            <w:pPr>
              <w:spacing w:after="0" w:line="182" w:lineRule="exact"/>
              <w:rPr>
                <w:sz w:val="20"/>
                <w:szCs w:val="20"/>
                <w:color w:val="auto"/>
              </w:rPr>
            </w:pPr>
            <w:r>
              <w:rPr>
                <w:rFonts w:ascii="Arial" w:cs="Arial" w:eastAsia="Arial" w:hAnsi="Arial"/>
                <w:sz w:val="18"/>
                <w:szCs w:val="18"/>
                <w:color w:val="auto"/>
              </w:rPr>
              <w:t>Item 1.</w:t>
            </w:r>
          </w:p>
        </w:tc>
        <w:tc>
          <w:tcPr>
            <w:tcW w:w="820" w:type="dxa"/>
            <w:vAlign w:val="bottom"/>
            <w:gridSpan w:val="2"/>
          </w:tcPr>
          <w:p>
            <w:pPr>
              <w:spacing w:after="0"/>
              <w:rPr>
                <w:sz w:val="15"/>
                <w:szCs w:val="15"/>
                <w:color w:val="auto"/>
              </w:rPr>
            </w:pPr>
          </w:p>
        </w:tc>
        <w:tc>
          <w:tcPr>
            <w:tcW w:w="1500" w:type="dxa"/>
            <w:vAlign w:val="bottom"/>
            <w:tcBorders>
              <w:bottom w:val="single" w:sz="8" w:color="0000EE"/>
            </w:tcBorders>
            <w:gridSpan w:val="8"/>
          </w:tcPr>
          <w:p>
            <w:pPr>
              <w:spacing w:after="0" w:line="182" w:lineRule="exact"/>
              <w:rPr>
                <w:rFonts w:ascii="Arial" w:cs="Arial" w:eastAsia="Arial" w:hAnsi="Arial"/>
                <w:sz w:val="18"/>
                <w:szCs w:val="18"/>
                <w:color w:val="0000EE"/>
                <w:w w:val="99"/>
              </w:rPr>
            </w:pPr>
            <w:hyperlink w:anchor="page46">
              <w:r>
                <w:rPr>
                  <w:rFonts w:ascii="Arial" w:cs="Arial" w:eastAsia="Arial" w:hAnsi="Arial"/>
                  <w:sz w:val="18"/>
                  <w:szCs w:val="18"/>
                  <w:color w:val="0000EE"/>
                  <w:w w:val="99"/>
                </w:rPr>
                <w:t>Legal Proceedings</w:t>
              </w:r>
            </w:hyperlink>
          </w:p>
        </w:tc>
        <w:tc>
          <w:tcPr>
            <w:tcW w:w="7500" w:type="dxa"/>
            <w:vAlign w:val="bottom"/>
            <w:gridSpan w:val="14"/>
          </w:tcPr>
          <w:p>
            <w:pPr>
              <w:spacing w:after="0"/>
              <w:rPr>
                <w:sz w:val="15"/>
                <w:szCs w:val="15"/>
                <w:color w:val="auto"/>
              </w:rPr>
            </w:pPr>
          </w:p>
        </w:tc>
        <w:tc>
          <w:tcPr>
            <w:tcW w:w="7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46</w:t>
            </w:r>
          </w:p>
        </w:tc>
      </w:tr>
      <w:tr>
        <w:trPr>
          <w:trHeight w:val="183"/>
        </w:trPr>
        <w:tc>
          <w:tcPr>
            <w:tcW w:w="40" w:type="dxa"/>
            <w:vAlign w:val="bottom"/>
          </w:tcPr>
          <w:p>
            <w:pPr>
              <w:spacing w:after="0"/>
              <w:rPr>
                <w:sz w:val="15"/>
                <w:szCs w:val="15"/>
                <w:color w:val="auto"/>
              </w:rPr>
            </w:pPr>
          </w:p>
        </w:tc>
        <w:tc>
          <w:tcPr>
            <w:tcW w:w="1480" w:type="dxa"/>
            <w:vAlign w:val="bottom"/>
            <w:gridSpan w:val="4"/>
          </w:tcPr>
          <w:p>
            <w:pPr>
              <w:spacing w:after="0" w:line="182" w:lineRule="exact"/>
              <w:rPr>
                <w:sz w:val="20"/>
                <w:szCs w:val="20"/>
                <w:color w:val="auto"/>
              </w:rPr>
            </w:pPr>
            <w:r>
              <w:rPr>
                <w:rFonts w:ascii="Arial" w:cs="Arial" w:eastAsia="Arial" w:hAnsi="Arial"/>
                <w:sz w:val="18"/>
                <w:szCs w:val="18"/>
                <w:color w:val="auto"/>
              </w:rPr>
              <w:t>Item 1A.</w:t>
            </w:r>
          </w:p>
        </w:tc>
        <w:tc>
          <w:tcPr>
            <w:tcW w:w="9000" w:type="dxa"/>
            <w:vAlign w:val="bottom"/>
            <w:gridSpan w:val="22"/>
          </w:tcPr>
          <w:p>
            <w:pPr>
              <w:spacing w:after="0" w:line="182" w:lineRule="exact"/>
              <w:rPr>
                <w:rFonts w:ascii="Arial" w:cs="Arial" w:eastAsia="Arial" w:hAnsi="Arial"/>
                <w:sz w:val="18"/>
                <w:szCs w:val="18"/>
                <w:color w:val="0000EE"/>
              </w:rPr>
            </w:pPr>
            <w:hyperlink w:anchor="page46">
              <w:r>
                <w:rPr>
                  <w:rFonts w:ascii="Arial" w:cs="Arial" w:eastAsia="Arial" w:hAnsi="Arial"/>
                  <w:sz w:val="18"/>
                  <w:szCs w:val="18"/>
                  <w:color w:val="0000EE"/>
                </w:rPr>
                <w:t>Risk Factors</w:t>
              </w:r>
            </w:hyperlink>
          </w:p>
        </w:tc>
        <w:tc>
          <w:tcPr>
            <w:tcW w:w="7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46</w:t>
            </w:r>
          </w:p>
        </w:tc>
      </w:tr>
      <w:tr>
        <w:trPr>
          <w:trHeight w:val="20"/>
        </w:trPr>
        <w:tc>
          <w:tcPr>
            <w:tcW w:w="4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4140" w:type="dxa"/>
            <w:vAlign w:val="bottom"/>
            <w:gridSpan w:val="8"/>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660" w:type="dxa"/>
            <w:vAlign w:val="bottom"/>
            <w:tcBorders>
              <w:bottom w:val="single" w:sz="8" w:color="auto"/>
            </w:tcBorders>
            <w:gridSpan w:val="2"/>
          </w:tcPr>
          <w:p>
            <w:pPr>
              <w:spacing w:after="0" w:line="182" w:lineRule="exact"/>
              <w:rPr>
                <w:sz w:val="20"/>
                <w:szCs w:val="20"/>
                <w:color w:val="auto"/>
              </w:rPr>
            </w:pPr>
            <w:r>
              <w:rPr>
                <w:rFonts w:ascii="Arial" w:cs="Arial" w:eastAsia="Arial" w:hAnsi="Arial"/>
                <w:sz w:val="18"/>
                <w:szCs w:val="18"/>
                <w:color w:val="auto"/>
              </w:rPr>
              <w:t>Item 2.</w:t>
            </w:r>
          </w:p>
        </w:tc>
        <w:tc>
          <w:tcPr>
            <w:tcW w:w="820" w:type="dxa"/>
            <w:vAlign w:val="bottom"/>
            <w:tcBorders>
              <w:bottom w:val="single" w:sz="8" w:color="auto"/>
            </w:tcBorders>
            <w:gridSpan w:val="2"/>
          </w:tcPr>
          <w:p>
            <w:pPr>
              <w:spacing w:after="0"/>
              <w:rPr>
                <w:sz w:val="15"/>
                <w:szCs w:val="15"/>
                <w:color w:val="auto"/>
              </w:rPr>
            </w:pPr>
          </w:p>
        </w:tc>
        <w:tc>
          <w:tcPr>
            <w:tcW w:w="4860" w:type="dxa"/>
            <w:vAlign w:val="bottom"/>
            <w:tcBorders>
              <w:bottom w:val="single" w:sz="8" w:color="0000EE"/>
            </w:tcBorders>
            <w:gridSpan w:val="14"/>
          </w:tcPr>
          <w:p>
            <w:pPr>
              <w:spacing w:after="0" w:line="182" w:lineRule="exact"/>
              <w:rPr>
                <w:rFonts w:ascii="Arial" w:cs="Arial" w:eastAsia="Arial" w:hAnsi="Arial"/>
                <w:sz w:val="18"/>
                <w:szCs w:val="18"/>
                <w:color w:val="0000EE"/>
                <w:w w:val="99"/>
              </w:rPr>
            </w:pPr>
            <w:hyperlink w:anchor="page47">
              <w:r>
                <w:rPr>
                  <w:rFonts w:ascii="Arial" w:cs="Arial" w:eastAsia="Arial" w:hAnsi="Arial"/>
                  <w:sz w:val="18"/>
                  <w:szCs w:val="18"/>
                  <w:color w:val="0000EE"/>
                  <w:w w:val="99"/>
                </w:rPr>
                <w:t>Unregistered Sales of Equity Securities and Use of Proceeds</w:t>
              </w:r>
            </w:hyperlink>
          </w:p>
        </w:tc>
        <w:tc>
          <w:tcPr>
            <w:tcW w:w="4140" w:type="dxa"/>
            <w:vAlign w:val="bottom"/>
            <w:gridSpan w:val="8"/>
          </w:tcPr>
          <w:p>
            <w:pPr>
              <w:spacing w:after="0"/>
              <w:rPr>
                <w:sz w:val="15"/>
                <w:szCs w:val="15"/>
                <w:color w:val="auto"/>
              </w:rPr>
            </w:pPr>
          </w:p>
        </w:tc>
        <w:tc>
          <w:tcPr>
            <w:tcW w:w="7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47</w:t>
            </w:r>
          </w:p>
        </w:tc>
      </w:tr>
      <w:tr>
        <w:trPr>
          <w:trHeight w:val="183"/>
        </w:trPr>
        <w:tc>
          <w:tcPr>
            <w:tcW w:w="40" w:type="dxa"/>
            <w:vAlign w:val="bottom"/>
          </w:tcPr>
          <w:p>
            <w:pPr>
              <w:spacing w:after="0"/>
              <w:rPr>
                <w:sz w:val="15"/>
                <w:szCs w:val="15"/>
                <w:color w:val="auto"/>
              </w:rPr>
            </w:pPr>
          </w:p>
        </w:tc>
        <w:tc>
          <w:tcPr>
            <w:tcW w:w="1480" w:type="dxa"/>
            <w:vAlign w:val="bottom"/>
            <w:tcBorders>
              <w:bottom w:val="single" w:sz="8" w:color="auto"/>
            </w:tcBorders>
            <w:gridSpan w:val="4"/>
          </w:tcPr>
          <w:p>
            <w:pPr>
              <w:spacing w:after="0" w:line="182" w:lineRule="exact"/>
              <w:rPr>
                <w:sz w:val="20"/>
                <w:szCs w:val="20"/>
                <w:color w:val="auto"/>
              </w:rPr>
            </w:pPr>
            <w:r>
              <w:rPr>
                <w:rFonts w:ascii="Arial" w:cs="Arial" w:eastAsia="Arial" w:hAnsi="Arial"/>
                <w:sz w:val="18"/>
                <w:szCs w:val="18"/>
                <w:color w:val="auto"/>
              </w:rPr>
              <w:t>Item 3.</w:t>
            </w:r>
          </w:p>
        </w:tc>
        <w:tc>
          <w:tcPr>
            <w:tcW w:w="2560" w:type="dxa"/>
            <w:vAlign w:val="bottom"/>
            <w:tcBorders>
              <w:bottom w:val="single" w:sz="8" w:color="0000EE"/>
            </w:tcBorders>
            <w:gridSpan w:val="11"/>
          </w:tcPr>
          <w:p>
            <w:pPr>
              <w:spacing w:after="0" w:line="182" w:lineRule="exact"/>
              <w:rPr>
                <w:rFonts w:ascii="Arial" w:cs="Arial" w:eastAsia="Arial" w:hAnsi="Arial"/>
                <w:sz w:val="18"/>
                <w:szCs w:val="18"/>
                <w:color w:val="0000EE"/>
                <w:w w:val="99"/>
              </w:rPr>
            </w:pPr>
            <w:hyperlink w:anchor="page47">
              <w:r>
                <w:rPr>
                  <w:rFonts w:ascii="Arial" w:cs="Arial" w:eastAsia="Arial" w:hAnsi="Arial"/>
                  <w:sz w:val="18"/>
                  <w:szCs w:val="18"/>
                  <w:color w:val="0000EE"/>
                  <w:w w:val="99"/>
                </w:rPr>
                <w:t>Defaults Upon Senior Securities</w:t>
              </w:r>
            </w:hyperlink>
          </w:p>
        </w:tc>
        <w:tc>
          <w:tcPr>
            <w:tcW w:w="6440" w:type="dxa"/>
            <w:vAlign w:val="bottom"/>
            <w:gridSpan w:val="11"/>
          </w:tcPr>
          <w:p>
            <w:pPr>
              <w:spacing w:after="0"/>
              <w:rPr>
                <w:sz w:val="15"/>
                <w:szCs w:val="15"/>
                <w:color w:val="auto"/>
              </w:rPr>
            </w:pPr>
          </w:p>
        </w:tc>
        <w:tc>
          <w:tcPr>
            <w:tcW w:w="7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47</w:t>
            </w:r>
          </w:p>
        </w:tc>
      </w:tr>
      <w:tr>
        <w:trPr>
          <w:trHeight w:val="183"/>
        </w:trPr>
        <w:tc>
          <w:tcPr>
            <w:tcW w:w="40" w:type="dxa"/>
            <w:vAlign w:val="bottom"/>
          </w:tcPr>
          <w:p>
            <w:pPr>
              <w:spacing w:after="0"/>
              <w:rPr>
                <w:sz w:val="15"/>
                <w:szCs w:val="15"/>
                <w:color w:val="auto"/>
              </w:rPr>
            </w:pPr>
          </w:p>
        </w:tc>
        <w:tc>
          <w:tcPr>
            <w:tcW w:w="1480" w:type="dxa"/>
            <w:vAlign w:val="bottom"/>
            <w:gridSpan w:val="4"/>
          </w:tcPr>
          <w:p>
            <w:pPr>
              <w:spacing w:after="0" w:line="182" w:lineRule="exact"/>
              <w:rPr>
                <w:sz w:val="20"/>
                <w:szCs w:val="20"/>
                <w:color w:val="auto"/>
              </w:rPr>
            </w:pPr>
            <w:r>
              <w:rPr>
                <w:rFonts w:ascii="Arial" w:cs="Arial" w:eastAsia="Arial" w:hAnsi="Arial"/>
                <w:sz w:val="18"/>
                <w:szCs w:val="18"/>
                <w:color w:val="auto"/>
              </w:rPr>
              <w:t>Item 4.</w:t>
            </w:r>
          </w:p>
        </w:tc>
        <w:tc>
          <w:tcPr>
            <w:tcW w:w="9000" w:type="dxa"/>
            <w:vAlign w:val="bottom"/>
            <w:gridSpan w:val="22"/>
          </w:tcPr>
          <w:p>
            <w:pPr>
              <w:spacing w:after="0" w:line="182" w:lineRule="exact"/>
              <w:rPr>
                <w:rFonts w:ascii="Arial" w:cs="Arial" w:eastAsia="Arial" w:hAnsi="Arial"/>
                <w:sz w:val="18"/>
                <w:szCs w:val="18"/>
                <w:color w:val="0000EE"/>
              </w:rPr>
            </w:pPr>
            <w:hyperlink w:anchor="page47">
              <w:r>
                <w:rPr>
                  <w:rFonts w:ascii="Arial" w:cs="Arial" w:eastAsia="Arial" w:hAnsi="Arial"/>
                  <w:sz w:val="18"/>
                  <w:szCs w:val="18"/>
                  <w:color w:val="0000EE"/>
                </w:rPr>
                <w:t>Mine Safety Disclosures</w:t>
              </w:r>
            </w:hyperlink>
          </w:p>
        </w:tc>
        <w:tc>
          <w:tcPr>
            <w:tcW w:w="7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47</w:t>
            </w:r>
          </w:p>
        </w:tc>
      </w:tr>
      <w:tr>
        <w:trPr>
          <w:trHeight w:val="183"/>
        </w:trPr>
        <w:tc>
          <w:tcPr>
            <w:tcW w:w="40" w:type="dxa"/>
            <w:vAlign w:val="bottom"/>
          </w:tcPr>
          <w:p>
            <w:pPr>
              <w:spacing w:after="0"/>
              <w:rPr>
                <w:sz w:val="15"/>
                <w:szCs w:val="15"/>
                <w:color w:val="auto"/>
              </w:rPr>
            </w:pPr>
          </w:p>
        </w:tc>
        <w:tc>
          <w:tcPr>
            <w:tcW w:w="1480" w:type="dxa"/>
            <w:vAlign w:val="bottom"/>
            <w:tcBorders>
              <w:top w:val="single" w:sz="8" w:color="auto"/>
            </w:tcBorders>
            <w:gridSpan w:val="4"/>
          </w:tcPr>
          <w:p>
            <w:pPr>
              <w:spacing w:after="0" w:line="182" w:lineRule="exact"/>
              <w:rPr>
                <w:sz w:val="20"/>
                <w:szCs w:val="20"/>
                <w:color w:val="auto"/>
              </w:rPr>
            </w:pPr>
            <w:r>
              <w:rPr>
                <w:rFonts w:ascii="Arial" w:cs="Arial" w:eastAsia="Arial" w:hAnsi="Arial"/>
                <w:sz w:val="18"/>
                <w:szCs w:val="18"/>
                <w:color w:val="auto"/>
              </w:rPr>
              <w:t>Item 5.</w:t>
            </w:r>
          </w:p>
        </w:tc>
        <w:tc>
          <w:tcPr>
            <w:tcW w:w="192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47">
              <w:r>
                <w:rPr>
                  <w:rFonts w:ascii="Arial" w:cs="Arial" w:eastAsia="Arial" w:hAnsi="Arial"/>
                  <w:sz w:val="18"/>
                  <w:szCs w:val="18"/>
                  <w:color w:val="0000EE"/>
                </w:rPr>
                <w:t>Other Information</w:t>
              </w:r>
            </w:hyperlink>
          </w:p>
        </w:tc>
        <w:tc>
          <w:tcPr>
            <w:tcW w:w="7080" w:type="dxa"/>
            <w:vAlign w:val="bottom"/>
            <w:gridSpan w:val="13"/>
          </w:tcPr>
          <w:p>
            <w:pPr>
              <w:spacing w:after="0"/>
              <w:rPr>
                <w:sz w:val="15"/>
                <w:szCs w:val="15"/>
                <w:color w:val="auto"/>
              </w:rPr>
            </w:pPr>
          </w:p>
        </w:tc>
        <w:tc>
          <w:tcPr>
            <w:tcW w:w="7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47</w:t>
            </w: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7600" w:type="dxa"/>
            <w:vAlign w:val="bottom"/>
            <w:gridSpan w:val="1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1480" w:type="dxa"/>
            <w:vAlign w:val="bottom"/>
            <w:gridSpan w:val="4"/>
          </w:tcPr>
          <w:p>
            <w:pPr>
              <w:spacing w:after="0" w:line="182" w:lineRule="exact"/>
              <w:rPr>
                <w:sz w:val="20"/>
                <w:szCs w:val="20"/>
                <w:color w:val="auto"/>
              </w:rPr>
            </w:pPr>
            <w:r>
              <w:rPr>
                <w:rFonts w:ascii="Arial" w:cs="Arial" w:eastAsia="Arial" w:hAnsi="Arial"/>
                <w:sz w:val="18"/>
                <w:szCs w:val="18"/>
                <w:color w:val="auto"/>
              </w:rPr>
              <w:t>Item 6.</w:t>
            </w:r>
          </w:p>
        </w:tc>
        <w:tc>
          <w:tcPr>
            <w:tcW w:w="9000" w:type="dxa"/>
            <w:vAlign w:val="bottom"/>
            <w:gridSpan w:val="22"/>
          </w:tcPr>
          <w:p>
            <w:pPr>
              <w:spacing w:after="0" w:line="182" w:lineRule="exact"/>
              <w:rPr>
                <w:rFonts w:ascii="Arial" w:cs="Arial" w:eastAsia="Arial" w:hAnsi="Arial"/>
                <w:sz w:val="18"/>
                <w:szCs w:val="18"/>
                <w:color w:val="0000EE"/>
              </w:rPr>
            </w:pPr>
            <w:hyperlink w:anchor="page48">
              <w:r>
                <w:rPr>
                  <w:rFonts w:ascii="Arial" w:cs="Arial" w:eastAsia="Arial" w:hAnsi="Arial"/>
                  <w:sz w:val="18"/>
                  <w:szCs w:val="18"/>
                  <w:color w:val="0000EE"/>
                </w:rPr>
                <w:t>Exhibits</w:t>
              </w:r>
            </w:hyperlink>
          </w:p>
        </w:tc>
        <w:tc>
          <w:tcPr>
            <w:tcW w:w="7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48</w:t>
            </w: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140" w:type="dxa"/>
            <w:vAlign w:val="bottom"/>
            <w:gridSpan w:val="18"/>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0" w:type="dxa"/>
            <w:vAlign w:val="bottom"/>
            <w:gridSpan w:val="22"/>
          </w:tcPr>
          <w:p>
            <w:pPr>
              <w:spacing w:after="0" w:line="182" w:lineRule="exact"/>
              <w:rPr>
                <w:rFonts w:ascii="Arial" w:cs="Arial" w:eastAsia="Arial" w:hAnsi="Arial"/>
                <w:sz w:val="18"/>
                <w:szCs w:val="18"/>
                <w:color w:val="0000EE"/>
              </w:rPr>
            </w:pPr>
            <w:hyperlink w:anchor="page49">
              <w:r>
                <w:rPr>
                  <w:rFonts w:ascii="Arial" w:cs="Arial" w:eastAsia="Arial" w:hAnsi="Arial"/>
                  <w:sz w:val="18"/>
                  <w:szCs w:val="18"/>
                  <w:color w:val="0000EE"/>
                </w:rPr>
                <w:t>Signatures</w:t>
              </w:r>
            </w:hyperlink>
          </w:p>
        </w:tc>
        <w:tc>
          <w:tcPr>
            <w:tcW w:w="7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49</w:t>
            </w:r>
          </w:p>
        </w:tc>
      </w:tr>
      <w:tr>
        <w:trPr>
          <w:trHeight w:val="682"/>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Borders>
              <w:top w:val="single" w:sz="8" w:color="0000EE"/>
            </w:tcBorders>
            <w:gridSpan w:val="4"/>
          </w:tcPr>
          <w:p>
            <w:pPr>
              <w:spacing w:after="0"/>
              <w:rPr>
                <w:sz w:val="24"/>
                <w:szCs w:val="24"/>
                <w:color w:val="auto"/>
              </w:rPr>
            </w:pPr>
          </w:p>
        </w:tc>
        <w:tc>
          <w:tcPr>
            <w:tcW w:w="3840" w:type="dxa"/>
            <w:vAlign w:val="bottom"/>
            <w:gridSpan w:val="9"/>
          </w:tcPr>
          <w:p>
            <w:pPr>
              <w:jc w:val="right"/>
              <w:ind w:right="45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08" w:right="3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4" w:lineRule="exact"/>
        <w:rPr>
          <w:sz w:val="20"/>
          <w:szCs w:val="20"/>
          <w:color w:val="auto"/>
        </w:rPr>
      </w:pPr>
    </w:p>
    <w:p>
      <w:pPr>
        <w:ind w:firstLine="761"/>
        <w:spacing w:after="0"/>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Quarterly Report on Form 10-Q, including statements regarding our future results of operations and financial condition, business strategy, and plans and objectives of management for future operations, are forward-looking statements. In some cases, forward-looking statements may be identified by words such as "anticipate," "believe," “contemplate,” "continue," "could," "design," "estimate," "expect," "intend," "may," "plan," "potentially," "predict," "project," "should," “target,” "will," “would,” or the negative of these terms or other similar terms or expressions, although not all forward-looking statements contain these identifying words.</w:t>
      </w:r>
    </w:p>
    <w:p>
      <w:pPr>
        <w:spacing w:after="0" w:line="207" w:lineRule="exact"/>
        <w:rPr>
          <w:sz w:val="20"/>
          <w:szCs w:val="20"/>
          <w:color w:val="auto"/>
        </w:rPr>
      </w:pPr>
    </w:p>
    <w:p>
      <w:pPr>
        <w:ind w:right="20" w:firstLine="761"/>
        <w:spacing w:after="0" w:line="237" w:lineRule="auto"/>
        <w:rPr>
          <w:sz w:val="20"/>
          <w:szCs w:val="20"/>
          <w:color w:val="auto"/>
        </w:rPr>
      </w:pPr>
      <w:r>
        <w:rPr>
          <w:rFonts w:ascii="Arial" w:cs="Arial" w:eastAsia="Arial" w:hAnsi="Arial"/>
          <w:sz w:val="18"/>
          <w:szCs w:val="18"/>
          <w:color w:val="auto"/>
        </w:rPr>
        <w:t>The forward-looking statements in this Quarterly Report on Form 10-Q are only predictions. Forward-looking statements are based on our management’s beliefs and assumptions and on information currently available. These forward-looking statements are subject to a number of known and unknown risks, uncertainties, assumptions, and other important factors that may cause our actual results, performance or achievements to be materially different from any future results, performance or achievements expressed or implied by the forward-looking statements, including risks described in the section titled "Risk Factors" and elsewhere in this Quarterly Report on Form 10-Q, regarding, among other things:</w:t>
      </w:r>
    </w:p>
    <w:p>
      <w:pPr>
        <w:spacing w:after="0" w:line="97" w:lineRule="exact"/>
        <w:rPr>
          <w:sz w:val="20"/>
          <w:szCs w:val="20"/>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130"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history of losses and we may not achieve or maintain profitability in the future;</w:t>
      </w:r>
    </w:p>
    <w:p>
      <w:pPr>
        <w:spacing w:after="0" w:line="130" w:lineRule="exact"/>
        <w:rPr>
          <w:rFonts w:ascii="Arial" w:cs="Arial" w:eastAsia="Arial" w:hAnsi="Arial"/>
          <w:sz w:val="18"/>
          <w:szCs w:val="18"/>
          <w:color w:val="auto"/>
        </w:rPr>
      </w:pPr>
    </w:p>
    <w:p>
      <w:pPr>
        <w:ind w:left="1120" w:right="20" w:hanging="370"/>
        <w:spacing w:after="0" w:line="246"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able to generate sufficient revenue to generate positive cash flow on a sustained basis, and our revenue growth rate may decline;</w:t>
      </w:r>
    </w:p>
    <w:p>
      <w:pPr>
        <w:spacing w:after="0" w:line="102"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limited operating history and are still building out our foundational systems;</w:t>
      </w:r>
    </w:p>
    <w:p>
      <w:pPr>
        <w:spacing w:after="0" w:line="130"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recent, rapid growth may not be indicative of our future growth;</w:t>
      </w:r>
    </w:p>
    <w:p>
      <w:pPr>
        <w:spacing w:after="0" w:line="130"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continue to grow rapidly, we may not be able to manage our growth effectively;</w:t>
      </w:r>
    </w:p>
    <w:p>
      <w:pPr>
        <w:spacing w:after="0" w:line="130"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is subject to certain risks related to the operation of Texas Direct Auto;</w:t>
      </w:r>
    </w:p>
    <w:p>
      <w:pPr>
        <w:spacing w:after="0" w:line="130"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third-party vendors for key components of our business, which exposes us to increased risks;</w:t>
      </w:r>
    </w:p>
    <w:p>
      <w:pPr>
        <w:spacing w:after="0" w:line="130" w:lineRule="exact"/>
        <w:rPr>
          <w:rFonts w:ascii="Arial" w:cs="Arial" w:eastAsia="Arial" w:hAnsi="Arial"/>
          <w:sz w:val="18"/>
          <w:szCs w:val="18"/>
          <w:color w:val="auto"/>
        </w:rPr>
      </w:pPr>
    </w:p>
    <w:p>
      <w:pPr>
        <w:ind w:left="1120" w:right="80" w:hanging="370"/>
        <w:spacing w:after="0" w:line="274" w:lineRule="auto"/>
        <w:tabs>
          <w:tab w:leader="none" w:pos="112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have entered into outsourcing arrangements with third parties related to our customer experience team, and any difficulties experienced in these arrangements could result in an interruption of our ability to sell our vehicles and value-added products;</w:t>
      </w:r>
    </w:p>
    <w:p>
      <w:pPr>
        <w:spacing w:after="0" w:line="80" w:lineRule="exact"/>
        <w:rPr>
          <w:rFonts w:ascii="Arial" w:cs="Arial" w:eastAsia="Arial" w:hAnsi="Arial"/>
          <w:sz w:val="17"/>
          <w:szCs w:val="17"/>
          <w:color w:val="auto"/>
        </w:rPr>
      </w:pPr>
    </w:p>
    <w:p>
      <w:pPr>
        <w:ind w:left="1120" w:right="120" w:hanging="370"/>
        <w:spacing w:after="0" w:line="246"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the quality of our customer experience, our reputation or our brand were negatively affected, our business, sales and results of operations could be materially and adversely affected;</w:t>
      </w:r>
    </w:p>
    <w:p>
      <w:pPr>
        <w:spacing w:after="0" w:line="102" w:lineRule="exact"/>
        <w:rPr>
          <w:rFonts w:ascii="Arial" w:cs="Arial" w:eastAsia="Arial" w:hAnsi="Arial"/>
          <w:sz w:val="18"/>
          <w:szCs w:val="18"/>
          <w:color w:val="auto"/>
        </w:rPr>
      </w:pPr>
    </w:p>
    <w:p>
      <w:pPr>
        <w:ind w:left="1120" w:right="200" w:hanging="370"/>
        <w:spacing w:after="0" w:line="274" w:lineRule="auto"/>
        <w:tabs>
          <w:tab w:leader="none" w:pos="112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face a variety of risks associated with the operation of our vehicle reconditioning centers by us and our third-party service providers, any of which could materially and adversely affect our business, financial condition and results of operations;</w:t>
      </w:r>
    </w:p>
    <w:p>
      <w:pPr>
        <w:spacing w:after="0" w:line="80" w:lineRule="exact"/>
        <w:rPr>
          <w:rFonts w:ascii="Arial" w:cs="Arial" w:eastAsia="Arial" w:hAnsi="Arial"/>
          <w:sz w:val="17"/>
          <w:szCs w:val="17"/>
          <w:color w:val="auto"/>
        </w:rPr>
      </w:pPr>
    </w:p>
    <w:p>
      <w:pPr>
        <w:ind w:left="1120" w:right="8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primarily on third-party carriers to transport our vehicle inventory throughout the United States. Thus, we are subject to business risks and costs associated with such carriers and with the transportation industry, many of which are out of our control;</w:t>
      </w:r>
    </w:p>
    <w:p>
      <w:pPr>
        <w:spacing w:after="0" w:line="108" w:lineRule="exact"/>
        <w:rPr>
          <w:rFonts w:ascii="Arial" w:cs="Arial" w:eastAsia="Arial" w:hAnsi="Arial"/>
          <w:sz w:val="18"/>
          <w:szCs w:val="18"/>
          <w:color w:val="auto"/>
        </w:rPr>
      </w:pPr>
    </w:p>
    <w:p>
      <w:pPr>
        <w:ind w:left="1120" w:right="10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expanding our proprietary logistics operations, including vehicle pick-ups and delivery from our last mile hubs and line haul transportation of vehicles between our last mile hubs, which will further expose us to increased risks related to ownership of infrastructure and the transportation of vehicles;</w:t>
      </w:r>
    </w:p>
    <w:p>
      <w:pPr>
        <w:spacing w:after="0" w:line="324" w:lineRule="exact"/>
        <w:rPr>
          <w:rFonts w:ascii="Arial" w:cs="Arial" w:eastAsia="Arial" w:hAnsi="Arial"/>
          <w:sz w:val="18"/>
          <w:szCs w:val="18"/>
          <w:color w:val="auto"/>
        </w:rPr>
      </w:pPr>
    </w:p>
    <w:p>
      <w:pPr>
        <w:ind w:left="1120" w:right="38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current geographic concentration where we provide reconditioning services and store inventory creates an exposure to local and regional downturns or severe weather or catastrophic occurrences that may materially and adversely affect our business, financial condition and results of operations;</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1" w:lineRule="exact"/>
        <w:rPr>
          <w:sz w:val="20"/>
          <w:szCs w:val="20"/>
          <w:color w:val="auto"/>
        </w:rPr>
      </w:pPr>
    </w:p>
    <w:p>
      <w:pPr>
        <w:ind w:left="1120" w:right="80" w:hanging="370"/>
        <w:spacing w:after="0" w:line="246"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sustain cyber-attacks or other privacy or data security incidents that result in security breaches, we could suffer a loss of sales and increased costs, exposure to significant liability, reputational harm and other negative consequences;</w:t>
      </w:r>
    </w:p>
    <w:p>
      <w:pPr>
        <w:spacing w:after="0" w:line="196" w:lineRule="exact"/>
        <w:rPr>
          <w:rFonts w:ascii="Arial" w:cs="Arial" w:eastAsia="Arial" w:hAnsi="Arial"/>
          <w:sz w:val="18"/>
          <w:szCs w:val="18"/>
          <w:color w:val="auto"/>
        </w:rPr>
      </w:pPr>
    </w:p>
    <w:p>
      <w:pPr>
        <w:ind w:left="1120" w:right="820" w:hanging="370"/>
        <w:spacing w:after="0" w:line="274" w:lineRule="auto"/>
        <w:tabs>
          <w:tab w:leader="none" w:pos="11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common stock price may be volatile and the value of our common stock may decline regardless of our operating performance, and you may not be able to resell your shares at or above the price which you paid for them;</w:t>
      </w:r>
    </w:p>
    <w:p>
      <w:pPr>
        <w:spacing w:after="0" w:line="161" w:lineRule="exact"/>
        <w:rPr>
          <w:rFonts w:ascii="Arial" w:cs="Arial" w:eastAsia="Arial" w:hAnsi="Arial"/>
          <w:sz w:val="17"/>
          <w:szCs w:val="17"/>
          <w:color w:val="auto"/>
        </w:rPr>
      </w:pPr>
    </w:p>
    <w:p>
      <w:pPr>
        <w:ind w:left="1120"/>
        <w:spacing w:after="0" w:line="256" w:lineRule="auto"/>
        <w:rPr>
          <w:rFonts w:ascii="Arial" w:cs="Arial" w:eastAsia="Arial" w:hAnsi="Arial"/>
          <w:sz w:val="17"/>
          <w:szCs w:val="17"/>
          <w:color w:val="auto"/>
        </w:rPr>
      </w:pPr>
      <w:r>
        <w:rPr>
          <w:rFonts w:ascii="Arial" w:cs="Arial" w:eastAsia="Arial" w:hAnsi="Arial"/>
          <w:sz w:val="18"/>
          <w:szCs w:val="18"/>
          <w:color w:val="auto"/>
        </w:rPr>
        <w:t>•we are, and may in the future be, subject to legal proceedings in the ordinary course of our business. If the outcomes of these proceedings are adverse to us, it could have a material adverse effect on our business, financial condition and results of operations; and</w:t>
      </w:r>
    </w:p>
    <w:p>
      <w:pPr>
        <w:spacing w:after="0" w:line="80" w:lineRule="exact"/>
        <w:rPr>
          <w:rFonts w:ascii="Arial" w:cs="Arial" w:eastAsia="Arial" w:hAnsi="Arial"/>
          <w:sz w:val="17"/>
          <w:szCs w:val="17"/>
          <w:color w:val="auto"/>
        </w:rPr>
      </w:pPr>
    </w:p>
    <w:p>
      <w:pPr>
        <w:ind w:left="1120" w:hanging="370"/>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actual operating results may differ significantly from our guidance.</w:t>
      </w:r>
    </w:p>
    <w:p>
      <w:pPr>
        <w:spacing w:after="0" w:line="238" w:lineRule="exact"/>
        <w:rPr>
          <w:sz w:val="20"/>
          <w:szCs w:val="20"/>
          <w:color w:val="auto"/>
        </w:rPr>
      </w:pPr>
    </w:p>
    <w:p>
      <w:pPr>
        <w:ind w:right="40" w:firstLine="761"/>
        <w:spacing w:after="0" w:line="238" w:lineRule="auto"/>
        <w:rPr>
          <w:sz w:val="20"/>
          <w:szCs w:val="20"/>
          <w:color w:val="auto"/>
        </w:rPr>
      </w:pPr>
      <w:r>
        <w:rPr>
          <w:rFonts w:ascii="Arial" w:cs="Arial" w:eastAsia="Arial" w:hAnsi="Arial"/>
          <w:sz w:val="18"/>
          <w:szCs w:val="18"/>
          <w:color w:val="auto"/>
        </w:rPr>
        <w:t>Other sections of this Quarterly Report on Form 10-Q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spacing w:after="0" w:line="202" w:lineRule="exact"/>
        <w:rPr>
          <w:sz w:val="20"/>
          <w:szCs w:val="20"/>
          <w:color w:val="auto"/>
        </w:rPr>
      </w:pPr>
    </w:p>
    <w:p>
      <w:pPr>
        <w:ind w:right="40" w:firstLine="761"/>
        <w:spacing w:after="0" w:line="236" w:lineRule="auto"/>
        <w:rPr>
          <w:sz w:val="20"/>
          <w:szCs w:val="20"/>
          <w:color w:val="auto"/>
        </w:rPr>
      </w:pPr>
      <w:r>
        <w:rPr>
          <w:rFonts w:ascii="Arial" w:cs="Arial" w:eastAsia="Arial" w:hAnsi="Arial"/>
          <w:sz w:val="18"/>
          <w:szCs w:val="18"/>
          <w:color w:val="auto"/>
        </w:rPr>
        <w:t>You should not rely upon forward-looking statements as predictions of future events. We cannot assure you that the events and circumstances reflected in the forward-looking statements will be achieved or occur. Although we believe that the expectations reflected in the forward-looking statements are reasonable, we cannot guarantee future results, levels of activity, performance or achievements. These forward-looking statements speak only as of the date of this Quarterly Report on Form 10-Q. Except as required by law, we undertake no obligation to update publicly any forward-looking statements for any reason after the date of this report or to conform these statements to actual results or to changes in our expectations. You should read this Quarterly Report on Form 10-Q and the documents that we reference or incorporate by reference in this Quarterly Report on Form 10-Q and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140" w:right="41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jc w:val="center"/>
        <w:spacing w:after="0" w:line="234" w:lineRule="auto"/>
        <w:rPr>
          <w:sz w:val="20"/>
          <w:szCs w:val="20"/>
          <w:color w:val="auto"/>
        </w:rPr>
      </w:pPr>
      <w:r>
        <w:rPr>
          <w:rFonts w:ascii="Arial" w:cs="Arial" w:eastAsia="Arial" w:hAnsi="Arial"/>
          <w:sz w:val="18"/>
          <w:szCs w:val="18"/>
          <w:b w:val="1"/>
          <w:bCs w:val="1"/>
          <w:color w:val="auto"/>
        </w:rPr>
        <w:t>VROOM, INC.</w:t>
      </w:r>
    </w:p>
    <w:p>
      <w:pPr>
        <w:jc w:val="center"/>
        <w:spacing w:after="0" w:line="235" w:lineRule="auto"/>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5" w:lineRule="auto"/>
        <w:rPr>
          <w:sz w:val="20"/>
          <w:szCs w:val="20"/>
          <w:color w:val="auto"/>
        </w:rPr>
      </w:pPr>
      <w:r>
        <w:rPr>
          <w:rFonts w:ascii="Arial" w:cs="Arial" w:eastAsia="Arial" w:hAnsi="Arial"/>
          <w:sz w:val="18"/>
          <w:szCs w:val="18"/>
          <w:b w:val="1"/>
          <w:bCs w:val="1"/>
          <w:color w:val="auto"/>
        </w:rPr>
        <w:t>(in thousands, except share and per share amounts)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jc w:val="center"/>
              <w:ind w:right="300"/>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tcPr>
          <w:p>
            <w:pPr>
              <w:jc w:val="center"/>
              <w:ind w:right="280"/>
              <w:spacing w:after="0"/>
              <w:rPr>
                <w:sz w:val="20"/>
                <w:szCs w:val="20"/>
                <w:color w:val="auto"/>
              </w:rPr>
            </w:pPr>
            <w:r>
              <w:rPr>
                <w:rFonts w:ascii="Arial" w:cs="Arial" w:eastAsia="Arial" w:hAnsi="Arial"/>
                <w:sz w:val="14"/>
                <w:szCs w:val="14"/>
                <w:b w:val="1"/>
                <w:bCs w:val="1"/>
                <w:color w:val="auto"/>
              </w:rPr>
              <w:t>As of</w:t>
            </w:r>
          </w:p>
        </w:tc>
      </w:tr>
      <w:tr>
        <w:trPr>
          <w:trHeight w:val="175"/>
        </w:trPr>
        <w:tc>
          <w:tcPr>
            <w:tcW w:w="7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32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260"/>
              <w:spacing w:after="0"/>
              <w:rPr>
                <w:sz w:val="20"/>
                <w:szCs w:val="20"/>
                <w:color w:val="auto"/>
              </w:rPr>
            </w:pPr>
            <w:r>
              <w:rPr>
                <w:rFonts w:ascii="Arial" w:cs="Arial" w:eastAsia="Arial" w:hAnsi="Arial"/>
                <w:sz w:val="14"/>
                <w:szCs w:val="14"/>
                <w:b w:val="1"/>
                <w:bCs w:val="1"/>
                <w:color w:val="auto"/>
              </w:rPr>
              <w:t>December 31,</w:t>
            </w:r>
          </w:p>
        </w:tc>
      </w:tr>
      <w:tr>
        <w:trPr>
          <w:trHeight w:val="169"/>
        </w:trPr>
        <w:tc>
          <w:tcPr>
            <w:tcW w:w="74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300"/>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center"/>
              <w:ind w:right="280"/>
              <w:spacing w:after="0"/>
              <w:rPr>
                <w:sz w:val="20"/>
                <w:szCs w:val="20"/>
                <w:color w:val="auto"/>
              </w:rPr>
            </w:pPr>
            <w:r>
              <w:rPr>
                <w:rFonts w:ascii="Arial" w:cs="Arial" w:eastAsia="Arial" w:hAnsi="Arial"/>
                <w:sz w:val="14"/>
                <w:szCs w:val="14"/>
                <w:b w:val="1"/>
                <w:bCs w:val="1"/>
                <w:color w:val="auto"/>
              </w:rPr>
              <w:t>2020</w:t>
            </w:r>
          </w:p>
        </w:tc>
      </w:tr>
      <w:tr>
        <w:trPr>
          <w:trHeight w:val="196"/>
        </w:trPr>
        <w:tc>
          <w:tcPr>
            <w:tcW w:w="74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r>
      <w:tr>
        <w:trPr>
          <w:trHeight w:val="203"/>
        </w:trPr>
        <w:tc>
          <w:tcPr>
            <w:tcW w:w="7480" w:type="dxa"/>
            <w:vAlign w:val="bottom"/>
          </w:tcPr>
          <w:p>
            <w:pPr>
              <w:spacing w:after="0"/>
              <w:rPr>
                <w:sz w:val="20"/>
                <w:szCs w:val="20"/>
                <w:color w:val="auto"/>
              </w:rPr>
            </w:pPr>
            <w:r>
              <w:rPr>
                <w:rFonts w:ascii="Arial" w:cs="Arial" w:eastAsia="Arial" w:hAnsi="Arial"/>
                <w:sz w:val="16"/>
                <w:szCs w:val="16"/>
                <w:color w:val="auto"/>
              </w:rPr>
              <w:t>Current Assets:</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74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4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940,287</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1,056,213</w:t>
            </w:r>
          </w:p>
        </w:tc>
      </w:tr>
      <w:tr>
        <w:trPr>
          <w:trHeight w:val="203"/>
        </w:trPr>
        <w:tc>
          <w:tcPr>
            <w:tcW w:w="7480" w:type="dxa"/>
            <w:vAlign w:val="bottom"/>
          </w:tcPr>
          <w:p>
            <w:pPr>
              <w:ind w:left="260"/>
              <w:spacing w:after="0"/>
              <w:rPr>
                <w:sz w:val="20"/>
                <w:szCs w:val="20"/>
                <w:color w:val="auto"/>
              </w:rPr>
            </w:pPr>
            <w:r>
              <w:rPr>
                <w:rFonts w:ascii="Arial" w:cs="Arial" w:eastAsia="Arial" w:hAnsi="Arial"/>
                <w:sz w:val="16"/>
                <w:szCs w:val="16"/>
                <w:color w:val="auto"/>
              </w:rPr>
              <w:t>Restricted cash</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26,550</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ind w:right="40"/>
              <w:spacing w:after="0"/>
              <w:rPr>
                <w:sz w:val="20"/>
                <w:szCs w:val="20"/>
                <w:color w:val="auto"/>
              </w:rPr>
            </w:pPr>
            <w:r>
              <w:rPr>
                <w:rFonts w:ascii="Arial" w:cs="Arial" w:eastAsia="Arial" w:hAnsi="Arial"/>
                <w:sz w:val="16"/>
                <w:szCs w:val="16"/>
                <w:color w:val="auto"/>
              </w:rPr>
              <w:t>33,826</w:t>
            </w:r>
          </w:p>
        </w:tc>
      </w:tr>
      <w:tr>
        <w:trPr>
          <w:trHeight w:val="203"/>
        </w:trPr>
        <w:tc>
          <w:tcPr>
            <w:tcW w:w="74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receivable, net of allowance of $4,380 and $2,803, respectively</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93,215</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60,576</w:t>
            </w:r>
          </w:p>
        </w:tc>
      </w:tr>
      <w:tr>
        <w:trPr>
          <w:trHeight w:val="203"/>
        </w:trPr>
        <w:tc>
          <w:tcPr>
            <w:tcW w:w="7480" w:type="dxa"/>
            <w:vAlign w:val="bottom"/>
          </w:tcPr>
          <w:p>
            <w:pPr>
              <w:ind w:left="260"/>
              <w:spacing w:after="0"/>
              <w:rPr>
                <w:sz w:val="20"/>
                <w:szCs w:val="20"/>
                <w:color w:val="auto"/>
              </w:rPr>
            </w:pPr>
            <w:r>
              <w:rPr>
                <w:rFonts w:ascii="Arial" w:cs="Arial" w:eastAsia="Arial" w:hAnsi="Arial"/>
                <w:sz w:val="16"/>
                <w:szCs w:val="16"/>
                <w:color w:val="auto"/>
              </w:rPr>
              <w:t>Inventory</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337,696</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ind w:right="40"/>
              <w:spacing w:after="0"/>
              <w:rPr>
                <w:sz w:val="20"/>
                <w:szCs w:val="20"/>
                <w:color w:val="auto"/>
              </w:rPr>
            </w:pPr>
            <w:r>
              <w:rPr>
                <w:rFonts w:ascii="Arial" w:cs="Arial" w:eastAsia="Arial" w:hAnsi="Arial"/>
                <w:sz w:val="16"/>
                <w:szCs w:val="16"/>
                <w:color w:val="auto"/>
              </w:rPr>
              <w:t>423,647</w:t>
            </w:r>
          </w:p>
        </w:tc>
      </w:tr>
      <w:tr>
        <w:trPr>
          <w:trHeight w:val="203"/>
        </w:trPr>
        <w:tc>
          <w:tcPr>
            <w:tcW w:w="74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120" w:type="dxa"/>
            <w:vAlign w:val="bottom"/>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24,724</w:t>
            </w:r>
          </w:p>
        </w:tc>
        <w:tc>
          <w:tcPr>
            <w:tcW w:w="16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23,617</w:t>
            </w:r>
          </w:p>
        </w:tc>
      </w:tr>
      <w:tr>
        <w:trPr>
          <w:trHeight w:val="196"/>
        </w:trPr>
        <w:tc>
          <w:tcPr>
            <w:tcW w:w="748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1,422,472</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ind w:right="40"/>
              <w:spacing w:after="0"/>
              <w:rPr>
                <w:sz w:val="20"/>
                <w:szCs w:val="20"/>
                <w:color w:val="auto"/>
              </w:rPr>
            </w:pPr>
            <w:r>
              <w:rPr>
                <w:rFonts w:ascii="Arial" w:cs="Arial" w:eastAsia="Arial" w:hAnsi="Arial"/>
                <w:sz w:val="16"/>
                <w:szCs w:val="16"/>
                <w:color w:val="auto"/>
              </w:rPr>
              <w:t>1,597,879</w:t>
            </w:r>
          </w:p>
        </w:tc>
      </w:tr>
      <w:tr>
        <w:trPr>
          <w:trHeight w:val="203"/>
        </w:trPr>
        <w:tc>
          <w:tcPr>
            <w:tcW w:w="748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 net</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16,937</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15,092</w:t>
            </w:r>
          </w:p>
        </w:tc>
      </w:tr>
      <w:tr>
        <w:trPr>
          <w:trHeight w:val="203"/>
        </w:trPr>
        <w:tc>
          <w:tcPr>
            <w:tcW w:w="7480" w:type="dxa"/>
            <w:vAlign w:val="bottom"/>
          </w:tcPr>
          <w:p>
            <w:pPr>
              <w:spacing w:after="0"/>
              <w:rPr>
                <w:sz w:val="20"/>
                <w:szCs w:val="20"/>
                <w:color w:val="auto"/>
              </w:rPr>
            </w:pPr>
            <w:r>
              <w:rPr>
                <w:rFonts w:ascii="Arial" w:cs="Arial" w:eastAsia="Arial" w:hAnsi="Arial"/>
                <w:sz w:val="16"/>
                <w:szCs w:val="16"/>
                <w:color w:val="auto"/>
              </w:rPr>
              <w:t>Intangible assets, net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32,912</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ind w:right="40"/>
              <w:spacing w:after="0"/>
              <w:rPr>
                <w:sz w:val="20"/>
                <w:szCs w:val="20"/>
                <w:color w:val="auto"/>
              </w:rPr>
            </w:pPr>
            <w:r>
              <w:rPr>
                <w:rFonts w:ascii="Arial" w:cs="Arial" w:eastAsia="Arial" w:hAnsi="Arial"/>
                <w:sz w:val="16"/>
                <w:szCs w:val="16"/>
                <w:color w:val="auto"/>
              </w:rPr>
              <w:t>34</w:t>
            </w:r>
          </w:p>
        </w:tc>
      </w:tr>
      <w:tr>
        <w:trPr>
          <w:trHeight w:val="203"/>
        </w:trPr>
        <w:tc>
          <w:tcPr>
            <w:tcW w:w="7480" w:type="dxa"/>
            <w:vAlign w:val="bottom"/>
            <w:shd w:val="clear" w:color="auto" w:fill="CFF0FC"/>
          </w:tcPr>
          <w:p>
            <w:pPr>
              <w:spacing w:after="0"/>
              <w:rPr>
                <w:sz w:val="20"/>
                <w:szCs w:val="20"/>
                <w:color w:val="auto"/>
              </w:rPr>
            </w:pPr>
            <w:r>
              <w:rPr>
                <w:rFonts w:ascii="Arial" w:cs="Arial" w:eastAsia="Arial" w:hAnsi="Arial"/>
                <w:sz w:val="16"/>
                <w:szCs w:val="16"/>
                <w:color w:val="auto"/>
              </w:rPr>
              <w:t>Goodwill</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159,306</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78,172</w:t>
            </w:r>
          </w:p>
        </w:tc>
      </w:tr>
      <w:tr>
        <w:trPr>
          <w:trHeight w:val="203"/>
        </w:trPr>
        <w:tc>
          <w:tcPr>
            <w:tcW w:w="748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18,569</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ind w:right="40"/>
              <w:spacing w:after="0"/>
              <w:rPr>
                <w:sz w:val="20"/>
                <w:szCs w:val="20"/>
                <w:color w:val="auto"/>
              </w:rPr>
            </w:pPr>
            <w:r>
              <w:rPr>
                <w:rFonts w:ascii="Arial" w:cs="Arial" w:eastAsia="Arial" w:hAnsi="Arial"/>
                <w:sz w:val="16"/>
                <w:szCs w:val="16"/>
                <w:color w:val="auto"/>
              </w:rPr>
              <w:t>17,137</w:t>
            </w:r>
          </w:p>
        </w:tc>
      </w:tr>
      <w:tr>
        <w:trPr>
          <w:trHeight w:val="203"/>
        </w:trPr>
        <w:tc>
          <w:tcPr>
            <w:tcW w:w="7480" w:type="dxa"/>
            <w:vAlign w:val="bottom"/>
            <w:shd w:val="clear" w:color="auto" w:fill="CFF0FC"/>
          </w:tcPr>
          <w:p>
            <w:pPr>
              <w:spacing w:after="0"/>
              <w:rPr>
                <w:sz w:val="20"/>
                <w:szCs w:val="20"/>
                <w:color w:val="auto"/>
              </w:rPr>
            </w:pPr>
            <w:r>
              <w:rPr>
                <w:rFonts w:ascii="Arial" w:cs="Arial" w:eastAsia="Arial" w:hAnsi="Arial"/>
                <w:sz w:val="16"/>
                <w:szCs w:val="16"/>
                <w:color w:val="auto"/>
              </w:rPr>
              <w:t>Other assets</w:t>
            </w:r>
          </w:p>
        </w:tc>
        <w:tc>
          <w:tcPr>
            <w:tcW w:w="120" w:type="dxa"/>
            <w:vAlign w:val="bottom"/>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16,511</w:t>
            </w:r>
          </w:p>
        </w:tc>
        <w:tc>
          <w:tcPr>
            <w:tcW w:w="16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15,742</w:t>
            </w:r>
          </w:p>
        </w:tc>
      </w:tr>
      <w:tr>
        <w:trPr>
          <w:trHeight w:val="236"/>
        </w:trPr>
        <w:tc>
          <w:tcPr>
            <w:tcW w:w="7480" w:type="dxa"/>
            <w:vAlign w:val="bottom"/>
          </w:tcPr>
          <w:p>
            <w:pPr>
              <w:ind w:left="500"/>
              <w:spacing w:after="0"/>
              <w:rPr>
                <w:sz w:val="20"/>
                <w:szCs w:val="20"/>
                <w:color w:val="auto"/>
              </w:rPr>
            </w:pPr>
            <w:r>
              <w:rPr>
                <w:rFonts w:ascii="Arial" w:cs="Arial" w:eastAsia="Arial" w:hAnsi="Arial"/>
                <w:sz w:val="16"/>
                <w:szCs w:val="16"/>
                <w:color w:val="auto"/>
              </w:rPr>
              <w:t>Total assets</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1,666,707</w:t>
            </w:r>
          </w:p>
        </w:tc>
        <w:tc>
          <w:tcPr>
            <w:tcW w:w="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40"/>
              <w:spacing w:after="0"/>
              <w:rPr>
                <w:sz w:val="20"/>
                <w:szCs w:val="20"/>
                <w:color w:val="auto"/>
              </w:rPr>
            </w:pPr>
            <w:r>
              <w:rPr>
                <w:rFonts w:ascii="Arial" w:cs="Arial" w:eastAsia="Arial" w:hAnsi="Arial"/>
                <w:sz w:val="16"/>
                <w:szCs w:val="16"/>
                <w:color w:val="auto"/>
              </w:rPr>
              <w:t>1,724,056</w:t>
            </w:r>
          </w:p>
        </w:tc>
      </w:tr>
      <w:tr>
        <w:trPr>
          <w:trHeight w:val="183"/>
        </w:trPr>
        <w:tc>
          <w:tcPr>
            <w:tcW w:w="7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20" w:type="dxa"/>
            <w:vAlign w:val="bottom"/>
            <w:tcBorders>
              <w:top w:val="single" w:sz="8" w:color="CFF0FC"/>
            </w:tcBorders>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146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520" w:type="dxa"/>
            <w:vAlign w:val="bottom"/>
            <w:tcBorders>
              <w:top w:val="single" w:sz="8" w:color="auto"/>
            </w:tcBorders>
            <w:shd w:val="clear" w:color="auto" w:fill="CFF0FC"/>
          </w:tcPr>
          <w:p>
            <w:pPr>
              <w:spacing w:after="0"/>
              <w:rPr>
                <w:sz w:val="15"/>
                <w:szCs w:val="15"/>
                <w:color w:val="auto"/>
              </w:rPr>
            </w:pPr>
          </w:p>
        </w:tc>
      </w:tr>
      <w:tr>
        <w:trPr>
          <w:trHeight w:val="203"/>
        </w:trPr>
        <w:tc>
          <w:tcPr>
            <w:tcW w:w="7480" w:type="dxa"/>
            <w:vAlign w:val="bottom"/>
          </w:tcPr>
          <w:p>
            <w:pPr>
              <w:spacing w:after="0"/>
              <w:rPr>
                <w:sz w:val="20"/>
                <w:szCs w:val="20"/>
                <w:color w:val="auto"/>
              </w:rPr>
            </w:pPr>
            <w:r>
              <w:rPr>
                <w:rFonts w:ascii="Arial" w:cs="Arial" w:eastAsia="Arial" w:hAnsi="Arial"/>
                <w:sz w:val="16"/>
                <w:szCs w:val="16"/>
                <w:color w:val="auto"/>
              </w:rPr>
              <w:t>Current Liabilities:</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74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payable</w:t>
            </w:r>
          </w:p>
        </w:tc>
        <w:tc>
          <w:tcPr>
            <w:tcW w:w="4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42,840</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32,925</w:t>
            </w:r>
          </w:p>
        </w:tc>
      </w:tr>
      <w:tr>
        <w:trPr>
          <w:trHeight w:val="203"/>
        </w:trPr>
        <w:tc>
          <w:tcPr>
            <w:tcW w:w="7480" w:type="dxa"/>
            <w:vAlign w:val="bottom"/>
          </w:tcPr>
          <w:p>
            <w:pPr>
              <w:ind w:left="260"/>
              <w:spacing w:after="0"/>
              <w:rPr>
                <w:sz w:val="20"/>
                <w:szCs w:val="20"/>
                <w:color w:val="auto"/>
              </w:rPr>
            </w:pPr>
            <w:r>
              <w:rPr>
                <w:rFonts w:ascii="Arial" w:cs="Arial" w:eastAsia="Arial" w:hAnsi="Arial"/>
                <w:sz w:val="16"/>
                <w:szCs w:val="16"/>
                <w:color w:val="auto"/>
              </w:rPr>
              <w:t>Accrued expenses</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71,966</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ind w:right="40"/>
              <w:spacing w:after="0"/>
              <w:rPr>
                <w:sz w:val="20"/>
                <w:szCs w:val="20"/>
                <w:color w:val="auto"/>
              </w:rPr>
            </w:pPr>
            <w:r>
              <w:rPr>
                <w:rFonts w:ascii="Arial" w:cs="Arial" w:eastAsia="Arial" w:hAnsi="Arial"/>
                <w:sz w:val="16"/>
                <w:szCs w:val="16"/>
                <w:color w:val="auto"/>
              </w:rPr>
              <w:t>59,405</w:t>
            </w:r>
          </w:p>
        </w:tc>
      </w:tr>
      <w:tr>
        <w:trPr>
          <w:trHeight w:val="203"/>
        </w:trPr>
        <w:tc>
          <w:tcPr>
            <w:tcW w:w="74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Vehicle floorplan</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253,038</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329,231</w:t>
            </w:r>
          </w:p>
        </w:tc>
      </w:tr>
      <w:tr>
        <w:trPr>
          <w:trHeight w:val="203"/>
        </w:trPr>
        <w:tc>
          <w:tcPr>
            <w:tcW w:w="7480" w:type="dxa"/>
            <w:vAlign w:val="bottom"/>
          </w:tcPr>
          <w:p>
            <w:pPr>
              <w:ind w:left="260"/>
              <w:spacing w:after="0"/>
              <w:rPr>
                <w:sz w:val="20"/>
                <w:szCs w:val="20"/>
                <w:color w:val="auto"/>
              </w:rPr>
            </w:pPr>
            <w:r>
              <w:rPr>
                <w:rFonts w:ascii="Arial" w:cs="Arial" w:eastAsia="Arial" w:hAnsi="Arial"/>
                <w:sz w:val="16"/>
                <w:szCs w:val="16"/>
                <w:color w:val="auto"/>
              </w:rPr>
              <w:t>Deferred revenue</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48,236</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ind w:right="40"/>
              <w:spacing w:after="0"/>
              <w:rPr>
                <w:sz w:val="20"/>
                <w:szCs w:val="20"/>
                <w:color w:val="auto"/>
              </w:rPr>
            </w:pPr>
            <w:r>
              <w:rPr>
                <w:rFonts w:ascii="Arial" w:cs="Arial" w:eastAsia="Arial" w:hAnsi="Arial"/>
                <w:sz w:val="16"/>
                <w:szCs w:val="16"/>
                <w:color w:val="auto"/>
              </w:rPr>
              <w:t>24,822</w:t>
            </w:r>
          </w:p>
        </w:tc>
      </w:tr>
      <w:tr>
        <w:trPr>
          <w:trHeight w:val="203"/>
        </w:trPr>
        <w:tc>
          <w:tcPr>
            <w:tcW w:w="74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 lease liabilities, current</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6,365</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6,052</w:t>
            </w:r>
          </w:p>
        </w:tc>
      </w:tr>
      <w:tr>
        <w:trPr>
          <w:trHeight w:val="203"/>
        </w:trPr>
        <w:tc>
          <w:tcPr>
            <w:tcW w:w="748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current liabilities</w:t>
            </w:r>
          </w:p>
        </w:tc>
        <w:tc>
          <w:tcPr>
            <w:tcW w:w="12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32,700</w:t>
            </w:r>
          </w:p>
        </w:tc>
        <w:tc>
          <w:tcPr>
            <w:tcW w:w="16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30,275</w:t>
            </w:r>
          </w:p>
        </w:tc>
      </w:tr>
      <w:tr>
        <w:trPr>
          <w:trHeight w:val="196"/>
        </w:trPr>
        <w:tc>
          <w:tcPr>
            <w:tcW w:w="74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current liabilities</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455,145</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482,710</w:t>
            </w:r>
          </w:p>
        </w:tc>
      </w:tr>
      <w:tr>
        <w:trPr>
          <w:trHeight w:val="203"/>
        </w:trPr>
        <w:tc>
          <w:tcPr>
            <w:tcW w:w="7480" w:type="dxa"/>
            <w:vAlign w:val="bottom"/>
          </w:tcPr>
          <w:p>
            <w:pPr>
              <w:spacing w:after="0"/>
              <w:rPr>
                <w:sz w:val="20"/>
                <w:szCs w:val="20"/>
                <w:color w:val="auto"/>
              </w:rPr>
            </w:pPr>
            <w:r>
              <w:rPr>
                <w:rFonts w:ascii="Arial" w:cs="Arial" w:eastAsia="Arial" w:hAnsi="Arial"/>
                <w:sz w:val="16"/>
                <w:szCs w:val="16"/>
                <w:color w:val="auto"/>
              </w:rPr>
              <w:t>Operating lease liabilities, excluding current portion</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13,457</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ind w:right="40"/>
              <w:spacing w:after="0"/>
              <w:rPr>
                <w:sz w:val="20"/>
                <w:szCs w:val="20"/>
                <w:color w:val="auto"/>
              </w:rPr>
            </w:pPr>
            <w:r>
              <w:rPr>
                <w:rFonts w:ascii="Arial" w:cs="Arial" w:eastAsia="Arial" w:hAnsi="Arial"/>
                <w:sz w:val="16"/>
                <w:szCs w:val="16"/>
                <w:color w:val="auto"/>
              </w:rPr>
              <w:t>12,093</w:t>
            </w:r>
          </w:p>
        </w:tc>
      </w:tr>
      <w:tr>
        <w:trPr>
          <w:trHeight w:val="203"/>
        </w:trPr>
        <w:tc>
          <w:tcPr>
            <w:tcW w:w="7480" w:type="dxa"/>
            <w:vAlign w:val="bottom"/>
            <w:shd w:val="clear" w:color="auto" w:fill="CFF0FC"/>
          </w:tcPr>
          <w:p>
            <w:pPr>
              <w:spacing w:after="0"/>
              <w:rPr>
                <w:sz w:val="20"/>
                <w:szCs w:val="20"/>
                <w:color w:val="auto"/>
              </w:rPr>
            </w:pPr>
            <w:r>
              <w:rPr>
                <w:rFonts w:ascii="Arial" w:cs="Arial" w:eastAsia="Arial" w:hAnsi="Arial"/>
                <w:sz w:val="16"/>
                <w:szCs w:val="16"/>
                <w:color w:val="auto"/>
              </w:rPr>
              <w:t>Other long-term liabilities</w:t>
            </w:r>
          </w:p>
        </w:tc>
        <w:tc>
          <w:tcPr>
            <w:tcW w:w="120" w:type="dxa"/>
            <w:vAlign w:val="bottom"/>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2,504</w:t>
            </w:r>
          </w:p>
        </w:tc>
        <w:tc>
          <w:tcPr>
            <w:tcW w:w="16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2,151</w:t>
            </w:r>
          </w:p>
        </w:tc>
      </w:tr>
      <w:tr>
        <w:trPr>
          <w:trHeight w:val="196"/>
        </w:trPr>
        <w:tc>
          <w:tcPr>
            <w:tcW w:w="748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liabilities</w:t>
            </w:r>
          </w:p>
        </w:tc>
        <w:tc>
          <w:tcPr>
            <w:tcW w:w="12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471,106</w:t>
            </w:r>
          </w:p>
        </w:tc>
        <w:tc>
          <w:tcPr>
            <w:tcW w:w="16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496,954</w:t>
            </w:r>
          </w:p>
        </w:tc>
      </w:tr>
      <w:tr>
        <w:trPr>
          <w:trHeight w:val="196"/>
        </w:trPr>
        <w:tc>
          <w:tcPr>
            <w:tcW w:w="7480" w:type="dxa"/>
            <w:vAlign w:val="bottom"/>
            <w:shd w:val="clear" w:color="auto" w:fill="CFF0FC"/>
          </w:tcPr>
          <w:p>
            <w:pPr>
              <w:spacing w:after="0"/>
              <w:rPr>
                <w:sz w:val="20"/>
                <w:szCs w:val="20"/>
                <w:color w:val="auto"/>
              </w:rPr>
            </w:pPr>
            <w:r>
              <w:rPr>
                <w:rFonts w:ascii="Arial" w:cs="Arial" w:eastAsia="Arial" w:hAnsi="Arial"/>
                <w:sz w:val="16"/>
                <w:szCs w:val="16"/>
                <w:color w:val="auto"/>
              </w:rPr>
              <w:t>Commitments and contingencies (Note 10)</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r>
      <w:tr>
        <w:trPr>
          <w:trHeight w:val="202"/>
        </w:trPr>
        <w:tc>
          <w:tcPr>
            <w:tcW w:w="7480" w:type="dxa"/>
            <w:vAlign w:val="bottom"/>
          </w:tcPr>
          <w:p>
            <w:pPr>
              <w:spacing w:after="0"/>
              <w:rPr>
                <w:sz w:val="20"/>
                <w:szCs w:val="20"/>
                <w:color w:val="auto"/>
              </w:rPr>
            </w:pPr>
            <w:r>
              <w:rPr>
                <w:rFonts w:ascii="Arial" w:cs="Arial" w:eastAsia="Arial" w:hAnsi="Arial"/>
                <w:sz w:val="16"/>
                <w:szCs w:val="16"/>
                <w:color w:val="auto"/>
              </w:rPr>
              <w:t>Stockholders’ equity:</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4"/>
        </w:trPr>
        <w:tc>
          <w:tcPr>
            <w:tcW w:w="74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Common stock, $0.001 par value; 500,000,000 shares authorized as of March 31, 2021 and</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r>
      <w:tr>
        <w:trPr>
          <w:trHeight w:val="189"/>
        </w:trPr>
        <w:tc>
          <w:tcPr>
            <w:tcW w:w="74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December 31, 2020; 136,303,301 and 134,043,969 shares issued and outstanding as of March 31,</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r>
      <w:tr>
        <w:trPr>
          <w:trHeight w:val="187"/>
        </w:trPr>
        <w:tc>
          <w:tcPr>
            <w:tcW w:w="74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2021 and December 31, 2020, respectively</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134</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132</w:t>
            </w:r>
          </w:p>
        </w:tc>
      </w:tr>
      <w:tr>
        <w:trPr>
          <w:trHeight w:val="203"/>
        </w:trPr>
        <w:tc>
          <w:tcPr>
            <w:tcW w:w="7480" w:type="dxa"/>
            <w:vAlign w:val="bottom"/>
          </w:tcPr>
          <w:p>
            <w:pPr>
              <w:ind w:left="260"/>
              <w:spacing w:after="0"/>
              <w:rPr>
                <w:sz w:val="20"/>
                <w:szCs w:val="20"/>
                <w:color w:val="auto"/>
              </w:rPr>
            </w:pPr>
            <w:r>
              <w:rPr>
                <w:rFonts w:ascii="Arial" w:cs="Arial" w:eastAsia="Arial" w:hAnsi="Arial"/>
                <w:sz w:val="16"/>
                <w:szCs w:val="16"/>
                <w:color w:val="auto"/>
              </w:rPr>
              <w:t>Additional paid-in-capital</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2,050,527</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ind w:right="40"/>
              <w:spacing w:after="0"/>
              <w:rPr>
                <w:sz w:val="20"/>
                <w:szCs w:val="20"/>
                <w:color w:val="auto"/>
              </w:rPr>
            </w:pPr>
            <w:r>
              <w:rPr>
                <w:rFonts w:ascii="Arial" w:cs="Arial" w:eastAsia="Arial" w:hAnsi="Arial"/>
                <w:sz w:val="16"/>
                <w:szCs w:val="16"/>
                <w:color w:val="auto"/>
              </w:rPr>
              <w:t>2,004,841</w:t>
            </w:r>
          </w:p>
        </w:tc>
      </w:tr>
      <w:tr>
        <w:trPr>
          <w:trHeight w:val="202"/>
        </w:trPr>
        <w:tc>
          <w:tcPr>
            <w:tcW w:w="74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deficit</w:t>
            </w:r>
          </w:p>
        </w:tc>
        <w:tc>
          <w:tcPr>
            <w:tcW w:w="120" w:type="dxa"/>
            <w:vAlign w:val="bottom"/>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(855,060)</w:t>
            </w:r>
          </w:p>
        </w:tc>
        <w:tc>
          <w:tcPr>
            <w:tcW w:w="16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(777,871)</w:t>
            </w:r>
          </w:p>
        </w:tc>
      </w:tr>
      <w:tr>
        <w:trPr>
          <w:trHeight w:val="196"/>
        </w:trPr>
        <w:tc>
          <w:tcPr>
            <w:tcW w:w="748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stockholders’ equity</w:t>
            </w:r>
          </w:p>
        </w:tc>
        <w:tc>
          <w:tcPr>
            <w:tcW w:w="12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1,195,601</w:t>
            </w:r>
          </w:p>
        </w:tc>
        <w:tc>
          <w:tcPr>
            <w:tcW w:w="16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1,227,102</w:t>
            </w:r>
          </w:p>
        </w:tc>
      </w:tr>
      <w:tr>
        <w:trPr>
          <w:trHeight w:val="196"/>
        </w:trPr>
        <w:tc>
          <w:tcPr>
            <w:tcW w:w="7480" w:type="dxa"/>
            <w:vAlign w:val="bottom"/>
            <w:shd w:val="clear" w:color="auto" w:fill="CFF0FC"/>
          </w:tcPr>
          <w:p>
            <w:pPr>
              <w:spacing w:after="0"/>
              <w:rPr>
                <w:sz w:val="20"/>
                <w:szCs w:val="20"/>
                <w:color w:val="auto"/>
              </w:rPr>
            </w:pPr>
            <w:r>
              <w:rPr>
                <w:rFonts w:ascii="Arial" w:cs="Arial" w:eastAsia="Arial" w:hAnsi="Arial"/>
                <w:sz w:val="16"/>
                <w:szCs w:val="16"/>
                <w:color w:val="auto"/>
              </w:rPr>
              <w:t>Total liabilities and stockholders’ equity</w:t>
            </w:r>
          </w:p>
        </w:tc>
        <w:tc>
          <w:tcPr>
            <w:tcW w:w="4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1,666,707</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1,724,056</w:t>
            </w:r>
          </w:p>
        </w:tc>
      </w:tr>
      <w:tr>
        <w:trPr>
          <w:trHeight w:val="20"/>
        </w:trPr>
        <w:tc>
          <w:tcPr>
            <w:tcW w:w="74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and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2" w:lineRule="exact"/>
        <w:rPr>
          <w:sz w:val="20"/>
          <w:szCs w:val="20"/>
          <w:color w:val="auto"/>
        </w:rPr>
      </w:pPr>
    </w:p>
    <w:p>
      <w:pPr>
        <w:jc w:val="center"/>
        <w:ind w:left="710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p>
      <w:pPr>
        <w:jc w:val="center"/>
        <w:ind w:left="7100"/>
        <w:spacing w:after="0"/>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69"/>
        </w:trPr>
        <w:tc>
          <w:tcPr>
            <w:tcW w:w="710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FF0FC"/>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50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4"/>
                <w:szCs w:val="14"/>
                <w:b w:val="1"/>
                <w:bCs w:val="1"/>
                <w:color w:val="auto"/>
              </w:rPr>
              <w:t>2020</w:t>
            </w:r>
          </w:p>
        </w:tc>
      </w:tr>
      <w:tr>
        <w:trPr>
          <w:trHeight w:val="196"/>
        </w:trPr>
        <w:tc>
          <w:tcPr>
            <w:tcW w:w="710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1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r>
      <w:tr>
        <w:trPr>
          <w:trHeight w:val="203"/>
        </w:trPr>
        <w:tc>
          <w:tcPr>
            <w:tcW w:w="7100" w:type="dxa"/>
            <w:vAlign w:val="bottom"/>
          </w:tcPr>
          <w:p>
            <w:pPr>
              <w:ind w:left="260"/>
              <w:spacing w:after="0"/>
              <w:rPr>
                <w:sz w:val="20"/>
                <w:szCs w:val="20"/>
                <w:color w:val="auto"/>
              </w:rPr>
            </w:pPr>
            <w:r>
              <w:rPr>
                <w:rFonts w:ascii="Arial" w:cs="Arial" w:eastAsia="Arial" w:hAnsi="Arial"/>
                <w:sz w:val="16"/>
                <w:szCs w:val="16"/>
                <w:color w:val="auto"/>
              </w:rPr>
              <w:t>Retail vehicle, net</w:t>
            </w:r>
          </w:p>
        </w:tc>
        <w:tc>
          <w:tcPr>
            <w:tcW w:w="5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454,323</w:t>
            </w:r>
          </w:p>
        </w:tc>
        <w:tc>
          <w:tcPr>
            <w:tcW w:w="180" w:type="dxa"/>
            <w:vAlign w:val="bottom"/>
          </w:tcPr>
          <w:p>
            <w:pPr>
              <w:spacing w:after="0"/>
              <w:rPr>
                <w:sz w:val="17"/>
                <w:szCs w:val="17"/>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308,710</w:t>
            </w:r>
          </w:p>
        </w:tc>
      </w:tr>
      <w:tr>
        <w:trPr>
          <w:trHeight w:val="203"/>
        </w:trPr>
        <w:tc>
          <w:tcPr>
            <w:tcW w:w="71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Wholesale vehicle</w:t>
            </w:r>
          </w:p>
        </w:tc>
        <w:tc>
          <w:tcPr>
            <w:tcW w:w="1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118,024</w:t>
            </w:r>
          </w:p>
        </w:tc>
        <w:tc>
          <w:tcPr>
            <w:tcW w:w="1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55,578</w:t>
            </w:r>
          </w:p>
        </w:tc>
      </w:tr>
      <w:tr>
        <w:trPr>
          <w:trHeight w:val="203"/>
        </w:trPr>
        <w:tc>
          <w:tcPr>
            <w:tcW w:w="7100" w:type="dxa"/>
            <w:vAlign w:val="bottom"/>
          </w:tcPr>
          <w:p>
            <w:pPr>
              <w:ind w:left="260"/>
              <w:spacing w:after="0"/>
              <w:rPr>
                <w:sz w:val="20"/>
                <w:szCs w:val="20"/>
                <w:color w:val="auto"/>
              </w:rPr>
            </w:pPr>
            <w:r>
              <w:rPr>
                <w:rFonts w:ascii="Arial" w:cs="Arial" w:eastAsia="Arial" w:hAnsi="Arial"/>
                <w:sz w:val="16"/>
                <w:szCs w:val="16"/>
                <w:color w:val="auto"/>
              </w:rPr>
              <w:t>Product, net</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15,572</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11,044</w:t>
            </w:r>
          </w:p>
        </w:tc>
      </w:tr>
      <w:tr>
        <w:trPr>
          <w:trHeight w:val="203"/>
        </w:trPr>
        <w:tc>
          <w:tcPr>
            <w:tcW w:w="71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160" w:type="dxa"/>
            <w:vAlign w:val="bottom"/>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3,199</w:t>
            </w:r>
          </w:p>
        </w:tc>
        <w:tc>
          <w:tcPr>
            <w:tcW w:w="180" w:type="dxa"/>
            <w:vAlign w:val="bottom"/>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440</w:t>
            </w:r>
          </w:p>
        </w:tc>
      </w:tr>
      <w:tr>
        <w:trPr>
          <w:trHeight w:val="196"/>
        </w:trPr>
        <w:tc>
          <w:tcPr>
            <w:tcW w:w="7100" w:type="dxa"/>
            <w:vAlign w:val="bottom"/>
          </w:tcPr>
          <w:p>
            <w:pPr>
              <w:spacing w:after="0"/>
              <w:rPr>
                <w:sz w:val="20"/>
                <w:szCs w:val="20"/>
                <w:color w:val="auto"/>
              </w:rPr>
            </w:pPr>
            <w:r>
              <w:rPr>
                <w:rFonts w:ascii="Arial" w:cs="Arial" w:eastAsia="Arial" w:hAnsi="Arial"/>
                <w:sz w:val="16"/>
                <w:szCs w:val="16"/>
                <w:color w:val="auto"/>
              </w:rPr>
              <w:t>Total revenue</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591,118</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375,772</w:t>
            </w:r>
          </w:p>
        </w:tc>
      </w:tr>
      <w:tr>
        <w:trPr>
          <w:trHeight w:val="203"/>
        </w:trPr>
        <w:tc>
          <w:tcPr>
            <w:tcW w:w="7100" w:type="dxa"/>
            <w:vAlign w:val="bottom"/>
            <w:shd w:val="clear" w:color="auto" w:fill="CFF0FC"/>
          </w:tcPr>
          <w:p>
            <w:pPr>
              <w:spacing w:after="0"/>
              <w:rPr>
                <w:sz w:val="20"/>
                <w:szCs w:val="20"/>
                <w:color w:val="auto"/>
              </w:rPr>
            </w:pPr>
            <w:r>
              <w:rPr>
                <w:rFonts w:ascii="Arial" w:cs="Arial" w:eastAsia="Arial" w:hAnsi="Arial"/>
                <w:sz w:val="16"/>
                <w:szCs w:val="16"/>
                <w:color w:val="auto"/>
              </w:rPr>
              <w:t>Cost of sales</w:t>
            </w:r>
          </w:p>
        </w:tc>
        <w:tc>
          <w:tcPr>
            <w:tcW w:w="160" w:type="dxa"/>
            <w:vAlign w:val="bottom"/>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554,942</w:t>
            </w:r>
          </w:p>
        </w:tc>
        <w:tc>
          <w:tcPr>
            <w:tcW w:w="180" w:type="dxa"/>
            <w:vAlign w:val="bottom"/>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357,385</w:t>
            </w:r>
          </w:p>
        </w:tc>
      </w:tr>
      <w:tr>
        <w:trPr>
          <w:trHeight w:val="196"/>
        </w:trPr>
        <w:tc>
          <w:tcPr>
            <w:tcW w:w="7100" w:type="dxa"/>
            <w:vAlign w:val="bottom"/>
          </w:tcPr>
          <w:p>
            <w:pPr>
              <w:spacing w:after="0"/>
              <w:rPr>
                <w:sz w:val="20"/>
                <w:szCs w:val="20"/>
                <w:color w:val="auto"/>
              </w:rPr>
            </w:pPr>
            <w:r>
              <w:rPr>
                <w:rFonts w:ascii="Arial" w:cs="Arial" w:eastAsia="Arial" w:hAnsi="Arial"/>
                <w:sz w:val="16"/>
                <w:szCs w:val="16"/>
                <w:color w:val="auto"/>
              </w:rPr>
              <w:t>Total gross profit</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36,176</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18,387</w:t>
            </w:r>
          </w:p>
        </w:tc>
      </w:tr>
      <w:tr>
        <w:trPr>
          <w:trHeight w:val="203"/>
        </w:trPr>
        <w:tc>
          <w:tcPr>
            <w:tcW w:w="7100" w:type="dxa"/>
            <w:vAlign w:val="bottom"/>
            <w:shd w:val="clear" w:color="auto" w:fill="CFF0FC"/>
          </w:tcPr>
          <w:p>
            <w:pPr>
              <w:spacing w:after="0"/>
              <w:rPr>
                <w:sz w:val="20"/>
                <w:szCs w:val="20"/>
                <w:color w:val="auto"/>
              </w:rPr>
            </w:pPr>
            <w:r>
              <w:rPr>
                <w:rFonts w:ascii="Arial" w:cs="Arial" w:eastAsia="Arial" w:hAnsi="Arial"/>
                <w:sz w:val="16"/>
                <w:szCs w:val="16"/>
                <w:color w:val="auto"/>
              </w:rPr>
              <w:t>Selling, general and administrative expenses</w:t>
            </w:r>
          </w:p>
        </w:tc>
        <w:tc>
          <w:tcPr>
            <w:tcW w:w="1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109,114</w:t>
            </w:r>
          </w:p>
        </w:tc>
        <w:tc>
          <w:tcPr>
            <w:tcW w:w="1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58,380</w:t>
            </w:r>
          </w:p>
        </w:tc>
      </w:tr>
      <w:tr>
        <w:trPr>
          <w:trHeight w:val="203"/>
        </w:trPr>
        <w:tc>
          <w:tcPr>
            <w:tcW w:w="71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CFF0FC"/>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2,594</w:t>
            </w:r>
          </w:p>
        </w:tc>
        <w:tc>
          <w:tcPr>
            <w:tcW w:w="180" w:type="dxa"/>
            <w:vAlign w:val="bottom"/>
            <w:tcBorders>
              <w:bottom w:val="single" w:sz="8" w:color="CFF0FC"/>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966</w:t>
            </w:r>
          </w:p>
        </w:tc>
      </w:tr>
      <w:tr>
        <w:trPr>
          <w:trHeight w:val="196"/>
        </w:trPr>
        <w:tc>
          <w:tcPr>
            <w:tcW w:w="7100" w:type="dxa"/>
            <w:vAlign w:val="bottom"/>
            <w:shd w:val="clear" w:color="auto" w:fill="CFF0FC"/>
          </w:tcPr>
          <w:p>
            <w:pPr>
              <w:spacing w:after="0"/>
              <w:rPr>
                <w:sz w:val="20"/>
                <w:szCs w:val="20"/>
                <w:color w:val="auto"/>
              </w:rPr>
            </w:pPr>
            <w:r>
              <w:rPr>
                <w:rFonts w:ascii="Arial" w:cs="Arial" w:eastAsia="Arial" w:hAnsi="Arial"/>
                <w:sz w:val="16"/>
                <w:szCs w:val="16"/>
                <w:color w:val="auto"/>
              </w:rPr>
              <w:t>Loss from operations</w:t>
            </w:r>
          </w:p>
        </w:tc>
        <w:tc>
          <w:tcPr>
            <w:tcW w:w="1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(75,532)</w:t>
            </w:r>
          </w:p>
        </w:tc>
        <w:tc>
          <w:tcPr>
            <w:tcW w:w="1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(40,959)</w:t>
            </w:r>
          </w:p>
        </w:tc>
      </w:tr>
      <w:tr>
        <w:trPr>
          <w:trHeight w:val="203"/>
        </w:trPr>
        <w:tc>
          <w:tcPr>
            <w:tcW w:w="7100" w:type="dxa"/>
            <w:vAlign w:val="bottom"/>
          </w:tcPr>
          <w:p>
            <w:pPr>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3,812</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2,826</w:t>
            </w:r>
          </w:p>
        </w:tc>
      </w:tr>
      <w:tr>
        <w:trPr>
          <w:trHeight w:val="203"/>
        </w:trPr>
        <w:tc>
          <w:tcPr>
            <w:tcW w:w="7100" w:type="dxa"/>
            <w:vAlign w:val="bottom"/>
            <w:shd w:val="clear" w:color="auto" w:fill="CFF0FC"/>
          </w:tcPr>
          <w:p>
            <w:pPr>
              <w:spacing w:after="0"/>
              <w:rPr>
                <w:sz w:val="20"/>
                <w:szCs w:val="20"/>
                <w:color w:val="auto"/>
              </w:rPr>
            </w:pPr>
            <w:r>
              <w:rPr>
                <w:rFonts w:ascii="Arial" w:cs="Arial" w:eastAsia="Arial" w:hAnsi="Arial"/>
                <w:sz w:val="16"/>
                <w:szCs w:val="16"/>
                <w:color w:val="auto"/>
              </w:rPr>
              <w:t>Interest income</w:t>
            </w:r>
          </w:p>
        </w:tc>
        <w:tc>
          <w:tcPr>
            <w:tcW w:w="1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(2,296)</w:t>
            </w:r>
          </w:p>
        </w:tc>
        <w:tc>
          <w:tcPr>
            <w:tcW w:w="1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(1,956)</w:t>
            </w:r>
          </w:p>
        </w:tc>
      </w:tr>
      <w:tr>
        <w:trPr>
          <w:trHeight w:val="203"/>
        </w:trPr>
        <w:tc>
          <w:tcPr>
            <w:tcW w:w="7100" w:type="dxa"/>
            <w:vAlign w:val="bottom"/>
          </w:tcPr>
          <w:p>
            <w:pPr>
              <w:spacing w:after="0"/>
              <w:rPr>
                <w:sz w:val="20"/>
                <w:szCs w:val="20"/>
                <w:color w:val="auto"/>
              </w:rPr>
            </w:pPr>
            <w:r>
              <w:rPr>
                <w:rFonts w:ascii="Arial" w:cs="Arial" w:eastAsia="Arial" w:hAnsi="Arial"/>
                <w:sz w:val="16"/>
                <w:szCs w:val="16"/>
                <w:color w:val="auto"/>
              </w:rPr>
              <w:t>Revaluation of preferred stock warrant</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(790)</w:t>
            </w:r>
          </w:p>
        </w:tc>
      </w:tr>
      <w:tr>
        <w:trPr>
          <w:trHeight w:val="203"/>
        </w:trPr>
        <w:tc>
          <w:tcPr>
            <w:tcW w:w="7100" w:type="dxa"/>
            <w:vAlign w:val="bottom"/>
            <w:shd w:val="clear" w:color="auto" w:fill="CFF0FC"/>
          </w:tcPr>
          <w:p>
            <w:pPr>
              <w:spacing w:after="0"/>
              <w:rPr>
                <w:sz w:val="20"/>
                <w:szCs w:val="20"/>
                <w:color w:val="auto"/>
              </w:rPr>
            </w:pPr>
            <w:r>
              <w:rPr>
                <w:rFonts w:ascii="Arial" w:cs="Arial" w:eastAsia="Arial" w:hAnsi="Arial"/>
                <w:sz w:val="16"/>
                <w:szCs w:val="16"/>
                <w:color w:val="auto"/>
              </w:rPr>
              <w:t>Other income, net</w:t>
            </w:r>
          </w:p>
        </w:tc>
        <w:tc>
          <w:tcPr>
            <w:tcW w:w="160" w:type="dxa"/>
            <w:vAlign w:val="bottom"/>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180" w:type="dxa"/>
            <w:vAlign w:val="bottom"/>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w:t>
            </w:r>
          </w:p>
        </w:tc>
      </w:tr>
      <w:tr>
        <w:trPr>
          <w:trHeight w:val="196"/>
        </w:trPr>
        <w:tc>
          <w:tcPr>
            <w:tcW w:w="7100" w:type="dxa"/>
            <w:vAlign w:val="bottom"/>
          </w:tcPr>
          <w:p>
            <w:pPr>
              <w:spacing w:after="0"/>
              <w:rPr>
                <w:sz w:val="20"/>
                <w:szCs w:val="20"/>
                <w:color w:val="auto"/>
              </w:rPr>
            </w:pPr>
            <w:r>
              <w:rPr>
                <w:rFonts w:ascii="Arial" w:cs="Arial" w:eastAsia="Arial" w:hAnsi="Arial"/>
                <w:sz w:val="16"/>
                <w:szCs w:val="16"/>
                <w:color w:val="auto"/>
              </w:rPr>
              <w:t>Loss before provision for income taxes</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(77,033)</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(41,006)</w:t>
            </w:r>
          </w:p>
        </w:tc>
      </w:tr>
      <w:tr>
        <w:trPr>
          <w:trHeight w:val="203"/>
        </w:trPr>
        <w:tc>
          <w:tcPr>
            <w:tcW w:w="7100" w:type="dxa"/>
            <w:vAlign w:val="bottom"/>
            <w:shd w:val="clear" w:color="auto" w:fill="CFF0FC"/>
          </w:tcPr>
          <w:p>
            <w:pPr>
              <w:spacing w:after="0"/>
              <w:rPr>
                <w:sz w:val="20"/>
                <w:szCs w:val="20"/>
                <w:color w:val="auto"/>
              </w:rPr>
            </w:pPr>
            <w:r>
              <w:rPr>
                <w:rFonts w:ascii="Arial" w:cs="Arial" w:eastAsia="Arial" w:hAnsi="Arial"/>
                <w:sz w:val="16"/>
                <w:szCs w:val="16"/>
                <w:color w:val="auto"/>
              </w:rPr>
              <w:t>Provision for income taxes</w:t>
            </w:r>
          </w:p>
        </w:tc>
        <w:tc>
          <w:tcPr>
            <w:tcW w:w="160" w:type="dxa"/>
            <w:vAlign w:val="bottom"/>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156</w:t>
            </w:r>
          </w:p>
        </w:tc>
        <w:tc>
          <w:tcPr>
            <w:tcW w:w="180" w:type="dxa"/>
            <w:vAlign w:val="bottom"/>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53</w:t>
            </w:r>
          </w:p>
        </w:tc>
      </w:tr>
      <w:tr>
        <w:trPr>
          <w:trHeight w:val="216"/>
        </w:trPr>
        <w:tc>
          <w:tcPr>
            <w:tcW w:w="7100" w:type="dxa"/>
            <w:vAlign w:val="bottom"/>
          </w:tcPr>
          <w:p>
            <w:pPr>
              <w:spacing w:after="0"/>
              <w:rPr>
                <w:sz w:val="20"/>
                <w:szCs w:val="20"/>
                <w:color w:val="auto"/>
              </w:rPr>
            </w:pPr>
            <w:r>
              <w:rPr>
                <w:rFonts w:ascii="Arial" w:cs="Arial" w:eastAsia="Arial" w:hAnsi="Arial"/>
                <w:sz w:val="16"/>
                <w:szCs w:val="16"/>
                <w:color w:val="auto"/>
              </w:rPr>
              <w:t>Net loss</w:t>
            </w:r>
          </w:p>
        </w:tc>
        <w:tc>
          <w:tcPr>
            <w:tcW w:w="5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(77,189)</w:t>
            </w:r>
          </w:p>
        </w:tc>
        <w:tc>
          <w:tcPr>
            <w:tcW w:w="18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(41,059)</w:t>
            </w:r>
          </w:p>
        </w:tc>
      </w:tr>
      <w:tr>
        <w:trPr>
          <w:trHeight w:val="20"/>
        </w:trPr>
        <w:tc>
          <w:tcPr>
            <w:tcW w:w="7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r>
      <w:tr>
        <w:trPr>
          <w:trHeight w:val="183"/>
        </w:trPr>
        <w:tc>
          <w:tcPr>
            <w:tcW w:w="7100" w:type="dxa"/>
            <w:vAlign w:val="bottom"/>
            <w:shd w:val="clear" w:color="auto" w:fill="CFF0FC"/>
          </w:tcPr>
          <w:p>
            <w:pPr>
              <w:spacing w:after="0"/>
              <w:rPr>
                <w:sz w:val="20"/>
                <w:szCs w:val="20"/>
                <w:color w:val="auto"/>
              </w:rPr>
            </w:pPr>
            <w:r>
              <w:rPr>
                <w:rFonts w:ascii="Arial" w:cs="Arial" w:eastAsia="Arial" w:hAnsi="Arial"/>
                <w:sz w:val="16"/>
                <w:szCs w:val="16"/>
                <w:color w:val="auto"/>
              </w:rPr>
              <w:t>Net loss per share attributable to common stockholders, basic and diluted</w:t>
            </w:r>
          </w:p>
        </w:tc>
        <w:tc>
          <w:tcPr>
            <w:tcW w:w="56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(0.57)</w:t>
            </w:r>
          </w:p>
        </w:tc>
        <w:tc>
          <w:tcPr>
            <w:tcW w:w="180" w:type="dxa"/>
            <w:vAlign w:val="bottom"/>
            <w:shd w:val="clear" w:color="auto" w:fill="CFF0FC"/>
          </w:tcPr>
          <w:p>
            <w:pPr>
              <w:spacing w:after="0"/>
              <w:rPr>
                <w:sz w:val="15"/>
                <w:szCs w:val="15"/>
                <w:color w:val="auto"/>
              </w:rPr>
            </w:pPr>
          </w:p>
        </w:tc>
        <w:tc>
          <w:tcPr>
            <w:tcW w:w="42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(4.85)</w:t>
            </w:r>
          </w:p>
        </w:tc>
      </w:tr>
      <w:tr>
        <w:trPr>
          <w:trHeight w:val="198"/>
        </w:trPr>
        <w:tc>
          <w:tcPr>
            <w:tcW w:w="7100" w:type="dxa"/>
            <w:vAlign w:val="bottom"/>
          </w:tcPr>
          <w:p>
            <w:pPr>
              <w:spacing w:after="0"/>
              <w:rPr>
                <w:sz w:val="20"/>
                <w:szCs w:val="20"/>
                <w:color w:val="auto"/>
              </w:rPr>
            </w:pPr>
            <w:r>
              <w:rPr>
                <w:rFonts w:ascii="Arial" w:cs="Arial" w:eastAsia="Arial" w:hAnsi="Arial"/>
                <w:sz w:val="16"/>
                <w:szCs w:val="16"/>
                <w:color w:val="auto"/>
              </w:rPr>
              <w:t>Weighted-average number of shares outstanding used to compute net loss per share attributable</w:t>
            </w:r>
          </w:p>
        </w:tc>
        <w:tc>
          <w:tcPr>
            <w:tcW w:w="16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r>
      <w:tr>
        <w:trPr>
          <w:trHeight w:val="187"/>
        </w:trPr>
        <w:tc>
          <w:tcPr>
            <w:tcW w:w="7100" w:type="dxa"/>
            <w:vAlign w:val="bottom"/>
          </w:tcPr>
          <w:p>
            <w:pPr>
              <w:spacing w:after="0"/>
              <w:rPr>
                <w:sz w:val="20"/>
                <w:szCs w:val="20"/>
                <w:color w:val="auto"/>
              </w:rPr>
            </w:pPr>
            <w:r>
              <w:rPr>
                <w:rFonts w:ascii="Arial" w:cs="Arial" w:eastAsia="Arial" w:hAnsi="Arial"/>
                <w:sz w:val="16"/>
                <w:szCs w:val="16"/>
                <w:color w:val="auto"/>
              </w:rPr>
              <w:t>to common stockholders, basic and diluted</w:t>
            </w:r>
          </w:p>
        </w:tc>
        <w:tc>
          <w:tcPr>
            <w:tcW w:w="1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135,497,511</w:t>
            </w:r>
          </w:p>
        </w:tc>
        <w:tc>
          <w:tcPr>
            <w:tcW w:w="1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8,471,456</w:t>
            </w:r>
          </w:p>
        </w:tc>
      </w:tr>
      <w:tr>
        <w:trPr>
          <w:trHeight w:val="20"/>
        </w:trPr>
        <w:tc>
          <w:tcPr>
            <w:tcW w:w="7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REDEEMABLE CONVERTIBLE</w:t>
      </w:r>
    </w:p>
    <w:p>
      <w:pPr>
        <w:jc w:val="center"/>
        <w:spacing w:after="0" w:line="234" w:lineRule="auto"/>
        <w:rPr>
          <w:sz w:val="20"/>
          <w:szCs w:val="20"/>
          <w:color w:val="auto"/>
        </w:rPr>
      </w:pPr>
      <w:r>
        <w:rPr>
          <w:rFonts w:ascii="Arial" w:cs="Arial" w:eastAsia="Arial" w:hAnsi="Arial"/>
          <w:sz w:val="18"/>
          <w:szCs w:val="18"/>
          <w:b w:val="1"/>
          <w:bCs w:val="1"/>
          <w:color w:val="auto"/>
        </w:rPr>
        <w:t>PREFERRED STOCK AND STOCKHOLDERS’ EQUITY (DEFICIT)</w:t>
      </w:r>
    </w:p>
    <w:p>
      <w:pPr>
        <w:jc w:val="center"/>
        <w:spacing w:after="0" w:line="235" w:lineRule="auto"/>
        <w:rPr>
          <w:sz w:val="20"/>
          <w:szCs w:val="20"/>
          <w:color w:val="auto"/>
        </w:rPr>
      </w:pPr>
      <w:r>
        <w:rPr>
          <w:rFonts w:ascii="Arial" w:cs="Arial" w:eastAsia="Arial" w:hAnsi="Arial"/>
          <w:sz w:val="18"/>
          <w:szCs w:val="18"/>
          <w:b w:val="1"/>
          <w:bCs w:val="1"/>
          <w:color w:val="auto"/>
        </w:rPr>
        <w:t>(in thousands, except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60" w:type="dxa"/>
            <w:vAlign w:val="bottom"/>
          </w:tcPr>
          <w:p>
            <w:pPr>
              <w:spacing w:after="0"/>
              <w:rPr>
                <w:sz w:val="13"/>
                <w:szCs w:val="13"/>
                <w:color w:val="auto"/>
              </w:rPr>
            </w:pPr>
          </w:p>
        </w:tc>
        <w:tc>
          <w:tcPr>
            <w:tcW w:w="2460" w:type="dxa"/>
            <w:vAlign w:val="bottom"/>
            <w:tcBorders>
              <w:right w:val="single" w:sz="8" w:color="auto"/>
            </w:tcBorders>
            <w:gridSpan w:val="5"/>
          </w:tcPr>
          <w:p>
            <w:pPr>
              <w:jc w:val="center"/>
              <w:ind w:right="240"/>
              <w:spacing w:after="0"/>
              <w:rPr>
                <w:sz w:val="20"/>
                <w:szCs w:val="20"/>
                <w:color w:val="auto"/>
              </w:rPr>
            </w:pPr>
            <w:r>
              <w:rPr>
                <w:rFonts w:ascii="Arial" w:cs="Arial" w:eastAsia="Arial" w:hAnsi="Arial"/>
                <w:sz w:val="13"/>
                <w:szCs w:val="13"/>
                <w:b w:val="1"/>
                <w:bCs w:val="1"/>
                <w:color w:val="auto"/>
              </w:rPr>
              <w:t>Redeemable Convertible</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213"/>
              <w:spacing w:after="0"/>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173"/>
              <w:spacing w:after="0"/>
              <w:rPr>
                <w:sz w:val="20"/>
                <w:szCs w:val="20"/>
                <w:color w:val="auto"/>
              </w:rPr>
            </w:pPr>
            <w:r>
              <w:rPr>
                <w:rFonts w:ascii="Arial" w:cs="Arial" w:eastAsia="Arial" w:hAnsi="Arial"/>
                <w:sz w:val="13"/>
                <w:szCs w:val="13"/>
                <w:b w:val="1"/>
                <w:bCs w:val="1"/>
                <w:color w:val="auto"/>
                <w:w w:val="96"/>
              </w:rPr>
              <w:t>Total</w:t>
            </w:r>
          </w:p>
        </w:tc>
      </w:tr>
      <w:tr>
        <w:trPr>
          <w:trHeight w:val="165"/>
        </w:trPr>
        <w:tc>
          <w:tcPr>
            <w:tcW w:w="2960" w:type="dxa"/>
            <w:vAlign w:val="bottom"/>
          </w:tcPr>
          <w:p>
            <w:pPr>
              <w:spacing w:after="0"/>
              <w:rPr>
                <w:sz w:val="14"/>
                <w:szCs w:val="14"/>
                <w:color w:val="auto"/>
              </w:rPr>
            </w:pPr>
          </w:p>
        </w:tc>
        <w:tc>
          <w:tcPr>
            <w:tcW w:w="2460" w:type="dxa"/>
            <w:vAlign w:val="bottom"/>
            <w:tcBorders>
              <w:right w:val="single" w:sz="8" w:color="auto"/>
            </w:tcBorders>
            <w:gridSpan w:val="5"/>
          </w:tcPr>
          <w:p>
            <w:pPr>
              <w:jc w:val="center"/>
              <w:ind w:right="260"/>
              <w:spacing w:after="0"/>
              <w:rPr>
                <w:sz w:val="20"/>
                <w:szCs w:val="20"/>
                <w:color w:val="auto"/>
              </w:rPr>
            </w:pPr>
            <w:r>
              <w:rPr>
                <w:rFonts w:ascii="Arial" w:cs="Arial" w:eastAsia="Arial" w:hAnsi="Arial"/>
                <w:sz w:val="13"/>
                <w:szCs w:val="13"/>
                <w:b w:val="1"/>
                <w:bCs w:val="1"/>
                <w:color w:val="auto"/>
              </w:rPr>
              <w:t>Preferred Stock</w:t>
            </w:r>
          </w:p>
        </w:tc>
        <w:tc>
          <w:tcPr>
            <w:tcW w:w="100" w:type="dxa"/>
            <w:vAlign w:val="bottom"/>
          </w:tcPr>
          <w:p>
            <w:pPr>
              <w:spacing w:after="0"/>
              <w:rPr>
                <w:sz w:val="14"/>
                <w:szCs w:val="14"/>
                <w:color w:val="auto"/>
              </w:rPr>
            </w:pPr>
          </w:p>
        </w:tc>
        <w:tc>
          <w:tcPr>
            <w:tcW w:w="1940" w:type="dxa"/>
            <w:vAlign w:val="bottom"/>
            <w:gridSpan w:val="3"/>
          </w:tcPr>
          <w:p>
            <w:pPr>
              <w:jc w:val="right"/>
              <w:ind w:right="313"/>
              <w:spacing w:after="0"/>
              <w:rPr>
                <w:sz w:val="20"/>
                <w:szCs w:val="20"/>
                <w:color w:val="auto"/>
              </w:rPr>
            </w:pPr>
            <w:r>
              <w:rPr>
                <w:rFonts w:ascii="Arial" w:cs="Arial" w:eastAsia="Arial" w:hAnsi="Arial"/>
                <w:sz w:val="13"/>
                <w:szCs w:val="13"/>
                <w:b w:val="1"/>
                <w:bCs w:val="1"/>
                <w:color w:val="auto"/>
              </w:rPr>
              <w:t>Common Stock</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313"/>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4"/>
                <w:szCs w:val="14"/>
                <w:color w:val="auto"/>
              </w:rPr>
            </w:pPr>
          </w:p>
        </w:tc>
        <w:tc>
          <w:tcPr>
            <w:tcW w:w="1180" w:type="dxa"/>
            <w:vAlign w:val="bottom"/>
            <w:gridSpan w:val="3"/>
          </w:tcPr>
          <w:p>
            <w:pPr>
              <w:ind w:left="40"/>
              <w:spacing w:after="0"/>
              <w:rPr>
                <w:sz w:val="20"/>
                <w:szCs w:val="20"/>
                <w:color w:val="auto"/>
              </w:rPr>
            </w:pPr>
            <w:r>
              <w:rPr>
                <w:rFonts w:ascii="Arial" w:cs="Arial" w:eastAsia="Arial" w:hAnsi="Arial"/>
                <w:sz w:val="13"/>
                <w:szCs w:val="13"/>
                <w:b w:val="1"/>
                <w:bCs w:val="1"/>
                <w:color w:val="auto"/>
              </w:rPr>
              <w:t>Accumulated</w:t>
            </w:r>
          </w:p>
        </w:tc>
        <w:tc>
          <w:tcPr>
            <w:tcW w:w="1020" w:type="dxa"/>
            <w:vAlign w:val="bottom"/>
            <w:gridSpan w:val="2"/>
          </w:tcPr>
          <w:p>
            <w:pPr>
              <w:jc w:val="center"/>
              <w:ind w:right="13"/>
              <w:spacing w:after="0"/>
              <w:rPr>
                <w:sz w:val="20"/>
                <w:szCs w:val="20"/>
                <w:color w:val="auto"/>
              </w:rPr>
            </w:pPr>
            <w:r>
              <w:rPr>
                <w:rFonts w:ascii="Arial" w:cs="Arial" w:eastAsia="Arial" w:hAnsi="Arial"/>
                <w:sz w:val="13"/>
                <w:szCs w:val="13"/>
                <w:b w:val="1"/>
                <w:bCs w:val="1"/>
                <w:color w:val="auto"/>
              </w:rPr>
              <w:t>Stockholders’</w:t>
            </w:r>
          </w:p>
        </w:tc>
      </w:tr>
      <w:tr>
        <w:trPr>
          <w:trHeight w:val="156"/>
        </w:trPr>
        <w:tc>
          <w:tcPr>
            <w:tcW w:w="2960" w:type="dxa"/>
            <w:vAlign w:val="bottom"/>
            <w:tcBorders>
              <w:bottom w:val="single" w:sz="8" w:color="CFF0FC"/>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CFF0FC"/>
              <w:right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bottom w:val="single" w:sz="8" w:color="CFF0FC"/>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30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b w:val="1"/>
                <w:bCs w:val="1"/>
                <w:color w:val="auto"/>
              </w:rPr>
              <w:t>Capital</w:t>
            </w: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b w:val="1"/>
                <w:bCs w:val="1"/>
                <w:color w:val="auto"/>
              </w:rPr>
              <w:t>Deficit</w:t>
            </w:r>
          </w:p>
        </w:tc>
        <w:tc>
          <w:tcPr>
            <w:tcW w:w="1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173"/>
              <w:spacing w:after="0"/>
              <w:rPr>
                <w:sz w:val="20"/>
                <w:szCs w:val="20"/>
                <w:color w:val="auto"/>
              </w:rPr>
            </w:pPr>
            <w:r>
              <w:rPr>
                <w:rFonts w:ascii="Arial" w:cs="Arial" w:eastAsia="Arial" w:hAnsi="Arial"/>
                <w:sz w:val="13"/>
                <w:szCs w:val="13"/>
                <w:b w:val="1"/>
                <w:bCs w:val="1"/>
                <w:color w:val="auto"/>
              </w:rPr>
              <w:t>Deficit</w:t>
            </w:r>
          </w:p>
        </w:tc>
      </w:tr>
      <w:tr>
        <w:trPr>
          <w:trHeight w:val="155"/>
        </w:trPr>
        <w:tc>
          <w:tcPr>
            <w:tcW w:w="2960" w:type="dxa"/>
            <w:vAlign w:val="bottom"/>
            <w:shd w:val="clear" w:color="auto" w:fill="CFF0FC"/>
          </w:tcPr>
          <w:p>
            <w:pPr>
              <w:spacing w:after="0"/>
              <w:rPr>
                <w:sz w:val="20"/>
                <w:szCs w:val="20"/>
                <w:color w:val="auto"/>
              </w:rPr>
            </w:pPr>
            <w:r>
              <w:rPr>
                <w:rFonts w:ascii="Arial" w:cs="Arial" w:eastAsia="Arial" w:hAnsi="Arial"/>
                <w:sz w:val="13"/>
                <w:szCs w:val="13"/>
                <w:color w:val="auto"/>
              </w:rPr>
              <w:t>Balance at December 31, 2019</w:t>
            </w:r>
          </w:p>
        </w:tc>
        <w:tc>
          <w:tcPr>
            <w:tcW w:w="112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rPr>
              <w:t>83,568,628</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rPr>
              <w:t>874,332</w:t>
            </w:r>
          </w:p>
        </w:tc>
        <w:tc>
          <w:tcPr>
            <w:tcW w:w="12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8,650,922</w:t>
            </w:r>
          </w:p>
        </w:tc>
        <w:tc>
          <w:tcPr>
            <w:tcW w:w="880" w:type="dxa"/>
            <w:vAlign w:val="bottom"/>
            <w:gridSpan w:val="2"/>
            <w:shd w:val="clear" w:color="auto" w:fill="CFF0FC"/>
          </w:tcPr>
          <w:p>
            <w:pPr>
              <w:jc w:val="right"/>
              <w:ind w:right="633"/>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8</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(573,860)</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45"/>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(573,852)</w:t>
            </w:r>
          </w:p>
        </w:tc>
      </w:tr>
      <w:tr>
        <w:trPr>
          <w:trHeight w:val="20"/>
        </w:trPr>
        <w:tc>
          <w:tcPr>
            <w:tcW w:w="296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right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2960" w:type="dxa"/>
            <w:vAlign w:val="bottom"/>
          </w:tcPr>
          <w:p>
            <w:pPr>
              <w:ind w:left="260"/>
              <w:spacing w:after="0" w:line="143" w:lineRule="exact"/>
              <w:rPr>
                <w:sz w:val="20"/>
                <w:szCs w:val="20"/>
                <w:color w:val="auto"/>
              </w:rPr>
            </w:pPr>
            <w:r>
              <w:rPr>
                <w:rFonts w:ascii="Arial" w:cs="Arial" w:eastAsia="Arial" w:hAnsi="Arial"/>
                <w:sz w:val="13"/>
                <w:szCs w:val="13"/>
                <w:color w:val="auto"/>
              </w:rPr>
              <w:t>Stock-based compensation</w:t>
            </w:r>
          </w:p>
        </w:tc>
        <w:tc>
          <w:tcPr>
            <w:tcW w:w="1240" w:type="dxa"/>
            <w:vAlign w:val="bottom"/>
            <w:gridSpan w:val="2"/>
          </w:tcPr>
          <w:p>
            <w:pPr>
              <w:jc w:val="right"/>
              <w:ind w:right="260"/>
              <w:spacing w:after="0" w:line="143" w:lineRule="exact"/>
              <w:rPr>
                <w:sz w:val="20"/>
                <w:szCs w:val="20"/>
                <w:color w:val="auto"/>
              </w:rPr>
            </w:pPr>
            <w:r>
              <w:rPr>
                <w:rFonts w:ascii="Arial" w:cs="Arial" w:eastAsia="Arial" w:hAnsi="Arial"/>
                <w:sz w:val="13"/>
                <w:szCs w:val="13"/>
                <w:color w:val="auto"/>
              </w:rPr>
              <w:t>—</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80" w:type="dxa"/>
            <w:vAlign w:val="bottom"/>
            <w:tcBorders>
              <w:right w:val="single" w:sz="8" w:color="auto"/>
            </w:tcBorders>
            <w:gridSpan w:val="2"/>
          </w:tcPr>
          <w:p>
            <w:pPr>
              <w:jc w:val="right"/>
              <w:ind w:right="260"/>
              <w:spacing w:after="0" w:line="14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60" w:type="dxa"/>
            <w:vAlign w:val="bottom"/>
          </w:tcPr>
          <w:p>
            <w:pPr>
              <w:jc w:val="right"/>
              <w:ind w:right="53"/>
              <w:spacing w:after="0" w:line="143"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633"/>
              <w:spacing w:after="0" w:line="143" w:lineRule="exact"/>
              <w:rPr>
                <w:sz w:val="20"/>
                <w:szCs w:val="20"/>
                <w:color w:val="auto"/>
              </w:rPr>
            </w:pPr>
            <w:r>
              <w:rPr>
                <w:rFonts w:ascii="Arial" w:cs="Arial" w:eastAsia="Arial" w:hAnsi="Arial"/>
                <w:sz w:val="13"/>
                <w:szCs w:val="13"/>
                <w:color w:val="auto"/>
              </w:rPr>
              <w:t>$</w:t>
            </w:r>
          </w:p>
        </w:tc>
        <w:tc>
          <w:tcPr>
            <w:tcW w:w="400" w:type="dxa"/>
            <w:vAlign w:val="bottom"/>
            <w:gridSpan w:val="2"/>
          </w:tcPr>
          <w:p>
            <w:pPr>
              <w:jc w:val="right"/>
              <w:ind w:right="220"/>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jc w:val="right"/>
              <w:spacing w:after="0" w:line="143" w:lineRule="exact"/>
              <w:rPr>
                <w:sz w:val="20"/>
                <w:szCs w:val="20"/>
                <w:color w:val="auto"/>
              </w:rPr>
            </w:pPr>
            <w:r>
              <w:rPr>
                <w:rFonts w:ascii="Arial" w:cs="Arial" w:eastAsia="Arial" w:hAnsi="Arial"/>
                <w:sz w:val="13"/>
                <w:szCs w:val="13"/>
                <w:color w:val="auto"/>
                <w:w w:val="82"/>
              </w:rPr>
              <w:t>$</w:t>
            </w:r>
          </w:p>
        </w:tc>
        <w:tc>
          <w:tcPr>
            <w:tcW w:w="960" w:type="dxa"/>
            <w:vAlign w:val="bottom"/>
          </w:tcPr>
          <w:p>
            <w:pPr>
              <w:jc w:val="right"/>
              <w:ind w:right="53"/>
              <w:spacing w:after="0" w:line="143" w:lineRule="exact"/>
              <w:rPr>
                <w:sz w:val="20"/>
                <w:szCs w:val="20"/>
                <w:color w:val="auto"/>
              </w:rPr>
            </w:pPr>
            <w:r>
              <w:rPr>
                <w:rFonts w:ascii="Arial" w:cs="Arial" w:eastAsia="Arial" w:hAnsi="Arial"/>
                <w:sz w:val="13"/>
                <w:szCs w:val="13"/>
                <w:color w:val="auto"/>
              </w:rPr>
              <w:t>600</w:t>
            </w:r>
          </w:p>
        </w:tc>
        <w:tc>
          <w:tcPr>
            <w:tcW w:w="280" w:type="dxa"/>
            <w:vAlign w:val="bottom"/>
            <w:gridSpan w:val="2"/>
          </w:tcPr>
          <w:p>
            <w:pPr>
              <w:jc w:val="right"/>
              <w:ind w:right="33"/>
              <w:spacing w:after="0" w:line="143"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40"/>
              <w:spacing w:after="0" w:line="143" w:lineRule="exact"/>
              <w:rPr>
                <w:sz w:val="20"/>
                <w:szCs w:val="20"/>
                <w:color w:val="auto"/>
              </w:rPr>
            </w:pPr>
            <w:r>
              <w:rPr>
                <w:rFonts w:ascii="Arial" w:cs="Arial" w:eastAsia="Arial" w:hAnsi="Arial"/>
                <w:sz w:val="13"/>
                <w:szCs w:val="13"/>
                <w:color w:val="auto"/>
              </w:rPr>
              <w:t>—</w:t>
            </w:r>
          </w:p>
        </w:tc>
        <w:tc>
          <w:tcPr>
            <w:tcW w:w="160" w:type="dxa"/>
            <w:vAlign w:val="bottom"/>
          </w:tcPr>
          <w:p>
            <w:pPr>
              <w:jc w:val="right"/>
              <w:ind w:right="45"/>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13"/>
              <w:spacing w:after="0" w:line="143" w:lineRule="exact"/>
              <w:rPr>
                <w:sz w:val="20"/>
                <w:szCs w:val="20"/>
                <w:color w:val="auto"/>
              </w:rPr>
            </w:pPr>
            <w:r>
              <w:rPr>
                <w:rFonts w:ascii="Arial" w:cs="Arial" w:eastAsia="Arial" w:hAnsi="Arial"/>
                <w:sz w:val="13"/>
                <w:szCs w:val="13"/>
                <w:color w:val="auto"/>
              </w:rPr>
              <w:t>600</w:t>
            </w:r>
          </w:p>
        </w:tc>
      </w:tr>
      <w:tr>
        <w:trPr>
          <w:trHeight w:val="162"/>
        </w:trPr>
        <w:tc>
          <w:tcPr>
            <w:tcW w:w="29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Exercise of stock options</w:t>
            </w: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08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2,774</w:t>
            </w: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6</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6</w:t>
            </w:r>
          </w:p>
        </w:tc>
      </w:tr>
      <w:tr>
        <w:trPr>
          <w:trHeight w:val="162"/>
        </w:trPr>
        <w:tc>
          <w:tcPr>
            <w:tcW w:w="2960" w:type="dxa"/>
            <w:vAlign w:val="bottom"/>
          </w:tcPr>
          <w:p>
            <w:pPr>
              <w:ind w:left="260"/>
              <w:spacing w:after="0"/>
              <w:rPr>
                <w:sz w:val="20"/>
                <w:szCs w:val="20"/>
                <w:color w:val="auto"/>
              </w:rPr>
            </w:pPr>
            <w:r>
              <w:rPr>
                <w:rFonts w:ascii="Arial" w:cs="Arial" w:eastAsia="Arial" w:hAnsi="Arial"/>
                <w:sz w:val="13"/>
                <w:szCs w:val="13"/>
                <w:color w:val="auto"/>
              </w:rPr>
              <w:t>Repurchase of common stock</w:t>
            </w:r>
          </w:p>
        </w:tc>
        <w:tc>
          <w:tcPr>
            <w:tcW w:w="12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(200,000)</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60" w:type="dxa"/>
            <w:vAlign w:val="bottom"/>
          </w:tcPr>
          <w:p>
            <w:pPr>
              <w:jc w:val="right"/>
              <w:ind w:right="13"/>
              <w:spacing w:after="0"/>
              <w:rPr>
                <w:sz w:val="20"/>
                <w:szCs w:val="20"/>
                <w:color w:val="auto"/>
              </w:rPr>
            </w:pPr>
            <w:r>
              <w:rPr>
                <w:rFonts w:ascii="Arial" w:cs="Arial" w:eastAsia="Arial" w:hAnsi="Arial"/>
                <w:sz w:val="13"/>
                <w:szCs w:val="13"/>
                <w:color w:val="auto"/>
              </w:rPr>
              <w:t>(606)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(1,212)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(1,818)</w:t>
            </w:r>
          </w:p>
        </w:tc>
      </w:tr>
      <w:tr>
        <w:trPr>
          <w:trHeight w:val="161"/>
        </w:trPr>
        <w:tc>
          <w:tcPr>
            <w:tcW w:w="29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Issuance of Series H redeemable</w:t>
            </w:r>
          </w:p>
        </w:tc>
        <w:tc>
          <w:tcPr>
            <w:tcW w:w="1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2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r>
      <w:tr>
        <w:trPr>
          <w:trHeight w:val="148"/>
        </w:trPr>
        <w:tc>
          <w:tcPr>
            <w:tcW w:w="29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convertible preferred stock, net of issuance</w:t>
            </w: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r>
      <w:tr>
        <w:trPr>
          <w:trHeight w:val="149"/>
        </w:trPr>
        <w:tc>
          <w:tcPr>
            <w:tcW w:w="29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costs</w:t>
            </w:r>
          </w:p>
        </w:tc>
        <w:tc>
          <w:tcPr>
            <w:tcW w:w="112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rPr>
              <w:t>1,964,766</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rPr>
              <w:t>26,714</w:t>
            </w:r>
          </w:p>
        </w:tc>
        <w:tc>
          <w:tcPr>
            <w:tcW w:w="12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w:t>
            </w:r>
          </w:p>
        </w:tc>
      </w:tr>
      <w:tr>
        <w:trPr>
          <w:trHeight w:val="162"/>
        </w:trPr>
        <w:tc>
          <w:tcPr>
            <w:tcW w:w="296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Net loss</w:t>
            </w:r>
          </w:p>
        </w:tc>
        <w:tc>
          <w:tcPr>
            <w:tcW w:w="11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right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(41,059)</w:t>
            </w: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(41,059)</w:t>
            </w:r>
          </w:p>
        </w:tc>
      </w:tr>
      <w:tr>
        <w:trPr>
          <w:trHeight w:val="156"/>
        </w:trPr>
        <w:tc>
          <w:tcPr>
            <w:tcW w:w="2960" w:type="dxa"/>
            <w:vAlign w:val="bottom"/>
            <w:shd w:val="clear" w:color="auto" w:fill="CFF0FC"/>
          </w:tcPr>
          <w:p>
            <w:pPr>
              <w:spacing w:after="0"/>
              <w:rPr>
                <w:sz w:val="20"/>
                <w:szCs w:val="20"/>
                <w:color w:val="auto"/>
              </w:rPr>
            </w:pPr>
            <w:r>
              <w:rPr>
                <w:rFonts w:ascii="Arial" w:cs="Arial" w:eastAsia="Arial" w:hAnsi="Arial"/>
                <w:sz w:val="13"/>
                <w:szCs w:val="13"/>
                <w:color w:val="auto"/>
              </w:rPr>
              <w:t>Balance at March 31, 2020</w:t>
            </w:r>
          </w:p>
        </w:tc>
        <w:tc>
          <w:tcPr>
            <w:tcW w:w="112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rPr>
              <w:t>85,533,394</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rPr>
              <w:t>901,046</w:t>
            </w:r>
          </w:p>
        </w:tc>
        <w:tc>
          <w:tcPr>
            <w:tcW w:w="12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8,453,696</w:t>
            </w:r>
          </w:p>
        </w:tc>
        <w:tc>
          <w:tcPr>
            <w:tcW w:w="880" w:type="dxa"/>
            <w:vAlign w:val="bottom"/>
            <w:gridSpan w:val="2"/>
            <w:shd w:val="clear" w:color="auto" w:fill="CFF0FC"/>
          </w:tcPr>
          <w:p>
            <w:pPr>
              <w:jc w:val="right"/>
              <w:ind w:right="633"/>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8</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(616,131)</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45"/>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(616,123)</w:t>
            </w:r>
          </w:p>
        </w:tc>
      </w:tr>
      <w:tr>
        <w:trPr>
          <w:trHeight w:val="20"/>
        </w:trPr>
        <w:tc>
          <w:tcPr>
            <w:tcW w:w="296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right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60" w:type="dxa"/>
            <w:vAlign w:val="bottom"/>
          </w:tcPr>
          <w:p>
            <w:pPr>
              <w:spacing w:after="0"/>
              <w:rPr>
                <w:sz w:val="13"/>
                <w:szCs w:val="13"/>
                <w:color w:val="auto"/>
              </w:rPr>
            </w:pPr>
          </w:p>
        </w:tc>
        <w:tc>
          <w:tcPr>
            <w:tcW w:w="2020" w:type="dxa"/>
            <w:vAlign w:val="bottom"/>
            <w:gridSpan w:val="4"/>
          </w:tcPr>
          <w:p>
            <w:pPr>
              <w:jc w:val="right"/>
              <w:ind w:right="65"/>
              <w:spacing w:after="0"/>
              <w:rPr>
                <w:sz w:val="20"/>
                <w:szCs w:val="20"/>
                <w:color w:val="auto"/>
              </w:rPr>
            </w:pPr>
            <w:r>
              <w:rPr>
                <w:rFonts w:ascii="Arial" w:cs="Arial" w:eastAsia="Arial" w:hAnsi="Arial"/>
                <w:sz w:val="13"/>
                <w:szCs w:val="13"/>
                <w:b w:val="1"/>
                <w:bCs w:val="1"/>
                <w:color w:val="auto"/>
              </w:rPr>
              <w:t>Redeemable Convertible</w:t>
            </w:r>
          </w:p>
        </w:tc>
        <w:tc>
          <w:tcPr>
            <w:tcW w:w="3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213"/>
              <w:spacing w:after="0"/>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173"/>
              <w:spacing w:after="0"/>
              <w:rPr>
                <w:sz w:val="20"/>
                <w:szCs w:val="20"/>
                <w:color w:val="auto"/>
              </w:rPr>
            </w:pPr>
            <w:r>
              <w:rPr>
                <w:rFonts w:ascii="Arial" w:cs="Arial" w:eastAsia="Arial" w:hAnsi="Arial"/>
                <w:sz w:val="13"/>
                <w:szCs w:val="13"/>
                <w:b w:val="1"/>
                <w:bCs w:val="1"/>
                <w:color w:val="auto"/>
                <w:w w:val="96"/>
              </w:rPr>
              <w:t>Total</w:t>
            </w:r>
          </w:p>
        </w:tc>
      </w:tr>
      <w:tr>
        <w:trPr>
          <w:trHeight w:val="165"/>
        </w:trPr>
        <w:tc>
          <w:tcPr>
            <w:tcW w:w="2960" w:type="dxa"/>
            <w:vAlign w:val="bottom"/>
          </w:tcPr>
          <w:p>
            <w:pPr>
              <w:spacing w:after="0"/>
              <w:rPr>
                <w:sz w:val="14"/>
                <w:szCs w:val="14"/>
                <w:color w:val="auto"/>
              </w:rPr>
            </w:pPr>
          </w:p>
        </w:tc>
        <w:tc>
          <w:tcPr>
            <w:tcW w:w="2020" w:type="dxa"/>
            <w:vAlign w:val="bottom"/>
            <w:gridSpan w:val="4"/>
          </w:tcPr>
          <w:p>
            <w:pPr>
              <w:jc w:val="right"/>
              <w:ind w:right="365"/>
              <w:spacing w:after="0"/>
              <w:rPr>
                <w:sz w:val="20"/>
                <w:szCs w:val="20"/>
                <w:color w:val="auto"/>
              </w:rPr>
            </w:pPr>
            <w:r>
              <w:rPr>
                <w:rFonts w:ascii="Arial" w:cs="Arial" w:eastAsia="Arial" w:hAnsi="Arial"/>
                <w:sz w:val="13"/>
                <w:szCs w:val="13"/>
                <w:b w:val="1"/>
                <w:bCs w:val="1"/>
                <w:color w:val="auto"/>
              </w:rPr>
              <w:t>Preferred Stock</w:t>
            </w:r>
          </w:p>
        </w:tc>
        <w:tc>
          <w:tcPr>
            <w:tcW w:w="3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5"/>
          </w:tcPr>
          <w:p>
            <w:pPr>
              <w:ind w:left="56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4"/>
                <w:szCs w:val="14"/>
                <w:color w:val="auto"/>
              </w:rPr>
            </w:pPr>
          </w:p>
        </w:tc>
        <w:tc>
          <w:tcPr>
            <w:tcW w:w="960" w:type="dxa"/>
            <w:vAlign w:val="bottom"/>
          </w:tcPr>
          <w:p>
            <w:pPr>
              <w:jc w:val="right"/>
              <w:ind w:right="313"/>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4"/>
                <w:szCs w:val="14"/>
                <w:color w:val="auto"/>
              </w:rPr>
            </w:pPr>
          </w:p>
        </w:tc>
        <w:tc>
          <w:tcPr>
            <w:tcW w:w="1180" w:type="dxa"/>
            <w:vAlign w:val="bottom"/>
            <w:gridSpan w:val="3"/>
          </w:tcPr>
          <w:p>
            <w:pPr>
              <w:ind w:left="40"/>
              <w:spacing w:after="0"/>
              <w:rPr>
                <w:sz w:val="20"/>
                <w:szCs w:val="20"/>
                <w:color w:val="auto"/>
              </w:rPr>
            </w:pPr>
            <w:r>
              <w:rPr>
                <w:rFonts w:ascii="Arial" w:cs="Arial" w:eastAsia="Arial" w:hAnsi="Arial"/>
                <w:sz w:val="13"/>
                <w:szCs w:val="13"/>
                <w:b w:val="1"/>
                <w:bCs w:val="1"/>
                <w:color w:val="auto"/>
              </w:rPr>
              <w:t>Accumulated</w:t>
            </w:r>
          </w:p>
        </w:tc>
        <w:tc>
          <w:tcPr>
            <w:tcW w:w="1020" w:type="dxa"/>
            <w:vAlign w:val="bottom"/>
            <w:gridSpan w:val="2"/>
          </w:tcPr>
          <w:p>
            <w:pPr>
              <w:jc w:val="center"/>
              <w:ind w:right="13"/>
              <w:spacing w:after="0"/>
              <w:rPr>
                <w:sz w:val="20"/>
                <w:szCs w:val="20"/>
                <w:color w:val="auto"/>
              </w:rPr>
            </w:pPr>
            <w:r>
              <w:rPr>
                <w:rFonts w:ascii="Arial" w:cs="Arial" w:eastAsia="Arial" w:hAnsi="Arial"/>
                <w:sz w:val="13"/>
                <w:szCs w:val="13"/>
                <w:b w:val="1"/>
                <w:bCs w:val="1"/>
                <w:color w:val="auto"/>
              </w:rPr>
              <w:t>Stockholders’</w:t>
            </w:r>
          </w:p>
        </w:tc>
      </w:tr>
      <w:tr>
        <w:trPr>
          <w:trHeight w:val="155"/>
        </w:trPr>
        <w:tc>
          <w:tcPr>
            <w:tcW w:w="2960" w:type="dxa"/>
            <w:vAlign w:val="bottom"/>
            <w:tcBorders>
              <w:bottom w:val="single" w:sz="8" w:color="CFF0FC"/>
            </w:tcBorders>
          </w:tcPr>
          <w:p>
            <w:pPr>
              <w:spacing w:after="0"/>
              <w:rPr>
                <w:sz w:val="13"/>
                <w:szCs w:val="13"/>
                <w:color w:val="auto"/>
              </w:rPr>
            </w:pPr>
          </w:p>
        </w:tc>
        <w:tc>
          <w:tcPr>
            <w:tcW w:w="7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3"/>
                <w:szCs w:val="13"/>
                <w:b w:val="1"/>
                <w:bCs w:val="1"/>
                <w:color w:val="auto"/>
              </w:rPr>
              <w:t>Shares</w:t>
            </w:r>
          </w:p>
        </w:tc>
        <w:tc>
          <w:tcPr>
            <w:tcW w:w="3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32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FF0FC"/>
              <w:right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b w:val="1"/>
                <w:bCs w:val="1"/>
                <w:color w:val="auto"/>
              </w:rPr>
              <w:t>Capital</w:t>
            </w: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b w:val="1"/>
                <w:bCs w:val="1"/>
                <w:color w:val="auto"/>
              </w:rPr>
              <w:t>Deficit</w:t>
            </w:r>
          </w:p>
        </w:tc>
        <w:tc>
          <w:tcPr>
            <w:tcW w:w="1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173"/>
              <w:spacing w:after="0"/>
              <w:rPr>
                <w:sz w:val="20"/>
                <w:szCs w:val="20"/>
                <w:color w:val="auto"/>
              </w:rPr>
            </w:pPr>
            <w:r>
              <w:rPr>
                <w:rFonts w:ascii="Arial" w:cs="Arial" w:eastAsia="Arial" w:hAnsi="Arial"/>
                <w:sz w:val="13"/>
                <w:szCs w:val="13"/>
                <w:b w:val="1"/>
                <w:bCs w:val="1"/>
                <w:color w:val="auto"/>
              </w:rPr>
              <w:t>Equity</w:t>
            </w:r>
          </w:p>
        </w:tc>
      </w:tr>
      <w:tr>
        <w:trPr>
          <w:trHeight w:val="156"/>
        </w:trPr>
        <w:tc>
          <w:tcPr>
            <w:tcW w:w="2960" w:type="dxa"/>
            <w:vAlign w:val="bottom"/>
            <w:shd w:val="clear" w:color="auto" w:fill="CFF0FC"/>
          </w:tcPr>
          <w:p>
            <w:pPr>
              <w:spacing w:after="0"/>
              <w:rPr>
                <w:sz w:val="20"/>
                <w:szCs w:val="20"/>
                <w:color w:val="auto"/>
              </w:rPr>
            </w:pPr>
            <w:r>
              <w:rPr>
                <w:rFonts w:ascii="Arial" w:cs="Arial" w:eastAsia="Arial" w:hAnsi="Arial"/>
                <w:sz w:val="13"/>
                <w:szCs w:val="13"/>
                <w:color w:val="auto"/>
              </w:rPr>
              <w:t>Balance at December 31, 2020</w:t>
            </w:r>
          </w:p>
        </w:tc>
        <w:tc>
          <w:tcPr>
            <w:tcW w:w="780" w:type="dxa"/>
            <w:vAlign w:val="bottom"/>
            <w:shd w:val="clear" w:color="auto" w:fill="CFF0FC"/>
          </w:tcPr>
          <w:p>
            <w:pPr>
              <w:spacing w:after="0"/>
              <w:rPr>
                <w:sz w:val="13"/>
                <w:szCs w:val="13"/>
                <w:color w:val="auto"/>
              </w:rPr>
            </w:pPr>
          </w:p>
        </w:tc>
        <w:tc>
          <w:tcPr>
            <w:tcW w:w="340" w:type="dxa"/>
            <w:vAlign w:val="bottom"/>
            <w:shd w:val="clear" w:color="auto" w:fill="CFF0FC"/>
          </w:tcPr>
          <w:p>
            <w:pPr>
              <w:ind w:left="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665"/>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FF0FC"/>
          </w:tcPr>
          <w:p>
            <w:pPr>
              <w:ind w:left="60"/>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134,043,969</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9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132</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2,004,841</w:t>
            </w:r>
          </w:p>
        </w:tc>
        <w:tc>
          <w:tcPr>
            <w:tcW w:w="280" w:type="dxa"/>
            <w:vAlign w:val="bottom"/>
            <w:gridSpan w:val="2"/>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(777,871)</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45"/>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1,227,102</w:t>
            </w:r>
          </w:p>
        </w:tc>
      </w:tr>
      <w:tr>
        <w:trPr>
          <w:trHeight w:val="20"/>
        </w:trPr>
        <w:tc>
          <w:tcPr>
            <w:tcW w:w="296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right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42"/>
        </w:trPr>
        <w:tc>
          <w:tcPr>
            <w:tcW w:w="3740" w:type="dxa"/>
            <w:vAlign w:val="bottom"/>
            <w:gridSpan w:val="2"/>
          </w:tcPr>
          <w:p>
            <w:pPr>
              <w:ind w:left="260"/>
              <w:spacing w:after="0" w:line="142" w:lineRule="exact"/>
              <w:rPr>
                <w:sz w:val="20"/>
                <w:szCs w:val="20"/>
                <w:color w:val="auto"/>
              </w:rPr>
            </w:pPr>
            <w:r>
              <w:rPr>
                <w:rFonts w:ascii="Arial" w:cs="Arial" w:eastAsia="Arial" w:hAnsi="Arial"/>
                <w:sz w:val="13"/>
                <w:szCs w:val="13"/>
                <w:color w:val="auto"/>
              </w:rPr>
              <w:t>Issuance of common stock for acquisition</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9"/>
        </w:trPr>
        <w:tc>
          <w:tcPr>
            <w:tcW w:w="3740" w:type="dxa"/>
            <w:vAlign w:val="bottom"/>
            <w:gridSpan w:val="2"/>
          </w:tcPr>
          <w:p>
            <w:pPr>
              <w:ind w:left="260"/>
              <w:spacing w:after="0"/>
              <w:rPr>
                <w:sz w:val="20"/>
                <w:szCs w:val="20"/>
                <w:color w:val="auto"/>
              </w:rPr>
            </w:pPr>
            <w:r>
              <w:rPr>
                <w:rFonts w:ascii="Arial" w:cs="Arial" w:eastAsia="Arial" w:hAnsi="Arial"/>
                <w:sz w:val="13"/>
                <w:szCs w:val="13"/>
                <w:color w:val="auto"/>
              </w:rPr>
              <w:t>of business</w:t>
            </w:r>
          </w:p>
        </w:tc>
        <w:tc>
          <w:tcPr>
            <w:tcW w:w="46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665"/>
              <w:spacing w:after="0"/>
              <w:rPr>
                <w:sz w:val="20"/>
                <w:szCs w:val="20"/>
                <w:color w:val="auto"/>
              </w:rPr>
            </w:pPr>
            <w:r>
              <w:rPr>
                <w:rFonts w:ascii="Arial" w:cs="Arial" w:eastAsia="Arial" w:hAnsi="Arial"/>
                <w:sz w:val="10"/>
                <w:szCs w:val="10"/>
                <w:color w:val="auto"/>
                <w:w w:val="71"/>
              </w:rPr>
              <w:t>$</w:t>
            </w:r>
          </w:p>
        </w:tc>
        <w:tc>
          <w:tcPr>
            <w:tcW w:w="440" w:type="dxa"/>
            <w:vAlign w:val="bottom"/>
            <w:tcBorders>
              <w:right w:val="single" w:sz="8" w:color="auto"/>
            </w:tcBorders>
            <w:gridSpan w:val="2"/>
          </w:tcPr>
          <w:p>
            <w:pPr>
              <w:ind w:lef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60" w:type="dxa"/>
            <w:vAlign w:val="bottom"/>
          </w:tcPr>
          <w:p>
            <w:pPr>
              <w:jc w:val="right"/>
              <w:ind w:right="53"/>
              <w:spacing w:after="0"/>
              <w:rPr>
                <w:sz w:val="20"/>
                <w:szCs w:val="20"/>
                <w:color w:val="auto"/>
              </w:rPr>
            </w:pPr>
            <w:r>
              <w:rPr>
                <w:rFonts w:ascii="Arial" w:cs="Arial" w:eastAsia="Arial" w:hAnsi="Arial"/>
                <w:sz w:val="13"/>
                <w:szCs w:val="13"/>
                <w:color w:val="auto"/>
              </w:rPr>
              <w:t>1,072,117</w:t>
            </w:r>
          </w:p>
        </w:tc>
        <w:tc>
          <w:tcPr>
            <w:tcW w:w="2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39,029</w:t>
            </w:r>
          </w:p>
        </w:tc>
        <w:tc>
          <w:tcPr>
            <w:tcW w:w="28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45"/>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39,030</w:t>
            </w:r>
          </w:p>
        </w:tc>
      </w:tr>
      <w:tr>
        <w:trPr>
          <w:trHeight w:val="161"/>
        </w:trPr>
        <w:tc>
          <w:tcPr>
            <w:tcW w:w="374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Fair value of unvested stock options</w:t>
            </w:r>
          </w:p>
        </w:tc>
        <w:tc>
          <w:tcPr>
            <w:tcW w:w="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r>
      <w:tr>
        <w:trPr>
          <w:trHeight w:val="149"/>
        </w:trPr>
        <w:tc>
          <w:tcPr>
            <w:tcW w:w="374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assumed in acquisition of business</w:t>
            </w:r>
          </w:p>
        </w:tc>
        <w:tc>
          <w:tcPr>
            <w:tcW w:w="46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spacing w:after="0"/>
              <w:rPr>
                <w:sz w:val="12"/>
                <w:szCs w:val="12"/>
                <w:color w:val="auto"/>
              </w:rPr>
            </w:pPr>
          </w:p>
        </w:tc>
        <w:tc>
          <w:tcPr>
            <w:tcW w:w="440" w:type="dxa"/>
            <w:vAlign w:val="bottom"/>
            <w:tcBorders>
              <w:right w:val="single" w:sz="8" w:color="auto"/>
            </w:tcBorders>
            <w:gridSpan w:val="2"/>
            <w:shd w:val="clear" w:color="auto" w:fill="CFF0FC"/>
          </w:tcPr>
          <w:p>
            <w:pPr>
              <w:ind w:lef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1,017</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1,017</w:t>
            </w:r>
          </w:p>
        </w:tc>
      </w:tr>
      <w:tr>
        <w:trPr>
          <w:trHeight w:val="162"/>
        </w:trPr>
        <w:tc>
          <w:tcPr>
            <w:tcW w:w="3740" w:type="dxa"/>
            <w:vAlign w:val="bottom"/>
            <w:gridSpan w:val="2"/>
          </w:tcPr>
          <w:p>
            <w:pPr>
              <w:ind w:left="260"/>
              <w:spacing w:after="0"/>
              <w:rPr>
                <w:sz w:val="20"/>
                <w:szCs w:val="20"/>
                <w:color w:val="auto"/>
              </w:rPr>
            </w:pPr>
            <w:r>
              <w:rPr>
                <w:rFonts w:ascii="Arial" w:cs="Arial" w:eastAsia="Arial" w:hAnsi="Arial"/>
                <w:sz w:val="13"/>
                <w:szCs w:val="13"/>
                <w:color w:val="auto"/>
              </w:rPr>
              <w:t>Stock-based compensation</w:t>
            </w:r>
          </w:p>
        </w:tc>
        <w:tc>
          <w:tcPr>
            <w:tcW w:w="46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780" w:type="dxa"/>
            <w:vAlign w:val="bottom"/>
          </w:tcPr>
          <w:p>
            <w:pPr>
              <w:spacing w:after="0"/>
              <w:rPr>
                <w:sz w:val="14"/>
                <w:szCs w:val="14"/>
                <w:color w:val="auto"/>
              </w:rPr>
            </w:pPr>
          </w:p>
        </w:tc>
        <w:tc>
          <w:tcPr>
            <w:tcW w:w="440" w:type="dxa"/>
            <w:vAlign w:val="bottom"/>
            <w:tcBorders>
              <w:right w:val="single" w:sz="8" w:color="auto"/>
            </w:tcBorders>
            <w:gridSpan w:val="2"/>
          </w:tcPr>
          <w:p>
            <w:pPr>
              <w:ind w:lef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2,820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2,820</w:t>
            </w:r>
          </w:p>
        </w:tc>
      </w:tr>
      <w:tr>
        <w:trPr>
          <w:trHeight w:val="162"/>
        </w:trPr>
        <w:tc>
          <w:tcPr>
            <w:tcW w:w="374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Exercise of stock options</w:t>
            </w:r>
          </w:p>
        </w:tc>
        <w:tc>
          <w:tcPr>
            <w:tcW w:w="46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spacing w:after="0"/>
              <w:rPr>
                <w:sz w:val="14"/>
                <w:szCs w:val="14"/>
                <w:color w:val="auto"/>
              </w:rPr>
            </w:pPr>
          </w:p>
        </w:tc>
        <w:tc>
          <w:tcPr>
            <w:tcW w:w="440" w:type="dxa"/>
            <w:vAlign w:val="bottom"/>
            <w:tcBorders>
              <w:right w:val="single" w:sz="8" w:color="auto"/>
            </w:tcBorders>
            <w:gridSpan w:val="2"/>
            <w:shd w:val="clear" w:color="auto" w:fill="CFF0FC"/>
          </w:tcPr>
          <w:p>
            <w:pPr>
              <w:ind w:lef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687,336</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2,820</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2,821</w:t>
            </w:r>
          </w:p>
        </w:tc>
      </w:tr>
      <w:tr>
        <w:trPr>
          <w:trHeight w:val="162"/>
        </w:trPr>
        <w:tc>
          <w:tcPr>
            <w:tcW w:w="3740" w:type="dxa"/>
            <w:vAlign w:val="bottom"/>
            <w:gridSpan w:val="2"/>
          </w:tcPr>
          <w:p>
            <w:pPr>
              <w:ind w:left="260"/>
              <w:spacing w:after="0"/>
              <w:rPr>
                <w:sz w:val="20"/>
                <w:szCs w:val="20"/>
                <w:color w:val="auto"/>
              </w:rPr>
            </w:pPr>
            <w:r>
              <w:rPr>
                <w:rFonts w:ascii="Arial" w:cs="Arial" w:eastAsia="Arial" w:hAnsi="Arial"/>
                <w:sz w:val="13"/>
                <w:szCs w:val="13"/>
                <w:color w:val="auto"/>
              </w:rPr>
              <w:t>Vesting of restricted stock units</w:t>
            </w:r>
          </w:p>
        </w:tc>
        <w:tc>
          <w:tcPr>
            <w:tcW w:w="46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780" w:type="dxa"/>
            <w:vAlign w:val="bottom"/>
          </w:tcPr>
          <w:p>
            <w:pPr>
              <w:spacing w:after="0"/>
              <w:rPr>
                <w:sz w:val="14"/>
                <w:szCs w:val="14"/>
                <w:color w:val="auto"/>
              </w:rPr>
            </w:pPr>
          </w:p>
        </w:tc>
        <w:tc>
          <w:tcPr>
            <w:tcW w:w="440" w:type="dxa"/>
            <w:vAlign w:val="bottom"/>
            <w:tcBorders>
              <w:right w:val="single" w:sz="8" w:color="auto"/>
            </w:tcBorders>
            <w:gridSpan w:val="2"/>
          </w:tcPr>
          <w:p>
            <w:pPr>
              <w:ind w:lef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tcPr>
          <w:p>
            <w:pPr>
              <w:jc w:val="right"/>
              <w:ind w:right="53"/>
              <w:spacing w:after="0"/>
              <w:rPr>
                <w:sz w:val="20"/>
                <w:szCs w:val="20"/>
                <w:color w:val="auto"/>
              </w:rPr>
            </w:pPr>
            <w:r>
              <w:rPr>
                <w:rFonts w:ascii="Arial" w:cs="Arial" w:eastAsia="Arial" w:hAnsi="Arial"/>
                <w:sz w:val="13"/>
                <w:szCs w:val="13"/>
                <w:color w:val="auto"/>
              </w:rPr>
              <w:t>499,879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162"/>
        </w:trPr>
        <w:tc>
          <w:tcPr>
            <w:tcW w:w="29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loss</w:t>
            </w:r>
          </w:p>
        </w:tc>
        <w:tc>
          <w:tcPr>
            <w:tcW w:w="780" w:type="dxa"/>
            <w:vAlign w:val="bottom"/>
            <w:tcBorders>
              <w:bottom w:val="single" w:sz="8" w:color="auto"/>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(77,189)</w:t>
            </w:r>
          </w:p>
        </w:tc>
        <w:tc>
          <w:tcPr>
            <w:tcW w:w="12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(77,189)</w:t>
            </w:r>
          </w:p>
        </w:tc>
      </w:tr>
      <w:tr>
        <w:trPr>
          <w:trHeight w:val="156"/>
        </w:trPr>
        <w:tc>
          <w:tcPr>
            <w:tcW w:w="3740" w:type="dxa"/>
            <w:vAlign w:val="bottom"/>
            <w:gridSpan w:val="2"/>
          </w:tcPr>
          <w:p>
            <w:pPr>
              <w:spacing w:after="0"/>
              <w:rPr>
                <w:sz w:val="20"/>
                <w:szCs w:val="20"/>
                <w:color w:val="auto"/>
              </w:rPr>
            </w:pPr>
            <w:r>
              <w:rPr>
                <w:rFonts w:ascii="Arial" w:cs="Arial" w:eastAsia="Arial" w:hAnsi="Arial"/>
                <w:sz w:val="13"/>
                <w:szCs w:val="13"/>
                <w:color w:val="auto"/>
              </w:rPr>
              <w:t>Balance at March 31, 2021</w:t>
            </w:r>
          </w:p>
        </w:tc>
        <w:tc>
          <w:tcPr>
            <w:tcW w:w="46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665"/>
              <w:spacing w:after="0"/>
              <w:rPr>
                <w:sz w:val="20"/>
                <w:szCs w:val="20"/>
                <w:color w:val="auto"/>
              </w:rPr>
            </w:pPr>
            <w:r>
              <w:rPr>
                <w:rFonts w:ascii="Arial" w:cs="Arial" w:eastAsia="Arial" w:hAnsi="Arial"/>
                <w:sz w:val="10"/>
                <w:szCs w:val="10"/>
                <w:color w:val="auto"/>
                <w:w w:val="71"/>
              </w:rPr>
              <w:t>$</w:t>
            </w:r>
          </w:p>
        </w:tc>
        <w:tc>
          <w:tcPr>
            <w:tcW w:w="440" w:type="dxa"/>
            <w:vAlign w:val="bottom"/>
            <w:tcBorders>
              <w:right w:val="single" w:sz="8" w:color="auto"/>
            </w:tcBorders>
            <w:gridSpan w:val="2"/>
          </w:tcPr>
          <w:p>
            <w:pPr>
              <w:ind w:lef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60" w:type="dxa"/>
            <w:vAlign w:val="bottom"/>
          </w:tcPr>
          <w:p>
            <w:pPr>
              <w:jc w:val="right"/>
              <w:ind w:right="53"/>
              <w:spacing w:after="0"/>
              <w:rPr>
                <w:sz w:val="20"/>
                <w:szCs w:val="20"/>
                <w:color w:val="auto"/>
              </w:rPr>
            </w:pPr>
            <w:r>
              <w:rPr>
                <w:rFonts w:ascii="Arial" w:cs="Arial" w:eastAsia="Arial" w:hAnsi="Arial"/>
                <w:sz w:val="13"/>
                <w:szCs w:val="13"/>
                <w:color w:val="auto"/>
              </w:rPr>
              <w:t>136,303,301</w:t>
            </w:r>
          </w:p>
        </w:tc>
        <w:tc>
          <w:tcPr>
            <w:tcW w:w="2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134</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2,050,527</w:t>
            </w:r>
          </w:p>
        </w:tc>
        <w:tc>
          <w:tcPr>
            <w:tcW w:w="28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(855,060)</w:t>
            </w:r>
          </w:p>
        </w:tc>
        <w:tc>
          <w:tcPr>
            <w:tcW w:w="120" w:type="dxa"/>
            <w:vAlign w:val="bottom"/>
          </w:tcPr>
          <w:p>
            <w:pPr>
              <w:spacing w:after="0"/>
              <w:rPr>
                <w:sz w:val="13"/>
                <w:szCs w:val="13"/>
                <w:color w:val="auto"/>
              </w:rPr>
            </w:pPr>
          </w:p>
        </w:tc>
        <w:tc>
          <w:tcPr>
            <w:tcW w:w="160" w:type="dxa"/>
            <w:vAlign w:val="bottom"/>
          </w:tcPr>
          <w:p>
            <w:pPr>
              <w:jc w:val="right"/>
              <w:ind w:right="45"/>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1,195,601</w:t>
            </w:r>
          </w:p>
        </w:tc>
      </w:tr>
      <w:tr>
        <w:trPr>
          <w:trHeight w:val="20"/>
        </w:trPr>
        <w:tc>
          <w:tcPr>
            <w:tcW w:w="29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r>
        <w:rPr>
          <w:rFonts w:ascii="Arial" w:cs="Arial" w:eastAsia="Arial" w:hAnsi="Arial"/>
          <w:sz w:val="18"/>
          <w:szCs w:val="18"/>
          <w:color w:val="auto"/>
        </w:rPr>
        <w: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69"/>
        </w:trPr>
        <w:tc>
          <w:tcPr>
            <w:tcW w:w="6840" w:type="dxa"/>
            <w:vAlign w:val="bottom"/>
            <w:tcBorders>
              <w:bottom w:val="single" w:sz="8" w:color="CFF0FC"/>
            </w:tcBorders>
          </w:tcPr>
          <w:p>
            <w:pPr>
              <w:spacing w:after="0"/>
              <w:rPr>
                <w:sz w:val="14"/>
                <w:szCs w:val="14"/>
                <w:color w:val="auto"/>
              </w:rPr>
            </w:pPr>
          </w:p>
        </w:tc>
        <w:tc>
          <w:tcPr>
            <w:tcW w:w="640" w:type="dxa"/>
            <w:vAlign w:val="bottom"/>
            <w:tcBorders>
              <w:bottom w:val="single" w:sz="8" w:color="CFF0FC"/>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FF0FC"/>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4"/>
                <w:szCs w:val="14"/>
                <w:b w:val="1"/>
                <w:bCs w:val="1"/>
                <w:color w:val="auto"/>
              </w:rPr>
              <w:t>2020</w:t>
            </w:r>
          </w:p>
        </w:tc>
      </w:tr>
      <w:tr>
        <w:trPr>
          <w:trHeight w:val="196"/>
        </w:trPr>
        <w:tc>
          <w:tcPr>
            <w:tcW w:w="68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Operating activities</w:t>
            </w:r>
          </w:p>
        </w:tc>
        <w:tc>
          <w:tcPr>
            <w:tcW w:w="6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r>
      <w:tr>
        <w:trPr>
          <w:trHeight w:val="203"/>
        </w:trPr>
        <w:tc>
          <w:tcPr>
            <w:tcW w:w="6840" w:type="dxa"/>
            <w:vAlign w:val="bottom"/>
          </w:tcPr>
          <w:p>
            <w:pPr>
              <w:spacing w:after="0"/>
              <w:rPr>
                <w:sz w:val="20"/>
                <w:szCs w:val="20"/>
                <w:color w:val="auto"/>
              </w:rPr>
            </w:pPr>
            <w:r>
              <w:rPr>
                <w:rFonts w:ascii="Arial" w:cs="Arial" w:eastAsia="Arial" w:hAnsi="Arial"/>
                <w:sz w:val="16"/>
                <w:szCs w:val="16"/>
                <w:color w:val="auto"/>
              </w:rPr>
              <w:t>Net loss</w:t>
            </w:r>
          </w:p>
        </w:tc>
        <w:tc>
          <w:tcPr>
            <w:tcW w:w="102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(77,189)</w:t>
            </w:r>
          </w:p>
        </w:tc>
        <w:tc>
          <w:tcPr>
            <w:tcW w:w="180" w:type="dxa"/>
            <w:vAlign w:val="bottom"/>
          </w:tcPr>
          <w:p>
            <w:pPr>
              <w:spacing w:after="0"/>
              <w:rPr>
                <w:sz w:val="17"/>
                <w:szCs w:val="17"/>
                <w:color w:val="auto"/>
              </w:rPr>
            </w:pPr>
          </w:p>
        </w:tc>
        <w:tc>
          <w:tcPr>
            <w:tcW w:w="380" w:type="dxa"/>
            <w:vAlign w:val="bottom"/>
          </w:tcPr>
          <w:p>
            <w:pPr>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(41,059)</w:t>
            </w:r>
          </w:p>
        </w:tc>
      </w:tr>
      <w:tr>
        <w:trPr>
          <w:trHeight w:val="203"/>
        </w:trPr>
        <w:tc>
          <w:tcPr>
            <w:tcW w:w="684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loss to net cash provided by (used in) operating activities:</w:t>
            </w:r>
          </w:p>
        </w:tc>
        <w:tc>
          <w:tcPr>
            <w:tcW w:w="6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r>
      <w:tr>
        <w:trPr>
          <w:trHeight w:val="202"/>
        </w:trPr>
        <w:tc>
          <w:tcPr>
            <w:tcW w:w="6840" w:type="dxa"/>
            <w:vAlign w:val="bottom"/>
          </w:tcPr>
          <w:p>
            <w:pPr>
              <w:ind w:left="260"/>
              <w:spacing w:after="0"/>
              <w:rPr>
                <w:sz w:val="20"/>
                <w:szCs w:val="20"/>
                <w:color w:val="auto"/>
              </w:rPr>
            </w:pPr>
            <w:r>
              <w:rPr>
                <w:rFonts w:ascii="Arial" w:cs="Arial" w:eastAsia="Arial" w:hAnsi="Arial"/>
                <w:sz w:val="16"/>
                <w:szCs w:val="16"/>
                <w:color w:val="auto"/>
              </w:rPr>
              <w:t>Depreciation and amortization</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2,906</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970</w:t>
            </w:r>
          </w:p>
        </w:tc>
      </w:tr>
      <w:tr>
        <w:trPr>
          <w:trHeight w:val="203"/>
        </w:trPr>
        <w:tc>
          <w:tcPr>
            <w:tcW w:w="6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Amortization of debt issuance costs</w:t>
            </w:r>
          </w:p>
        </w:tc>
        <w:tc>
          <w:tcPr>
            <w:tcW w:w="6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281</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94</w:t>
            </w:r>
          </w:p>
        </w:tc>
      </w:tr>
      <w:tr>
        <w:trPr>
          <w:trHeight w:val="203"/>
        </w:trPr>
        <w:tc>
          <w:tcPr>
            <w:tcW w:w="6840" w:type="dxa"/>
            <w:vAlign w:val="bottom"/>
          </w:tcPr>
          <w:p>
            <w:pPr>
              <w:ind w:left="260"/>
              <w:spacing w:after="0"/>
              <w:rPr>
                <w:sz w:val="20"/>
                <w:szCs w:val="20"/>
                <w:color w:val="auto"/>
              </w:rPr>
            </w:pPr>
            <w:r>
              <w:rPr>
                <w:rFonts w:ascii="Arial" w:cs="Arial" w:eastAsia="Arial" w:hAnsi="Arial"/>
                <w:sz w:val="16"/>
                <w:szCs w:val="16"/>
                <w:color w:val="auto"/>
              </w:rPr>
              <w:t>Stock-based compensation expense</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2,820</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600</w:t>
            </w:r>
          </w:p>
        </w:tc>
      </w:tr>
      <w:tr>
        <w:trPr>
          <w:trHeight w:val="203"/>
        </w:trPr>
        <w:tc>
          <w:tcPr>
            <w:tcW w:w="6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Provision for inventory obsolescence</w:t>
            </w:r>
          </w:p>
        </w:tc>
        <w:tc>
          <w:tcPr>
            <w:tcW w:w="6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(2,551)</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4,427</w:t>
            </w:r>
          </w:p>
        </w:tc>
      </w:tr>
      <w:tr>
        <w:trPr>
          <w:trHeight w:val="203"/>
        </w:trPr>
        <w:tc>
          <w:tcPr>
            <w:tcW w:w="6840" w:type="dxa"/>
            <w:vAlign w:val="bottom"/>
          </w:tcPr>
          <w:p>
            <w:pPr>
              <w:ind w:left="260"/>
              <w:spacing w:after="0"/>
              <w:rPr>
                <w:sz w:val="20"/>
                <w:szCs w:val="20"/>
                <w:color w:val="auto"/>
              </w:rPr>
            </w:pPr>
            <w:r>
              <w:rPr>
                <w:rFonts w:ascii="Arial" w:cs="Arial" w:eastAsia="Arial" w:hAnsi="Arial"/>
                <w:sz w:val="16"/>
                <w:szCs w:val="16"/>
                <w:color w:val="auto"/>
              </w:rPr>
              <w:t>Revaluation of preferred stock warrant</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(790)</w:t>
            </w:r>
          </w:p>
        </w:tc>
      </w:tr>
      <w:tr>
        <w:trPr>
          <w:trHeight w:val="203"/>
        </w:trPr>
        <w:tc>
          <w:tcPr>
            <w:tcW w:w="6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6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1,813</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306</w:t>
            </w:r>
          </w:p>
        </w:tc>
      </w:tr>
      <w:tr>
        <w:trPr>
          <w:trHeight w:val="203"/>
        </w:trPr>
        <w:tc>
          <w:tcPr>
            <w:tcW w:w="6840" w:type="dxa"/>
            <w:vAlign w:val="bottom"/>
          </w:tcPr>
          <w:p>
            <w:pPr>
              <w:spacing w:after="0"/>
              <w:rPr>
                <w:sz w:val="20"/>
                <w:szCs w:val="20"/>
                <w:color w:val="auto"/>
              </w:rPr>
            </w:pPr>
            <w:r>
              <w:rPr>
                <w:rFonts w:ascii="Arial" w:cs="Arial" w:eastAsia="Arial" w:hAnsi="Arial"/>
                <w:sz w:val="16"/>
                <w:szCs w:val="16"/>
                <w:color w:val="auto"/>
              </w:rPr>
              <w:t>Changes in operating assets and liabilities:</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6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receivable</w:t>
            </w:r>
          </w:p>
        </w:tc>
        <w:tc>
          <w:tcPr>
            <w:tcW w:w="6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(33,140)</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(4,530)</w:t>
            </w:r>
          </w:p>
        </w:tc>
      </w:tr>
      <w:tr>
        <w:trPr>
          <w:trHeight w:val="203"/>
        </w:trPr>
        <w:tc>
          <w:tcPr>
            <w:tcW w:w="6840" w:type="dxa"/>
            <w:vAlign w:val="bottom"/>
          </w:tcPr>
          <w:p>
            <w:pPr>
              <w:ind w:left="260"/>
              <w:spacing w:after="0"/>
              <w:rPr>
                <w:sz w:val="20"/>
                <w:szCs w:val="20"/>
                <w:color w:val="auto"/>
              </w:rPr>
            </w:pPr>
            <w:r>
              <w:rPr>
                <w:rFonts w:ascii="Arial" w:cs="Arial" w:eastAsia="Arial" w:hAnsi="Arial"/>
                <w:sz w:val="16"/>
                <w:szCs w:val="16"/>
                <w:color w:val="auto"/>
              </w:rPr>
              <w:t>Inventory</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88,502</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21,702</w:t>
            </w:r>
          </w:p>
        </w:tc>
      </w:tr>
      <w:tr>
        <w:trPr>
          <w:trHeight w:val="203"/>
        </w:trPr>
        <w:tc>
          <w:tcPr>
            <w:tcW w:w="6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6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(1,127)</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(2,084)</w:t>
            </w:r>
          </w:p>
        </w:tc>
      </w:tr>
      <w:tr>
        <w:trPr>
          <w:trHeight w:val="203"/>
        </w:trPr>
        <w:tc>
          <w:tcPr>
            <w:tcW w:w="6840" w:type="dxa"/>
            <w:vAlign w:val="bottom"/>
          </w:tcPr>
          <w:p>
            <w:pPr>
              <w:ind w:left="260"/>
              <w:spacing w:after="0"/>
              <w:rPr>
                <w:sz w:val="20"/>
                <w:szCs w:val="20"/>
                <w:color w:val="auto"/>
              </w:rPr>
            </w:pPr>
            <w:r>
              <w:rPr>
                <w:rFonts w:ascii="Arial" w:cs="Arial" w:eastAsia="Arial" w:hAnsi="Arial"/>
                <w:sz w:val="16"/>
                <w:szCs w:val="16"/>
                <w:color w:val="auto"/>
              </w:rPr>
              <w:t>Other assets</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(650)</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(807)</w:t>
            </w:r>
          </w:p>
        </w:tc>
      </w:tr>
      <w:tr>
        <w:trPr>
          <w:trHeight w:val="203"/>
        </w:trPr>
        <w:tc>
          <w:tcPr>
            <w:tcW w:w="6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payable</w:t>
            </w:r>
          </w:p>
        </w:tc>
        <w:tc>
          <w:tcPr>
            <w:tcW w:w="6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9,568</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(2,937)</w:t>
            </w:r>
          </w:p>
        </w:tc>
      </w:tr>
      <w:tr>
        <w:trPr>
          <w:trHeight w:val="203"/>
        </w:trPr>
        <w:tc>
          <w:tcPr>
            <w:tcW w:w="6840" w:type="dxa"/>
            <w:vAlign w:val="bottom"/>
          </w:tcPr>
          <w:p>
            <w:pPr>
              <w:ind w:left="260"/>
              <w:spacing w:after="0"/>
              <w:rPr>
                <w:sz w:val="20"/>
                <w:szCs w:val="20"/>
                <w:color w:val="auto"/>
              </w:rPr>
            </w:pPr>
            <w:r>
              <w:rPr>
                <w:rFonts w:ascii="Arial" w:cs="Arial" w:eastAsia="Arial" w:hAnsi="Arial"/>
                <w:sz w:val="16"/>
                <w:szCs w:val="16"/>
                <w:color w:val="auto"/>
              </w:rPr>
              <w:t>Accrued expenses</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12,194</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(847)</w:t>
            </w:r>
          </w:p>
        </w:tc>
      </w:tr>
      <w:tr>
        <w:trPr>
          <w:trHeight w:val="203"/>
        </w:trPr>
        <w:tc>
          <w:tcPr>
            <w:tcW w:w="6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revenue</w:t>
            </w:r>
          </w:p>
        </w:tc>
        <w:tc>
          <w:tcPr>
            <w:tcW w:w="6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23,376</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(4,499)</w:t>
            </w:r>
          </w:p>
        </w:tc>
      </w:tr>
      <w:tr>
        <w:trPr>
          <w:trHeight w:val="203"/>
        </w:trPr>
        <w:tc>
          <w:tcPr>
            <w:tcW w:w="68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liabilities</w:t>
            </w:r>
          </w:p>
        </w:tc>
        <w:tc>
          <w:tcPr>
            <w:tcW w:w="640" w:type="dxa"/>
            <w:vAlign w:val="bottom"/>
            <w:tcBorders>
              <w:bottom w:val="single" w:sz="8" w:color="CFF0FC"/>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2,751</w:t>
            </w:r>
          </w:p>
        </w:tc>
        <w:tc>
          <w:tcPr>
            <w:tcW w:w="18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4,309</w:t>
            </w:r>
          </w:p>
        </w:tc>
      </w:tr>
      <w:tr>
        <w:trPr>
          <w:trHeight w:val="196"/>
        </w:trPr>
        <w:tc>
          <w:tcPr>
            <w:tcW w:w="68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Net cash provided by (used in) operating activities</w:t>
            </w:r>
          </w:p>
        </w:tc>
        <w:tc>
          <w:tcPr>
            <w:tcW w:w="6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29,554</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(25,145)</w:t>
            </w:r>
          </w:p>
        </w:tc>
      </w:tr>
      <w:tr>
        <w:trPr>
          <w:trHeight w:val="203"/>
        </w:trPr>
        <w:tc>
          <w:tcPr>
            <w:tcW w:w="684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6840" w:type="dxa"/>
            <w:vAlign w:val="bottom"/>
            <w:shd w:val="clear" w:color="auto" w:fill="CFF0FC"/>
          </w:tcPr>
          <w:p>
            <w:pPr>
              <w:spacing w:after="0"/>
              <w:rPr>
                <w:sz w:val="20"/>
                <w:szCs w:val="20"/>
                <w:color w:val="auto"/>
              </w:rPr>
            </w:pPr>
            <w:r>
              <w:rPr>
                <w:rFonts w:ascii="Arial" w:cs="Arial" w:eastAsia="Arial" w:hAnsi="Arial"/>
                <w:sz w:val="16"/>
                <w:szCs w:val="16"/>
                <w:color w:val="auto"/>
              </w:rPr>
              <w:t>Purchase of property and equipment</w:t>
            </w:r>
          </w:p>
        </w:tc>
        <w:tc>
          <w:tcPr>
            <w:tcW w:w="6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(3,239)</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(1,699)</w:t>
            </w:r>
          </w:p>
        </w:tc>
      </w:tr>
      <w:tr>
        <w:trPr>
          <w:trHeight w:val="203"/>
        </w:trPr>
        <w:tc>
          <w:tcPr>
            <w:tcW w:w="68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Acquisition of business, net of cash acquired</w:t>
            </w:r>
          </w:p>
        </w:tc>
        <w:tc>
          <w:tcPr>
            <w:tcW w:w="640" w:type="dxa"/>
            <w:vAlign w:val="bottom"/>
            <w:tcBorders>
              <w:bottom w:val="single" w:sz="8" w:color="CFF0FC"/>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(76,145)</w:t>
            </w:r>
          </w:p>
        </w:tc>
        <w:tc>
          <w:tcPr>
            <w:tcW w:w="18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r>
      <w:tr>
        <w:trPr>
          <w:trHeight w:val="196"/>
        </w:trPr>
        <w:tc>
          <w:tcPr>
            <w:tcW w:w="68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Net cash used in investing activities</w:t>
            </w:r>
          </w:p>
        </w:tc>
        <w:tc>
          <w:tcPr>
            <w:tcW w:w="6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(79,384)</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(1,699)</w:t>
            </w:r>
          </w:p>
        </w:tc>
      </w:tr>
      <w:tr>
        <w:trPr>
          <w:trHeight w:val="202"/>
        </w:trPr>
        <w:tc>
          <w:tcPr>
            <w:tcW w:w="684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6840" w:type="dxa"/>
            <w:vAlign w:val="bottom"/>
            <w:shd w:val="clear" w:color="auto" w:fill="CFF0FC"/>
          </w:tcPr>
          <w:p>
            <w:pPr>
              <w:spacing w:after="0"/>
              <w:rPr>
                <w:sz w:val="20"/>
                <w:szCs w:val="20"/>
                <w:color w:val="auto"/>
              </w:rPr>
            </w:pPr>
            <w:r>
              <w:rPr>
                <w:rFonts w:ascii="Arial" w:cs="Arial" w:eastAsia="Arial" w:hAnsi="Arial"/>
                <w:sz w:val="16"/>
                <w:szCs w:val="16"/>
                <w:color w:val="auto"/>
              </w:rPr>
              <w:t>Proceeds from vehicle floorplan</w:t>
            </w:r>
          </w:p>
        </w:tc>
        <w:tc>
          <w:tcPr>
            <w:tcW w:w="6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396,849</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293,854</w:t>
            </w:r>
          </w:p>
        </w:tc>
      </w:tr>
      <w:tr>
        <w:trPr>
          <w:trHeight w:val="203"/>
        </w:trPr>
        <w:tc>
          <w:tcPr>
            <w:tcW w:w="6840" w:type="dxa"/>
            <w:vAlign w:val="bottom"/>
          </w:tcPr>
          <w:p>
            <w:pPr>
              <w:spacing w:after="0"/>
              <w:rPr>
                <w:sz w:val="20"/>
                <w:szCs w:val="20"/>
                <w:color w:val="auto"/>
              </w:rPr>
            </w:pPr>
            <w:r>
              <w:rPr>
                <w:rFonts w:ascii="Arial" w:cs="Arial" w:eastAsia="Arial" w:hAnsi="Arial"/>
                <w:sz w:val="16"/>
                <w:szCs w:val="16"/>
                <w:color w:val="auto"/>
              </w:rPr>
              <w:t>Repayments of vehicle floorplan</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(473,042)</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(302,149)</w:t>
            </w:r>
          </w:p>
        </w:tc>
      </w:tr>
      <w:tr>
        <w:trPr>
          <w:trHeight w:val="203"/>
        </w:trPr>
        <w:tc>
          <w:tcPr>
            <w:tcW w:w="6840" w:type="dxa"/>
            <w:vAlign w:val="bottom"/>
            <w:shd w:val="clear" w:color="auto" w:fill="CFF0FC"/>
          </w:tcPr>
          <w:p>
            <w:pPr>
              <w:spacing w:after="0"/>
              <w:rPr>
                <w:sz w:val="20"/>
                <w:szCs w:val="20"/>
                <w:color w:val="auto"/>
              </w:rPr>
            </w:pPr>
            <w:r>
              <w:rPr>
                <w:rFonts w:ascii="Arial" w:cs="Arial" w:eastAsia="Arial" w:hAnsi="Arial"/>
                <w:sz w:val="16"/>
                <w:szCs w:val="16"/>
                <w:color w:val="auto"/>
              </w:rPr>
              <w:t>Payment of vehicle floorplan upfront commitment fees</w:t>
            </w:r>
          </w:p>
        </w:tc>
        <w:tc>
          <w:tcPr>
            <w:tcW w:w="6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(1,125)</w:t>
            </w:r>
          </w:p>
        </w:tc>
      </w:tr>
      <w:tr>
        <w:trPr>
          <w:trHeight w:val="203"/>
        </w:trPr>
        <w:tc>
          <w:tcPr>
            <w:tcW w:w="6840" w:type="dxa"/>
            <w:vAlign w:val="bottom"/>
          </w:tcPr>
          <w:p>
            <w:pPr>
              <w:spacing w:after="0"/>
              <w:rPr>
                <w:sz w:val="20"/>
                <w:szCs w:val="20"/>
                <w:color w:val="auto"/>
              </w:rPr>
            </w:pPr>
            <w:r>
              <w:rPr>
                <w:rFonts w:ascii="Arial" w:cs="Arial" w:eastAsia="Arial" w:hAnsi="Arial"/>
                <w:sz w:val="16"/>
                <w:szCs w:val="16"/>
                <w:color w:val="auto"/>
              </w:rPr>
              <w:t>Proceeds from the issuance of redeemable convertible preferred stock, net</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21,694</w:t>
            </w:r>
          </w:p>
        </w:tc>
      </w:tr>
      <w:tr>
        <w:trPr>
          <w:trHeight w:val="203"/>
        </w:trPr>
        <w:tc>
          <w:tcPr>
            <w:tcW w:w="6840" w:type="dxa"/>
            <w:vAlign w:val="bottom"/>
            <w:shd w:val="clear" w:color="auto" w:fill="CFF0FC"/>
          </w:tcPr>
          <w:p>
            <w:pPr>
              <w:spacing w:after="0"/>
              <w:rPr>
                <w:sz w:val="20"/>
                <w:szCs w:val="20"/>
                <w:color w:val="auto"/>
              </w:rPr>
            </w:pPr>
            <w:r>
              <w:rPr>
                <w:rFonts w:ascii="Arial" w:cs="Arial" w:eastAsia="Arial" w:hAnsi="Arial"/>
                <w:sz w:val="16"/>
                <w:szCs w:val="16"/>
                <w:color w:val="auto"/>
              </w:rPr>
              <w:t>Repurchase of common stock</w:t>
            </w:r>
          </w:p>
        </w:tc>
        <w:tc>
          <w:tcPr>
            <w:tcW w:w="6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(1,818)</w:t>
            </w:r>
          </w:p>
        </w:tc>
      </w:tr>
      <w:tr>
        <w:trPr>
          <w:trHeight w:val="203"/>
        </w:trPr>
        <w:tc>
          <w:tcPr>
            <w:tcW w:w="6840" w:type="dxa"/>
            <w:vAlign w:val="bottom"/>
          </w:tcPr>
          <w:p>
            <w:pPr>
              <w:spacing w:after="0"/>
              <w:rPr>
                <w:sz w:val="20"/>
                <w:szCs w:val="20"/>
                <w:color w:val="auto"/>
              </w:rPr>
            </w:pPr>
            <w:r>
              <w:rPr>
                <w:rFonts w:ascii="Arial" w:cs="Arial" w:eastAsia="Arial" w:hAnsi="Arial"/>
                <w:sz w:val="16"/>
                <w:szCs w:val="16"/>
                <w:color w:val="auto"/>
              </w:rPr>
              <w:t>Payments of costs related to IPO</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(828)</w:t>
            </w:r>
          </w:p>
        </w:tc>
      </w:tr>
      <w:tr>
        <w:trPr>
          <w:trHeight w:val="203"/>
        </w:trPr>
        <w:tc>
          <w:tcPr>
            <w:tcW w:w="6840" w:type="dxa"/>
            <w:vAlign w:val="bottom"/>
            <w:shd w:val="clear" w:color="auto" w:fill="CFF0FC"/>
          </w:tcPr>
          <w:p>
            <w:pPr>
              <w:spacing w:after="0"/>
              <w:rPr>
                <w:sz w:val="20"/>
                <w:szCs w:val="20"/>
                <w:color w:val="auto"/>
              </w:rPr>
            </w:pPr>
            <w:r>
              <w:rPr>
                <w:rFonts w:ascii="Arial" w:cs="Arial" w:eastAsia="Arial" w:hAnsi="Arial"/>
                <w:sz w:val="16"/>
                <w:szCs w:val="16"/>
                <w:color w:val="auto"/>
              </w:rPr>
              <w:t>Proceeds from exercise of stock options</w:t>
            </w:r>
          </w:p>
        </w:tc>
        <w:tc>
          <w:tcPr>
            <w:tcW w:w="6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2,821</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w:t>
            </w:r>
          </w:p>
        </w:tc>
      </w:tr>
      <w:tr>
        <w:trPr>
          <w:trHeight w:val="203"/>
        </w:trPr>
        <w:tc>
          <w:tcPr>
            <w:tcW w:w="6840" w:type="dxa"/>
            <w:vAlign w:val="bottom"/>
          </w:tcPr>
          <w:p>
            <w:pPr>
              <w:spacing w:after="0"/>
              <w:rPr>
                <w:sz w:val="20"/>
                <w:szCs w:val="20"/>
                <w:color w:val="auto"/>
              </w:rPr>
            </w:pPr>
            <w:r>
              <w:rPr>
                <w:rFonts w:ascii="Arial" w:cs="Arial" w:eastAsia="Arial" w:hAnsi="Arial"/>
                <w:sz w:val="16"/>
                <w:szCs w:val="16"/>
                <w:color w:val="auto"/>
              </w:rPr>
              <w:t>Other financing activities</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196"/>
        </w:trPr>
        <w:tc>
          <w:tcPr>
            <w:tcW w:w="68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Net cash (used in) provided by financing activities</w:t>
            </w:r>
          </w:p>
        </w:tc>
        <w:tc>
          <w:tcPr>
            <w:tcW w:w="6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auto"/>
              <w:bottom w:val="single" w:sz="8" w:color="auto"/>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(73,372)</w:t>
            </w:r>
          </w:p>
        </w:tc>
        <w:tc>
          <w:tcPr>
            <w:tcW w:w="18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bottom w:val="single" w:sz="8" w:color="auto"/>
            </w:tcBorders>
            <w:shd w:val="clear" w:color="auto" w:fill="CFF0FC"/>
          </w:tcPr>
          <w:p>
            <w:pPr>
              <w:spacing w:after="0"/>
              <w:rPr>
                <w:sz w:val="17"/>
                <w:szCs w:val="17"/>
                <w:color w:val="auto"/>
              </w:rPr>
            </w:pPr>
          </w:p>
        </w:tc>
        <w:tc>
          <w:tcPr>
            <w:tcW w:w="142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9,600</w:t>
            </w:r>
          </w:p>
        </w:tc>
      </w:tr>
      <w:tr>
        <w:trPr>
          <w:trHeight w:val="196"/>
        </w:trPr>
        <w:tc>
          <w:tcPr>
            <w:tcW w:w="6840" w:type="dxa"/>
            <w:vAlign w:val="bottom"/>
          </w:tcPr>
          <w:p>
            <w:pPr>
              <w:spacing w:after="0"/>
              <w:rPr>
                <w:sz w:val="20"/>
                <w:szCs w:val="20"/>
                <w:color w:val="auto"/>
              </w:rPr>
            </w:pPr>
            <w:r>
              <w:rPr>
                <w:rFonts w:ascii="Arial" w:cs="Arial" w:eastAsia="Arial" w:hAnsi="Arial"/>
                <w:sz w:val="16"/>
                <w:szCs w:val="16"/>
                <w:b w:val="1"/>
                <w:bCs w:val="1"/>
                <w:color w:val="auto"/>
              </w:rPr>
              <w:t>Net decrease in cash, cash equivalents and restricted cash</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(123,202)</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(17,244)</w:t>
            </w:r>
          </w:p>
        </w:tc>
      </w:tr>
      <w:tr>
        <w:trPr>
          <w:trHeight w:val="203"/>
        </w:trPr>
        <w:tc>
          <w:tcPr>
            <w:tcW w:w="6840" w:type="dxa"/>
            <w:vAlign w:val="bottom"/>
            <w:shd w:val="clear" w:color="auto" w:fill="CFF0FC"/>
          </w:tcPr>
          <w:p>
            <w:pPr>
              <w:spacing w:after="0"/>
              <w:rPr>
                <w:sz w:val="20"/>
                <w:szCs w:val="20"/>
                <w:color w:val="auto"/>
              </w:rPr>
            </w:pPr>
            <w:r>
              <w:rPr>
                <w:rFonts w:ascii="Arial" w:cs="Arial" w:eastAsia="Arial" w:hAnsi="Arial"/>
                <w:sz w:val="16"/>
                <w:szCs w:val="16"/>
                <w:color w:val="auto"/>
              </w:rPr>
              <w:t>Cash, cash equivalents and restricted cash at the beginning of period</w:t>
            </w:r>
          </w:p>
        </w:tc>
        <w:tc>
          <w:tcPr>
            <w:tcW w:w="640" w:type="dxa"/>
            <w:vAlign w:val="bottom"/>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1,090,039</w:t>
            </w:r>
          </w:p>
        </w:tc>
        <w:tc>
          <w:tcPr>
            <w:tcW w:w="180" w:type="dxa"/>
            <w:vAlign w:val="bottom"/>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219,587</w:t>
            </w:r>
          </w:p>
        </w:tc>
      </w:tr>
      <w:tr>
        <w:trPr>
          <w:trHeight w:val="196"/>
        </w:trPr>
        <w:tc>
          <w:tcPr>
            <w:tcW w:w="6840" w:type="dxa"/>
            <w:vAlign w:val="bottom"/>
          </w:tcPr>
          <w:p>
            <w:pPr>
              <w:spacing w:after="0"/>
              <w:rPr>
                <w:sz w:val="20"/>
                <w:szCs w:val="20"/>
                <w:color w:val="auto"/>
              </w:rPr>
            </w:pPr>
            <w:r>
              <w:rPr>
                <w:rFonts w:ascii="Arial" w:cs="Arial" w:eastAsia="Arial" w:hAnsi="Arial"/>
                <w:sz w:val="16"/>
                <w:szCs w:val="16"/>
                <w:b w:val="1"/>
                <w:bCs w:val="1"/>
                <w:color w:val="auto"/>
              </w:rPr>
              <w:t>Cash, cash equivalents and restricted cash at the end of period</w:t>
            </w:r>
          </w:p>
        </w:tc>
        <w:tc>
          <w:tcPr>
            <w:tcW w:w="102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966,837</w:t>
            </w:r>
          </w:p>
        </w:tc>
        <w:tc>
          <w:tcPr>
            <w:tcW w:w="180" w:type="dxa"/>
            <w:vAlign w:val="bottom"/>
          </w:tcPr>
          <w:p>
            <w:pPr>
              <w:spacing w:after="0"/>
              <w:rPr>
                <w:sz w:val="17"/>
                <w:szCs w:val="17"/>
                <w:color w:val="auto"/>
              </w:rPr>
            </w:pPr>
          </w:p>
        </w:tc>
        <w:tc>
          <w:tcPr>
            <w:tcW w:w="380" w:type="dxa"/>
            <w:vAlign w:val="bottom"/>
          </w:tcPr>
          <w:p>
            <w:pPr>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202,343</w:t>
            </w:r>
          </w:p>
        </w:tc>
      </w:tr>
      <w:tr>
        <w:trPr>
          <w:trHeight w:val="20"/>
        </w:trPr>
        <w:tc>
          <w:tcPr>
            <w:tcW w:w="6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6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68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6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r>
      <w:tr>
        <w:trPr>
          <w:trHeight w:val="243"/>
        </w:trPr>
        <w:tc>
          <w:tcPr>
            <w:tcW w:w="6840" w:type="dxa"/>
            <w:vAlign w:val="bottom"/>
          </w:tcPr>
          <w:p>
            <w:pPr>
              <w:ind w:left="260"/>
              <w:spacing w:after="0"/>
              <w:rPr>
                <w:sz w:val="20"/>
                <w:szCs w:val="20"/>
                <w:color w:val="auto"/>
              </w:rPr>
            </w:pPr>
            <w:r>
              <w:rPr>
                <w:rFonts w:ascii="Arial" w:cs="Arial" w:eastAsia="Arial" w:hAnsi="Arial"/>
                <w:sz w:val="16"/>
                <w:szCs w:val="16"/>
                <w:color w:val="auto"/>
              </w:rPr>
              <w:t>Cash paid for interest</w:t>
            </w:r>
          </w:p>
        </w:tc>
        <w:tc>
          <w:tcPr>
            <w:tcW w:w="102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3,525</w:t>
            </w:r>
          </w:p>
        </w:tc>
        <w:tc>
          <w:tcPr>
            <w:tcW w:w="180" w:type="dxa"/>
            <w:vAlign w:val="bottom"/>
          </w:tcPr>
          <w:p>
            <w:pPr>
              <w:spacing w:after="0"/>
              <w:rPr>
                <w:sz w:val="21"/>
                <w:szCs w:val="21"/>
                <w:color w:val="auto"/>
              </w:rPr>
            </w:pPr>
          </w:p>
        </w:tc>
        <w:tc>
          <w:tcPr>
            <w:tcW w:w="380" w:type="dxa"/>
            <w:vAlign w:val="bottom"/>
          </w:tcPr>
          <w:p>
            <w:pPr>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2,743</w:t>
            </w:r>
          </w:p>
        </w:tc>
      </w:tr>
      <w:tr>
        <w:trPr>
          <w:trHeight w:val="183"/>
        </w:trPr>
        <w:tc>
          <w:tcPr>
            <w:tcW w:w="6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64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140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380" w:type="dxa"/>
            <w:vAlign w:val="bottom"/>
            <w:tcBorders>
              <w:top w:val="single" w:sz="8" w:color="auto"/>
            </w:tcBorders>
            <w:shd w:val="clear" w:color="auto" w:fill="CFF0FC"/>
          </w:tcPr>
          <w:p>
            <w:pPr>
              <w:spacing w:after="0"/>
              <w:rPr>
                <w:sz w:val="15"/>
                <w:szCs w:val="15"/>
                <w:color w:val="auto"/>
              </w:rPr>
            </w:pPr>
          </w:p>
        </w:tc>
        <w:tc>
          <w:tcPr>
            <w:tcW w:w="1420" w:type="dxa"/>
            <w:vAlign w:val="bottom"/>
            <w:tcBorders>
              <w:top w:val="single" w:sz="8" w:color="auto"/>
            </w:tcBorders>
            <w:shd w:val="clear" w:color="auto" w:fill="CFF0FC"/>
          </w:tcPr>
          <w:p>
            <w:pPr>
              <w:spacing w:after="0"/>
              <w:rPr>
                <w:sz w:val="15"/>
                <w:szCs w:val="15"/>
                <w:color w:val="auto"/>
              </w:rPr>
            </w:pPr>
          </w:p>
        </w:tc>
      </w:tr>
      <w:tr>
        <w:trPr>
          <w:trHeight w:val="223"/>
        </w:trPr>
        <w:tc>
          <w:tcPr>
            <w:tcW w:w="6840" w:type="dxa"/>
            <w:vAlign w:val="bottom"/>
          </w:tcPr>
          <w:p>
            <w:pPr>
              <w:ind w:left="260"/>
              <w:spacing w:after="0"/>
              <w:rPr>
                <w:sz w:val="20"/>
                <w:szCs w:val="20"/>
                <w:color w:val="auto"/>
              </w:rPr>
            </w:pPr>
            <w:r>
              <w:rPr>
                <w:rFonts w:ascii="Arial" w:cs="Arial" w:eastAsia="Arial" w:hAnsi="Arial"/>
                <w:sz w:val="16"/>
                <w:szCs w:val="16"/>
                <w:color w:val="auto"/>
              </w:rPr>
              <w:t>Costs related to IPO included in accrued expenses and accounts payable</w:t>
            </w:r>
          </w:p>
        </w:tc>
        <w:tc>
          <w:tcPr>
            <w:tcW w:w="102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2,162</w:t>
            </w:r>
          </w:p>
        </w:tc>
      </w:tr>
      <w:tr>
        <w:trPr>
          <w:trHeight w:val="20"/>
        </w:trPr>
        <w:tc>
          <w:tcPr>
            <w:tcW w:w="684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gridSpan w:val="2"/>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r>
      <w:tr>
        <w:trPr>
          <w:trHeight w:val="183"/>
        </w:trPr>
        <w:tc>
          <w:tcPr>
            <w:tcW w:w="6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common stock for acquisition of business</w:t>
            </w:r>
          </w:p>
        </w:tc>
        <w:tc>
          <w:tcPr>
            <w:tcW w:w="1020" w:type="dxa"/>
            <w:vAlign w:val="bottom"/>
            <w:gridSpan w:val="3"/>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39,030</w:t>
            </w:r>
          </w:p>
        </w:tc>
        <w:tc>
          <w:tcPr>
            <w:tcW w:w="1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0"/>
        </w:trPr>
        <w:tc>
          <w:tcPr>
            <w:tcW w:w="684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tcBorders>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6840" w:type="dxa"/>
            <w:vAlign w:val="bottom"/>
          </w:tcPr>
          <w:p>
            <w:pPr>
              <w:ind w:left="260"/>
              <w:spacing w:after="0"/>
              <w:rPr>
                <w:sz w:val="20"/>
                <w:szCs w:val="20"/>
                <w:color w:val="auto"/>
              </w:rPr>
            </w:pPr>
            <w:r>
              <w:rPr>
                <w:rFonts w:ascii="Arial" w:cs="Arial" w:eastAsia="Arial" w:hAnsi="Arial"/>
                <w:sz w:val="16"/>
                <w:szCs w:val="16"/>
                <w:color w:val="auto"/>
              </w:rPr>
              <w:t>Fair value of unvested stock options assumed for acquisition of business</w:t>
            </w:r>
          </w:p>
        </w:tc>
        <w:tc>
          <w:tcPr>
            <w:tcW w:w="102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1,017</w:t>
            </w:r>
          </w:p>
        </w:tc>
        <w:tc>
          <w:tcPr>
            <w:tcW w:w="180" w:type="dxa"/>
            <w:vAlign w:val="bottom"/>
          </w:tcPr>
          <w:p>
            <w:pPr>
              <w:spacing w:after="0"/>
              <w:rPr>
                <w:sz w:val="17"/>
                <w:szCs w:val="17"/>
                <w:color w:val="auto"/>
              </w:rPr>
            </w:pPr>
          </w:p>
        </w:tc>
        <w:tc>
          <w:tcPr>
            <w:tcW w:w="380" w:type="dxa"/>
            <w:vAlign w:val="bottom"/>
          </w:tcPr>
          <w:p>
            <w:pPr>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0"/>
        </w:trPr>
        <w:tc>
          <w:tcPr>
            <w:tcW w:w="684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gridSpan w:val="2"/>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r>
      <w:tr>
        <w:trPr>
          <w:trHeight w:val="183"/>
        </w:trPr>
        <w:tc>
          <w:tcPr>
            <w:tcW w:w="6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Accrued property and equipment expenditures</w:t>
            </w:r>
          </w:p>
        </w:tc>
        <w:tc>
          <w:tcPr>
            <w:tcW w:w="1020" w:type="dxa"/>
            <w:vAlign w:val="bottom"/>
            <w:gridSpan w:val="3"/>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136</w:t>
            </w:r>
          </w:p>
        </w:tc>
        <w:tc>
          <w:tcPr>
            <w:tcW w:w="1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289</w:t>
            </w:r>
          </w:p>
        </w:tc>
      </w:tr>
      <w:tr>
        <w:trPr>
          <w:trHeight w:val="20"/>
        </w:trPr>
        <w:tc>
          <w:tcPr>
            <w:tcW w:w="684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8" w:lineRule="exact"/>
        <w:rPr>
          <w:sz w:val="20"/>
          <w:szCs w:val="20"/>
          <w:color w:val="auto"/>
        </w:rPr>
      </w:pPr>
    </w:p>
    <w:p>
      <w:pPr>
        <w:ind w:right="6720" w:firstLine="8"/>
        <w:spacing w:after="0" w:line="394" w:lineRule="auto"/>
        <w:tabs>
          <w:tab w:leader="none" w:pos="20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Description of Business and Basis of Presentation </w:t>
      </w:r>
      <w:r>
        <w:rPr>
          <w:rFonts w:ascii="Arial" w:cs="Arial" w:eastAsia="Arial" w:hAnsi="Arial"/>
          <w:sz w:val="17"/>
          <w:szCs w:val="17"/>
          <w:b w:val="1"/>
          <w:bCs w:val="1"/>
          <w:i w:val="1"/>
          <w:iCs w:val="1"/>
          <w:color w:val="auto"/>
        </w:rPr>
        <w:t>Description of Business and Organization</w:t>
      </w:r>
    </w:p>
    <w:p>
      <w:pPr>
        <w:spacing w:after="0" w:line="1" w:lineRule="exact"/>
        <w:rPr>
          <w:sz w:val="20"/>
          <w:szCs w:val="20"/>
          <w:color w:val="auto"/>
        </w:rPr>
      </w:pPr>
    </w:p>
    <w:p>
      <w:pPr>
        <w:ind w:firstLine="761"/>
        <w:spacing w:after="0" w:line="246" w:lineRule="auto"/>
        <w:rPr>
          <w:sz w:val="20"/>
          <w:szCs w:val="20"/>
          <w:color w:val="auto"/>
        </w:rPr>
      </w:pPr>
      <w:r>
        <w:rPr>
          <w:rFonts w:ascii="Arial" w:cs="Arial" w:eastAsia="Arial" w:hAnsi="Arial"/>
          <w:sz w:val="18"/>
          <w:szCs w:val="18"/>
          <w:color w:val="auto"/>
        </w:rPr>
        <w:t>Vroom, Inc., and its wholly owned subsidiaries (collectively, “the Company”) is an innovative, end-to-end ecommerce platform that is transforming the used vehicle industry by offering a better way to buy and a better way to sell used vehicles.</w:t>
      </w:r>
    </w:p>
    <w:p>
      <w:pPr>
        <w:spacing w:after="0" w:line="197" w:lineRule="exact"/>
        <w:rPr>
          <w:sz w:val="20"/>
          <w:szCs w:val="20"/>
          <w:color w:val="auto"/>
        </w:rPr>
      </w:pPr>
    </w:p>
    <w:p>
      <w:pPr>
        <w:ind w:right="40" w:firstLine="761"/>
        <w:spacing w:after="0" w:line="238" w:lineRule="auto"/>
        <w:rPr>
          <w:sz w:val="20"/>
          <w:szCs w:val="20"/>
          <w:color w:val="auto"/>
        </w:rPr>
      </w:pPr>
      <w:r>
        <w:rPr>
          <w:rFonts w:ascii="Arial" w:cs="Arial" w:eastAsia="Arial" w:hAnsi="Arial"/>
          <w:sz w:val="18"/>
          <w:szCs w:val="18"/>
          <w:color w:val="auto"/>
        </w:rPr>
        <w:t>In December 2015, the Company acquired Houston-based Left Gate Property Holding, LLC (d/b/a Texas Direct Auto and Vroom). The acquisition included the Company's proprietary vehicle reconditioning center, the Texas Direct Auto ("TDA") dealership, and Sell Us Your Car® centers. Left Gate Property Holding, LLC was renamed Vroom Automotive, LLC in March 2021, and is the primary operating entity for the Company's purchases and sales of used vehicles. In January 2021, the Company acquired Vast Holdings, Inc.(d/b/a CarStory).</w:t>
      </w:r>
    </w:p>
    <w:p>
      <w:pPr>
        <w:spacing w:after="0" w:line="205" w:lineRule="exact"/>
        <w:rPr>
          <w:sz w:val="20"/>
          <w:szCs w:val="20"/>
          <w:color w:val="auto"/>
        </w:rPr>
      </w:pPr>
    </w:p>
    <w:p>
      <w:pPr>
        <w:ind w:firstLine="761"/>
        <w:spacing w:after="0" w:line="238" w:lineRule="auto"/>
        <w:rPr>
          <w:sz w:val="20"/>
          <w:szCs w:val="20"/>
          <w:color w:val="auto"/>
        </w:rPr>
      </w:pPr>
      <w:r>
        <w:rPr>
          <w:rFonts w:ascii="Arial" w:cs="Arial" w:eastAsia="Arial" w:hAnsi="Arial"/>
          <w:sz w:val="18"/>
          <w:szCs w:val="18"/>
          <w:color w:val="auto"/>
        </w:rPr>
        <w:t>The Company currently is organized into three reportable segments: Ecommerce, Wholesale, and TDA. The Ecommerce reportable segment represents retail sales of used vehicles through the Company’s ecommerce platform and fees earned on sales of value-added products associated with those vehicles sales. The Wholesale reportable segment represents sales of used vehicles through wholesale channels. The TDA reportable segment represents retail sales of used vehicles from TDA and fees earned on sales of value-added products associated with those vehicles sales.</w:t>
      </w:r>
    </w:p>
    <w:p>
      <w:pPr>
        <w:spacing w:after="0" w:line="202" w:lineRule="exact"/>
        <w:rPr>
          <w:sz w:val="20"/>
          <w:szCs w:val="20"/>
          <w:color w:val="auto"/>
        </w:rPr>
      </w:pPr>
    </w:p>
    <w:p>
      <w:pPr>
        <w:ind w:right="160" w:firstLine="761"/>
        <w:spacing w:after="0" w:line="246" w:lineRule="auto"/>
        <w:rPr>
          <w:sz w:val="20"/>
          <w:szCs w:val="20"/>
          <w:color w:val="auto"/>
        </w:rPr>
      </w:pPr>
      <w:r>
        <w:rPr>
          <w:rFonts w:ascii="Arial" w:cs="Arial" w:eastAsia="Arial" w:hAnsi="Arial"/>
          <w:sz w:val="18"/>
          <w:szCs w:val="18"/>
          <w:color w:val="auto"/>
        </w:rPr>
        <w:t>The Company was incorporated in Delaware on January 31, 2012 under the name BCM Partners III, Corp. On June 25, 2013, the Company changed its name to Auto America, Inc. and on July 9, 2015, the Company changed its name to Vroom, Inc.</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Split</w:t>
      </w:r>
    </w:p>
    <w:p>
      <w:pPr>
        <w:spacing w:after="0" w:line="126" w:lineRule="exact"/>
        <w:rPr>
          <w:sz w:val="20"/>
          <w:szCs w:val="20"/>
          <w:color w:val="auto"/>
        </w:rPr>
      </w:pPr>
    </w:p>
    <w:p>
      <w:pPr>
        <w:ind w:right="80" w:firstLine="761"/>
        <w:spacing w:after="0" w:line="238" w:lineRule="auto"/>
        <w:rPr>
          <w:sz w:val="20"/>
          <w:szCs w:val="20"/>
          <w:color w:val="auto"/>
        </w:rPr>
      </w:pPr>
      <w:r>
        <w:rPr>
          <w:rFonts w:ascii="Arial" w:cs="Arial" w:eastAsia="Arial" w:hAnsi="Arial"/>
          <w:sz w:val="18"/>
          <w:szCs w:val="18"/>
          <w:color w:val="auto"/>
        </w:rPr>
        <w:t>In connection with the closing of the Company’s initial public offering (“IPO”) on June 11, 2020, the Company effected a 2-for-1 forward stock split of the Company’s common stock, which became effective immediately prior to the consummation of the IPO. All shares of the Company’s common stock, stock-based instruments, and per-share data included in these condensed consolidated financial statements have been retroactively adjusted as though the stock split has been effected prior to all periods presented.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closed its IPO on June 11, 2020 in which it sold 24,437,500 shares of common stock at the public offering price</w:t>
      </w:r>
    </w:p>
    <w:p>
      <w:pPr>
        <w:spacing w:after="0" w:line="234" w:lineRule="auto"/>
        <w:rPr>
          <w:sz w:val="20"/>
          <w:szCs w:val="20"/>
          <w:color w:val="auto"/>
        </w:rPr>
      </w:pPr>
      <w:r>
        <w:rPr>
          <w:rFonts w:ascii="Arial" w:cs="Arial" w:eastAsia="Arial" w:hAnsi="Arial"/>
          <w:sz w:val="18"/>
          <w:szCs w:val="18"/>
          <w:color w:val="auto"/>
        </w:rPr>
        <w:t>of $22.00 per share, including 3,187,500 shares sold pursuant to exercise by the underwriters of their option to purchase additional shares.</w:t>
      </w:r>
    </w:p>
    <w:p>
      <w:pPr>
        <w:spacing w:after="0" w:line="235" w:lineRule="auto"/>
        <w:rPr>
          <w:sz w:val="20"/>
          <w:szCs w:val="20"/>
          <w:color w:val="auto"/>
        </w:rPr>
      </w:pPr>
      <w:r>
        <w:rPr>
          <w:rFonts w:ascii="Arial" w:cs="Arial" w:eastAsia="Arial" w:hAnsi="Arial"/>
          <w:sz w:val="18"/>
          <w:szCs w:val="18"/>
          <w:color w:val="auto"/>
        </w:rPr>
        <w:t>The Company received proceeds of $504.0 million from the IPO, net of the underwriting discount and before deducting offering expenses of</w:t>
      </w:r>
    </w:p>
    <w:p>
      <w:pPr>
        <w:spacing w:after="0" w:line="235" w:lineRule="auto"/>
        <w:rPr>
          <w:sz w:val="20"/>
          <w:szCs w:val="20"/>
          <w:color w:val="auto"/>
        </w:rPr>
      </w:pPr>
      <w:r>
        <w:rPr>
          <w:rFonts w:ascii="Arial" w:cs="Arial" w:eastAsia="Arial" w:hAnsi="Arial"/>
          <w:sz w:val="18"/>
          <w:szCs w:val="18"/>
          <w:color w:val="auto"/>
        </w:rPr>
        <w:t>$7.5 million. In addition, in accordance with their terms, all shares of the Company’s outstanding redeemable convertible preferred stock</w:t>
      </w:r>
    </w:p>
    <w:p>
      <w:pPr>
        <w:spacing w:after="0"/>
        <w:rPr>
          <w:sz w:val="20"/>
          <w:szCs w:val="20"/>
          <w:color w:val="auto"/>
        </w:rPr>
      </w:pPr>
      <w:r>
        <w:rPr>
          <w:rFonts w:ascii="Arial" w:cs="Arial" w:eastAsia="Arial" w:hAnsi="Arial"/>
          <w:sz w:val="18"/>
          <w:szCs w:val="18"/>
          <w:color w:val="auto"/>
        </w:rPr>
        <w:t>were automatically converted into common stock upon the closing of the IPO.</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Follow-on Public Offering</w:t>
      </w:r>
    </w:p>
    <w:p>
      <w:pPr>
        <w:spacing w:after="0" w:line="126" w:lineRule="exact"/>
        <w:rPr>
          <w:sz w:val="20"/>
          <w:szCs w:val="20"/>
          <w:color w:val="auto"/>
        </w:rPr>
      </w:pPr>
    </w:p>
    <w:p>
      <w:pPr>
        <w:ind w:firstLine="761"/>
        <w:spacing w:after="0"/>
        <w:rPr>
          <w:sz w:val="20"/>
          <w:szCs w:val="20"/>
          <w:color w:val="auto"/>
        </w:rPr>
      </w:pPr>
      <w:r>
        <w:rPr>
          <w:rFonts w:ascii="Arial" w:cs="Arial" w:eastAsia="Arial" w:hAnsi="Arial"/>
          <w:sz w:val="18"/>
          <w:szCs w:val="18"/>
          <w:color w:val="auto"/>
        </w:rPr>
        <w:t>The Company closed its follow-on public offering on September 15, 2020 in which it sold 10,800,000 shares of common stock at the public offering price of $54.50 per share. The Company received proceeds of $569.5 million from the offering, net of the underwriting discount and before deducting offering expenses of $1.5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26" w:lineRule="exact"/>
        <w:rPr>
          <w:sz w:val="20"/>
          <w:szCs w:val="20"/>
          <w:color w:val="auto"/>
        </w:rPr>
      </w:pPr>
    </w:p>
    <w:p>
      <w:pPr>
        <w:ind w:right="40" w:firstLine="761"/>
        <w:spacing w:after="0" w:line="237" w:lineRule="auto"/>
        <w:rPr>
          <w:sz w:val="20"/>
          <w:szCs w:val="20"/>
          <w:color w:val="auto"/>
        </w:rPr>
      </w:pPr>
      <w:r>
        <w:rPr>
          <w:rFonts w:ascii="Arial" w:cs="Arial" w:eastAsia="Arial" w:hAnsi="Arial"/>
          <w:sz w:val="18"/>
          <w:szCs w:val="18"/>
          <w:color w:val="auto"/>
        </w:rPr>
        <w:t>The condensed consolidated financial statements of the Company have been prepared in accordance with U.S. generally accepted accounting principles (“U.S. GAAP”) and applicable rules and regulations of the U.S. Securities and Exchange Commission ("SEC") regarding interim financial reporting. The condensed consolidated balance sheet as of December 31, 2020, included herein, was derived from the audited consolidated financial statements as of that date. Certain information and note disclosures normally included in the financial statements prepared in accordance with U.S. GAAP have been condensed or omitted pursuant to such rules and regulations. Therefore, these condensed consolidated financial statements should be read in conjunction with the consolidated financial statements and notes included in the Annual Report on Form 10-K for the year ended December 31, 2020.</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2"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The unaudited condensed consolidated financial statements have been prepared on the same basis as the audited consolidated financial statements, and in management’s opinion, include all adjustments, which consist of only normal recurring adjustments necessary for the fair statement of the Company’s condensed consolidated balance sheet as of March 31, 2021 and its results of operations for the three months ended March 31, 2021 and 2020. The results for the three months ended March 31, 2021 are not necessarily indicative of the results expected for the current fiscal year or any other future periods. Certain prior year amounts have been reclassified to conform to the current year presentation.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26" w:lineRule="exact"/>
        <w:rPr>
          <w:sz w:val="20"/>
          <w:szCs w:val="20"/>
          <w:color w:val="auto"/>
        </w:rPr>
      </w:pPr>
    </w:p>
    <w:p>
      <w:pPr>
        <w:ind w:right="600" w:firstLine="749"/>
        <w:spacing w:after="0" w:line="277"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 owned subsidiaries. All intercompany accounts and transactions have been eliminated in consolidation.</w:t>
      </w:r>
    </w:p>
    <w:p>
      <w:pPr>
        <w:spacing w:after="0" w:line="297" w:lineRule="exact"/>
        <w:rPr>
          <w:sz w:val="20"/>
          <w:szCs w:val="20"/>
          <w:color w:val="auto"/>
        </w:rPr>
      </w:pPr>
    </w:p>
    <w:p>
      <w:pPr>
        <w:ind w:right="7240" w:firstLine="8"/>
        <w:spacing w:after="0" w:line="388" w:lineRule="auto"/>
        <w:tabs>
          <w:tab w:leader="none" w:pos="2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Use of Estimates</w:t>
      </w:r>
    </w:p>
    <w:p>
      <w:pPr>
        <w:spacing w:after="0" w:line="1" w:lineRule="exact"/>
        <w:rPr>
          <w:sz w:val="20"/>
          <w:szCs w:val="20"/>
          <w:color w:val="auto"/>
        </w:rPr>
      </w:pPr>
    </w:p>
    <w:p>
      <w:pPr>
        <w:ind w:right="40" w:firstLine="761"/>
        <w:spacing w:after="0" w:line="237" w:lineRule="auto"/>
        <w:rPr>
          <w:sz w:val="20"/>
          <w:szCs w:val="20"/>
          <w:color w:val="auto"/>
        </w:rPr>
      </w:pPr>
      <w:r>
        <w:rPr>
          <w:rFonts w:ascii="Arial" w:cs="Arial" w:eastAsia="Arial" w:hAnsi="Arial"/>
          <w:sz w:val="18"/>
          <w:szCs w:val="18"/>
          <w:color w:val="auto"/>
        </w:rPr>
        <w:t>The preparation of condensed consolidated financial statements in accordance with U.S. GAAP requires management to make estimates, assumptions and judgments that affect the reported amounts of assets, liabilities, revenue, and expenses and related disclosures. On an ongoing basis, the Company evaluates its estimates, including, among others, those related to income taxes, the realizability of inventory, stock-based compensation, contingencies, revenue-related reserves, fair value measurements, goodwill, and useful lives of property and equipment and intangible assets. The Company bases its estimates on historical experience, market conditions, and on various other assumptions that are believed to be reasonable. Actual results may differ from these estimates.</w:t>
      </w:r>
    </w:p>
    <w:p>
      <w:pPr>
        <w:spacing w:after="0" w:line="205" w:lineRule="exact"/>
        <w:rPr>
          <w:sz w:val="20"/>
          <w:szCs w:val="20"/>
          <w:color w:val="auto"/>
        </w:rPr>
      </w:pPr>
    </w:p>
    <w:p>
      <w:pPr>
        <w:ind w:right="120" w:firstLine="761"/>
        <w:spacing w:after="0" w:line="238" w:lineRule="auto"/>
        <w:rPr>
          <w:sz w:val="20"/>
          <w:szCs w:val="20"/>
          <w:color w:val="auto"/>
        </w:rPr>
      </w:pPr>
      <w:r>
        <w:rPr>
          <w:rFonts w:ascii="Arial" w:cs="Arial" w:eastAsia="Arial" w:hAnsi="Arial"/>
          <w:sz w:val="18"/>
          <w:szCs w:val="18"/>
          <w:color w:val="auto"/>
        </w:rPr>
        <w:t>Due to the evolving and uncertain nature of the COVID-19 pandemic, it is reasonably possible that it could materially impact the Company’s estimates, particularly those noted above that require consideration of forecasted financial information, in the near to medium term. The ultimate impact will depend on numerous evolving factors that the Company may not be able to accurately predict, including the duration and extent of the pandemic, the impact of federal, state, local and foreign governmental actions, consumer behavior in response to the pandemic and other economic and operational conditions the Company may face.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did not have any other comprehensive income or loss for the three months ended March 31, 2021 and 2020.</w:t>
      </w:r>
    </w:p>
    <w:p>
      <w:pPr>
        <w:spacing w:after="0"/>
        <w:rPr>
          <w:sz w:val="20"/>
          <w:szCs w:val="20"/>
          <w:color w:val="auto"/>
        </w:rPr>
      </w:pPr>
      <w:r>
        <w:rPr>
          <w:rFonts w:ascii="Arial" w:cs="Arial" w:eastAsia="Arial" w:hAnsi="Arial"/>
          <w:sz w:val="18"/>
          <w:szCs w:val="18"/>
          <w:color w:val="auto"/>
        </w:rPr>
        <w:t>Accordingly, net loss and comprehensive loss are the same for the periods presented.</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39" w:lineRule="exact"/>
        <w:rPr>
          <w:sz w:val="20"/>
          <w:szCs w:val="20"/>
          <w:color w:val="auto"/>
        </w:rPr>
      </w:pPr>
    </w:p>
    <w:p>
      <w:pPr>
        <w:ind w:right="160" w:firstLine="761"/>
        <w:spacing w:after="0"/>
        <w:rPr>
          <w:sz w:val="20"/>
          <w:szCs w:val="20"/>
          <w:color w:val="auto"/>
        </w:rPr>
      </w:pPr>
      <w:r>
        <w:rPr>
          <w:rFonts w:ascii="Arial" w:cs="Arial" w:eastAsia="Arial" w:hAnsi="Arial"/>
          <w:sz w:val="18"/>
          <w:szCs w:val="18"/>
          <w:color w:val="auto"/>
        </w:rPr>
        <w:t>Restricted cash includes cash deposits required under letter of credit agreements as explained in Note 10 – Commitments and Contingencies. As of March 31, 2021 and December 31, 2020, restricted cash also includes $24.7 million and $31.6 million, respectively, of cash deposits required under the Company’s 2020 Vehicle Floorplan Facility as explained in Note 9 – Vehicle Floorplan Facilities.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39" w:lineRule="exact"/>
        <w:rPr>
          <w:sz w:val="20"/>
          <w:szCs w:val="20"/>
          <w:color w:val="auto"/>
        </w:rPr>
      </w:pPr>
    </w:p>
    <w:p>
      <w:pPr>
        <w:ind w:right="40" w:firstLine="749"/>
        <w:spacing w:after="0" w:line="236" w:lineRule="auto"/>
        <w:rPr>
          <w:sz w:val="20"/>
          <w:szCs w:val="20"/>
          <w:color w:val="auto"/>
        </w:rPr>
      </w:pPr>
      <w:r>
        <w:rPr>
          <w:rFonts w:ascii="Arial" w:cs="Arial" w:eastAsia="Arial" w:hAnsi="Arial"/>
          <w:sz w:val="18"/>
          <w:szCs w:val="18"/>
          <w:color w:val="auto"/>
        </w:rPr>
        <w:t>The Company uses its best estimates and assumptions to assign fair value to the tangible and intangible assets acquired and liabilities assumed at the acquisition date. The Company’s estimates are inherently uncertain and subject to refinement. During the measurement period, which may be up to one year from the acquisition date, the Company may record adjustments to the fair value of these tangible and intangible assets acquired and liabilities assumed, with the corresponding offset to goodwill. The Company will continue to collect information and reevaluate these estimates and assumptions quarterly and record any adjustments to the Company’s preliminary estimates to goodwill provided that the Company is within the measurement period. Upon the conclusion of the measurement period or final determination of the fair value of assets acquired or liabilities assumed, whichever comes first, any subsequent adjustments will be recorded to the Company’s condensed consolidated statement of operations.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39" w:lineRule="exact"/>
        <w:rPr>
          <w:sz w:val="20"/>
          <w:szCs w:val="20"/>
          <w:color w:val="auto"/>
        </w:rPr>
      </w:pPr>
    </w:p>
    <w:p>
      <w:pPr>
        <w:ind w:right="340" w:firstLine="761"/>
        <w:spacing w:after="0"/>
        <w:rPr>
          <w:sz w:val="20"/>
          <w:szCs w:val="20"/>
          <w:color w:val="auto"/>
        </w:rPr>
      </w:pPr>
      <w:r>
        <w:rPr>
          <w:rFonts w:ascii="Arial" w:cs="Arial" w:eastAsia="Arial" w:hAnsi="Arial"/>
          <w:sz w:val="18"/>
          <w:szCs w:val="18"/>
          <w:color w:val="auto"/>
        </w:rPr>
        <w:t>Advertising costs are expensed as incurred and are included within “Selling, general and administrative expenses” in the condensed consolidated statements of operations. Advertising expenses were $29.6 million and $17.9 million for the three months ended March 31, 2021 and 2020, respectively.</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w:t>
      </w:r>
    </w:p>
    <w:p>
      <w:pPr>
        <w:spacing w:after="0" w:line="139" w:lineRule="exact"/>
        <w:rPr>
          <w:sz w:val="20"/>
          <w:szCs w:val="20"/>
          <w:color w:val="auto"/>
        </w:rPr>
      </w:pPr>
    </w:p>
    <w:p>
      <w:pPr>
        <w:ind w:right="40" w:firstLine="761"/>
        <w:spacing w:after="0" w:line="238" w:lineRule="auto"/>
        <w:rPr>
          <w:sz w:val="20"/>
          <w:szCs w:val="20"/>
          <w:color w:val="auto"/>
        </w:rPr>
      </w:pPr>
      <w:r>
        <w:rPr>
          <w:rFonts w:ascii="Arial" w:cs="Arial" w:eastAsia="Arial" w:hAnsi="Arial"/>
          <w:sz w:val="18"/>
          <w:szCs w:val="18"/>
          <w:color w:val="auto"/>
        </w:rPr>
        <w:t>The Company’s logistics costs related to transporting its used vehicle inventory primarily include third-party transportation fees. The portion of these costs related to inbound transportation from the point of acquisition to the relevant reconditioning facility is included in cost of sales when the related used vehicle is sold. Logistics costs not included in cost of sales are accounted for as costs to fulfil contracts with customers and are included in “Selling, general and administrative expenses” in the condensed consolidated statements of operations and were $15.4 million and $5.8 million for the three months ended March 31, 2021 and 2020, respectively.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Significant Customers</w:t>
      </w:r>
    </w:p>
    <w:p>
      <w:pPr>
        <w:spacing w:after="0" w:line="139"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The Company’s principal financial instruments subject to potential concentration of credit risk are cash and cash equivalents and accounts receivable, which are unsecured. The Company’s cash balances are maintained at various large financial institutions. Deposits held with financial institutions may at times exceed the amount of insurance provided on such deposits. Generally, these deposits may be redeemed upon demand and, therefore, management believes they bear minimal risk. The Company’s cash equivalents primarily consist of money market funds that hold investments in highly liquid US treasury securities. Concentration of credit risk with respect to accounts receivable is generally mitigated by a large customer base.</w:t>
      </w:r>
    </w:p>
    <w:p>
      <w:pPr>
        <w:spacing w:after="0" w:line="245" w:lineRule="exact"/>
        <w:rPr>
          <w:sz w:val="20"/>
          <w:szCs w:val="20"/>
          <w:color w:val="auto"/>
        </w:rPr>
      </w:pPr>
    </w:p>
    <w:p>
      <w:pPr>
        <w:ind w:right="140" w:firstLine="761"/>
        <w:spacing w:after="0" w:line="246" w:lineRule="auto"/>
        <w:rPr>
          <w:sz w:val="20"/>
          <w:szCs w:val="20"/>
          <w:color w:val="auto"/>
        </w:rPr>
      </w:pPr>
      <w:r>
        <w:rPr>
          <w:rFonts w:ascii="Arial" w:cs="Arial" w:eastAsia="Arial" w:hAnsi="Arial"/>
          <w:sz w:val="18"/>
          <w:szCs w:val="18"/>
          <w:color w:val="auto"/>
        </w:rPr>
        <w:t>For the three months ended March 31, 2021 and 2020, no customer represented 10% or more of the Company’s revenues and no customer represented more than 10% of the Company’s accounts receivable as of March 31, 2021 and December 31, 2020.</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39" w:lineRule="exact"/>
        <w:rPr>
          <w:sz w:val="20"/>
          <w:szCs w:val="20"/>
          <w:color w:val="auto"/>
        </w:rPr>
      </w:pPr>
    </w:p>
    <w:p>
      <w:pPr>
        <w:ind w:right="140" w:firstLine="761"/>
        <w:spacing w:after="0" w:line="238" w:lineRule="auto"/>
        <w:rPr>
          <w:sz w:val="20"/>
          <w:szCs w:val="20"/>
          <w:color w:val="auto"/>
        </w:rPr>
      </w:pPr>
      <w:r>
        <w:rPr>
          <w:rFonts w:ascii="Arial" w:cs="Arial" w:eastAsia="Arial" w:hAnsi="Arial"/>
          <w:sz w:val="18"/>
          <w:szCs w:val="18"/>
          <w:color w:val="auto"/>
        </w:rPr>
        <w:t>The Company has had negative cash flows and losses from operations since inception which it has funded primarily through issuances of common and preferred stock. The Company has historically funded vehicle inventory purchases through a vehicle floorplan facility. As further discussed in Note 9 – Vehicle Floorplan Facilities, the Company entered into a new facility in March 2020 which increased the borrowing capacity to $450.0 million. In October 2020, the Vehicle Floorplan Facility was amended to extend the maturity date to September 2022.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Share-Based Payments</w:t>
      </w:r>
    </w:p>
    <w:p>
      <w:pPr>
        <w:spacing w:after="0" w:line="139"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On May 15, 2020, the Company entered into an agreement with Rocket Auto LLC and certain of its affiliates (collectively, “Rocket”) providing for the launch of an ecommerce platform under the “Rocket Auto” brand for the marketing and sale of vehicles directly to consumers (the “RA Agreement”). The Company will list its used vehicle inventory for sale on the Rocket Auto platform, but all sales of the Company’s inventory will be conducted through the Company’s platform. Rocket Auto is expected to launch publicly during 2021 and, during the term of the RA Agreement, Rocket has agreed to ensure that not less than a minimum percentage of all used vehicles sold or leased through the platform on a monthly basis will be Vroom inventory. The Company issued Rocket 183,870 shares of the Company’s common stock upon execution of the RA Agreement. The Company will pay Rocket a combination of cash and stock for vehicle sales made through the platform. Rocket may earn up to 8,641,914 shares of common stock over a four-year period based upon sales volume of Vroom inventory through the Rocket Auto platform.</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The Company accounts for the issuance of its common stock under the RA agreement in accordance with ASC 718, </w:t>
      </w:r>
      <w:r>
        <w:rPr>
          <w:rFonts w:ascii="Arial" w:cs="Arial" w:eastAsia="Arial" w:hAnsi="Arial"/>
          <w:sz w:val="18"/>
          <w:szCs w:val="18"/>
          <w:i w:val="1"/>
          <w:iCs w:val="1"/>
          <w:color w:val="auto"/>
        </w:rPr>
        <w:t>Compensation</w:t>
      </w:r>
    </w:p>
    <w:p>
      <w:pPr>
        <w:spacing w:after="0" w:line="14"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i w:val="1"/>
          <w:iCs w:val="1"/>
          <w:color w:val="auto"/>
        </w:rPr>
        <w:t>– Stock Compensation</w:t>
      </w:r>
      <w:r>
        <w:rPr>
          <w:rFonts w:ascii="Arial" w:cs="Arial" w:eastAsia="Arial" w:hAnsi="Arial"/>
          <w:sz w:val="17"/>
          <w:szCs w:val="17"/>
          <w:color w:val="auto"/>
        </w:rPr>
        <w:t>, including the provisions that apply to share-based payments issued to nonemployees for goods or services.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determined that the grant date was May 15, 2020 for both the upfront shares issued and the additional shares that potentially are to be issued based on sales volume through the Rocket Auto platform. The fair value of the Company’s common stock on the grant date was determined to be $11.57 per share. The grant date fair value of the upfront shares issued was initially recognized as an asset within “Other assets” in the condensed consolidated balance sheet, which will subsequently be amortized within “Selling, general and administrative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p>
      <w:pPr>
        <w:ind w:right="60"/>
        <w:spacing w:after="0"/>
        <w:rPr>
          <w:sz w:val="20"/>
          <w:szCs w:val="20"/>
          <w:color w:val="auto"/>
        </w:rPr>
      </w:pPr>
      <w:r>
        <w:rPr>
          <w:rFonts w:ascii="Arial" w:cs="Arial" w:eastAsia="Arial" w:hAnsi="Arial"/>
          <w:sz w:val="18"/>
          <w:szCs w:val="18"/>
          <w:color w:val="auto"/>
        </w:rPr>
        <w:t>expenses” over the term of the RA agreement commencing on the launch date. The grant date fair value of the potential shares to be issued will be recognized within “Selling, general and administrative expenses” as sales of Vroom’s inventory associated with the Rocket Auto platform occur and such shares are earned.</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Adopted</w:t>
      </w:r>
    </w:p>
    <w:p>
      <w:pPr>
        <w:spacing w:after="0" w:line="121" w:lineRule="exact"/>
        <w:rPr>
          <w:sz w:val="20"/>
          <w:szCs w:val="20"/>
          <w:color w:val="auto"/>
        </w:rPr>
      </w:pPr>
    </w:p>
    <w:p>
      <w:pPr>
        <w:jc w:val="both"/>
        <w:ind w:right="80" w:firstLine="749"/>
        <w:spacing w:after="0" w:line="242"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which enhances and simplifies various aspects of the income tax accounting guidance including the elimination of certain exceptions related to the approach for intraperiod tax allocation, the methodology for calculating income taxes in an interim period and the recognition of deferred tax liabilities for outside basis differences. The Company adopted the guidance on January 1, 2021 which did not have a material impact on the Company’s condensed consolidated financial statements and related disclosures.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126" w:lineRule="exact"/>
        <w:rPr>
          <w:sz w:val="20"/>
          <w:szCs w:val="20"/>
          <w:color w:val="auto"/>
        </w:rPr>
      </w:pPr>
    </w:p>
    <w:p>
      <w:pPr>
        <w:ind w:right="20" w:firstLine="761"/>
        <w:spacing w:after="0" w:line="238" w:lineRule="auto"/>
        <w:rPr>
          <w:sz w:val="20"/>
          <w:szCs w:val="20"/>
          <w:color w:val="auto"/>
        </w:rPr>
      </w:pPr>
      <w:r>
        <w:rPr>
          <w:rFonts w:ascii="Arial" w:cs="Arial" w:eastAsia="Arial" w:hAnsi="Arial"/>
          <w:sz w:val="18"/>
          <w:szCs w:val="18"/>
          <w:color w:val="auto"/>
        </w:rPr>
        <w:t>The Company recognizes revenue upon transfer of control of goods or services to customers, in an amount that reflects the consideration to which the Company expects to be entitled in exchange for those goods or services. The Company may collect sales taxes and other taxes from customers on behalf of governmental authorities at the time of sale as required. These taxes are accounted for on a net basis and are not included in revenues or cost of sales.</w:t>
      </w:r>
    </w:p>
    <w:p>
      <w:pPr>
        <w:spacing w:after="0" w:line="205" w:lineRule="exact"/>
        <w:rPr>
          <w:sz w:val="20"/>
          <w:szCs w:val="20"/>
          <w:color w:val="auto"/>
        </w:rPr>
      </w:pPr>
    </w:p>
    <w:p>
      <w:pPr>
        <w:ind w:right="500" w:firstLine="761"/>
        <w:spacing w:after="0" w:line="246" w:lineRule="auto"/>
        <w:rPr>
          <w:sz w:val="20"/>
          <w:szCs w:val="20"/>
          <w:color w:val="auto"/>
        </w:rPr>
      </w:pPr>
      <w:r>
        <w:rPr>
          <w:rFonts w:ascii="Arial" w:cs="Arial" w:eastAsia="Arial" w:hAnsi="Arial"/>
          <w:sz w:val="18"/>
          <w:szCs w:val="18"/>
          <w:color w:val="auto"/>
        </w:rPr>
        <w:t>The Company’s revenue is disaggregated within the condensed consolidated statements of operations and is generated from customers throughout the United States. The Company recognizes revenue at a point in time as described below.</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Vehicle Revenue</w:t>
      </w:r>
    </w:p>
    <w:p>
      <w:pPr>
        <w:spacing w:after="0" w:line="126" w:lineRule="exact"/>
        <w:rPr>
          <w:sz w:val="20"/>
          <w:szCs w:val="20"/>
          <w:color w:val="auto"/>
        </w:rPr>
      </w:pPr>
    </w:p>
    <w:p>
      <w:pPr>
        <w:ind w:right="240" w:firstLine="761"/>
        <w:spacing w:after="0" w:line="236" w:lineRule="auto"/>
        <w:rPr>
          <w:sz w:val="20"/>
          <w:szCs w:val="20"/>
          <w:color w:val="auto"/>
        </w:rPr>
      </w:pPr>
      <w:r>
        <w:rPr>
          <w:rFonts w:ascii="Arial" w:cs="Arial" w:eastAsia="Arial" w:hAnsi="Arial"/>
          <w:sz w:val="18"/>
          <w:szCs w:val="18"/>
          <w:color w:val="auto"/>
        </w:rPr>
        <w:t>The Company sells used vehicles to its retail customers through its ecommerce platform and TDA retail location. The transaction price for used vehicles is a fixed amount as set forth within the customer contract at the time of sale. Customers frequently trade-in their existing vehicle to apply toward the transaction price of a used vehicle. Trade-in vehicles represent non-cash consideration which the Company measures at fair value based on external and internal market data for each specific vehicle. The Company satisfies its performance obligation and recognizes revenue for used vehicle sales generally at a point in time when the vehicles are delivered to the customer for ecommerce sales or picked up by the customer for TDA sales. The revenue recognized by the Company includes the agreed upon transaction price, including any delivery charges stated within the customer contract. Revenue excludes any sales taxes, title and registration fees, and other government fees that are collected from customers.</w:t>
      </w:r>
    </w:p>
    <w:p>
      <w:pPr>
        <w:spacing w:after="0" w:line="208" w:lineRule="exact"/>
        <w:rPr>
          <w:sz w:val="20"/>
          <w:szCs w:val="20"/>
          <w:color w:val="auto"/>
        </w:rPr>
      </w:pPr>
    </w:p>
    <w:p>
      <w:pPr>
        <w:ind w:right="100" w:firstLine="761"/>
        <w:spacing w:after="0"/>
        <w:rPr>
          <w:sz w:val="20"/>
          <w:szCs w:val="20"/>
          <w:color w:val="auto"/>
        </w:rPr>
      </w:pPr>
      <w:r>
        <w:rPr>
          <w:rFonts w:ascii="Arial" w:cs="Arial" w:eastAsia="Arial" w:hAnsi="Arial"/>
          <w:sz w:val="18"/>
          <w:szCs w:val="18"/>
          <w:color w:val="auto"/>
        </w:rPr>
        <w:t>The Company receives payment for used vehicle sales directly from the customer at the time of sale or from third-party financial institutions within a short period of time following the sale if the customer obtains financing. Payments received prior to delivery or pick-up of used vehicles are recorded as “Deferred revenue” within the condensed consolidated balance sheets.</w:t>
      </w:r>
    </w:p>
    <w:p>
      <w:pPr>
        <w:spacing w:after="0" w:line="203" w:lineRule="exact"/>
        <w:rPr>
          <w:sz w:val="20"/>
          <w:szCs w:val="20"/>
          <w:color w:val="auto"/>
        </w:rPr>
      </w:pPr>
    </w:p>
    <w:p>
      <w:pPr>
        <w:ind w:right="60" w:firstLine="761"/>
        <w:spacing w:after="0"/>
        <w:rPr>
          <w:sz w:val="20"/>
          <w:szCs w:val="20"/>
          <w:color w:val="auto"/>
        </w:rPr>
      </w:pPr>
      <w:r>
        <w:rPr>
          <w:rFonts w:ascii="Arial" w:cs="Arial" w:eastAsia="Arial" w:hAnsi="Arial"/>
          <w:sz w:val="18"/>
          <w:szCs w:val="18"/>
          <w:color w:val="auto"/>
        </w:rPr>
        <w:t>The Company offers a return program for used vehicle sales and establishes a provision for estimated returns based on historical information and current trends. The reserve for estimated returns is presented gross on the condensed consolidated balance sheets, with an asset recorded in “Prepaid expenses and other current assets” and a refund liability recorded in “Other current liabilities.”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Vehicle Revenue</w:t>
      </w:r>
    </w:p>
    <w:p>
      <w:pPr>
        <w:spacing w:after="0" w:line="126"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The Company sells vehicles that do not meet its retail sales criteria through wholesale channels. Vehicles sold through wholesale channels are acquired from customers who trade-in their vehicles when making a purchase from the Company, from customers who sell their vehicles to the Company in direct-buy transactions, and from liquidation of vehicles previously listed for retail sale. The transaction price for wholesale vehicles is a fixed amount. The Company satisfies its performance obligation and recognizes revenue for wholesale vehicle sales at a point in time when the vehicle is sold. The transaction price is typically due and collected within a short period of time following the vehicle sales.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26" w:lineRule="exact"/>
        <w:rPr>
          <w:sz w:val="20"/>
          <w:szCs w:val="20"/>
          <w:color w:val="auto"/>
        </w:rPr>
      </w:pPr>
    </w:p>
    <w:p>
      <w:pPr>
        <w:ind w:right="100" w:firstLine="761"/>
        <w:spacing w:after="0" w:line="238" w:lineRule="auto"/>
        <w:rPr>
          <w:sz w:val="20"/>
          <w:szCs w:val="20"/>
          <w:color w:val="auto"/>
        </w:rPr>
      </w:pPr>
      <w:r>
        <w:rPr>
          <w:rFonts w:ascii="Arial" w:cs="Arial" w:eastAsia="Arial" w:hAnsi="Arial"/>
          <w:sz w:val="18"/>
          <w:szCs w:val="18"/>
          <w:color w:val="auto"/>
        </w:rPr>
        <w:t>The Company’s product revenue consists of fees earned on selling vehicle service contracts, guaranteed asset protection (“GAP”) and tire and wheel coverage. The Company sells these products pursuant to arrangements with the third parties that provide these products and are responsible for their fulfillment. The Company concluded that it is an agent for these transactions because it does not control the products before they are transferred to the customer. The Company recognizes product revenues on a net basis when the customer enters into an arrangement for the products, which is typically at the time of a used vehicle sale.</w:t>
      </w:r>
    </w:p>
    <w:p>
      <w:pPr>
        <w:spacing w:after="0" w:line="202" w:lineRule="exact"/>
        <w:rPr>
          <w:sz w:val="20"/>
          <w:szCs w:val="20"/>
          <w:color w:val="auto"/>
        </w:rPr>
      </w:pPr>
    </w:p>
    <w:p>
      <w:pPr>
        <w:ind w:right="360" w:firstLine="761"/>
        <w:spacing w:after="0" w:line="238" w:lineRule="auto"/>
        <w:rPr>
          <w:sz w:val="20"/>
          <w:szCs w:val="20"/>
          <w:color w:val="auto"/>
        </w:rPr>
      </w:pPr>
      <w:r>
        <w:rPr>
          <w:rFonts w:ascii="Arial" w:cs="Arial" w:eastAsia="Arial" w:hAnsi="Arial"/>
          <w:sz w:val="18"/>
          <w:szCs w:val="18"/>
          <w:color w:val="auto"/>
        </w:rPr>
        <w:t>Customers may enter into a retail installment sales contract to finance the purchase of used vehicles. The Company sells these contracts on a non-recourse basis to various financial institutions. The Company receives a fee from the financial institution based on the difference between the interest rate charged to the customer that purchased the used vehicle and the interest rate set by the financial institution. These fees are recognized upon sale and assignment of the installment sales contract to the financial institution, which occurs concurrently at the time of a used vehicle sale.</w:t>
      </w:r>
    </w:p>
    <w:p>
      <w:pPr>
        <w:spacing w:after="0" w:line="202"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A portion of the fees earned on these products is subject to chargebacks in the event of early termination, default, or prepayment of the contracts by end-customers. The Company’s exposure for these events is limited to the fees that it receives. An estimated refund liability for chargebacks against the revenue recognized from sales of these products is recorded in the period in which the related revenue is recognized and is based primarily on the Company’s historical chargeback experience. The Company updates its estimates at each reporting date. As of March 31, 2021 and December 31, 2020, the Company’s reserve for chargebacks was $4.7 million and $3.8 million, respectively, of which $2.2 million and $1.7 million, respectively, are included within “Accrued expenses” and $2.5 million and $2.1 million, respectively, are included in “Other long-term liabilities.”</w:t>
      </w:r>
    </w:p>
    <w:p>
      <w:pPr>
        <w:spacing w:after="0" w:line="203" w:lineRule="exact"/>
        <w:rPr>
          <w:sz w:val="20"/>
          <w:szCs w:val="20"/>
          <w:color w:val="auto"/>
        </w:rPr>
      </w:pPr>
    </w:p>
    <w:p>
      <w:pPr>
        <w:ind w:right="20" w:firstLine="761"/>
        <w:spacing w:after="0" w:line="236" w:lineRule="auto"/>
        <w:rPr>
          <w:sz w:val="20"/>
          <w:szCs w:val="20"/>
          <w:color w:val="auto"/>
        </w:rPr>
      </w:pPr>
      <w:r>
        <w:rPr>
          <w:rFonts w:ascii="Arial" w:cs="Arial" w:eastAsia="Arial" w:hAnsi="Arial"/>
          <w:sz w:val="18"/>
          <w:szCs w:val="18"/>
          <w:color w:val="auto"/>
        </w:rPr>
        <w:t>The Company also is contractually entitled to receive profit-sharing revenues based on the performance of the vehicle service policies once a required claims period has passed. The Company recognizes profit-sharing revenues to the extent it is probable that it will not result in a significant revenue reversal. The Company estimates the revenue based on historical claims and cancellation data from its customers, as well as other qualitative assumptions. The Company reassesses the estimate at each reporting period with any changes reflected as an adjustment to revenues in the period identified. As of March 31, 2021 and December 31, 2020, the Company recognized $12.1 million and $11.5 million, respectively, related to cumulative profit-sharing payments to which it expects to be entitled, of which $0.9 million and $ 0.8 million, respectively, are included within “Prepaid expenses and other current assets” and $11.2 million and $10.7 million, respectively, are included within “Other assets.”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w:t>
      </w:r>
    </w:p>
    <w:p>
      <w:pPr>
        <w:spacing w:after="0" w:line="126" w:lineRule="exact"/>
        <w:rPr>
          <w:sz w:val="20"/>
          <w:szCs w:val="20"/>
          <w:color w:val="auto"/>
        </w:rPr>
      </w:pPr>
    </w:p>
    <w:p>
      <w:pPr>
        <w:ind w:right="140" w:firstLine="761"/>
        <w:spacing w:after="0" w:line="246" w:lineRule="auto"/>
        <w:rPr>
          <w:sz w:val="20"/>
          <w:szCs w:val="20"/>
          <w:color w:val="auto"/>
        </w:rPr>
      </w:pPr>
      <w:r>
        <w:rPr>
          <w:rFonts w:ascii="Arial" w:cs="Arial" w:eastAsia="Arial" w:hAnsi="Arial"/>
          <w:sz w:val="18"/>
          <w:szCs w:val="18"/>
          <w:color w:val="auto"/>
        </w:rPr>
        <w:t>Other revenue consists of labor and parts revenue earned by the Company for vehicle repair services at TDA and, commencing in the first quarter of 2021, revenue from CarStory.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126" w:lineRule="exact"/>
        <w:rPr>
          <w:sz w:val="20"/>
          <w:szCs w:val="20"/>
          <w:color w:val="auto"/>
        </w:rPr>
      </w:pPr>
    </w:p>
    <w:p>
      <w:pPr>
        <w:ind w:right="60" w:firstLine="749"/>
        <w:spacing w:after="0" w:line="246" w:lineRule="auto"/>
        <w:rPr>
          <w:sz w:val="20"/>
          <w:szCs w:val="20"/>
          <w:color w:val="auto"/>
        </w:rPr>
      </w:pPr>
      <w:r>
        <w:rPr>
          <w:rFonts w:ascii="Arial" w:cs="Arial" w:eastAsia="Arial" w:hAnsi="Arial"/>
          <w:sz w:val="18"/>
          <w:szCs w:val="18"/>
          <w:color w:val="auto"/>
        </w:rPr>
        <w:t>The Company has elected, as a practical expedient, to expense sales commissions when incurred because the amortization period would have been less than one year. These costs are recorded within “Selling, general and administrative expenses” in the condensed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operations.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w:t>
      </w:r>
    </w:p>
    <w:p>
      <w:pPr>
        <w:spacing w:after="0" w:line="126" w:lineRule="exact"/>
        <w:rPr>
          <w:sz w:val="20"/>
          <w:szCs w:val="20"/>
          <w:color w:val="auto"/>
        </w:rPr>
      </w:pPr>
    </w:p>
    <w:p>
      <w:pPr>
        <w:ind w:right="40" w:firstLine="749"/>
        <w:spacing w:after="0" w:line="236" w:lineRule="auto"/>
        <w:rPr>
          <w:sz w:val="20"/>
          <w:szCs w:val="20"/>
          <w:color w:val="auto"/>
        </w:rPr>
      </w:pPr>
      <w:r>
        <w:rPr>
          <w:rFonts w:ascii="Arial" w:cs="Arial" w:eastAsia="Arial" w:hAnsi="Arial"/>
          <w:sz w:val="18"/>
          <w:szCs w:val="18"/>
          <w:color w:val="auto"/>
        </w:rPr>
        <w:t>On January 7, 2021, the Company completed the acquisition of 100% of Vast Holdings, Inc. (d/b/a CarStory), a leader in AI-powered analytics and digital services for automotive retail. Leveraging its machine learning, CarStory brings predictive market data to the Company’s national ecommerce and vehicle operations platform. The Company expects CarStory to continue to offer its digital retailing services to dealers, automotive financial services companies and others in the automotive industry. The financial results of CarStory were included in the condensed consolidated financial statements from the date of acquisition and were not material for the three months ended March 31, 2021. The transaction costs associated with its acquisition were not material for the three months ended March 31, 2021. Pro forma results of operations have not been presented as the effect of this acquisition was not material to the condensed consolidated financial statements.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8" w:lineRule="exact"/>
        <w:rPr>
          <w:sz w:val="20"/>
          <w:szCs w:val="20"/>
          <w:color w:val="auto"/>
        </w:rPr>
      </w:pPr>
    </w:p>
    <w:p>
      <w:pPr>
        <w:ind w:right="380" w:firstLine="749"/>
        <w:spacing w:after="0" w:line="246" w:lineRule="auto"/>
        <w:rPr>
          <w:sz w:val="20"/>
          <w:szCs w:val="20"/>
          <w:color w:val="auto"/>
        </w:rPr>
      </w:pPr>
      <w:r>
        <w:rPr>
          <w:rFonts w:ascii="Arial" w:cs="Arial" w:eastAsia="Arial" w:hAnsi="Arial"/>
          <w:sz w:val="18"/>
          <w:szCs w:val="18"/>
          <w:color w:val="auto"/>
        </w:rPr>
        <w:t>The fair value of the consideration transferred to acquire Vast Holdings, Inc. was approximately $117.1 million at the acquisition date and consisted of the following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4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Fair Value</w:t>
            </w:r>
          </w:p>
        </w:tc>
      </w:tr>
      <w:tr>
        <w:trPr>
          <w:trHeight w:val="216"/>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77,010</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Common stock issued (1)</w:t>
            </w:r>
          </w:p>
        </w:tc>
        <w:tc>
          <w:tcPr>
            <w:tcW w:w="360" w:type="dxa"/>
            <w:vAlign w:val="bottom"/>
          </w:tcPr>
          <w:p>
            <w:pPr>
              <w:spacing w:after="0"/>
              <w:rPr>
                <w:sz w:val="18"/>
                <w:szCs w:val="18"/>
                <w:color w:val="auto"/>
              </w:rPr>
            </w:pPr>
          </w:p>
        </w:tc>
        <w:tc>
          <w:tcPr>
            <w:tcW w:w="1640" w:type="dxa"/>
            <w:vAlign w:val="bottom"/>
          </w:tcPr>
          <w:p>
            <w:pPr>
              <w:jc w:val="right"/>
              <w:ind w:right="34"/>
              <w:spacing w:after="0"/>
              <w:rPr>
                <w:sz w:val="20"/>
                <w:szCs w:val="20"/>
                <w:color w:val="auto"/>
              </w:rPr>
            </w:pPr>
            <w:r>
              <w:rPr>
                <w:rFonts w:ascii="Arial" w:cs="Arial" w:eastAsia="Arial" w:hAnsi="Arial"/>
                <w:sz w:val="18"/>
                <w:szCs w:val="18"/>
                <w:color w:val="auto"/>
              </w:rPr>
              <w:t>39,030</w:t>
            </w:r>
          </w:p>
        </w:tc>
      </w:tr>
      <w:tr>
        <w:trPr>
          <w:trHeight w:val="216"/>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Fair value of unvested stock options assumed (2)</w:t>
            </w:r>
          </w:p>
        </w:tc>
        <w:tc>
          <w:tcPr>
            <w:tcW w:w="36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1,017</w:t>
            </w:r>
          </w:p>
        </w:tc>
      </w:tr>
      <w:tr>
        <w:trPr>
          <w:trHeight w:val="210"/>
        </w:trPr>
        <w:tc>
          <w:tcPr>
            <w:tcW w:w="9240" w:type="dxa"/>
            <w:vAlign w:val="bottom"/>
          </w:tcPr>
          <w:p>
            <w:pPr>
              <w:ind w:left="1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117,057</w:t>
            </w:r>
          </w:p>
        </w:tc>
      </w:tr>
      <w:tr>
        <w:trPr>
          <w:trHeight w:val="20"/>
        </w:trPr>
        <w:tc>
          <w:tcPr>
            <w:tcW w:w="9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740" w:right="620" w:hanging="368"/>
        <w:spacing w:after="0" w:line="258" w:lineRule="auto"/>
        <w:tabs>
          <w:tab w:leader="none" w:pos="7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Company issued 1,072,117 shares of common stock. The fair value of common stock was determined based on the closing market price on the date of acquisition discounted for a lack of marketability of 10.0% to account for the 180 day lock up period.</w:t>
      </w:r>
    </w:p>
    <w:p>
      <w:pPr>
        <w:spacing w:after="0" w:line="85" w:lineRule="exact"/>
        <w:rPr>
          <w:rFonts w:ascii="Arial" w:cs="Arial" w:eastAsia="Arial" w:hAnsi="Arial"/>
          <w:sz w:val="14"/>
          <w:szCs w:val="14"/>
          <w:color w:val="auto"/>
        </w:rPr>
      </w:pPr>
    </w:p>
    <w:p>
      <w:pPr>
        <w:ind w:left="740" w:right="80" w:hanging="368"/>
        <w:spacing w:after="0" w:line="258" w:lineRule="auto"/>
        <w:tabs>
          <w:tab w:leader="none" w:pos="7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fair value of the unvested stock options assumed by the Company was determined using the Black-Scholes option pricing model. The share conversion ratio of 0.0392 was applied to convert CarStory’s outstanding equity awards for CarStory's common stock into equity awards for shares of the Company's common stock.</w:t>
      </w:r>
    </w:p>
    <w:p>
      <w:pPr>
        <w:spacing w:after="0" w:line="188" w:lineRule="exact"/>
        <w:rPr>
          <w:sz w:val="20"/>
          <w:szCs w:val="20"/>
          <w:color w:val="auto"/>
        </w:rPr>
      </w:pPr>
    </w:p>
    <w:p>
      <w:pPr>
        <w:ind w:right="160" w:firstLine="749"/>
        <w:spacing w:after="0" w:line="246" w:lineRule="auto"/>
        <w:rPr>
          <w:sz w:val="20"/>
          <w:szCs w:val="20"/>
          <w:color w:val="auto"/>
        </w:rPr>
      </w:pPr>
      <w:r>
        <w:rPr>
          <w:rFonts w:ascii="Arial" w:cs="Arial" w:eastAsia="Arial" w:hAnsi="Arial"/>
          <w:sz w:val="18"/>
          <w:szCs w:val="18"/>
          <w:color w:val="auto"/>
        </w:rPr>
        <w:t>The following table summarizes the fair value of the identified assets acquired and liabilities assumed as of the acquisition date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jc w:val="right"/>
              <w:ind w:right="572"/>
              <w:spacing w:after="0"/>
              <w:rPr>
                <w:sz w:val="20"/>
                <w:szCs w:val="20"/>
                <w:color w:val="auto"/>
              </w:rPr>
            </w:pPr>
            <w:r>
              <w:rPr>
                <w:rFonts w:ascii="Arial" w:cs="Arial" w:eastAsia="Arial" w:hAnsi="Arial"/>
                <w:sz w:val="14"/>
                <w:szCs w:val="14"/>
                <w:b w:val="1"/>
                <w:bCs w:val="1"/>
                <w:color w:val="auto"/>
              </w:rPr>
              <w:t>Fair Value</w:t>
            </w:r>
          </w:p>
        </w:tc>
      </w:tr>
      <w:tr>
        <w:trPr>
          <w:trHeight w:val="26"/>
        </w:trPr>
        <w:tc>
          <w:tcPr>
            <w:tcW w:w="7240" w:type="dxa"/>
            <w:vAlign w:val="bottom"/>
            <w:tcBorders>
              <w:bottom w:val="single" w:sz="8" w:color="CFF0FC"/>
            </w:tcBorders>
          </w:tcPr>
          <w:p>
            <w:pPr>
              <w:spacing w:after="0"/>
              <w:rPr>
                <w:sz w:val="2"/>
                <w:szCs w:val="2"/>
                <w:color w:val="auto"/>
              </w:rPr>
            </w:pPr>
          </w:p>
        </w:tc>
        <w:tc>
          <w:tcPr>
            <w:tcW w:w="21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0"/>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865</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Accounts receivable, prepaid expenses and other current assets</w:t>
            </w: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jc w:val="right"/>
              <w:ind w:right="52"/>
              <w:spacing w:after="0"/>
              <w:rPr>
                <w:sz w:val="20"/>
                <w:szCs w:val="20"/>
                <w:color w:val="auto"/>
              </w:rPr>
            </w:pPr>
            <w:r>
              <w:rPr>
                <w:rFonts w:ascii="Arial" w:cs="Arial" w:eastAsia="Arial" w:hAnsi="Arial"/>
                <w:sz w:val="18"/>
                <w:szCs w:val="18"/>
                <w:color w:val="auto"/>
              </w:rPr>
              <w:t>1,330</w:t>
            </w:r>
          </w:p>
        </w:tc>
      </w:tr>
      <w:tr>
        <w:trPr>
          <w:trHeight w:val="216"/>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and other assets</w:t>
            </w:r>
          </w:p>
        </w:tc>
        <w:tc>
          <w:tcPr>
            <w:tcW w:w="2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371</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Intangible Assets</w:t>
            </w: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jc w:val="right"/>
              <w:ind w:right="52"/>
              <w:spacing w:after="0"/>
              <w:rPr>
                <w:sz w:val="20"/>
                <w:szCs w:val="20"/>
                <w:color w:val="auto"/>
              </w:rPr>
            </w:pPr>
            <w:r>
              <w:rPr>
                <w:rFonts w:ascii="Arial" w:cs="Arial" w:eastAsia="Arial" w:hAnsi="Arial"/>
                <w:sz w:val="18"/>
                <w:szCs w:val="18"/>
                <w:color w:val="auto"/>
              </w:rPr>
              <w:t>34,300</w:t>
            </w:r>
          </w:p>
        </w:tc>
      </w:tr>
      <w:tr>
        <w:trPr>
          <w:trHeight w:val="216"/>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81,134</w:t>
            </w:r>
          </w:p>
        </w:tc>
      </w:tr>
      <w:tr>
        <w:trPr>
          <w:trHeight w:val="216"/>
        </w:trPr>
        <w:tc>
          <w:tcPr>
            <w:tcW w:w="7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Current liabilities</w:t>
            </w:r>
          </w:p>
        </w:tc>
        <w:tc>
          <w:tcPr>
            <w:tcW w:w="21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w:t>
            </w:r>
          </w:p>
        </w:tc>
      </w:tr>
      <w:tr>
        <w:trPr>
          <w:trHeight w:val="210"/>
        </w:trPr>
        <w:tc>
          <w:tcPr>
            <w:tcW w:w="7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assets acquired</w:t>
            </w:r>
          </w:p>
        </w:tc>
        <w:tc>
          <w:tcPr>
            <w:tcW w:w="2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117,057</w:t>
            </w:r>
          </w:p>
        </w:tc>
      </w:tr>
      <w:tr>
        <w:trPr>
          <w:trHeight w:val="20"/>
        </w:trPr>
        <w:tc>
          <w:tcPr>
            <w:tcW w:w="7240" w:type="dxa"/>
            <w:vAlign w:val="bottom"/>
            <w:tcBorders>
              <w:top w:val="single" w:sz="8" w:color="CFF0FC"/>
            </w:tcBorders>
          </w:tcPr>
          <w:p>
            <w:pPr>
              <w:spacing w:after="0" w:line="20" w:lineRule="exact"/>
              <w:rPr>
                <w:sz w:val="1"/>
                <w:szCs w:val="1"/>
                <w:color w:val="auto"/>
              </w:rPr>
            </w:pPr>
          </w:p>
        </w:tc>
        <w:tc>
          <w:tcPr>
            <w:tcW w:w="21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0" w:firstLine="749"/>
        <w:spacing w:after="0" w:line="238" w:lineRule="auto"/>
        <w:rPr>
          <w:sz w:val="20"/>
          <w:szCs w:val="20"/>
          <w:color w:val="auto"/>
        </w:rPr>
      </w:pPr>
      <w:r>
        <w:rPr>
          <w:rFonts w:ascii="Arial" w:cs="Arial" w:eastAsia="Arial" w:hAnsi="Arial"/>
          <w:sz w:val="18"/>
          <w:szCs w:val="18"/>
          <w:color w:val="auto"/>
        </w:rPr>
        <w:t>The excess of purchase consideration over the fair value of net tangible and identifiable intangible assets acquired was recorded as goodwill which is not deductible for tax purposes. Goodwill is primarily attributable to the workforce of the acquired business and benefits related to expanded market opportunities from integrating CarStory's technology with the Company's ecommerce offerings. All of the goodwill was assigned to the ecommerce reportable segment.</w:t>
      </w:r>
    </w:p>
    <w:p>
      <w:pPr>
        <w:spacing w:after="0" w:line="205" w:lineRule="exact"/>
        <w:rPr>
          <w:sz w:val="20"/>
          <w:szCs w:val="20"/>
          <w:color w:val="auto"/>
        </w:rPr>
      </w:pPr>
    </w:p>
    <w:p>
      <w:pPr>
        <w:ind w:right="120" w:firstLine="749"/>
        <w:spacing w:after="0" w:line="246" w:lineRule="auto"/>
        <w:rPr>
          <w:sz w:val="20"/>
          <w:szCs w:val="20"/>
          <w:color w:val="auto"/>
        </w:rPr>
      </w:pPr>
      <w:r>
        <w:rPr>
          <w:rFonts w:ascii="Arial" w:cs="Arial" w:eastAsia="Arial" w:hAnsi="Arial"/>
          <w:sz w:val="18"/>
          <w:szCs w:val="18"/>
          <w:color w:val="auto"/>
        </w:rPr>
        <w:t>The following table summarizes the preliminary identifiable intangible assets acquired and their estimated weighted average useful life at the date of acquisition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7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Average Useful</w:t>
            </w:r>
          </w:p>
        </w:tc>
      </w:tr>
      <w:tr>
        <w:trPr>
          <w:trHeight w:val="175"/>
        </w:trPr>
        <w:tc>
          <w:tcPr>
            <w:tcW w:w="772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Fair Value</w:t>
            </w:r>
          </w:p>
        </w:tc>
        <w:tc>
          <w:tcPr>
            <w:tcW w:w="160" w:type="dxa"/>
            <w:vAlign w:val="bottom"/>
            <w:tcBorders>
              <w:bottom w:val="single" w:sz="8" w:color="CFF0FC"/>
            </w:tcBorders>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25,700</w:t>
            </w:r>
          </w:p>
        </w:tc>
        <w:tc>
          <w:tcPr>
            <w:tcW w:w="184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9"/>
              </w:rPr>
              <w:t>5</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Trademarks</w:t>
            </w:r>
          </w:p>
        </w:tc>
        <w:tc>
          <w:tcPr>
            <w:tcW w:w="260" w:type="dxa"/>
            <w:vAlign w:val="bottom"/>
          </w:tcPr>
          <w:p>
            <w:pPr>
              <w:spacing w:after="0"/>
              <w:rPr>
                <w:sz w:val="18"/>
                <w:szCs w:val="18"/>
                <w:color w:val="auto"/>
              </w:rPr>
            </w:pPr>
          </w:p>
        </w:tc>
        <w:tc>
          <w:tcPr>
            <w:tcW w:w="1420" w:type="dxa"/>
            <w:vAlign w:val="bottom"/>
          </w:tcPr>
          <w:p>
            <w:pPr>
              <w:jc w:val="right"/>
              <w:ind w:right="54"/>
              <w:spacing w:after="0"/>
              <w:rPr>
                <w:sz w:val="20"/>
                <w:szCs w:val="20"/>
                <w:color w:val="auto"/>
              </w:rPr>
            </w:pPr>
            <w:r>
              <w:rPr>
                <w:rFonts w:ascii="Arial" w:cs="Arial" w:eastAsia="Arial" w:hAnsi="Arial"/>
                <w:sz w:val="18"/>
                <w:szCs w:val="18"/>
                <w:color w:val="auto"/>
              </w:rPr>
              <w:t>5,200</w:t>
            </w:r>
          </w:p>
        </w:tc>
        <w:tc>
          <w:tcPr>
            <w:tcW w:w="184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8</w:t>
            </w: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2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3,400</w:t>
            </w:r>
          </w:p>
        </w:tc>
        <w:tc>
          <w:tcPr>
            <w:tcW w:w="184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9"/>
              </w:rPr>
              <w:t>8</w:t>
            </w:r>
          </w:p>
        </w:tc>
      </w:tr>
      <w:tr>
        <w:trPr>
          <w:trHeight w:val="210"/>
        </w:trPr>
        <w:tc>
          <w:tcPr>
            <w:tcW w:w="7720" w:type="dxa"/>
            <w:vAlign w:val="bottom"/>
          </w:tcPr>
          <w:p>
            <w:pPr>
              <w:ind w:left="140"/>
              <w:spacing w:after="0"/>
              <w:rPr>
                <w:sz w:val="20"/>
                <w:szCs w:val="20"/>
                <w:color w:val="auto"/>
              </w:rPr>
            </w:pPr>
            <w:r>
              <w:rPr>
                <w:rFonts w:ascii="Arial" w:cs="Arial" w:eastAsia="Arial" w:hAnsi="Arial"/>
                <w:sz w:val="18"/>
                <w:szCs w:val="18"/>
                <w:color w:val="auto"/>
              </w:rPr>
              <w:t>Total intangible assets subject to amortization</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34,300</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20" w:firstLine="749"/>
        <w:spacing w:after="0" w:line="246" w:lineRule="auto"/>
        <w:rPr>
          <w:sz w:val="20"/>
          <w:szCs w:val="20"/>
          <w:color w:val="auto"/>
        </w:rPr>
      </w:pPr>
      <w:r>
        <w:rPr>
          <w:rFonts w:ascii="Arial" w:cs="Arial" w:eastAsia="Arial" w:hAnsi="Arial"/>
          <w:sz w:val="18"/>
          <w:szCs w:val="18"/>
          <w:color w:val="auto"/>
        </w:rPr>
        <w:t>Developed technology, most of which is protected by a patent portfolio, represents the fair value of CarStory’s industry-specific AI powered analytics software. Trademarks represent the CarStory trademarks, trade names and domain names.</w:t>
      </w:r>
    </w:p>
    <w:p>
      <w:pPr>
        <w:spacing w:after="0" w:line="197" w:lineRule="exact"/>
        <w:rPr>
          <w:sz w:val="20"/>
          <w:szCs w:val="20"/>
          <w:color w:val="auto"/>
        </w:rPr>
      </w:pPr>
    </w:p>
    <w:p>
      <w:pPr>
        <w:ind w:right="160" w:firstLine="749"/>
        <w:spacing w:after="0" w:line="238" w:lineRule="auto"/>
        <w:rPr>
          <w:sz w:val="20"/>
          <w:szCs w:val="20"/>
          <w:color w:val="auto"/>
        </w:rPr>
      </w:pPr>
      <w:r>
        <w:rPr>
          <w:rFonts w:ascii="Arial" w:cs="Arial" w:eastAsia="Arial" w:hAnsi="Arial"/>
          <w:sz w:val="18"/>
          <w:szCs w:val="18"/>
          <w:color w:val="auto"/>
        </w:rPr>
        <w:t>The fair values assigned to tangible and intangible assets acquired and liabilities assumed are based on management’s estimates and assumptions and may be subject to change as additional information is received. The estimated fair value of the intangible assets acquired was determined using a discounted cash flow (DCF) method under the income approach. Under this approach, the Company estimates future cash flows and discounts these cash flows at a rate of return that reflects the Company’s relative risk. The allocation of the total consideration transferred to the assets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8"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acquired, including intangible assets and goodwill, as well as the liabilities assumed is preliminary, pending the receipt of the final third-party valuation report.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Inventory</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Inventory consisted of the following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December 31,</w:t>
            </w:r>
          </w:p>
        </w:tc>
      </w:tr>
      <w:tr>
        <w:trPr>
          <w:trHeight w:val="169"/>
        </w:trPr>
        <w:tc>
          <w:tcPr>
            <w:tcW w:w="4420" w:type="dxa"/>
            <w:vAlign w:val="bottom"/>
            <w:tcBorders>
              <w:bottom w:val="single" w:sz="8" w:color="CFF0FC"/>
            </w:tcBorders>
          </w:tcPr>
          <w:p>
            <w:pPr>
              <w:spacing w:after="0"/>
              <w:rPr>
                <w:sz w:val="14"/>
                <w:szCs w:val="14"/>
                <w:color w:val="auto"/>
              </w:rPr>
            </w:pPr>
          </w:p>
        </w:tc>
        <w:tc>
          <w:tcPr>
            <w:tcW w:w="264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817"/>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837"/>
              <w:spacing w:after="0"/>
              <w:rPr>
                <w:sz w:val="20"/>
                <w:szCs w:val="20"/>
                <w:color w:val="auto"/>
              </w:rPr>
            </w:pPr>
            <w:r>
              <w:rPr>
                <w:rFonts w:ascii="Arial" w:cs="Arial" w:eastAsia="Arial" w:hAnsi="Arial"/>
                <w:sz w:val="14"/>
                <w:szCs w:val="14"/>
                <w:b w:val="1"/>
                <w:bCs w:val="1"/>
                <w:color w:val="auto"/>
              </w:rPr>
              <w:t>2020</w:t>
            </w:r>
          </w:p>
        </w:tc>
      </w:tr>
      <w:tr>
        <w:trPr>
          <w:trHeight w:val="209"/>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Vehicles</w:t>
            </w:r>
          </w:p>
        </w:tc>
        <w:tc>
          <w:tcPr>
            <w:tcW w:w="30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335,703</w:t>
            </w: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421,458</w:t>
            </w:r>
          </w:p>
        </w:tc>
      </w:tr>
      <w:tr>
        <w:trPr>
          <w:trHeight w:val="216"/>
        </w:trPr>
        <w:tc>
          <w:tcPr>
            <w:tcW w:w="4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Parts and accessories</w:t>
            </w:r>
          </w:p>
        </w:tc>
        <w:tc>
          <w:tcPr>
            <w:tcW w:w="264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1,993</w:t>
            </w:r>
          </w:p>
        </w:tc>
        <w:tc>
          <w:tcPr>
            <w:tcW w:w="1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2,189</w:t>
            </w:r>
          </w:p>
        </w:tc>
      </w:tr>
      <w:tr>
        <w:trPr>
          <w:trHeight w:val="209"/>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inventory</w:t>
            </w:r>
          </w:p>
        </w:tc>
        <w:tc>
          <w:tcPr>
            <w:tcW w:w="30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337,696</w:t>
            </w: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423,647</w:t>
            </w:r>
          </w:p>
        </w:tc>
      </w:tr>
      <w:tr>
        <w:trPr>
          <w:trHeight w:val="20"/>
        </w:trPr>
        <w:tc>
          <w:tcPr>
            <w:tcW w:w="4420" w:type="dxa"/>
            <w:vAlign w:val="bottom"/>
            <w:tcBorders>
              <w:top w:val="single" w:sz="8" w:color="CFF0FC"/>
            </w:tcBorders>
          </w:tcPr>
          <w:p>
            <w:pPr>
              <w:spacing w:after="0" w:line="20" w:lineRule="exact"/>
              <w:rPr>
                <w:sz w:val="1"/>
                <w:szCs w:val="1"/>
                <w:color w:val="auto"/>
              </w:rPr>
            </w:pPr>
          </w:p>
        </w:tc>
        <w:tc>
          <w:tcPr>
            <w:tcW w:w="26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180" w:firstLine="749"/>
        <w:spacing w:after="0" w:line="277" w:lineRule="auto"/>
        <w:rPr>
          <w:sz w:val="20"/>
          <w:szCs w:val="20"/>
          <w:color w:val="auto"/>
        </w:rPr>
      </w:pPr>
      <w:r>
        <w:rPr>
          <w:rFonts w:ascii="Arial" w:cs="Arial" w:eastAsia="Arial" w:hAnsi="Arial"/>
          <w:sz w:val="18"/>
          <w:szCs w:val="18"/>
          <w:color w:val="auto"/>
        </w:rPr>
        <w:t>As of March 31, 2021 and December 31, 2020, “Inventory” includes an adjustment of $10.4 million and $12.9 million, respectively, to record the balances at the lower of cost or net realizable value.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 Net</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December 31,</w:t>
            </w:r>
          </w:p>
        </w:tc>
      </w:tr>
      <w:tr>
        <w:trPr>
          <w:trHeight w:val="169"/>
        </w:trPr>
        <w:tc>
          <w:tcPr>
            <w:tcW w:w="708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813"/>
              <w:spacing w:after="0"/>
              <w:rPr>
                <w:sz w:val="20"/>
                <w:szCs w:val="20"/>
                <w:color w:val="auto"/>
              </w:rPr>
            </w:pPr>
            <w:r>
              <w:rPr>
                <w:rFonts w:ascii="Arial" w:cs="Arial" w:eastAsia="Arial" w:hAnsi="Arial"/>
                <w:sz w:val="14"/>
                <w:szCs w:val="14"/>
                <w:b w:val="1"/>
                <w:bCs w:val="1"/>
                <w:color w:val="auto"/>
              </w:rPr>
              <w:t>2020</w:t>
            </w:r>
          </w:p>
        </w:tc>
      </w:tr>
      <w:tr>
        <w:trPr>
          <w:trHeight w:val="209"/>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Equipment</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1,009</w:t>
            </w: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1,061</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360" w:type="dxa"/>
            <w:vAlign w:val="bottom"/>
          </w:tcPr>
          <w:p>
            <w:pPr>
              <w:spacing w:after="0"/>
              <w:rPr>
                <w:sz w:val="18"/>
                <w:szCs w:val="18"/>
                <w:color w:val="auto"/>
              </w:rPr>
            </w:pPr>
          </w:p>
        </w:tc>
        <w:tc>
          <w:tcPr>
            <w:tcW w:w="1620" w:type="dxa"/>
            <w:vAlign w:val="bottom"/>
          </w:tcPr>
          <w:p>
            <w:pPr>
              <w:jc w:val="right"/>
              <w:ind w:right="33"/>
              <w:spacing w:after="0"/>
              <w:rPr>
                <w:sz w:val="20"/>
                <w:szCs w:val="20"/>
                <w:color w:val="auto"/>
              </w:rPr>
            </w:pPr>
            <w:r>
              <w:rPr>
                <w:rFonts w:ascii="Arial" w:cs="Arial" w:eastAsia="Arial" w:hAnsi="Arial"/>
                <w:sz w:val="18"/>
                <w:szCs w:val="18"/>
                <w:color w:val="auto"/>
              </w:rPr>
              <w:t>1,778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jc w:val="right"/>
              <w:ind w:right="33"/>
              <w:spacing w:after="0"/>
              <w:rPr>
                <w:sz w:val="20"/>
                <w:szCs w:val="20"/>
                <w:color w:val="auto"/>
              </w:rPr>
            </w:pPr>
            <w:r>
              <w:rPr>
                <w:rFonts w:ascii="Arial" w:cs="Arial" w:eastAsia="Arial" w:hAnsi="Arial"/>
                <w:sz w:val="18"/>
                <w:szCs w:val="18"/>
                <w:color w:val="auto"/>
              </w:rPr>
              <w:t>1,746</w:t>
            </w:r>
          </w:p>
        </w:tc>
      </w:tr>
      <w:tr>
        <w:trPr>
          <w:trHeight w:val="216"/>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Company vehicles</w:t>
            </w:r>
          </w:p>
        </w:tc>
        <w:tc>
          <w:tcPr>
            <w:tcW w:w="36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6,174</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5,002</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60" w:type="dxa"/>
            <w:vAlign w:val="bottom"/>
          </w:tcPr>
          <w:p>
            <w:pPr>
              <w:spacing w:after="0"/>
              <w:rPr>
                <w:sz w:val="18"/>
                <w:szCs w:val="18"/>
                <w:color w:val="auto"/>
              </w:rPr>
            </w:pPr>
          </w:p>
        </w:tc>
        <w:tc>
          <w:tcPr>
            <w:tcW w:w="1620" w:type="dxa"/>
            <w:vAlign w:val="bottom"/>
          </w:tcPr>
          <w:p>
            <w:pPr>
              <w:jc w:val="right"/>
              <w:ind w:right="33"/>
              <w:spacing w:after="0"/>
              <w:rPr>
                <w:sz w:val="20"/>
                <w:szCs w:val="20"/>
                <w:color w:val="auto"/>
              </w:rPr>
            </w:pPr>
            <w:r>
              <w:rPr>
                <w:rFonts w:ascii="Arial" w:cs="Arial" w:eastAsia="Arial" w:hAnsi="Arial"/>
                <w:sz w:val="18"/>
                <w:szCs w:val="18"/>
                <w:color w:val="auto"/>
              </w:rPr>
              <w:t>7,094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jc w:val="right"/>
              <w:ind w:right="33"/>
              <w:spacing w:after="0"/>
              <w:rPr>
                <w:sz w:val="20"/>
                <w:szCs w:val="20"/>
                <w:color w:val="auto"/>
              </w:rPr>
            </w:pPr>
            <w:r>
              <w:rPr>
                <w:rFonts w:ascii="Arial" w:cs="Arial" w:eastAsia="Arial" w:hAnsi="Arial"/>
                <w:sz w:val="18"/>
                <w:szCs w:val="18"/>
                <w:color w:val="auto"/>
              </w:rPr>
              <w:t>7,068</w:t>
            </w:r>
          </w:p>
        </w:tc>
      </w:tr>
      <w:tr>
        <w:trPr>
          <w:trHeight w:val="216"/>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Internal-use software</w:t>
            </w:r>
          </w:p>
        </w:tc>
        <w:tc>
          <w:tcPr>
            <w:tcW w:w="36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12,057</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10,552</w:t>
            </w:r>
          </w:p>
        </w:tc>
      </w:tr>
      <w:tr>
        <w:trPr>
          <w:trHeight w:val="216"/>
        </w:trPr>
        <w:tc>
          <w:tcPr>
            <w:tcW w:w="7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3,634</w:t>
            </w:r>
          </w:p>
        </w:tc>
        <w:tc>
          <w:tcPr>
            <w:tcW w:w="2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2,997</w:t>
            </w:r>
          </w:p>
        </w:tc>
      </w:tr>
      <w:tr>
        <w:trPr>
          <w:trHeight w:val="210"/>
        </w:trPr>
        <w:tc>
          <w:tcPr>
            <w:tcW w:w="70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31,746</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28,426</w:t>
            </w:r>
          </w:p>
        </w:tc>
      </w:tr>
      <w:tr>
        <w:trPr>
          <w:trHeight w:val="216"/>
        </w:trPr>
        <w:tc>
          <w:tcPr>
            <w:tcW w:w="7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Accumulated depreciation and amortization</w:t>
            </w:r>
          </w:p>
        </w:tc>
        <w:tc>
          <w:tcPr>
            <w:tcW w:w="3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(14,809)</w:t>
            </w:r>
          </w:p>
        </w:tc>
        <w:tc>
          <w:tcPr>
            <w:tcW w:w="2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(13,334)</w:t>
            </w:r>
          </w:p>
        </w:tc>
      </w:tr>
      <w:tr>
        <w:trPr>
          <w:trHeight w:val="210"/>
        </w:trPr>
        <w:tc>
          <w:tcPr>
            <w:tcW w:w="7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 net</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16,937</w:t>
            </w: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15,092</w:t>
            </w:r>
          </w:p>
        </w:tc>
      </w:tr>
      <w:tr>
        <w:trPr>
          <w:trHeight w:val="20"/>
        </w:trPr>
        <w:tc>
          <w:tcPr>
            <w:tcW w:w="70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140" w:firstLine="749"/>
        <w:spacing w:after="0"/>
        <w:rPr>
          <w:sz w:val="20"/>
          <w:szCs w:val="20"/>
          <w:color w:val="auto"/>
        </w:rPr>
      </w:pPr>
      <w:r>
        <w:rPr>
          <w:rFonts w:ascii="Arial" w:cs="Arial" w:eastAsia="Arial" w:hAnsi="Arial"/>
          <w:sz w:val="18"/>
          <w:szCs w:val="18"/>
          <w:color w:val="auto"/>
        </w:rPr>
        <w:t>Depreciation and amortization expense was $1.5 million and $0.9 million for the three months ended March 31, 2021 and 2020, respectively. Depreciation and amortization expense included within “Cost of sales” in the condensed consolidated statements of operations for the three months ended March 31, 2021 and 2020 was not material.</w:t>
      </w:r>
    </w:p>
    <w:p>
      <w:pPr>
        <w:spacing w:after="0" w:line="203" w:lineRule="exact"/>
        <w:rPr>
          <w:sz w:val="20"/>
          <w:szCs w:val="20"/>
          <w:color w:val="auto"/>
        </w:rPr>
      </w:pPr>
    </w:p>
    <w:p>
      <w:pPr>
        <w:ind w:right="20" w:firstLine="749"/>
        <w:spacing w:after="0" w:line="238" w:lineRule="auto"/>
        <w:rPr>
          <w:sz w:val="20"/>
          <w:szCs w:val="20"/>
          <w:color w:val="auto"/>
        </w:rPr>
      </w:pPr>
      <w:r>
        <w:rPr>
          <w:rFonts w:ascii="Arial" w:cs="Arial" w:eastAsia="Arial" w:hAnsi="Arial"/>
          <w:sz w:val="18"/>
          <w:szCs w:val="18"/>
          <w:color w:val="auto"/>
        </w:rPr>
        <w:t>Implementation costs capitalized and accumulated amortization related to the Company’s cloud computing arrangements were $3.9 million and $1.2 million as of March 31, 2021, respectively, and $3.6 million and $1.0 million as of December 31, 2020, respectively, and were included within “Other assets” in the condensed consolidated balance sheets. Amortization expense of $0.3 million and $0.2 million was included within “Selling, general and administrative expenses” in the condensed statements of operations for the three months ended March 31, 2021 and 2020, respectively.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4" w:lineRule="exact"/>
        <w:rPr>
          <w:sz w:val="20"/>
          <w:szCs w:val="20"/>
          <w:color w:val="auto"/>
        </w:rPr>
      </w:pPr>
    </w:p>
    <w:p>
      <w:pPr>
        <w:ind w:right="8380" w:firstLine="8"/>
        <w:spacing w:after="0" w:line="372" w:lineRule="auto"/>
        <w:tabs>
          <w:tab w:leader="none" w:pos="2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b w:val="1"/>
          <w:bCs w:val="1"/>
          <w:i w:val="1"/>
          <w:iCs w:val="1"/>
          <w:color w:val="auto"/>
        </w:rPr>
        <w:t>Goodwill</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activity in the carrying value of goodwill by reportable segment for the three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2021 and 2020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Ecommerce</w:t>
            </w:r>
          </w:p>
        </w:tc>
        <w:tc>
          <w:tcPr>
            <w:tcW w:w="20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Wholesale</w:t>
            </w:r>
          </w:p>
        </w:tc>
        <w:tc>
          <w:tcPr>
            <w:tcW w:w="20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TDA</w:t>
            </w:r>
          </w:p>
        </w:tc>
        <w:tc>
          <w:tcPr>
            <w:tcW w:w="660" w:type="dxa"/>
            <w:vAlign w:val="bottom"/>
            <w:tcBorders>
              <w:bottom w:val="single" w:sz="8" w:color="auto"/>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2019</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46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72,231</w:t>
            </w: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w:t>
            </w:r>
          </w:p>
        </w:tc>
        <w:tc>
          <w:tcPr>
            <w:tcW w:w="144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1,720</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54"/>
              <w:spacing w:after="0"/>
              <w:rPr>
                <w:sz w:val="20"/>
                <w:szCs w:val="20"/>
                <w:color w:val="auto"/>
              </w:rPr>
            </w:pPr>
            <w:r>
              <w:rPr>
                <w:rFonts w:ascii="Arial" w:cs="Arial" w:eastAsia="Arial" w:hAnsi="Arial"/>
                <w:sz w:val="18"/>
                <w:szCs w:val="18"/>
                <w:b w:val="1"/>
                <w:bCs w:val="1"/>
                <w:color w:val="auto"/>
                <w:w w:val="79"/>
              </w:rPr>
              <w:t>$</w:t>
            </w: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4,221</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4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78,172</w:t>
            </w:r>
          </w:p>
        </w:tc>
        <w:tc>
          <w:tcPr>
            <w:tcW w:w="0" w:type="dxa"/>
            <w:vAlign w:val="bottom"/>
          </w:tcPr>
          <w:p>
            <w:pPr>
              <w:spacing w:after="0"/>
              <w:rPr>
                <w:sz w:val="1"/>
                <w:szCs w:val="1"/>
                <w:color w:val="auto"/>
              </w:rPr>
            </w:pPr>
          </w:p>
        </w:tc>
      </w:tr>
      <w:tr>
        <w:trPr>
          <w:trHeight w:val="243"/>
        </w:trPr>
        <w:tc>
          <w:tcPr>
            <w:tcW w:w="3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Change in carrying amount</w:t>
            </w: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3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as of March 31, 2020</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46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72,231</w:t>
            </w: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w:t>
            </w:r>
          </w:p>
        </w:tc>
        <w:tc>
          <w:tcPr>
            <w:tcW w:w="144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1,720</w:t>
            </w: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854"/>
              <w:spacing w:after="0"/>
              <w:rPr>
                <w:sz w:val="20"/>
                <w:szCs w:val="20"/>
                <w:color w:val="auto"/>
              </w:rPr>
            </w:pPr>
            <w:r>
              <w:rPr>
                <w:rFonts w:ascii="Arial" w:cs="Arial" w:eastAsia="Arial" w:hAnsi="Arial"/>
                <w:sz w:val="18"/>
                <w:szCs w:val="18"/>
                <w:b w:val="1"/>
                <w:bCs w:val="1"/>
                <w:color w:val="auto"/>
                <w:w w:val="79"/>
              </w:rPr>
              <w:t>$</w:t>
            </w: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4,221</w:t>
            </w:r>
          </w:p>
        </w:tc>
        <w:tc>
          <w:tcPr>
            <w:tcW w:w="20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4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78,172</w:t>
            </w:r>
          </w:p>
        </w:tc>
        <w:tc>
          <w:tcPr>
            <w:tcW w:w="0" w:type="dxa"/>
            <w:vAlign w:val="bottom"/>
          </w:tcPr>
          <w:p>
            <w:pPr>
              <w:spacing w:after="0"/>
              <w:rPr>
                <w:sz w:val="1"/>
                <w:szCs w:val="1"/>
                <w:color w:val="auto"/>
              </w:rPr>
            </w:pPr>
          </w:p>
        </w:tc>
      </w:tr>
      <w:tr>
        <w:trPr>
          <w:trHeight w:val="20"/>
        </w:trPr>
        <w:tc>
          <w:tcPr>
            <w:tcW w:w="38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Balance as of December 31, 2020</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2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Pr>
          <w:p>
            <w:pPr>
              <w:jc w:val="right"/>
              <w:ind w:right="33"/>
              <w:spacing w:after="0"/>
              <w:rPr>
                <w:sz w:val="20"/>
                <w:szCs w:val="20"/>
                <w:color w:val="auto"/>
              </w:rPr>
            </w:pPr>
            <w:r>
              <w:rPr>
                <w:rFonts w:ascii="Arial" w:cs="Arial" w:eastAsia="Arial" w:hAnsi="Arial"/>
                <w:sz w:val="18"/>
                <w:szCs w:val="18"/>
                <w:b w:val="1"/>
                <w:bCs w:val="1"/>
                <w:color w:val="auto"/>
              </w:rPr>
              <w:t>72,231</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jc w:val="right"/>
              <w:ind w:right="33"/>
              <w:spacing w:after="0"/>
              <w:rPr>
                <w:sz w:val="20"/>
                <w:szCs w:val="20"/>
                <w:color w:val="auto"/>
              </w:rPr>
            </w:pPr>
            <w:r>
              <w:rPr>
                <w:rFonts w:ascii="Arial" w:cs="Arial" w:eastAsia="Arial" w:hAnsi="Arial"/>
                <w:sz w:val="18"/>
                <w:szCs w:val="18"/>
                <w:b w:val="1"/>
                <w:bCs w:val="1"/>
                <w:color w:val="auto"/>
              </w:rPr>
              <w:t>1,720</w:t>
            </w:r>
          </w:p>
        </w:tc>
        <w:tc>
          <w:tcPr>
            <w:tcW w:w="200" w:type="dxa"/>
            <w:vAlign w:val="bottom"/>
          </w:tcPr>
          <w:p>
            <w:pPr>
              <w:spacing w:after="0"/>
              <w:rPr>
                <w:sz w:val="19"/>
                <w:szCs w:val="19"/>
                <w:color w:val="auto"/>
              </w:rPr>
            </w:pPr>
          </w:p>
        </w:tc>
        <w:tc>
          <w:tcPr>
            <w:tcW w:w="1040" w:type="dxa"/>
            <w:vAlign w:val="bottom"/>
          </w:tcPr>
          <w:p>
            <w:pPr>
              <w:jc w:val="right"/>
              <w:ind w:right="854"/>
              <w:spacing w:after="0"/>
              <w:rPr>
                <w:sz w:val="20"/>
                <w:szCs w:val="20"/>
                <w:color w:val="auto"/>
              </w:rPr>
            </w:pPr>
            <w:r>
              <w:rPr>
                <w:rFonts w:ascii="Arial" w:cs="Arial" w:eastAsia="Arial" w:hAnsi="Arial"/>
                <w:sz w:val="18"/>
                <w:szCs w:val="18"/>
                <w:b w:val="1"/>
                <w:bCs w:val="1"/>
                <w:color w:val="auto"/>
                <w:w w:val="79"/>
              </w:rPr>
              <w:t>$</w:t>
            </w:r>
          </w:p>
        </w:tc>
        <w:tc>
          <w:tcPr>
            <w:tcW w:w="660" w:type="dxa"/>
            <w:vAlign w:val="bottom"/>
          </w:tcPr>
          <w:p>
            <w:pPr>
              <w:jc w:val="right"/>
              <w:ind w:right="30"/>
              <w:spacing w:after="0"/>
              <w:rPr>
                <w:sz w:val="20"/>
                <w:szCs w:val="20"/>
                <w:color w:val="auto"/>
              </w:rPr>
            </w:pPr>
            <w:r>
              <w:rPr>
                <w:rFonts w:ascii="Arial" w:cs="Arial" w:eastAsia="Arial" w:hAnsi="Arial"/>
                <w:sz w:val="18"/>
                <w:szCs w:val="18"/>
                <w:b w:val="1"/>
                <w:bCs w:val="1"/>
                <w:color w:val="auto"/>
              </w:rPr>
              <w:t>4,221</w:t>
            </w:r>
          </w:p>
        </w:tc>
        <w:tc>
          <w:tcPr>
            <w:tcW w:w="2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Pr>
          <w:p>
            <w:pPr>
              <w:jc w:val="right"/>
              <w:ind w:right="33"/>
              <w:spacing w:after="0"/>
              <w:rPr>
                <w:sz w:val="20"/>
                <w:szCs w:val="20"/>
                <w:color w:val="auto"/>
              </w:rPr>
            </w:pPr>
            <w:r>
              <w:rPr>
                <w:rFonts w:ascii="Arial" w:cs="Arial" w:eastAsia="Arial" w:hAnsi="Arial"/>
                <w:sz w:val="18"/>
                <w:szCs w:val="18"/>
                <w:b w:val="1"/>
                <w:bCs w:val="1"/>
                <w:color w:val="auto"/>
              </w:rPr>
              <w:t>78,172</w:t>
            </w:r>
          </w:p>
        </w:tc>
        <w:tc>
          <w:tcPr>
            <w:tcW w:w="0" w:type="dxa"/>
            <w:vAlign w:val="bottom"/>
          </w:tcPr>
          <w:p>
            <w:pPr>
              <w:spacing w:after="0"/>
              <w:rPr>
                <w:sz w:val="1"/>
                <w:szCs w:val="1"/>
                <w:color w:val="auto"/>
              </w:rPr>
            </w:pPr>
          </w:p>
        </w:tc>
      </w:tr>
      <w:tr>
        <w:trPr>
          <w:trHeight w:val="243"/>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Acquisition</w:t>
            </w:r>
          </w:p>
        </w:tc>
        <w:tc>
          <w:tcPr>
            <w:tcW w:w="24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81,134</w:t>
            </w:r>
          </w:p>
        </w:tc>
        <w:tc>
          <w:tcPr>
            <w:tcW w:w="20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81,134</w:t>
            </w: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r>
              <w:rPr>
                <w:rFonts w:ascii="Arial" w:cs="Arial" w:eastAsia="Arial" w:hAnsi="Arial"/>
                <w:sz w:val="18"/>
                <w:szCs w:val="18"/>
                <w:b w:val="1"/>
                <w:bCs w:val="1"/>
                <w:color w:val="auto"/>
              </w:rPr>
              <w:t>Balance as of March 31, 2021</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Pr>
          <w:p>
            <w:pPr>
              <w:jc w:val="right"/>
              <w:ind w:right="33"/>
              <w:spacing w:after="0"/>
              <w:rPr>
                <w:sz w:val="20"/>
                <w:szCs w:val="20"/>
                <w:color w:val="auto"/>
              </w:rPr>
            </w:pPr>
            <w:r>
              <w:rPr>
                <w:rFonts w:ascii="Arial" w:cs="Arial" w:eastAsia="Arial" w:hAnsi="Arial"/>
                <w:sz w:val="18"/>
                <w:szCs w:val="18"/>
                <w:b w:val="1"/>
                <w:bCs w:val="1"/>
                <w:color w:val="auto"/>
              </w:rPr>
              <w:t>153,365</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jc w:val="right"/>
              <w:ind w:right="33"/>
              <w:spacing w:after="0"/>
              <w:rPr>
                <w:sz w:val="20"/>
                <w:szCs w:val="20"/>
                <w:color w:val="auto"/>
              </w:rPr>
            </w:pPr>
            <w:r>
              <w:rPr>
                <w:rFonts w:ascii="Arial" w:cs="Arial" w:eastAsia="Arial" w:hAnsi="Arial"/>
                <w:sz w:val="18"/>
                <w:szCs w:val="18"/>
                <w:b w:val="1"/>
                <w:bCs w:val="1"/>
                <w:color w:val="auto"/>
              </w:rPr>
              <w:t>1,720</w:t>
            </w:r>
          </w:p>
        </w:tc>
        <w:tc>
          <w:tcPr>
            <w:tcW w:w="200" w:type="dxa"/>
            <w:vAlign w:val="bottom"/>
          </w:tcPr>
          <w:p>
            <w:pPr>
              <w:spacing w:after="0"/>
              <w:rPr>
                <w:sz w:val="20"/>
                <w:szCs w:val="20"/>
                <w:color w:val="auto"/>
              </w:rPr>
            </w:pPr>
          </w:p>
        </w:tc>
        <w:tc>
          <w:tcPr>
            <w:tcW w:w="1040" w:type="dxa"/>
            <w:vAlign w:val="bottom"/>
          </w:tcPr>
          <w:p>
            <w:pPr>
              <w:jc w:val="right"/>
              <w:ind w:right="854"/>
              <w:spacing w:after="0"/>
              <w:rPr>
                <w:sz w:val="20"/>
                <w:szCs w:val="20"/>
                <w:color w:val="auto"/>
              </w:rPr>
            </w:pPr>
            <w:r>
              <w:rPr>
                <w:rFonts w:ascii="Arial" w:cs="Arial" w:eastAsia="Arial" w:hAnsi="Arial"/>
                <w:sz w:val="18"/>
                <w:szCs w:val="18"/>
                <w:b w:val="1"/>
                <w:bCs w:val="1"/>
                <w:color w:val="auto"/>
                <w:w w:val="79"/>
              </w:rPr>
              <w:t>$</w:t>
            </w:r>
          </w:p>
        </w:tc>
        <w:tc>
          <w:tcPr>
            <w:tcW w:w="660" w:type="dxa"/>
            <w:vAlign w:val="bottom"/>
          </w:tcPr>
          <w:p>
            <w:pPr>
              <w:jc w:val="right"/>
              <w:ind w:right="30"/>
              <w:spacing w:after="0"/>
              <w:rPr>
                <w:sz w:val="20"/>
                <w:szCs w:val="20"/>
                <w:color w:val="auto"/>
              </w:rPr>
            </w:pPr>
            <w:r>
              <w:rPr>
                <w:rFonts w:ascii="Arial" w:cs="Arial" w:eastAsia="Arial" w:hAnsi="Arial"/>
                <w:sz w:val="18"/>
                <w:szCs w:val="18"/>
                <w:b w:val="1"/>
                <w:bCs w:val="1"/>
                <w:color w:val="auto"/>
              </w:rPr>
              <w:t>4,221</w:t>
            </w:r>
          </w:p>
        </w:tc>
        <w:tc>
          <w:tcPr>
            <w:tcW w:w="2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Pr>
          <w:p>
            <w:pPr>
              <w:jc w:val="right"/>
              <w:ind w:right="33"/>
              <w:spacing w:after="0"/>
              <w:rPr>
                <w:sz w:val="20"/>
                <w:szCs w:val="20"/>
                <w:color w:val="auto"/>
              </w:rPr>
            </w:pPr>
            <w:r>
              <w:rPr>
                <w:rFonts w:ascii="Arial" w:cs="Arial" w:eastAsia="Arial" w:hAnsi="Arial"/>
                <w:sz w:val="18"/>
                <w:szCs w:val="18"/>
                <w:b w:val="1"/>
                <w:bCs w:val="1"/>
                <w:color w:val="auto"/>
              </w:rPr>
              <w:t>159,306</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Refer to Note 4 – Acquisition for more information related to the acquisition that occurred in the three months ended March 31,</w:t>
      </w:r>
    </w:p>
    <w:p>
      <w:pPr>
        <w:spacing w:after="0"/>
        <w:rPr>
          <w:sz w:val="20"/>
          <w:szCs w:val="20"/>
          <w:color w:val="auto"/>
        </w:rPr>
      </w:pPr>
      <w:r>
        <w:rPr>
          <w:rFonts w:ascii="Arial" w:cs="Arial" w:eastAsia="Arial" w:hAnsi="Arial"/>
          <w:sz w:val="18"/>
          <w:szCs w:val="18"/>
          <w:color w:val="auto"/>
        </w:rPr>
        <w:t>2021.</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Intangibles assets, net consisted of the following (in thousands):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December 31,</w:t>
            </w:r>
          </w:p>
        </w:tc>
      </w:tr>
      <w:tr>
        <w:trPr>
          <w:trHeight w:val="169"/>
        </w:trPr>
        <w:tc>
          <w:tcPr>
            <w:tcW w:w="706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814"/>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b w:val="1"/>
                <w:bCs w:val="1"/>
                <w:color w:val="auto"/>
              </w:rPr>
              <w:t>2020</w:t>
            </w:r>
          </w:p>
        </w:tc>
      </w:tr>
      <w:tr>
        <w:trPr>
          <w:trHeight w:val="209"/>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25,700</w:t>
            </w: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Trademarks</w:t>
            </w:r>
          </w:p>
        </w:tc>
        <w:tc>
          <w:tcPr>
            <w:tcW w:w="340" w:type="dxa"/>
            <w:vAlign w:val="bottom"/>
          </w:tcPr>
          <w:p>
            <w:pPr>
              <w:spacing w:after="0"/>
              <w:rPr>
                <w:sz w:val="18"/>
                <w:szCs w:val="18"/>
                <w:color w:val="auto"/>
              </w:rPr>
            </w:pPr>
          </w:p>
        </w:tc>
        <w:tc>
          <w:tcPr>
            <w:tcW w:w="1640" w:type="dxa"/>
            <w:vAlign w:val="bottom"/>
          </w:tcPr>
          <w:p>
            <w:pPr>
              <w:jc w:val="right"/>
              <w:ind w:right="34"/>
              <w:spacing w:after="0"/>
              <w:rPr>
                <w:sz w:val="20"/>
                <w:szCs w:val="20"/>
                <w:color w:val="auto"/>
              </w:rPr>
            </w:pPr>
            <w:r>
              <w:rPr>
                <w:rFonts w:ascii="Arial" w:cs="Arial" w:eastAsia="Arial" w:hAnsi="Arial"/>
                <w:sz w:val="18"/>
                <w:szCs w:val="18"/>
                <w:color w:val="auto"/>
              </w:rPr>
              <w:t>5,240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jc w:val="right"/>
              <w:ind w:right="54"/>
              <w:spacing w:after="0"/>
              <w:rPr>
                <w:sz w:val="20"/>
                <w:szCs w:val="20"/>
                <w:color w:val="auto"/>
              </w:rPr>
            </w:pPr>
            <w:r>
              <w:rPr>
                <w:rFonts w:ascii="Arial" w:cs="Arial" w:eastAsia="Arial" w:hAnsi="Arial"/>
                <w:sz w:val="18"/>
                <w:szCs w:val="18"/>
                <w:color w:val="auto"/>
              </w:rPr>
              <w:t>40</w:t>
            </w:r>
          </w:p>
        </w:tc>
      </w:tr>
      <w:tr>
        <w:trPr>
          <w:trHeight w:val="243"/>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34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3,400</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7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w:t>
            </w:r>
          </w:p>
        </w:tc>
      </w:tr>
      <w:tr>
        <w:trPr>
          <w:trHeight w:val="216"/>
        </w:trPr>
        <w:tc>
          <w:tcPr>
            <w:tcW w:w="7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252</w:t>
            </w:r>
          </w:p>
        </w:tc>
        <w:tc>
          <w:tcPr>
            <w:tcW w:w="1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252</w:t>
            </w:r>
          </w:p>
        </w:tc>
      </w:tr>
      <w:tr>
        <w:trPr>
          <w:trHeight w:val="210"/>
        </w:trPr>
        <w:tc>
          <w:tcPr>
            <w:tcW w:w="70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34,592</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292</w:t>
            </w:r>
          </w:p>
        </w:tc>
      </w:tr>
      <w:tr>
        <w:trPr>
          <w:trHeight w:val="216"/>
        </w:trPr>
        <w:tc>
          <w:tcPr>
            <w:tcW w:w="7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Accumulated Amortization</w:t>
            </w:r>
          </w:p>
        </w:tc>
        <w:tc>
          <w:tcPr>
            <w:tcW w:w="3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w:t>
            </w:r>
          </w:p>
        </w:tc>
        <w:tc>
          <w:tcPr>
            <w:tcW w:w="1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r>
      <w:tr>
        <w:trPr>
          <w:trHeight w:val="21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Intangible assets, net</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32,912</w:t>
            </w: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34</w:t>
            </w:r>
          </w:p>
        </w:tc>
      </w:tr>
      <w:tr>
        <w:trPr>
          <w:trHeight w:val="20"/>
        </w:trPr>
        <w:tc>
          <w:tcPr>
            <w:tcW w:w="70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Refer to Note 4 – Acquisition for more information related to the acquisition that occurred in the three months ended March 31,</w:t>
      </w:r>
    </w:p>
    <w:p>
      <w:pPr>
        <w:spacing w:after="0"/>
        <w:rPr>
          <w:sz w:val="20"/>
          <w:szCs w:val="20"/>
          <w:color w:val="auto"/>
        </w:rPr>
      </w:pPr>
      <w:r>
        <w:rPr>
          <w:rFonts w:ascii="Arial" w:cs="Arial" w:eastAsia="Arial" w:hAnsi="Arial"/>
          <w:sz w:val="18"/>
          <w:szCs w:val="18"/>
          <w:color w:val="auto"/>
        </w:rPr>
        <w:t>2021.</w:t>
      </w:r>
    </w:p>
    <w:p>
      <w:pPr>
        <w:spacing w:after="0" w:line="212" w:lineRule="exact"/>
        <w:rPr>
          <w:sz w:val="20"/>
          <w:szCs w:val="20"/>
          <w:color w:val="auto"/>
        </w:rPr>
      </w:pPr>
    </w:p>
    <w:p>
      <w:pPr>
        <w:ind w:right="100" w:firstLine="761"/>
        <w:spacing w:after="0" w:line="246" w:lineRule="auto"/>
        <w:rPr>
          <w:sz w:val="20"/>
          <w:szCs w:val="20"/>
          <w:color w:val="auto"/>
        </w:rPr>
      </w:pPr>
      <w:r>
        <w:rPr>
          <w:rFonts w:ascii="Arial" w:cs="Arial" w:eastAsia="Arial" w:hAnsi="Arial"/>
          <w:sz w:val="18"/>
          <w:szCs w:val="18"/>
          <w:color w:val="auto"/>
        </w:rPr>
        <w:t>Amortization expense for intangible assets was $1.4 million and $0.1 million for the three months ended March 31, 2021 and 2020, respectively.</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estimated amortization expense for intangible assets subsequent to March 31, 2021 consists of the following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Ending December 31:</w:t>
            </w:r>
          </w:p>
        </w:tc>
        <w:tc>
          <w:tcPr>
            <w:tcW w:w="4840" w:type="dxa"/>
            <w:vAlign w:val="bottom"/>
            <w:tcBorders>
              <w:bottom w:val="single" w:sz="8" w:color="auto"/>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960" w:type="dxa"/>
            <w:vAlign w:val="bottom"/>
            <w:tcBorders>
              <w:bottom w:val="single" w:sz="8" w:color="CFF0FC"/>
            </w:tcBorders>
          </w:tcPr>
          <w:p>
            <w:pPr>
              <w:spacing w:after="0"/>
              <w:rPr>
                <w:sz w:val="15"/>
                <w:szCs w:val="15"/>
                <w:color w:val="auto"/>
              </w:rPr>
            </w:pPr>
          </w:p>
        </w:tc>
        <w:tc>
          <w:tcPr>
            <w:tcW w:w="1520" w:type="dxa"/>
            <w:vAlign w:val="bottom"/>
            <w:tcBorders>
              <w:bottom w:val="single" w:sz="8" w:color="CFF0F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For remainder of 2021</w:t>
            </w:r>
          </w:p>
        </w:tc>
        <w:tc>
          <w:tcPr>
            <w:tcW w:w="6040" w:type="dxa"/>
            <w:vAlign w:val="bottom"/>
            <w:gridSpan w:val="3"/>
            <w:shd w:val="clear" w:color="auto" w:fill="CFF0FC"/>
          </w:tcPr>
          <w:p>
            <w:pPr>
              <w:jc w:val="right"/>
              <w:ind w:right="8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4,705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2022</w:t>
            </w:r>
          </w:p>
        </w:tc>
        <w:tc>
          <w:tcPr>
            <w:tcW w:w="4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6,220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4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6,215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2024</w:t>
            </w:r>
          </w:p>
        </w:tc>
        <w:tc>
          <w:tcPr>
            <w:tcW w:w="4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6,215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4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6,215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484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80" w:type="dxa"/>
            <w:vAlign w:val="bottom"/>
            <w:shd w:val="clear" w:color="auto" w:fill="CFF0FC"/>
          </w:tcPr>
          <w:p>
            <w:pPr>
              <w:spacing w:after="0"/>
              <w:rPr>
                <w:sz w:val="18"/>
                <w:szCs w:val="18"/>
                <w:color w:val="auto"/>
              </w:rPr>
            </w:pPr>
          </w:p>
        </w:tc>
        <w:tc>
          <w:tcPr>
            <w:tcW w:w="6040" w:type="dxa"/>
            <w:vAlign w:val="bottom"/>
            <w:gridSpan w:val="3"/>
            <w:shd w:val="clear" w:color="auto" w:fill="CFF0FC"/>
          </w:tcPr>
          <w:p>
            <w:pPr>
              <w:jc w:val="right"/>
              <w:ind w:right="8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32,912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FF0FC"/>
            </w:tcBorders>
          </w:tcPr>
          <w:p>
            <w:pPr>
              <w:spacing w:after="0" w:line="20" w:lineRule="exact"/>
              <w:rPr>
                <w:sz w:val="1"/>
                <w:szCs w:val="1"/>
                <w:color w:val="auto"/>
              </w:rPr>
            </w:pPr>
          </w:p>
        </w:tc>
        <w:tc>
          <w:tcPr>
            <w:tcW w:w="4840" w:type="dxa"/>
            <w:vAlign w:val="bottom"/>
            <w:tcBorders>
              <w:top w:val="single" w:sz="8" w:color="CFF0FC"/>
              <w:bottom w:val="single" w:sz="8" w:color="CFF0FC"/>
            </w:tcBorders>
            <w:vMerge w:val="restart"/>
          </w:tcPr>
          <w:p>
            <w:pPr>
              <w:jc w:val="right"/>
              <w:ind w:right="2710"/>
              <w:spacing w:after="0"/>
              <w:rPr>
                <w:sz w:val="20"/>
                <w:szCs w:val="20"/>
                <w:color w:val="auto"/>
              </w:rPr>
            </w:pPr>
            <w:r>
              <w:rPr>
                <w:rFonts w:ascii="Arial" w:cs="Arial" w:eastAsia="Arial" w:hAnsi="Arial"/>
                <w:sz w:val="18"/>
                <w:szCs w:val="18"/>
                <w:color w:val="auto"/>
              </w:rPr>
              <w:t>16</w:t>
            </w:r>
          </w:p>
        </w:tc>
        <w:tc>
          <w:tcPr>
            <w:tcW w:w="24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3680" w:type="dxa"/>
            <w:vAlign w:val="bottom"/>
          </w:tcPr>
          <w:p>
            <w:pPr>
              <w:spacing w:after="0"/>
              <w:rPr>
                <w:sz w:val="24"/>
                <w:szCs w:val="24"/>
                <w:color w:val="auto"/>
              </w:rPr>
            </w:pPr>
          </w:p>
        </w:tc>
        <w:tc>
          <w:tcPr>
            <w:tcW w:w="48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680" w:type="dxa"/>
            <w:vAlign w:val="bottom"/>
            <w:tcBorders>
              <w:bottom w:val="single" w:sz="8" w:color="9A9A9A"/>
            </w:tcBorders>
          </w:tcPr>
          <w:p>
            <w:pPr>
              <w:spacing w:after="0"/>
              <w:rPr>
                <w:sz w:val="8"/>
                <w:szCs w:val="8"/>
                <w:color w:val="auto"/>
              </w:rPr>
            </w:pPr>
          </w:p>
        </w:tc>
        <w:tc>
          <w:tcPr>
            <w:tcW w:w="48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Accrued Expenses and Other Current Liabilities</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accrued expenses consisted of the following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80" w:type="dxa"/>
            <w:vAlign w:val="bottom"/>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w:t>
            </w:r>
          </w:p>
        </w:tc>
        <w:tc>
          <w:tcPr>
            <w:tcW w:w="6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December 31,</w:t>
            </w:r>
          </w:p>
        </w:tc>
      </w:tr>
      <w:tr>
        <w:trPr>
          <w:trHeight w:val="169"/>
        </w:trPr>
        <w:tc>
          <w:tcPr>
            <w:tcW w:w="7080" w:type="dxa"/>
            <w:vAlign w:val="bottom"/>
            <w:tcBorders>
              <w:bottom w:val="single" w:sz="8" w:color="CFF0FC"/>
            </w:tcBorders>
          </w:tcPr>
          <w:p>
            <w:pPr>
              <w:spacing w:after="0"/>
              <w:rPr>
                <w:sz w:val="14"/>
                <w:szCs w:val="14"/>
                <w:color w:val="auto"/>
              </w:rPr>
            </w:pPr>
          </w:p>
        </w:tc>
        <w:tc>
          <w:tcPr>
            <w:tcW w:w="13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814"/>
              <w:spacing w:after="0"/>
              <w:rPr>
                <w:sz w:val="20"/>
                <w:szCs w:val="20"/>
                <w:color w:val="auto"/>
              </w:rPr>
            </w:pPr>
            <w:r>
              <w:rPr>
                <w:rFonts w:ascii="Arial" w:cs="Arial" w:eastAsia="Arial" w:hAnsi="Arial"/>
                <w:sz w:val="14"/>
                <w:szCs w:val="14"/>
                <w:b w:val="1"/>
                <w:bCs w:val="1"/>
                <w:color w:val="auto"/>
              </w:rPr>
              <w:t>2020</w:t>
            </w:r>
          </w:p>
        </w:tc>
      </w:tr>
      <w:tr>
        <w:trPr>
          <w:trHeight w:val="21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Accrued marketing expenses</w:t>
            </w:r>
          </w:p>
        </w:tc>
        <w:tc>
          <w:tcPr>
            <w:tcW w:w="1300" w:type="dxa"/>
            <w:vAlign w:val="bottom"/>
            <w:shd w:val="clear" w:color="auto" w:fill="CFF0FC"/>
          </w:tcPr>
          <w:p>
            <w:pPr>
              <w:jc w:val="right"/>
              <w:ind w:right="1119"/>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8"/>
              </w:rPr>
              <w:t>12,696</w:t>
            </w: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9,106</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Vehicle related expenses</w:t>
            </w:r>
          </w:p>
        </w:tc>
        <w:tc>
          <w:tcPr>
            <w:tcW w:w="130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8"/>
              </w:rPr>
              <w:t>14,555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jc w:val="right"/>
              <w:ind w:right="34"/>
              <w:spacing w:after="0"/>
              <w:rPr>
                <w:sz w:val="20"/>
                <w:szCs w:val="20"/>
                <w:color w:val="auto"/>
              </w:rPr>
            </w:pPr>
            <w:r>
              <w:rPr>
                <w:rFonts w:ascii="Arial" w:cs="Arial" w:eastAsia="Arial" w:hAnsi="Arial"/>
                <w:sz w:val="18"/>
                <w:szCs w:val="18"/>
                <w:color w:val="auto"/>
              </w:rPr>
              <w:t>13,062</w:t>
            </w:r>
          </w:p>
        </w:tc>
      </w:tr>
      <w:tr>
        <w:trPr>
          <w:trHeight w:val="216"/>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Sales taxes</w:t>
            </w:r>
          </w:p>
        </w:tc>
        <w:tc>
          <w:tcPr>
            <w:tcW w:w="130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8"/>
              </w:rPr>
              <w:t>22,789</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15,443</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Accrued compensation and benefits</w:t>
            </w:r>
          </w:p>
        </w:tc>
        <w:tc>
          <w:tcPr>
            <w:tcW w:w="130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8,151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jc w:val="right"/>
              <w:ind w:right="34"/>
              <w:spacing w:after="0"/>
              <w:rPr>
                <w:sz w:val="20"/>
                <w:szCs w:val="20"/>
                <w:color w:val="auto"/>
              </w:rPr>
            </w:pPr>
            <w:r>
              <w:rPr>
                <w:rFonts w:ascii="Arial" w:cs="Arial" w:eastAsia="Arial" w:hAnsi="Arial"/>
                <w:sz w:val="18"/>
                <w:szCs w:val="18"/>
                <w:color w:val="auto"/>
              </w:rPr>
              <w:t>5,749</w:t>
            </w:r>
          </w:p>
        </w:tc>
      </w:tr>
      <w:tr>
        <w:trPr>
          <w:trHeight w:val="216"/>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services</w:t>
            </w:r>
          </w:p>
        </w:tc>
        <w:tc>
          <w:tcPr>
            <w:tcW w:w="130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3,174</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4,890</w:t>
            </w:r>
          </w:p>
        </w:tc>
      </w:tr>
      <w:tr>
        <w:trPr>
          <w:trHeight w:val="216"/>
        </w:trPr>
        <w:tc>
          <w:tcPr>
            <w:tcW w:w="7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8"/>
              </w:rPr>
              <w:t>10,601</w:t>
            </w:r>
          </w:p>
        </w:tc>
        <w:tc>
          <w:tcPr>
            <w:tcW w:w="2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11,155</w:t>
            </w:r>
          </w:p>
        </w:tc>
      </w:tr>
      <w:tr>
        <w:trPr>
          <w:trHeight w:val="210"/>
        </w:trPr>
        <w:tc>
          <w:tcPr>
            <w:tcW w:w="7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accrued expenses</w:t>
            </w:r>
          </w:p>
        </w:tc>
        <w:tc>
          <w:tcPr>
            <w:tcW w:w="1300" w:type="dxa"/>
            <w:vAlign w:val="bottom"/>
            <w:shd w:val="clear" w:color="auto" w:fill="CFF0FC"/>
          </w:tcPr>
          <w:p>
            <w:pPr>
              <w:jc w:val="right"/>
              <w:ind w:right="1119"/>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8"/>
              </w:rPr>
              <w:t>71,966</w:t>
            </w: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59,405</w:t>
            </w:r>
          </w:p>
        </w:tc>
      </w:tr>
      <w:tr>
        <w:trPr>
          <w:trHeight w:val="20"/>
        </w:trPr>
        <w:tc>
          <w:tcPr>
            <w:tcW w:w="708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other current liabilities consisted of the following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80" w:type="dxa"/>
            <w:vAlign w:val="bottom"/>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w:t>
            </w:r>
          </w:p>
        </w:tc>
        <w:tc>
          <w:tcPr>
            <w:tcW w:w="6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December 31,</w:t>
            </w:r>
          </w:p>
        </w:tc>
      </w:tr>
      <w:tr>
        <w:trPr>
          <w:trHeight w:val="169"/>
        </w:trPr>
        <w:tc>
          <w:tcPr>
            <w:tcW w:w="7080" w:type="dxa"/>
            <w:vAlign w:val="bottom"/>
            <w:tcBorders>
              <w:bottom w:val="single" w:sz="8" w:color="CFF0FC"/>
            </w:tcBorders>
          </w:tcPr>
          <w:p>
            <w:pPr>
              <w:spacing w:after="0"/>
              <w:rPr>
                <w:sz w:val="14"/>
                <w:szCs w:val="14"/>
                <w:color w:val="auto"/>
              </w:rPr>
            </w:pPr>
          </w:p>
        </w:tc>
        <w:tc>
          <w:tcPr>
            <w:tcW w:w="13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817"/>
              <w:spacing w:after="0"/>
              <w:rPr>
                <w:sz w:val="20"/>
                <w:szCs w:val="20"/>
                <w:color w:val="auto"/>
              </w:rPr>
            </w:pPr>
            <w:r>
              <w:rPr>
                <w:rFonts w:ascii="Arial" w:cs="Arial" w:eastAsia="Arial" w:hAnsi="Arial"/>
                <w:sz w:val="14"/>
                <w:szCs w:val="14"/>
                <w:b w:val="1"/>
                <w:bCs w:val="1"/>
                <w:color w:val="auto"/>
              </w:rPr>
              <w:t>2020</w:t>
            </w:r>
          </w:p>
        </w:tc>
      </w:tr>
      <w:tr>
        <w:trPr>
          <w:trHeight w:val="209"/>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Vehicle payable</w:t>
            </w:r>
          </w:p>
        </w:tc>
        <w:tc>
          <w:tcPr>
            <w:tcW w:w="1300" w:type="dxa"/>
            <w:vAlign w:val="bottom"/>
            <w:shd w:val="clear" w:color="auto" w:fill="CFF0FC"/>
          </w:tcPr>
          <w:p>
            <w:pPr>
              <w:jc w:val="right"/>
              <w:ind w:right="1119"/>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8"/>
              </w:rPr>
              <w:t>23,289</w:t>
            </w: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25,086</w:t>
            </w:r>
          </w:p>
        </w:tc>
      </w:tr>
      <w:tr>
        <w:trPr>
          <w:trHeight w:val="216"/>
        </w:trPr>
        <w:tc>
          <w:tcPr>
            <w:tcW w:w="7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9,411</w:t>
            </w:r>
          </w:p>
        </w:tc>
        <w:tc>
          <w:tcPr>
            <w:tcW w:w="2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5,189</w:t>
            </w:r>
          </w:p>
        </w:tc>
      </w:tr>
      <w:tr>
        <w:trPr>
          <w:trHeight w:val="210"/>
        </w:trPr>
        <w:tc>
          <w:tcPr>
            <w:tcW w:w="7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other current liabilities</w:t>
            </w:r>
          </w:p>
        </w:tc>
        <w:tc>
          <w:tcPr>
            <w:tcW w:w="1300" w:type="dxa"/>
            <w:vAlign w:val="bottom"/>
            <w:shd w:val="clear" w:color="auto" w:fill="CFF0FC"/>
          </w:tcPr>
          <w:p>
            <w:pPr>
              <w:jc w:val="right"/>
              <w:ind w:right="1119"/>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8"/>
              </w:rPr>
              <w:t>32,700</w:t>
            </w: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30,275</w:t>
            </w:r>
          </w:p>
        </w:tc>
      </w:tr>
      <w:tr>
        <w:trPr>
          <w:trHeight w:val="20"/>
        </w:trPr>
        <w:tc>
          <w:tcPr>
            <w:tcW w:w="708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Vehicle Floorplan Facilities</w:t>
      </w:r>
    </w:p>
    <w:p>
      <w:pPr>
        <w:spacing w:after="0" w:line="126" w:lineRule="exact"/>
        <w:rPr>
          <w:sz w:val="20"/>
          <w:szCs w:val="20"/>
          <w:color w:val="auto"/>
        </w:rPr>
      </w:pPr>
    </w:p>
    <w:p>
      <w:pPr>
        <w:ind w:right="340" w:firstLine="761"/>
        <w:spacing w:after="0" w:line="238" w:lineRule="auto"/>
        <w:rPr>
          <w:sz w:val="20"/>
          <w:szCs w:val="20"/>
          <w:color w:val="auto"/>
        </w:rPr>
      </w:pPr>
      <w:r>
        <w:rPr>
          <w:rFonts w:ascii="Arial" w:cs="Arial" w:eastAsia="Arial" w:hAnsi="Arial"/>
          <w:sz w:val="18"/>
          <w:szCs w:val="18"/>
          <w:color w:val="auto"/>
        </w:rPr>
        <w:t>In 2020, the Company entered into a new vehicle floorplan facility with Ally Bank and Ally Financial (the “2020 Vehicle Floorplan Facility”). The 2020 Vehicle Floorplan Facility provides a committed credit line of up to $450.0 million which is scheduled to expire in September 30, 2022.The amount of credit available is determined on a monthly basis based on a calculation that considers average outstanding borrowings and vehicle units paid off by the Company within the immediately preceding three-month period. As of March 31, 2021, the borrowing capacity of the 2020 Vehicle Floorplan Facility was $415.2 million, of which $162.2 million was unutilized.</w:t>
      </w:r>
    </w:p>
    <w:p>
      <w:pPr>
        <w:spacing w:after="0" w:line="202" w:lineRule="exact"/>
        <w:rPr>
          <w:sz w:val="20"/>
          <w:szCs w:val="20"/>
          <w:color w:val="auto"/>
        </w:rPr>
      </w:pPr>
    </w:p>
    <w:p>
      <w:pPr>
        <w:ind w:right="80" w:firstLine="761"/>
        <w:spacing w:after="0" w:line="237" w:lineRule="auto"/>
        <w:rPr>
          <w:sz w:val="20"/>
          <w:szCs w:val="20"/>
          <w:color w:val="auto"/>
        </w:rPr>
      </w:pPr>
      <w:r>
        <w:rPr>
          <w:rFonts w:ascii="Arial" w:cs="Arial" w:eastAsia="Arial" w:hAnsi="Arial"/>
          <w:sz w:val="18"/>
          <w:szCs w:val="18"/>
          <w:color w:val="auto"/>
        </w:rPr>
        <w:t>Outstanding borrowings related to the 2020 Vehicle Floorplan Facility are due as the vehicles financed are sold, or in any event, on the maturity date. The 2020 Vehicle Floorplan Facility bears interest at a rate equal to the 1-Month LIBOR rate applicable in the immediately preceding month plus a spread of 425 basis points. The 2020 Vehicle Floorplan Facility is collateralized by the Company’s vehicle inventory and certain other assets and the Company is subject to covenants that require it to maintain a certain level of equity in the vehicles that are financed, to maintain at least 7.5% of the outstanding borrowings in cash and cash equivalents, and to maintain 10% of the daily floorplan principal balance outstanding on deposit with Ally Bank. The Company is required to pay an availability fee each quarter on the average unused capacity from the prior quarter if it was greater than 50% of the calculated floorplan allowance, as defined.</w:t>
      </w:r>
    </w:p>
    <w:p>
      <w:pPr>
        <w:spacing w:after="0" w:line="203" w:lineRule="exact"/>
        <w:rPr>
          <w:sz w:val="20"/>
          <w:szCs w:val="20"/>
          <w:color w:val="auto"/>
        </w:rPr>
      </w:pPr>
    </w:p>
    <w:p>
      <w:pPr>
        <w:ind w:right="180" w:firstLine="761"/>
        <w:spacing w:after="0" w:line="246" w:lineRule="auto"/>
        <w:rPr>
          <w:sz w:val="20"/>
          <w:szCs w:val="20"/>
          <w:color w:val="auto"/>
        </w:rPr>
      </w:pPr>
      <w:r>
        <w:rPr>
          <w:rFonts w:ascii="Arial" w:cs="Arial" w:eastAsia="Arial" w:hAnsi="Arial"/>
          <w:sz w:val="18"/>
          <w:szCs w:val="18"/>
          <w:color w:val="auto"/>
        </w:rPr>
        <w:t>As of March 31, 2021 and December 31, 2020, outstanding borrowings on the 2020 Vehicle Floorplan Facility were $253.0 million and $329.2 million, respectively.</w:t>
      </w:r>
    </w:p>
    <w:p>
      <w:pPr>
        <w:spacing w:after="0" w:line="197" w:lineRule="exact"/>
        <w:rPr>
          <w:sz w:val="20"/>
          <w:szCs w:val="20"/>
          <w:color w:val="auto"/>
        </w:rPr>
      </w:pPr>
    </w:p>
    <w:p>
      <w:pPr>
        <w:ind w:right="360" w:firstLine="761"/>
        <w:spacing w:after="0" w:line="238" w:lineRule="auto"/>
        <w:rPr>
          <w:sz w:val="20"/>
          <w:szCs w:val="20"/>
          <w:color w:val="auto"/>
        </w:rPr>
      </w:pPr>
      <w:r>
        <w:rPr>
          <w:rFonts w:ascii="Arial" w:cs="Arial" w:eastAsia="Arial" w:hAnsi="Arial"/>
          <w:sz w:val="18"/>
          <w:szCs w:val="18"/>
          <w:color w:val="auto"/>
        </w:rPr>
        <w:t>Interest expense incurred by the Company for the 2020 Vehicle Floorplan Facility was $3.8 million and $2.7 million for the three months ended March 31, 2021 and 2020, respectively, which are recorded within “Interest expense” in the condensed consolidated statements of operations. The weighted average interest rate on the vehicle floorplan borrowings was 4.37% and 4.39% as of March 31, 2021 and December 31, 2020, respectively.</w:t>
      </w:r>
    </w:p>
    <w:p>
      <w:pPr>
        <w:spacing w:after="0" w:line="232" w:lineRule="exact"/>
        <w:rPr>
          <w:sz w:val="20"/>
          <w:szCs w:val="20"/>
          <w:color w:val="auto"/>
        </w:rPr>
      </w:pPr>
    </w:p>
    <w:p>
      <w:pPr>
        <w:ind w:right="440" w:firstLine="761"/>
        <w:spacing w:after="0" w:line="246" w:lineRule="auto"/>
        <w:rPr>
          <w:sz w:val="20"/>
          <w:szCs w:val="20"/>
          <w:color w:val="auto"/>
        </w:rPr>
      </w:pPr>
      <w:r>
        <w:rPr>
          <w:rFonts w:ascii="Arial" w:cs="Arial" w:eastAsia="Arial" w:hAnsi="Arial"/>
          <w:sz w:val="18"/>
          <w:szCs w:val="18"/>
          <w:color w:val="auto"/>
        </w:rPr>
        <w:t>As of March 31, 2021 and December 31, 2020, the Company was in compliance with all covenants related to the 2020 Vehicle Floorplan Facility.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2" w:lineRule="exact"/>
        <w:rPr>
          <w:sz w:val="20"/>
          <w:szCs w:val="20"/>
          <w:color w:val="auto"/>
        </w:rPr>
      </w:pPr>
    </w:p>
    <w:p>
      <w:pPr>
        <w:ind w:right="60" w:firstLine="749"/>
        <w:spacing w:after="0" w:line="238" w:lineRule="auto"/>
        <w:rPr>
          <w:sz w:val="20"/>
          <w:szCs w:val="20"/>
          <w:color w:val="auto"/>
        </w:rPr>
      </w:pPr>
      <w:r>
        <w:rPr>
          <w:rFonts w:ascii="Arial" w:cs="Arial" w:eastAsia="Arial" w:hAnsi="Arial"/>
          <w:sz w:val="18"/>
          <w:szCs w:val="18"/>
          <w:color w:val="auto"/>
        </w:rPr>
        <w:t>In connection with the 2020 Vehicle Floorplan Facility, the Company entered into credit balance agreements with Ally Bank and Ally Financial that permit the Company to deposit cash with the bank for the purpose of reducing the amount of interest payable for borrowings. Interest credits earned by the Company were $2.2 million and $1.7 million for the three months ended March 31, 2021 and 2020, respectively, which are recorded within “Interest income” in the condensed consolidated statements of operations.</w:t>
      </w:r>
    </w:p>
    <w:p>
      <w:pPr>
        <w:spacing w:after="0" w:line="291" w:lineRule="exact"/>
        <w:rPr>
          <w:sz w:val="20"/>
          <w:szCs w:val="20"/>
          <w:color w:val="auto"/>
        </w:rPr>
      </w:pPr>
    </w:p>
    <w:p>
      <w:pPr>
        <w:ind w:right="8080" w:firstLine="8"/>
        <w:spacing w:after="0" w:line="372" w:lineRule="auto"/>
        <w:tabs>
          <w:tab w:leader="none" w:pos="3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Litigation</w:t>
      </w:r>
    </w:p>
    <w:p>
      <w:pPr>
        <w:spacing w:after="0" w:line="1" w:lineRule="exact"/>
        <w:rPr>
          <w:sz w:val="20"/>
          <w:szCs w:val="20"/>
          <w:color w:val="auto"/>
        </w:rPr>
      </w:pPr>
    </w:p>
    <w:p>
      <w:pPr>
        <w:ind w:right="100" w:firstLine="761"/>
        <w:spacing w:after="0" w:line="236" w:lineRule="auto"/>
        <w:rPr>
          <w:sz w:val="20"/>
          <w:szCs w:val="20"/>
          <w:color w:val="auto"/>
        </w:rPr>
      </w:pPr>
      <w:r>
        <w:rPr>
          <w:rFonts w:ascii="Arial" w:cs="Arial" w:eastAsia="Arial" w:hAnsi="Arial"/>
          <w:sz w:val="18"/>
          <w:szCs w:val="18"/>
          <w:color w:val="auto"/>
        </w:rPr>
        <w:t>From time to time, the Company is involved in various claims and legal actions that arise in the ordinary course of business and an unfavorable resolution of any of these matters could materially affect the Company’s future results of operations, cash flows or financial position. The Company is also party to various disputes that the Company considers routine and incidental to its business. The Company does not expect the results of any of these routine actions to have a material effect on the Company’s business, results of operations, financial condition, or cash flows. The Company accrues a liability when a loss is considered probable and the amount can be reasonably estimated. When a material loss contingency is reasonably possible but not probable, the Company does not record a liability, but instead discloses the nature and the amount of the claim, and an estimate of the loss or range of loss, if such an estimate can be made. Legal fees are expensed as incurred.</w:t>
      </w:r>
    </w:p>
    <w:p>
      <w:pPr>
        <w:spacing w:after="0" w:line="235"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Beginning in March 2021, multiple putative class actions were filed in the U.S. District Court for the Southern District of New York by certain of the Company’s stockholders against the Company and certain of the Company’s officers alleging violations of federal securities laws. The lawsuits are captioned Zawatsky et al. v. Vroom, Inc. et al., Case No. 21-cv-2477; Holbrook v. Vroom, Inc. et al., Case No. 21-cv-2551; and Hudda v. Vroom, Inc. et al., Case No. 21-cv-3296. All three of the lawsuits assert similar claims under Sections 10(b) and 20(a) of the Exchange Act, and SEC Rule 10b-5. The complaints seek damages purportedly caused by alleged materially misleading statements and/or omissions by the Company and the named individual officers. In each case, the named plaintiff(s) seek to represent a proposed class of all persons who purchased or otherwise acquired the Company’s securities during a period from June 9, 2020 to March 3, 2021 (in the case of Holbrook and Hudda), or November 11, 2020 to March 3, 2021 (in the case of Zawatsky). These cases are in preliminary stages, and the Company has not yet responded to the complaints. The Company believes these lawsuits are without merit and intends to vigorously contest these claims. While the outcome of any complex legal proceeding is inherently unpredictable and subject to significant uncertainties, based upon information presently known to management, the Company believes that the potential liability, if any, will not have a material adverse effect on the Company’s financial condition, cash flows, or results of operations.</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39" w:lineRule="exact"/>
        <w:rPr>
          <w:sz w:val="20"/>
          <w:szCs w:val="20"/>
          <w:color w:val="auto"/>
        </w:rPr>
      </w:pPr>
    </w:p>
    <w:p>
      <w:pPr>
        <w:ind w:right="40" w:firstLine="761"/>
        <w:spacing w:after="0" w:line="238" w:lineRule="auto"/>
        <w:rPr>
          <w:sz w:val="20"/>
          <w:szCs w:val="20"/>
          <w:color w:val="auto"/>
        </w:rPr>
      </w:pPr>
      <w:r>
        <w:rPr>
          <w:rFonts w:ascii="Arial" w:cs="Arial" w:eastAsia="Arial" w:hAnsi="Arial"/>
          <w:sz w:val="18"/>
          <w:szCs w:val="18"/>
          <w:color w:val="auto"/>
        </w:rPr>
        <w:t>The Company obtained stand-by letters of credit to satisfy conditions under three lease agreements. The Company was required to maintain a cash deposit of $1.8 million and $2.2 million with the financial institution that issued the stand-by letters of credit, which is classified as “Restricted cash” within the condensed consolidated balance sheets as of March 31, 2021 and December 31, 2020, respectively.</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126" w:lineRule="exact"/>
        <w:rPr>
          <w:sz w:val="20"/>
          <w:szCs w:val="20"/>
          <w:color w:val="auto"/>
        </w:rPr>
      </w:pPr>
    </w:p>
    <w:p>
      <w:pPr>
        <w:ind w:right="100" w:firstLine="749"/>
        <w:spacing w:after="0" w:line="259" w:lineRule="auto"/>
        <w:rPr>
          <w:sz w:val="20"/>
          <w:szCs w:val="20"/>
          <w:color w:val="auto"/>
        </w:rPr>
      </w:pPr>
      <w:r>
        <w:rPr>
          <w:rFonts w:ascii="Arial" w:cs="Arial" w:eastAsia="Arial" w:hAnsi="Arial"/>
          <w:sz w:val="17"/>
          <w:szCs w:val="17"/>
          <w:color w:val="auto"/>
        </w:rPr>
        <w:t>The Company enters into agreements with third parties in the ordinary course of business that may contain indemnification provisions. In the event that an indemnification claim is asserted, the Company’s liability, if any, would be limited by the terms of the applicable agreement. Historically, the Company has not incurred material costs to defend lawsuits or settle claims related to indemnification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provisions.</w:t>
      </w:r>
    </w:p>
    <w:p>
      <w:pPr>
        <w:spacing w:after="0" w:line="311" w:lineRule="exact"/>
        <w:rPr>
          <w:sz w:val="20"/>
          <w:szCs w:val="20"/>
          <w:color w:val="auto"/>
        </w:rPr>
      </w:pPr>
    </w:p>
    <w:p>
      <w:pPr>
        <w:ind w:right="5240" w:firstLine="8"/>
        <w:spacing w:after="0" w:line="372" w:lineRule="auto"/>
        <w:tabs>
          <w:tab w:leader="none" w:pos="3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Stock and Stockholders’ Equity </w:t>
      </w:r>
      <w:r>
        <w:rPr>
          <w:rFonts w:ascii="Arial" w:cs="Arial" w:eastAsia="Arial" w:hAnsi="Arial"/>
          <w:sz w:val="18"/>
          <w:szCs w:val="18"/>
          <w:b w:val="1"/>
          <w:bCs w:val="1"/>
          <w:i w:val="1"/>
          <w:iCs w:val="1"/>
          <w:color w:val="auto"/>
        </w:rPr>
        <w:t>Redeemable Convertible Preferred Stock</w:t>
      </w:r>
    </w:p>
    <w:p>
      <w:pPr>
        <w:spacing w:after="0" w:line="1" w:lineRule="exact"/>
        <w:rPr>
          <w:sz w:val="20"/>
          <w:szCs w:val="20"/>
          <w:color w:val="auto"/>
        </w:rPr>
      </w:pPr>
    </w:p>
    <w:p>
      <w:pPr>
        <w:ind w:right="260" w:firstLine="761"/>
        <w:spacing w:after="0"/>
        <w:rPr>
          <w:sz w:val="20"/>
          <w:szCs w:val="20"/>
          <w:color w:val="auto"/>
        </w:rPr>
      </w:pPr>
      <w:r>
        <w:rPr>
          <w:rFonts w:ascii="Arial" w:cs="Arial" w:eastAsia="Arial" w:hAnsi="Arial"/>
          <w:sz w:val="18"/>
          <w:szCs w:val="18"/>
          <w:color w:val="auto"/>
        </w:rPr>
        <w:t>On January 8, 2020, the Company completed an additional closing of its Series H Preferred Stock whereby it sold and issued an aggregate of 1,964,766 shares of Series H Preferred Stock in exchange for gross proceeds of $26.7 million. The proceeds were used for general corporate purposes and business development.</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8" w:lineRule="exact"/>
        <w:rPr>
          <w:sz w:val="20"/>
          <w:szCs w:val="20"/>
          <w:color w:val="auto"/>
        </w:rPr>
      </w:pPr>
    </w:p>
    <w:p>
      <w:pPr>
        <w:ind w:right="60" w:firstLine="761"/>
        <w:spacing w:after="0" w:line="261" w:lineRule="auto"/>
        <w:rPr>
          <w:sz w:val="20"/>
          <w:szCs w:val="20"/>
          <w:color w:val="auto"/>
        </w:rPr>
      </w:pPr>
      <w:r>
        <w:rPr>
          <w:rFonts w:ascii="Arial" w:cs="Arial" w:eastAsia="Arial" w:hAnsi="Arial"/>
          <w:sz w:val="17"/>
          <w:szCs w:val="17"/>
          <w:color w:val="auto"/>
        </w:rPr>
        <w:t>Immediately upon closing of the IPO, the Company’s outstanding preferred stock was automatically converted into an aggregate of 85,533,394 shares of the Company’s common stock. On June 11, 2020, the Company amended its certificate of incorporation to authorize the issuance of up to 10,000,000 shares of Preferred Stock. As of March 31, 2021, there was no preferred stock issued or outstanding.</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26" w:lineRule="exact"/>
        <w:rPr>
          <w:sz w:val="20"/>
          <w:szCs w:val="20"/>
          <w:color w:val="auto"/>
        </w:rPr>
      </w:pPr>
    </w:p>
    <w:p>
      <w:pPr>
        <w:jc w:val="both"/>
        <w:ind w:right="320" w:firstLine="761"/>
        <w:spacing w:after="0" w:line="238" w:lineRule="auto"/>
        <w:rPr>
          <w:sz w:val="20"/>
          <w:szCs w:val="20"/>
          <w:color w:val="auto"/>
        </w:rPr>
      </w:pPr>
      <w:r>
        <w:rPr>
          <w:rFonts w:ascii="Arial" w:cs="Arial" w:eastAsia="Arial" w:hAnsi="Arial"/>
          <w:sz w:val="18"/>
          <w:szCs w:val="18"/>
          <w:color w:val="auto"/>
        </w:rPr>
        <w:t>On June 11, 2020, the Company amended its certificate of incorporation to effect a 2-for-1 forward stock split of shares of the Company’s outstanding common stock, such that each share of common stock, $0.001 par value became two shares of common stock, $0.001 par value per share. The shares of common stock authorized for issuance was increased to 500,000,000. Each share of common stock entitles the holder to one vote on all matters submitted to a vote of the Company’s stockholders.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26" w:lineRule="exact"/>
        <w:rPr>
          <w:sz w:val="20"/>
          <w:szCs w:val="20"/>
          <w:color w:val="auto"/>
        </w:rPr>
      </w:pPr>
    </w:p>
    <w:p>
      <w:pPr>
        <w:ind w:right="120" w:firstLine="761"/>
        <w:spacing w:after="0" w:line="238" w:lineRule="auto"/>
        <w:rPr>
          <w:sz w:val="20"/>
          <w:szCs w:val="20"/>
          <w:color w:val="auto"/>
        </w:rPr>
      </w:pPr>
      <w:r>
        <w:rPr>
          <w:rFonts w:ascii="Arial" w:cs="Arial" w:eastAsia="Arial" w:hAnsi="Arial"/>
          <w:sz w:val="18"/>
          <w:szCs w:val="18"/>
          <w:color w:val="auto"/>
        </w:rPr>
        <w:t>In connection with the offering of shares of Series B Preferred Stock, the Company issued warrants to an investor in return for providing ongoing advisory services (“Series B Warrants”). The Series B Warrants allowed the investor to purchase up to 161,136 shares of common stock with an exercise price of $0.72 per share. The Series B Warrants vested in equal monthly installments through October 1, 2017. Upon the closing of the IPO, all of the Series B Warrants were exercised on a cashless basis by the holder which resulted in the net issuance of 155,862 shares of the Company’s common stock.</w:t>
      </w:r>
    </w:p>
    <w:p>
      <w:pPr>
        <w:spacing w:after="0" w:line="202" w:lineRule="exact"/>
        <w:rPr>
          <w:sz w:val="20"/>
          <w:szCs w:val="20"/>
          <w:color w:val="auto"/>
        </w:rPr>
      </w:pPr>
    </w:p>
    <w:p>
      <w:pPr>
        <w:ind w:right="60" w:firstLine="761"/>
        <w:spacing w:after="0" w:line="255" w:lineRule="auto"/>
        <w:rPr>
          <w:sz w:val="20"/>
          <w:szCs w:val="20"/>
          <w:color w:val="auto"/>
        </w:rPr>
      </w:pPr>
      <w:r>
        <w:rPr>
          <w:rFonts w:ascii="Arial" w:cs="Arial" w:eastAsia="Arial" w:hAnsi="Arial"/>
          <w:sz w:val="17"/>
          <w:szCs w:val="17"/>
          <w:color w:val="auto"/>
        </w:rPr>
        <w:t>In August 2017, the Company issued a warrant (the “Series F Preferred Stock Warrant”) which allowed the holders to purchase up to 589,970 shares of the Company’s Series F Preferred Stock, or common stock upon conversion of the Company’s preferred stock into common stock, with an exercise price of $8.53 per share. The holders exercised the warrant on June 23, 2020 on a cashless basis, which resulted in the net issuance of 480,250 shares of the Company’s common stock. Prior to the conversion of the Company’s preferred stock into common stock, the Series F Preferred Stock Warrant was classified as a liability due to the contingent redemption features of the Series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 Preferred Stock and was measured at fair value at each reporting date.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w:t>
      </w:r>
    </w:p>
    <w:p>
      <w:pPr>
        <w:spacing w:after="0" w:line="126" w:lineRule="exact"/>
        <w:rPr>
          <w:sz w:val="20"/>
          <w:szCs w:val="20"/>
          <w:color w:val="auto"/>
        </w:rPr>
      </w:pPr>
    </w:p>
    <w:p>
      <w:pPr>
        <w:ind w:right="120" w:firstLine="761"/>
        <w:spacing w:after="0" w:line="238" w:lineRule="auto"/>
        <w:rPr>
          <w:sz w:val="20"/>
          <w:szCs w:val="20"/>
          <w:color w:val="auto"/>
        </w:rPr>
      </w:pPr>
      <w:r>
        <w:rPr>
          <w:rFonts w:ascii="Arial" w:cs="Arial" w:eastAsia="Arial" w:hAnsi="Arial"/>
          <w:sz w:val="18"/>
          <w:szCs w:val="18"/>
          <w:color w:val="auto"/>
        </w:rPr>
        <w:t>On May 28, 2020, the Company adopted the 2020 Incentive Award Plan (“the 2020 Plan”), which authorized the issuance of (i) up to 3,019,108 shares of the Company’s common stock, (ii) up to the number of shares representing a 4% annual increase on the first day of each year beginning on January 1, 2022 and ending on January 1, 2030, and (iii) any shares of the Company’s common stock subject to awards under the 2014 Plan which are forfeited or lapse unexercised and which following the effective date are not issued under the 2014</w:t>
      </w:r>
    </w:p>
    <w:p>
      <w:pPr>
        <w:spacing w:after="0" w:line="16"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Plan. Awards may be issued in the form of restricted stock units, restricted stock, stock appreciation rights, and stock options. As of March 31, 2021, there were 2,788,577 shares available for future issuance under the 2020 Plan.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39" w:lineRule="exact"/>
        <w:rPr>
          <w:sz w:val="20"/>
          <w:szCs w:val="20"/>
          <w:color w:val="auto"/>
        </w:rPr>
      </w:pPr>
    </w:p>
    <w:p>
      <w:pPr>
        <w:ind w:right="80" w:firstLine="761"/>
        <w:spacing w:after="0" w:line="234" w:lineRule="auto"/>
        <w:rPr>
          <w:sz w:val="20"/>
          <w:szCs w:val="20"/>
          <w:color w:val="auto"/>
        </w:rPr>
      </w:pPr>
      <w:r>
        <w:rPr>
          <w:rFonts w:ascii="Arial" w:cs="Arial" w:eastAsia="Arial" w:hAnsi="Arial"/>
          <w:sz w:val="18"/>
          <w:szCs w:val="18"/>
          <w:color w:val="auto"/>
        </w:rPr>
        <w:t>The Company recognized $0.6 million of stock-based compensation expense related to stock options for each of the three months ended March 31, 2021 and 2020, respectively. As of March 31, 2021 and December 31, 2020, the Company had $4.6 million and</w:t>
      </w:r>
    </w:p>
    <w:p>
      <w:pPr>
        <w:spacing w:after="0" w:line="1"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$3.5 million, respectively, of unrecognized stock-based compensation expense that is expected to be recognized over a weighted-average period of 2.3 years and 2.2 years, respectively.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139" w:lineRule="exact"/>
        <w:rPr>
          <w:sz w:val="20"/>
          <w:szCs w:val="20"/>
          <w:color w:val="auto"/>
        </w:rPr>
      </w:pPr>
    </w:p>
    <w:p>
      <w:pPr>
        <w:ind w:firstLine="761"/>
        <w:spacing w:after="0" w:line="238" w:lineRule="auto"/>
        <w:rPr>
          <w:sz w:val="20"/>
          <w:szCs w:val="20"/>
          <w:color w:val="auto"/>
        </w:rPr>
      </w:pPr>
      <w:r>
        <w:rPr>
          <w:rFonts w:ascii="Arial" w:cs="Arial" w:eastAsia="Arial" w:hAnsi="Arial"/>
          <w:sz w:val="18"/>
          <w:szCs w:val="18"/>
          <w:color w:val="auto"/>
        </w:rPr>
        <w:t>The Company recognized $2.2 million and $0.0 million of stock-based compensation expense related to RSUs for the three months ended March 31, 2021 and 2020, respectively. As of March 31, 2021 and December 31, 2020, the Company had $ 22.0 million and $15.4 million, respectively, of unrecognized stock-based compensation expense that is expected to be recognized over a weighted-average period of 1.9 years and 1.8 years, respectively.</w:t>
      </w: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Financial Instruments and Fair Value Measurements</w:t>
      </w:r>
    </w:p>
    <w:p>
      <w:pPr>
        <w:spacing w:after="0" w:line="139" w:lineRule="exact"/>
        <w:rPr>
          <w:sz w:val="20"/>
          <w:szCs w:val="20"/>
          <w:color w:val="auto"/>
        </w:rPr>
      </w:pPr>
    </w:p>
    <w:p>
      <w:pPr>
        <w:ind w:firstLine="761"/>
        <w:spacing w:after="0" w:line="238" w:lineRule="auto"/>
        <w:rPr>
          <w:sz w:val="20"/>
          <w:szCs w:val="20"/>
          <w:color w:val="auto"/>
        </w:rPr>
      </w:pPr>
      <w:r>
        <w:rPr>
          <w:rFonts w:ascii="Arial" w:cs="Arial" w:eastAsia="Arial" w:hAnsi="Arial"/>
          <w:sz w:val="18"/>
          <w:szCs w:val="18"/>
          <w:color w:val="auto"/>
        </w:rPr>
        <w:t>U.S. GAAP defines fair value as the price that would be received from selling an asset or paid to transfer a liability in the principal or most advantageous market for the asset or liability in an orderly transaction between market participants at the measurement date. These estimates are subjective in nature and involve uncertainties and matters of judgment, and therefore cannot be determined with precision. U.S. GAAP establishes a fair value hierarchy which requires an entity to maximize the use of observable inputs and minimize the use of unobservable inputs when measuring fair value and establishes the following three levels of inputs that may be used to measure fair value:</w:t>
      </w:r>
    </w:p>
    <w:p>
      <w:pPr>
        <w:spacing w:after="0" w:line="9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104" w:lineRule="exact"/>
        <w:rPr>
          <w:sz w:val="20"/>
          <w:szCs w:val="20"/>
          <w:color w:val="auto"/>
        </w:rPr>
      </w:pPr>
    </w:p>
    <w:p>
      <w:pPr>
        <w:jc w:val="both"/>
        <w:ind w:left="760" w:right="120"/>
        <w:spacing w:after="0"/>
        <w:rPr>
          <w:sz w:val="20"/>
          <w:szCs w:val="20"/>
          <w:color w:val="auto"/>
        </w:rPr>
      </w:pPr>
      <w:r>
        <w:rPr>
          <w:rFonts w:ascii="Arial" w:cs="Arial" w:eastAsia="Arial" w:hAnsi="Arial"/>
          <w:sz w:val="18"/>
          <w:szCs w:val="18"/>
          <w:color w:val="auto"/>
        </w:rPr>
        <w:t>Level 2—Observable inputs other than Level 1 prices such as quoted prices for similar assets or liabilities; quoted market prices in markets that are not active; or model-derived valuations or other inputs that are observable or can be corroborated by observable market data for substantially the full term of the assets or liabilities</w:t>
      </w:r>
    </w:p>
    <w:p>
      <w:pPr>
        <w:spacing w:after="0" w:line="95" w:lineRule="exact"/>
        <w:rPr>
          <w:sz w:val="20"/>
          <w:szCs w:val="20"/>
          <w:color w:val="auto"/>
        </w:rPr>
      </w:pPr>
    </w:p>
    <w:p>
      <w:pPr>
        <w:ind w:left="760" w:right="80"/>
        <w:spacing w:after="0" w:line="246"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Items Measured at Fair Value on a Recurring Basis</w:t>
      </w:r>
    </w:p>
    <w:p>
      <w:pPr>
        <w:spacing w:after="0" w:line="139" w:lineRule="exact"/>
        <w:rPr>
          <w:sz w:val="20"/>
          <w:szCs w:val="20"/>
          <w:color w:val="auto"/>
        </w:rPr>
      </w:pPr>
    </w:p>
    <w:p>
      <w:pPr>
        <w:ind w:right="920" w:firstLine="761"/>
        <w:spacing w:after="0" w:line="246" w:lineRule="auto"/>
        <w:rPr>
          <w:sz w:val="20"/>
          <w:szCs w:val="20"/>
          <w:color w:val="auto"/>
        </w:rPr>
      </w:pPr>
      <w:r>
        <w:rPr>
          <w:rFonts w:ascii="Arial" w:cs="Arial" w:eastAsia="Arial" w:hAnsi="Arial"/>
          <w:sz w:val="18"/>
          <w:szCs w:val="18"/>
          <w:color w:val="auto"/>
        </w:rPr>
        <w:t>The following tables present the Company’s financial assets and liabilities measured at fair value on a recurring basis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520" w:type="dxa"/>
            <w:vAlign w:val="bottom"/>
          </w:tcPr>
          <w:p>
            <w:pPr>
              <w:spacing w:after="0"/>
              <w:rPr>
                <w:sz w:val="15"/>
                <w:szCs w:val="15"/>
                <w:color w:val="auto"/>
              </w:rPr>
            </w:pPr>
          </w:p>
        </w:tc>
        <w:tc>
          <w:tcPr>
            <w:tcW w:w="3280" w:type="dxa"/>
            <w:vAlign w:val="bottom"/>
          </w:tcPr>
          <w:p>
            <w:pPr>
              <w:jc w:val="right"/>
              <w:ind w:right="2856"/>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As of March 31, 2021</w:t>
            </w: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69"/>
        </w:trPr>
        <w:tc>
          <w:tcPr>
            <w:tcW w:w="25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1040" w:type="dxa"/>
            <w:vAlign w:val="bottom"/>
          </w:tcPr>
          <w:p>
            <w:pPr>
              <w:ind w:left="12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4"/>
                <w:szCs w:val="14"/>
                <w:color w:val="auto"/>
              </w:rPr>
            </w:pPr>
          </w:p>
        </w:tc>
        <w:tc>
          <w:tcPr>
            <w:tcW w:w="1020" w:type="dxa"/>
            <w:vAlign w:val="bottom"/>
          </w:tcPr>
          <w:p>
            <w:pPr>
              <w:ind w:left="160"/>
              <w:spacing w:after="0"/>
              <w:rPr>
                <w:sz w:val="20"/>
                <w:szCs w:val="20"/>
                <w:color w:val="auto"/>
              </w:rPr>
            </w:pPr>
            <w:r>
              <w:rPr>
                <w:rFonts w:ascii="Arial" w:cs="Arial" w:eastAsia="Arial" w:hAnsi="Arial"/>
                <w:sz w:val="14"/>
                <w:szCs w:val="14"/>
                <w:b w:val="1"/>
                <w:bCs w:val="1"/>
                <w:color w:val="auto"/>
              </w:rPr>
              <w:t>Total</w:t>
            </w:r>
          </w:p>
        </w:tc>
      </w:tr>
      <w:tr>
        <w:trPr>
          <w:trHeight w:val="210"/>
        </w:trPr>
        <w:tc>
          <w:tcPr>
            <w:tcW w:w="2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32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3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734,652</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ind w:left="720"/>
              <w:spacing w:after="0"/>
              <w:rPr>
                <w:sz w:val="20"/>
                <w:szCs w:val="20"/>
                <w:color w:val="auto"/>
              </w:rPr>
            </w:pPr>
            <w:r>
              <w:rPr>
                <w:rFonts w:ascii="Arial" w:cs="Arial" w:eastAsia="Arial" w:hAnsi="Arial"/>
                <w:sz w:val="18"/>
                <w:szCs w:val="18"/>
                <w:color w:val="auto"/>
              </w:rPr>
              <w:t>—</w:t>
            </w:r>
          </w:p>
        </w:tc>
      </w:tr>
      <w:tr>
        <w:trPr>
          <w:trHeight w:val="20"/>
        </w:trPr>
        <w:tc>
          <w:tcPr>
            <w:tcW w:w="25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210"/>
        </w:trPr>
        <w:tc>
          <w:tcPr>
            <w:tcW w:w="2520" w:type="dxa"/>
            <w:vAlign w:val="bottom"/>
          </w:tcPr>
          <w:p>
            <w:pPr>
              <w:ind w:left="500"/>
              <w:spacing w:after="0"/>
              <w:rPr>
                <w:sz w:val="20"/>
                <w:szCs w:val="20"/>
                <w:color w:val="auto"/>
              </w:rPr>
            </w:pPr>
            <w:r>
              <w:rPr>
                <w:rFonts w:ascii="Arial" w:cs="Arial" w:eastAsia="Arial" w:hAnsi="Arial"/>
                <w:sz w:val="18"/>
                <w:szCs w:val="18"/>
                <w:color w:val="auto"/>
              </w:rPr>
              <w:t>Total financial assets</w:t>
            </w:r>
          </w:p>
        </w:tc>
        <w:tc>
          <w:tcPr>
            <w:tcW w:w="3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734,652</w:t>
            </w:r>
          </w:p>
        </w:tc>
        <w:tc>
          <w:tcPr>
            <w:tcW w:w="12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7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ind w:left="720"/>
              <w:spacing w:after="0"/>
              <w:rPr>
                <w:sz w:val="20"/>
                <w:szCs w:val="20"/>
                <w:color w:val="auto"/>
              </w:rPr>
            </w:pPr>
            <w:r>
              <w:rPr>
                <w:rFonts w:ascii="Arial" w:cs="Arial" w:eastAsia="Arial" w:hAnsi="Arial"/>
                <w:sz w:val="18"/>
                <w:szCs w:val="18"/>
                <w:color w:val="auto"/>
              </w:rPr>
              <w:t>—</w:t>
            </w:r>
          </w:p>
        </w:tc>
      </w:tr>
      <w:tr>
        <w:trPr>
          <w:trHeight w:val="20"/>
        </w:trPr>
        <w:tc>
          <w:tcPr>
            <w:tcW w:w="25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372"/>
        </w:trPr>
        <w:tc>
          <w:tcPr>
            <w:tcW w:w="2520" w:type="dxa"/>
            <w:vAlign w:val="bottom"/>
          </w:tcPr>
          <w:p>
            <w:pPr>
              <w:spacing w:after="0"/>
              <w:rPr>
                <w:sz w:val="24"/>
                <w:szCs w:val="24"/>
                <w:color w:val="auto"/>
              </w:rPr>
            </w:pPr>
          </w:p>
        </w:tc>
        <w:tc>
          <w:tcPr>
            <w:tcW w:w="3280" w:type="dxa"/>
            <w:vAlign w:val="bottom"/>
          </w:tcPr>
          <w:p>
            <w:pPr>
              <w:jc w:val="right"/>
              <w:ind w:right="2856"/>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As of December 31, 2020</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69"/>
        </w:trPr>
        <w:tc>
          <w:tcPr>
            <w:tcW w:w="25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1040" w:type="dxa"/>
            <w:vAlign w:val="bottom"/>
          </w:tcPr>
          <w:p>
            <w:pPr>
              <w:ind w:left="12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4"/>
                <w:szCs w:val="14"/>
                <w:color w:val="auto"/>
              </w:rPr>
            </w:pPr>
          </w:p>
        </w:tc>
        <w:tc>
          <w:tcPr>
            <w:tcW w:w="1020" w:type="dxa"/>
            <w:vAlign w:val="bottom"/>
          </w:tcPr>
          <w:p>
            <w:pPr>
              <w:ind w:left="160"/>
              <w:spacing w:after="0"/>
              <w:rPr>
                <w:sz w:val="20"/>
                <w:szCs w:val="20"/>
                <w:color w:val="auto"/>
              </w:rPr>
            </w:pPr>
            <w:r>
              <w:rPr>
                <w:rFonts w:ascii="Arial" w:cs="Arial" w:eastAsia="Arial" w:hAnsi="Arial"/>
                <w:sz w:val="14"/>
                <w:szCs w:val="14"/>
                <w:b w:val="1"/>
                <w:bCs w:val="1"/>
                <w:color w:val="auto"/>
              </w:rPr>
              <w:t>Total</w:t>
            </w:r>
          </w:p>
        </w:tc>
      </w:tr>
      <w:tr>
        <w:trPr>
          <w:trHeight w:val="210"/>
        </w:trPr>
        <w:tc>
          <w:tcPr>
            <w:tcW w:w="2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32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3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814,681</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ind w:left="720"/>
              <w:spacing w:after="0"/>
              <w:rPr>
                <w:sz w:val="20"/>
                <w:szCs w:val="20"/>
                <w:color w:val="auto"/>
              </w:rPr>
            </w:pPr>
            <w:r>
              <w:rPr>
                <w:rFonts w:ascii="Arial" w:cs="Arial" w:eastAsia="Arial" w:hAnsi="Arial"/>
                <w:sz w:val="18"/>
                <w:szCs w:val="18"/>
                <w:color w:val="auto"/>
              </w:rPr>
              <w:t>—</w:t>
            </w:r>
          </w:p>
        </w:tc>
      </w:tr>
      <w:tr>
        <w:trPr>
          <w:trHeight w:val="20"/>
        </w:trPr>
        <w:tc>
          <w:tcPr>
            <w:tcW w:w="25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209"/>
        </w:trPr>
        <w:tc>
          <w:tcPr>
            <w:tcW w:w="2520" w:type="dxa"/>
            <w:vAlign w:val="bottom"/>
          </w:tcPr>
          <w:p>
            <w:pPr>
              <w:ind w:left="500"/>
              <w:spacing w:after="0"/>
              <w:rPr>
                <w:sz w:val="20"/>
                <w:szCs w:val="20"/>
                <w:color w:val="auto"/>
              </w:rPr>
            </w:pPr>
            <w:r>
              <w:rPr>
                <w:rFonts w:ascii="Arial" w:cs="Arial" w:eastAsia="Arial" w:hAnsi="Arial"/>
                <w:sz w:val="18"/>
                <w:szCs w:val="18"/>
                <w:color w:val="auto"/>
              </w:rPr>
              <w:t>Total financial assets</w:t>
            </w:r>
          </w:p>
        </w:tc>
        <w:tc>
          <w:tcPr>
            <w:tcW w:w="3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814,681</w:t>
            </w:r>
          </w:p>
        </w:tc>
        <w:tc>
          <w:tcPr>
            <w:tcW w:w="12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7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ind w:left="720"/>
              <w:spacing w:after="0"/>
              <w:rPr>
                <w:sz w:val="20"/>
                <w:szCs w:val="20"/>
                <w:color w:val="auto"/>
              </w:rPr>
            </w:pPr>
            <w:r>
              <w:rPr>
                <w:rFonts w:ascii="Arial" w:cs="Arial" w:eastAsia="Arial" w:hAnsi="Arial"/>
                <w:sz w:val="18"/>
                <w:szCs w:val="18"/>
                <w:color w:val="auto"/>
              </w:rPr>
              <w:t>—</w:t>
            </w:r>
          </w:p>
        </w:tc>
      </w:tr>
      <w:tr>
        <w:trPr>
          <w:trHeight w:val="20"/>
        </w:trPr>
        <w:tc>
          <w:tcPr>
            <w:tcW w:w="25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39" w:lineRule="exact"/>
        <w:rPr>
          <w:sz w:val="20"/>
          <w:szCs w:val="20"/>
          <w:color w:val="auto"/>
        </w:rPr>
      </w:pPr>
    </w:p>
    <w:p>
      <w:pPr>
        <w:ind w:right="60" w:firstLine="749"/>
        <w:spacing w:after="0"/>
        <w:rPr>
          <w:sz w:val="20"/>
          <w:szCs w:val="20"/>
          <w:color w:val="auto"/>
        </w:rPr>
      </w:pPr>
      <w:r>
        <w:rPr>
          <w:rFonts w:ascii="Arial" w:cs="Arial" w:eastAsia="Arial" w:hAnsi="Arial"/>
          <w:sz w:val="18"/>
          <w:szCs w:val="18"/>
          <w:color w:val="auto"/>
        </w:rPr>
        <w:t>The carrying amounts of restricted cash, accounts receivable, accounts payable and accrued liabilities approximate fair value due to their short-term nature. The carrying value of the 2020 Vehicle Floorplan Facility was determined to approximate fair value due to its short-term duration and variable interest rate that approximates prevailing interest rates as of each reporting period.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w:t>
      </w:r>
    </w:p>
    <w:p>
      <w:pPr>
        <w:spacing w:after="0" w:line="126" w:lineRule="exact"/>
        <w:rPr>
          <w:sz w:val="20"/>
          <w:szCs w:val="20"/>
          <w:color w:val="auto"/>
        </w:rPr>
      </w:pPr>
    </w:p>
    <w:p>
      <w:pPr>
        <w:ind w:right="20" w:firstLine="761"/>
        <w:spacing w:after="0" w:line="237" w:lineRule="auto"/>
        <w:rPr>
          <w:sz w:val="20"/>
          <w:szCs w:val="20"/>
          <w:color w:val="auto"/>
        </w:rPr>
      </w:pPr>
      <w:r>
        <w:rPr>
          <w:rFonts w:ascii="Arial" w:cs="Arial" w:eastAsia="Arial" w:hAnsi="Arial"/>
          <w:sz w:val="18"/>
          <w:szCs w:val="18"/>
          <w:color w:val="auto"/>
        </w:rPr>
        <w:t>The Company has three reportable segments: Ecommerce, Wholesale, and TDA. No operating segments have been aggregated to form the reportable segments. The Company determined its operating segments based on how the chief operating decision maker (“CODM”) reviews the Company’s operating results in assessing performance and allocating resources. The CODM reviews revenue and gross profit for each of the reportable segments. Gross profit is defined as revenue less cost of sales incurred by the segment. The CODM does not evaluate operating segments using asset information as these are managed on an enterprise-wide group basis. Accordingly, the Company does not report segment asset information. As of March 31, 2021 and December 31, 2020, long-lived assets were predominantly located in the United States.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8" w:lineRule="exact"/>
        <w:rPr>
          <w:sz w:val="20"/>
          <w:szCs w:val="20"/>
          <w:color w:val="auto"/>
        </w:rPr>
      </w:pPr>
    </w:p>
    <w:p>
      <w:pPr>
        <w:ind w:right="20" w:firstLine="761"/>
        <w:spacing w:after="0" w:line="238" w:lineRule="auto"/>
        <w:rPr>
          <w:sz w:val="20"/>
          <w:szCs w:val="20"/>
          <w:color w:val="auto"/>
        </w:rPr>
      </w:pPr>
      <w:r>
        <w:rPr>
          <w:rFonts w:ascii="Arial" w:cs="Arial" w:eastAsia="Arial" w:hAnsi="Arial"/>
          <w:sz w:val="18"/>
          <w:szCs w:val="18"/>
          <w:color w:val="auto"/>
        </w:rPr>
        <w:t>The Ecommerce reportable segment represents retail sales of used vehicles through the Company’s ecommerce platform and fees earned on sales of value-added products associated with those vehicle sales. The Wholesale reportable segment represents sales of used vehicles through wholesale channels. The TDA reportable segment represents retail sales of used vehicles from TDA and fees earned on sales of value-added products associated with those vehicle sales. Revenues within the “All Other” category consist of the CarStory business and vehicle repair services at TDA.</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Information about the Company’s segments are as follows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840" w:type="dxa"/>
            <w:vAlign w:val="bottom"/>
            <w:tcBorders>
              <w:bottom w:val="single" w:sz="8" w:color="auto"/>
            </w:tcBorders>
            <w:gridSpan w:val="7"/>
          </w:tcPr>
          <w:p>
            <w:pPr>
              <w:jc w:val="center"/>
              <w:ind w:right="158"/>
              <w:spacing w:after="0"/>
              <w:rPr>
                <w:sz w:val="20"/>
                <w:szCs w:val="20"/>
                <w:color w:val="auto"/>
              </w:rPr>
            </w:pPr>
            <w:r>
              <w:rPr>
                <w:rFonts w:ascii="Arial" w:cs="Arial" w:eastAsia="Arial" w:hAnsi="Arial"/>
                <w:sz w:val="14"/>
                <w:szCs w:val="14"/>
                <w:b w:val="1"/>
                <w:bCs w:val="1"/>
                <w:color w:val="auto"/>
              </w:rPr>
              <w:t>Three Months Ended March 31, 2021</w:t>
            </w: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69"/>
        </w:trPr>
        <w:tc>
          <w:tcPr>
            <w:tcW w:w="3640" w:type="dxa"/>
            <w:vAlign w:val="bottom"/>
            <w:tcBorders>
              <w:bottom w:val="single" w:sz="8" w:color="CFF0FC"/>
            </w:tcBorders>
          </w:tcPr>
          <w:p>
            <w:pPr>
              <w:spacing w:after="0"/>
              <w:rPr>
                <w:sz w:val="14"/>
                <w:szCs w:val="14"/>
                <w:color w:val="auto"/>
              </w:rPr>
            </w:pPr>
          </w:p>
        </w:tc>
        <w:tc>
          <w:tcPr>
            <w:tcW w:w="8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Ecommerce</w:t>
            </w: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Wholesale</w:t>
            </w:r>
          </w:p>
        </w:tc>
        <w:tc>
          <w:tcPr>
            <w:tcW w:w="1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16"/>
              <w:spacing w:after="0"/>
              <w:rPr>
                <w:sz w:val="20"/>
                <w:szCs w:val="20"/>
                <w:color w:val="auto"/>
              </w:rPr>
            </w:pPr>
            <w:r>
              <w:rPr>
                <w:rFonts w:ascii="Arial" w:cs="Arial" w:eastAsia="Arial" w:hAnsi="Arial"/>
                <w:sz w:val="14"/>
                <w:szCs w:val="14"/>
                <w:b w:val="1"/>
                <w:bCs w:val="1"/>
                <w:color w:val="auto"/>
              </w:rPr>
              <w:t>TDA</w:t>
            </w: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All Other</w:t>
            </w:r>
          </w:p>
        </w:tc>
        <w:tc>
          <w:tcPr>
            <w:tcW w:w="1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Total</w:t>
            </w:r>
          </w:p>
        </w:tc>
      </w:tr>
      <w:tr>
        <w:trPr>
          <w:trHeight w:val="209"/>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Revenues from external customers</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422,308</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118,024</w:t>
            </w: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47,587</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3,199</w:t>
            </w:r>
          </w:p>
        </w:tc>
        <w:tc>
          <w:tcPr>
            <w:tcW w:w="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591,118</w:t>
            </w: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Gross profit (loss)</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31,837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2,791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1,830</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36,176</w:t>
            </w:r>
          </w:p>
        </w:tc>
      </w:tr>
      <w:tr>
        <w:trPr>
          <w:trHeight w:val="405"/>
        </w:trPr>
        <w:tc>
          <w:tcPr>
            <w:tcW w:w="3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7"/>
          </w:tcPr>
          <w:p>
            <w:pPr>
              <w:jc w:val="center"/>
              <w:ind w:right="158"/>
              <w:spacing w:after="0"/>
              <w:rPr>
                <w:sz w:val="20"/>
                <w:szCs w:val="20"/>
                <w:color w:val="auto"/>
              </w:rPr>
            </w:pPr>
            <w:r>
              <w:rPr>
                <w:rFonts w:ascii="Arial" w:cs="Arial" w:eastAsia="Arial" w:hAnsi="Arial"/>
                <w:sz w:val="14"/>
                <w:szCs w:val="14"/>
                <w:b w:val="1"/>
                <w:bCs w:val="1"/>
                <w:color w:val="auto"/>
              </w:rPr>
              <w:t>Three Months Ended March 31, 2020</w:t>
            </w: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69"/>
        </w:trPr>
        <w:tc>
          <w:tcPr>
            <w:tcW w:w="3640" w:type="dxa"/>
            <w:vAlign w:val="bottom"/>
            <w:tcBorders>
              <w:bottom w:val="single" w:sz="8" w:color="CFF0FC"/>
            </w:tcBorders>
          </w:tcPr>
          <w:p>
            <w:pPr>
              <w:spacing w:after="0"/>
              <w:rPr>
                <w:sz w:val="14"/>
                <w:szCs w:val="14"/>
                <w:color w:val="auto"/>
              </w:rPr>
            </w:pPr>
          </w:p>
        </w:tc>
        <w:tc>
          <w:tcPr>
            <w:tcW w:w="8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Ecommerce</w:t>
            </w: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Wholesale</w:t>
            </w:r>
          </w:p>
        </w:tc>
        <w:tc>
          <w:tcPr>
            <w:tcW w:w="1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16"/>
              <w:spacing w:after="0"/>
              <w:rPr>
                <w:sz w:val="20"/>
                <w:szCs w:val="20"/>
                <w:color w:val="auto"/>
              </w:rPr>
            </w:pPr>
            <w:r>
              <w:rPr>
                <w:rFonts w:ascii="Arial" w:cs="Arial" w:eastAsia="Arial" w:hAnsi="Arial"/>
                <w:sz w:val="14"/>
                <w:szCs w:val="14"/>
                <w:b w:val="1"/>
                <w:bCs w:val="1"/>
                <w:color w:val="auto"/>
              </w:rPr>
              <w:t>TDA</w:t>
            </w: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98"/>
              <w:spacing w:after="0" w:line="169" w:lineRule="exact"/>
              <w:rPr>
                <w:sz w:val="20"/>
                <w:szCs w:val="20"/>
                <w:color w:val="auto"/>
              </w:rPr>
            </w:pPr>
            <w:r>
              <w:rPr>
                <w:rFonts w:ascii="Arial" w:cs="Arial" w:eastAsia="Arial" w:hAnsi="Arial"/>
                <w:sz w:val="12"/>
                <w:szCs w:val="12"/>
                <w:b w:val="1"/>
                <w:bCs w:val="1"/>
                <w:color w:val="auto"/>
              </w:rPr>
              <w:t xml:space="preserve">All Other </w:t>
            </w:r>
            <w:r>
              <w:rPr>
                <w:rFonts w:ascii="Arial" w:cs="Arial" w:eastAsia="Arial" w:hAnsi="Arial"/>
                <w:sz w:val="19"/>
                <w:szCs w:val="19"/>
                <w:b w:val="1"/>
                <w:bCs w:val="1"/>
                <w:color w:val="auto"/>
                <w:vertAlign w:val="superscript"/>
              </w:rPr>
              <w:t>(1)</w:t>
            </w:r>
          </w:p>
        </w:tc>
        <w:tc>
          <w:tcPr>
            <w:tcW w:w="1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Total</w:t>
            </w:r>
          </w:p>
        </w:tc>
      </w:tr>
      <w:tr>
        <w:trPr>
          <w:trHeight w:val="21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Revenues from external customers</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233,172</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55,578</w:t>
            </w: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86,582</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440</w:t>
            </w:r>
          </w:p>
        </w:tc>
        <w:tc>
          <w:tcPr>
            <w:tcW w:w="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375,772</w:t>
            </w:r>
          </w:p>
        </w:tc>
      </w:tr>
      <w:tr>
        <w:trPr>
          <w:trHeight w:val="229"/>
        </w:trPr>
        <w:tc>
          <w:tcPr>
            <w:tcW w:w="3640" w:type="dxa"/>
            <w:vAlign w:val="bottom"/>
          </w:tcPr>
          <w:p>
            <w:pPr>
              <w:spacing w:after="0"/>
              <w:rPr>
                <w:sz w:val="20"/>
                <w:szCs w:val="20"/>
                <w:color w:val="auto"/>
              </w:rPr>
            </w:pPr>
            <w:r>
              <w:rPr>
                <w:rFonts w:ascii="Arial" w:cs="Arial" w:eastAsia="Arial" w:hAnsi="Arial"/>
                <w:sz w:val="18"/>
                <w:szCs w:val="18"/>
                <w:color w:val="auto"/>
              </w:rPr>
              <w:t>Gross profit (loss)</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14,267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(1,292)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5,258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154</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18,387</w:t>
            </w:r>
          </w:p>
        </w:tc>
      </w:tr>
    </w:tbl>
    <w:p>
      <w:pPr>
        <w:spacing w:after="0" w:line="99" w:lineRule="exact"/>
        <w:rPr>
          <w:sz w:val="20"/>
          <w:szCs w:val="20"/>
          <w:color w:val="auto"/>
        </w:rPr>
      </w:pPr>
    </w:p>
    <w:p>
      <w:pPr>
        <w:ind w:left="1120" w:right="100" w:hanging="370"/>
        <w:spacing w:after="0" w:line="183" w:lineRule="auto"/>
        <w:tabs>
          <w:tab w:leader="none" w:pos="1120" w:val="left"/>
        </w:tabs>
        <w:numPr>
          <w:ilvl w:val="0"/>
          <w:numId w:val="12"/>
        </w:numPr>
        <w:rPr>
          <w:rFonts w:ascii="Arial" w:cs="Arial" w:eastAsia="Arial" w:hAnsi="Arial"/>
          <w:sz w:val="24"/>
          <w:szCs w:val="24"/>
          <w:color w:val="auto"/>
          <w:vertAlign w:val="superscript"/>
        </w:rPr>
      </w:pPr>
      <w:r>
        <w:rPr>
          <w:rFonts w:ascii="Arial" w:cs="Arial" w:eastAsia="Arial" w:hAnsi="Arial"/>
          <w:sz w:val="14"/>
          <w:szCs w:val="14"/>
          <w:color w:val="auto"/>
        </w:rPr>
        <w:t>The Company reclassified other revenue and other gross profit related to the vehicle repair service at TDA from the TDA reportable segment to the ”All Other” category to conform to current year presentation.</w:t>
      </w:r>
    </w:p>
    <w:p>
      <w:pPr>
        <w:spacing w:after="0" w:line="201" w:lineRule="exact"/>
        <w:rPr>
          <w:sz w:val="20"/>
          <w:szCs w:val="20"/>
          <w:color w:val="auto"/>
        </w:rPr>
      </w:pPr>
    </w:p>
    <w:p>
      <w:pPr>
        <w:ind w:right="380" w:firstLine="761"/>
        <w:spacing w:after="0" w:line="246" w:lineRule="auto"/>
        <w:rPr>
          <w:sz w:val="20"/>
          <w:szCs w:val="20"/>
          <w:color w:val="auto"/>
        </w:rPr>
      </w:pPr>
      <w:r>
        <w:rPr>
          <w:rFonts w:ascii="Arial" w:cs="Arial" w:eastAsia="Arial" w:hAnsi="Arial"/>
          <w:sz w:val="18"/>
          <w:szCs w:val="18"/>
          <w:color w:val="auto"/>
        </w:rPr>
        <w:t>Reconciliations of total reportable segment revenue and gross profit to consolidated total revenue and consolidated loss before provision for income taxes are as follows (in thousands):</w:t>
      </w:r>
    </w:p>
    <w:p>
      <w:pPr>
        <w:spacing w:after="0" w:line="225" w:lineRule="exact"/>
        <w:rPr>
          <w:sz w:val="20"/>
          <w:szCs w:val="20"/>
          <w:color w:val="auto"/>
        </w:rPr>
      </w:pPr>
    </w:p>
    <w:p>
      <w:pPr>
        <w:jc w:val="center"/>
        <w:ind w:left="694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p>
      <w:pPr>
        <w:jc w:val="center"/>
        <w:ind w:left="6940"/>
        <w:spacing w:after="0"/>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69"/>
        </w:trPr>
        <w:tc>
          <w:tcPr>
            <w:tcW w:w="7080" w:type="dxa"/>
            <w:vAlign w:val="bottom"/>
            <w:tcBorders>
              <w:bottom w:val="single" w:sz="8" w:color="CFF0FC"/>
            </w:tcBorders>
          </w:tcPr>
          <w:p>
            <w:pPr>
              <w:spacing w:after="0"/>
              <w:rPr>
                <w:sz w:val="14"/>
                <w:szCs w:val="1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82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CFF0FC"/>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540" w:type="dxa"/>
            <w:vAlign w:val="bottom"/>
            <w:tcBorders>
              <w:top w:val="single" w:sz="8" w:color="auto"/>
              <w:bottom w:val="single" w:sz="8" w:color="auto"/>
            </w:tcBorders>
          </w:tcPr>
          <w:p>
            <w:pPr>
              <w:jc w:val="right"/>
              <w:ind w:right="811"/>
              <w:spacing w:after="0"/>
              <w:rPr>
                <w:sz w:val="20"/>
                <w:szCs w:val="20"/>
                <w:color w:val="auto"/>
              </w:rPr>
            </w:pPr>
            <w:r>
              <w:rPr>
                <w:rFonts w:ascii="Arial" w:cs="Arial" w:eastAsia="Arial" w:hAnsi="Arial"/>
                <w:sz w:val="14"/>
                <w:szCs w:val="14"/>
                <w:b w:val="1"/>
                <w:bCs w:val="1"/>
                <w:color w:val="auto"/>
              </w:rPr>
              <w:t>2020</w:t>
            </w:r>
          </w:p>
        </w:tc>
      </w:tr>
      <w:tr>
        <w:trPr>
          <w:trHeight w:val="209"/>
        </w:trPr>
        <w:tc>
          <w:tcPr>
            <w:tcW w:w="7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Reconciliation to consolidated total revenue</w:t>
            </w:r>
          </w:p>
        </w:tc>
        <w:tc>
          <w:tcPr>
            <w:tcW w:w="1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Total reportable segment revenue</w:t>
            </w:r>
          </w:p>
        </w:tc>
        <w:tc>
          <w:tcPr>
            <w:tcW w:w="1160" w:type="dxa"/>
            <w:vAlign w:val="bottom"/>
          </w:tcPr>
          <w:p>
            <w:pPr>
              <w:jc w:val="right"/>
              <w:ind w:right="974"/>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587,919</w:t>
            </w:r>
          </w:p>
        </w:tc>
        <w:tc>
          <w:tcPr>
            <w:tcW w:w="20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375,332</w:t>
            </w:r>
          </w:p>
        </w:tc>
      </w:tr>
      <w:tr>
        <w:trPr>
          <w:trHeight w:val="216"/>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All Other revenues</w:t>
            </w:r>
          </w:p>
        </w:tc>
        <w:tc>
          <w:tcPr>
            <w:tcW w:w="11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3,199</w:t>
            </w:r>
          </w:p>
        </w:tc>
        <w:tc>
          <w:tcPr>
            <w:tcW w:w="20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440</w:t>
            </w:r>
          </w:p>
        </w:tc>
      </w:tr>
      <w:tr>
        <w:trPr>
          <w:trHeight w:val="250"/>
        </w:trPr>
        <w:tc>
          <w:tcPr>
            <w:tcW w:w="7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Consolidated total revenue</w:t>
            </w:r>
          </w:p>
        </w:tc>
        <w:tc>
          <w:tcPr>
            <w:tcW w:w="1160" w:type="dxa"/>
            <w:vAlign w:val="bottom"/>
            <w:tcBorders>
              <w:bottom w:val="single" w:sz="8" w:color="auto"/>
            </w:tcBorders>
          </w:tcPr>
          <w:p>
            <w:pPr>
              <w:jc w:val="right"/>
              <w:ind w:right="974"/>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591,118</w:t>
            </w:r>
          </w:p>
        </w:tc>
        <w:tc>
          <w:tcPr>
            <w:tcW w:w="200" w:type="dxa"/>
            <w:vAlign w:val="bottom"/>
            <w:tcBorders>
              <w:bottom w:val="single" w:sz="8" w:color="CFF0FC"/>
            </w:tcBorders>
          </w:tcPr>
          <w:p>
            <w:pPr>
              <w:spacing w:after="0"/>
              <w:rPr>
                <w:sz w:val="21"/>
                <w:szCs w:val="21"/>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375,772</w:t>
            </w:r>
          </w:p>
        </w:tc>
      </w:tr>
      <w:tr>
        <w:trPr>
          <w:trHeight w:val="197"/>
        </w:trPr>
        <w:tc>
          <w:tcPr>
            <w:tcW w:w="708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Reconciliation to consolidated loss before provision for income taxes</w:t>
            </w:r>
          </w:p>
        </w:tc>
        <w:tc>
          <w:tcPr>
            <w:tcW w:w="1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Total reportable segment gross profit</w:t>
            </w:r>
          </w:p>
        </w:tc>
        <w:tc>
          <w:tcPr>
            <w:tcW w:w="1160" w:type="dxa"/>
            <w:vAlign w:val="bottom"/>
          </w:tcPr>
          <w:p>
            <w:pPr>
              <w:jc w:val="right"/>
              <w:ind w:right="974"/>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34,346</w:t>
            </w:r>
          </w:p>
        </w:tc>
        <w:tc>
          <w:tcPr>
            <w:tcW w:w="20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18,233</w:t>
            </w:r>
          </w:p>
        </w:tc>
      </w:tr>
      <w:tr>
        <w:trPr>
          <w:trHeight w:val="216"/>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All Other gross profit</w:t>
            </w:r>
          </w:p>
        </w:tc>
        <w:tc>
          <w:tcPr>
            <w:tcW w:w="11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1,830</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154</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16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109,114</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58,380</w:t>
            </w:r>
          </w:p>
        </w:tc>
      </w:tr>
      <w:tr>
        <w:trPr>
          <w:trHeight w:val="216"/>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1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2,594</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966</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Interest expense</w:t>
            </w:r>
          </w:p>
        </w:tc>
        <w:tc>
          <w:tcPr>
            <w:tcW w:w="116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3,812</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2,826</w:t>
            </w:r>
          </w:p>
        </w:tc>
      </w:tr>
      <w:tr>
        <w:trPr>
          <w:trHeight w:val="216"/>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(2,296)</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(1,956)</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Revaluation of preferred stock warrant</w:t>
            </w:r>
          </w:p>
        </w:tc>
        <w:tc>
          <w:tcPr>
            <w:tcW w:w="116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(790)</w:t>
            </w:r>
          </w:p>
        </w:tc>
      </w:tr>
      <w:tr>
        <w:trPr>
          <w:trHeight w:val="216"/>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1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r>
      <w:tr>
        <w:trPr>
          <w:trHeight w:val="210"/>
        </w:trPr>
        <w:tc>
          <w:tcPr>
            <w:tcW w:w="7080" w:type="dxa"/>
            <w:vAlign w:val="bottom"/>
          </w:tcPr>
          <w:p>
            <w:pPr>
              <w:spacing w:after="0"/>
              <w:rPr>
                <w:sz w:val="20"/>
                <w:szCs w:val="20"/>
                <w:color w:val="auto"/>
              </w:rPr>
            </w:pPr>
            <w:r>
              <w:rPr>
                <w:rFonts w:ascii="Arial" w:cs="Arial" w:eastAsia="Arial" w:hAnsi="Arial"/>
                <w:sz w:val="18"/>
                <w:szCs w:val="18"/>
                <w:color w:val="auto"/>
              </w:rPr>
              <w:t>Consolidated loss before provision for income taxes</w:t>
            </w:r>
          </w:p>
        </w:tc>
        <w:tc>
          <w:tcPr>
            <w:tcW w:w="1160" w:type="dxa"/>
            <w:vAlign w:val="bottom"/>
            <w:tcBorders>
              <w:bottom w:val="single" w:sz="8" w:color="auto"/>
            </w:tcBorders>
          </w:tcPr>
          <w:p>
            <w:pPr>
              <w:jc w:val="right"/>
              <w:ind w:right="974"/>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(77,033)</w:t>
            </w:r>
          </w:p>
        </w:tc>
        <w:tc>
          <w:tcPr>
            <w:tcW w:w="20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(41,006)</w:t>
            </w:r>
          </w:p>
        </w:tc>
      </w:tr>
      <w:tr>
        <w:trPr>
          <w:trHeight w:val="20"/>
        </w:trPr>
        <w:tc>
          <w:tcPr>
            <w:tcW w:w="70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126" w:lineRule="exact"/>
        <w:rPr>
          <w:sz w:val="20"/>
          <w:szCs w:val="20"/>
          <w:color w:val="auto"/>
        </w:rPr>
      </w:pPr>
    </w:p>
    <w:p>
      <w:pPr>
        <w:ind w:right="20" w:firstLine="761"/>
        <w:spacing w:after="0" w:line="237" w:lineRule="auto"/>
        <w:rPr>
          <w:sz w:val="20"/>
          <w:szCs w:val="20"/>
          <w:color w:val="auto"/>
        </w:rPr>
      </w:pPr>
      <w:r>
        <w:rPr>
          <w:rFonts w:ascii="Arial" w:cs="Arial" w:eastAsia="Arial" w:hAnsi="Arial"/>
          <w:sz w:val="18"/>
          <w:szCs w:val="18"/>
          <w:color w:val="auto"/>
        </w:rPr>
        <w:t>The Company computes income taxes using the liability method. This method requires recognition of deferred tax assets and liabilities, measured by enacted rates, attributable to temporary differences between the financial statements and the income tax basis of assets and liabilities. In assessing the realizability of deferred tax assets, the Company considers whether it is more likely than not that certain deferred tax assets will be realized. The ultimate realization of deferred tax assets is dependent upon the generation of future taxable income in those specific jurisdictions prior to the dates on which such net operating losses expire. The Company maintained a full valuation allowance against its net deferred tax assets because the Company has determined that is it more likely than not that these assets will not be fully realized based on a current evaluation of expected future taxable income and the Company is in a cumulative loss position.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effective tax rate for the three months ended March 31, 2021 and 2020 was 0.20% and 0.13%, respectively.</w:t>
      </w:r>
    </w:p>
    <w:p>
      <w:pPr>
        <w:spacing w:after="0" w:line="225" w:lineRule="exact"/>
        <w:rPr>
          <w:sz w:val="20"/>
          <w:szCs w:val="20"/>
          <w:color w:val="auto"/>
        </w:rPr>
      </w:pPr>
    </w:p>
    <w:p>
      <w:pPr>
        <w:ind w:right="20" w:firstLine="761"/>
        <w:spacing w:after="0" w:line="246" w:lineRule="auto"/>
        <w:rPr>
          <w:sz w:val="20"/>
          <w:szCs w:val="20"/>
          <w:color w:val="auto"/>
        </w:rPr>
      </w:pPr>
      <w:r>
        <w:rPr>
          <w:rFonts w:ascii="Arial" w:cs="Arial" w:eastAsia="Arial" w:hAnsi="Arial"/>
          <w:sz w:val="18"/>
          <w:szCs w:val="18"/>
          <w:color w:val="auto"/>
        </w:rPr>
        <w:t>The Company is subject to tax in the United States and many state and local jurisdictions. The Company, with certain exceptions, is no longer subject to income tax examinations by U.S. federal, state and local for tax years 2015 and prior.</w:t>
      </w:r>
    </w:p>
    <w:p>
      <w:pPr>
        <w:spacing w:after="0" w:line="197" w:lineRule="exact"/>
        <w:rPr>
          <w:sz w:val="20"/>
          <w:szCs w:val="20"/>
          <w:color w:val="auto"/>
        </w:rPr>
      </w:pPr>
    </w:p>
    <w:p>
      <w:pPr>
        <w:ind w:right="460" w:firstLine="761"/>
        <w:spacing w:after="0" w:line="238" w:lineRule="auto"/>
        <w:rPr>
          <w:sz w:val="20"/>
          <w:szCs w:val="20"/>
          <w:color w:val="auto"/>
        </w:rPr>
      </w:pPr>
      <w:r>
        <w:rPr>
          <w:rFonts w:ascii="Arial" w:cs="Arial" w:eastAsia="Arial" w:hAnsi="Arial"/>
          <w:sz w:val="18"/>
          <w:szCs w:val="18"/>
          <w:color w:val="auto"/>
        </w:rPr>
        <w:t>The Internal Revenue Code (IRC) Section 382 provides for a limitation of the annual use of net operating loss and tax credit carryforwards following certain ownership changes (as defined by the IRC Section 382) that limits the Company’s ability to utilize these carryforwards. The Company completed a Section 382 study to determine the applicable limitation, if any. It was determined that the Company has undergone three ownership changes. There were ownership changes in July 2013, November 2014 and July 2015 which substantially limit the use of the net operating losses generated before the change in control.</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has not identified any uncertain tax positions as of March 31, 2021 and December 31, 2020.</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Net Loss Per Share</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Three Months Ended</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9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1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4"/>
                <w:szCs w:val="14"/>
                <w:b w:val="1"/>
                <w:bCs w:val="1"/>
                <w:color w:val="auto"/>
              </w:rPr>
              <w:t>March 31,</w:t>
            </w:r>
          </w:p>
        </w:tc>
        <w:tc>
          <w:tcPr>
            <w:tcW w:w="1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920" w:type="dxa"/>
            <w:vAlign w:val="bottom"/>
            <w:tcBorders>
              <w:bottom w:val="single" w:sz="8" w:color="CFF0FC"/>
            </w:tcBorders>
            <w:vMerge w:val="continue"/>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819"/>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81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5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(77,189)</w:t>
            </w:r>
          </w:p>
        </w:tc>
        <w:tc>
          <w:tcPr>
            <w:tcW w:w="860" w:type="dxa"/>
            <w:vAlign w:val="bottom"/>
            <w:gridSpan w:val="2"/>
            <w:shd w:val="clear" w:color="auto" w:fill="CFF0FC"/>
          </w:tcPr>
          <w:p>
            <w:pPr>
              <w:jc w:val="right"/>
              <w:ind w:right="5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(41,059)</w:t>
            </w:r>
          </w:p>
        </w:tc>
        <w:tc>
          <w:tcPr>
            <w:tcW w:w="0" w:type="dxa"/>
            <w:vAlign w:val="bottom"/>
          </w:tcPr>
          <w:p>
            <w:pPr>
              <w:spacing w:after="0"/>
              <w:rPr>
                <w:sz w:val="1"/>
                <w:szCs w:val="1"/>
                <w:color w:val="auto"/>
              </w:rPr>
            </w:pPr>
          </w:p>
        </w:tc>
      </w:tr>
      <w:tr>
        <w:trPr>
          <w:trHeight w:val="209"/>
        </w:trPr>
        <w:tc>
          <w:tcPr>
            <w:tcW w:w="6920" w:type="dxa"/>
            <w:vAlign w:val="bottom"/>
          </w:tcPr>
          <w:p>
            <w:pPr>
              <w:spacing w:after="0"/>
              <w:rPr>
                <w:sz w:val="20"/>
                <w:szCs w:val="20"/>
                <w:color w:val="auto"/>
              </w:rPr>
            </w:pPr>
            <w:r>
              <w:rPr>
                <w:rFonts w:ascii="Arial" w:cs="Arial" w:eastAsia="Arial" w:hAnsi="Arial"/>
                <w:sz w:val="18"/>
                <w:szCs w:val="18"/>
                <w:color w:val="auto"/>
              </w:rPr>
              <w:t>Weighted-average number of shares outstanding used to compute net loss per share</w:t>
            </w:r>
          </w:p>
        </w:tc>
        <w:tc>
          <w:tcPr>
            <w:tcW w:w="1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920" w:type="dxa"/>
            <w:vAlign w:val="bottom"/>
            <w:tcBorders>
              <w:bottom w:val="single" w:sz="8" w:color="CFF0FC"/>
            </w:tcBorders>
          </w:tcPr>
          <w:p>
            <w:pPr>
              <w:spacing w:after="0" w:line="203" w:lineRule="exact"/>
              <w:rPr>
                <w:sz w:val="20"/>
                <w:szCs w:val="20"/>
                <w:color w:val="auto"/>
              </w:rPr>
            </w:pPr>
            <w:r>
              <w:rPr>
                <w:rFonts w:ascii="Arial" w:cs="Arial" w:eastAsia="Arial" w:hAnsi="Arial"/>
                <w:sz w:val="18"/>
                <w:szCs w:val="18"/>
                <w:color w:val="auto"/>
              </w:rPr>
              <w:t>attributable to common stockholders, basic and diluted</w:t>
            </w:r>
          </w:p>
        </w:tc>
        <w:tc>
          <w:tcPr>
            <w:tcW w:w="140" w:type="dxa"/>
            <w:vAlign w:val="bottom"/>
            <w:tcBorders>
              <w:bottom w:val="single" w:sz="8" w:color="CFF0FC"/>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9"/>
              <w:spacing w:after="0" w:line="203" w:lineRule="exact"/>
              <w:rPr>
                <w:sz w:val="20"/>
                <w:szCs w:val="20"/>
                <w:color w:val="auto"/>
              </w:rPr>
            </w:pPr>
            <w:r>
              <w:rPr>
                <w:rFonts w:ascii="Arial" w:cs="Arial" w:eastAsia="Arial" w:hAnsi="Arial"/>
                <w:sz w:val="18"/>
                <w:szCs w:val="18"/>
                <w:color w:val="auto"/>
              </w:rPr>
              <w:t>135,497,511</w:t>
            </w:r>
          </w:p>
        </w:tc>
        <w:tc>
          <w:tcPr>
            <w:tcW w:w="200" w:type="dxa"/>
            <w:vAlign w:val="bottom"/>
            <w:tcBorders>
              <w:bottom w:val="single" w:sz="8" w:color="CFF0FC"/>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5"/>
              <w:spacing w:after="0" w:line="203" w:lineRule="exact"/>
              <w:rPr>
                <w:sz w:val="20"/>
                <w:szCs w:val="20"/>
                <w:color w:val="auto"/>
              </w:rPr>
            </w:pPr>
            <w:r>
              <w:rPr>
                <w:rFonts w:ascii="Arial" w:cs="Arial" w:eastAsia="Arial" w:hAnsi="Arial"/>
                <w:sz w:val="18"/>
                <w:szCs w:val="18"/>
                <w:color w:val="auto"/>
              </w:rPr>
              <w:t>8,471,456</w:t>
            </w:r>
          </w:p>
        </w:tc>
        <w:tc>
          <w:tcPr>
            <w:tcW w:w="0" w:type="dxa"/>
            <w:vAlign w:val="bottom"/>
          </w:tcPr>
          <w:p>
            <w:pPr>
              <w:spacing w:after="0"/>
              <w:rPr>
                <w:sz w:val="1"/>
                <w:szCs w:val="1"/>
                <w:color w:val="auto"/>
              </w:rPr>
            </w:pPr>
          </w:p>
        </w:tc>
      </w:tr>
      <w:tr>
        <w:trPr>
          <w:trHeight w:val="210"/>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5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(0.57)</w:t>
            </w:r>
          </w:p>
        </w:tc>
        <w:tc>
          <w:tcPr>
            <w:tcW w:w="860" w:type="dxa"/>
            <w:vAlign w:val="bottom"/>
            <w:gridSpan w:val="2"/>
            <w:shd w:val="clear" w:color="auto" w:fill="CFF0FC"/>
          </w:tcPr>
          <w:p>
            <w:pPr>
              <w:jc w:val="right"/>
              <w:ind w:right="5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0"/>
        </w:trPr>
        <w:tc>
          <w:tcPr>
            <w:tcW w:w="69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00" w:firstLine="761"/>
        <w:spacing w:after="0" w:line="246" w:lineRule="auto"/>
        <w:rPr>
          <w:sz w:val="20"/>
          <w:szCs w:val="20"/>
          <w:color w:val="auto"/>
        </w:rPr>
      </w:pPr>
      <w:r>
        <w:rPr>
          <w:rFonts w:ascii="Arial" w:cs="Arial" w:eastAsia="Arial" w:hAnsi="Arial"/>
          <w:sz w:val="18"/>
          <w:szCs w:val="18"/>
          <w:color w:val="auto"/>
        </w:rPr>
        <w:t>The following potentially dilutive shares were not included in the calculation of diluted shares outstanding for the periods presented as the effect would have been anti-dilutive:</w:t>
      </w:r>
    </w:p>
    <w:p>
      <w:pPr>
        <w:spacing w:after="0" w:line="225" w:lineRule="exact"/>
        <w:rPr>
          <w:sz w:val="20"/>
          <w:szCs w:val="20"/>
          <w:color w:val="auto"/>
        </w:rPr>
      </w:pPr>
    </w:p>
    <w:p>
      <w:pPr>
        <w:jc w:val="center"/>
        <w:ind w:left="692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p>
      <w:pPr>
        <w:jc w:val="center"/>
        <w:ind w:left="6920"/>
        <w:spacing w:after="0"/>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69"/>
        </w:trPr>
        <w:tc>
          <w:tcPr>
            <w:tcW w:w="7080" w:type="dxa"/>
            <w:vAlign w:val="bottom"/>
            <w:tcBorders>
              <w:bottom w:val="single" w:sz="8" w:color="CFF0FC"/>
            </w:tcBorders>
          </w:tcPr>
          <w:p>
            <w:pPr>
              <w:spacing w:after="0"/>
              <w:rPr>
                <w:sz w:val="14"/>
                <w:szCs w:val="14"/>
                <w:color w:val="auto"/>
              </w:rPr>
            </w:pPr>
          </w:p>
        </w:tc>
        <w:tc>
          <w:tcPr>
            <w:tcW w:w="1980" w:type="dxa"/>
            <w:vAlign w:val="bottom"/>
            <w:tcBorders>
              <w:top w:val="single" w:sz="8" w:color="auto"/>
              <w:bottom w:val="single" w:sz="8" w:color="auto"/>
            </w:tcBorders>
          </w:tcPr>
          <w:p>
            <w:pPr>
              <w:jc w:val="right"/>
              <w:ind w:right="813"/>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FF0FC"/>
            </w:tcBorders>
          </w:tcPr>
          <w:p>
            <w:pPr>
              <w:spacing w:after="0"/>
              <w:rPr>
                <w:sz w:val="14"/>
                <w:szCs w:val="14"/>
                <w:color w:val="auto"/>
              </w:rPr>
            </w:pPr>
          </w:p>
        </w:tc>
        <w:tc>
          <w:tcPr>
            <w:tcW w:w="2000" w:type="dxa"/>
            <w:vAlign w:val="bottom"/>
            <w:tcBorders>
              <w:top w:val="single" w:sz="8" w:color="auto"/>
              <w:bottom w:val="single" w:sz="8" w:color="auto"/>
            </w:tcBorders>
          </w:tcPr>
          <w:p>
            <w:pPr>
              <w:jc w:val="right"/>
              <w:ind w:right="813"/>
              <w:spacing w:after="0"/>
              <w:rPr>
                <w:sz w:val="20"/>
                <w:szCs w:val="20"/>
                <w:color w:val="auto"/>
              </w:rPr>
            </w:pPr>
            <w:r>
              <w:rPr>
                <w:rFonts w:ascii="Arial" w:cs="Arial" w:eastAsia="Arial" w:hAnsi="Arial"/>
                <w:sz w:val="14"/>
                <w:szCs w:val="14"/>
                <w:b w:val="1"/>
                <w:bCs w:val="1"/>
                <w:color w:val="auto"/>
              </w:rPr>
              <w:t>2020</w:t>
            </w:r>
          </w:p>
        </w:tc>
      </w:tr>
      <w:tr>
        <w:trPr>
          <w:trHeight w:val="21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Redeemable convertible preferred stock</w:t>
            </w:r>
          </w:p>
        </w:tc>
        <w:tc>
          <w:tcPr>
            <w:tcW w:w="21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85,533,394</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Warrants</w:t>
            </w:r>
          </w:p>
        </w:tc>
        <w:tc>
          <w:tcPr>
            <w:tcW w:w="2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53"/>
              <w:spacing w:after="0"/>
              <w:rPr>
                <w:sz w:val="20"/>
                <w:szCs w:val="20"/>
                <w:color w:val="auto"/>
              </w:rPr>
            </w:pPr>
            <w:r>
              <w:rPr>
                <w:rFonts w:ascii="Arial" w:cs="Arial" w:eastAsia="Arial" w:hAnsi="Arial"/>
                <w:sz w:val="18"/>
                <w:szCs w:val="18"/>
                <w:color w:val="auto"/>
              </w:rPr>
              <w:t>161,136</w:t>
            </w:r>
          </w:p>
        </w:tc>
      </w:tr>
      <w:tr>
        <w:trPr>
          <w:trHeight w:val="216"/>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4,995,310</w:t>
            </w:r>
          </w:p>
        </w:tc>
        <w:tc>
          <w:tcPr>
            <w:tcW w:w="180" w:type="dxa"/>
            <w:vAlign w:val="bottom"/>
            <w:shd w:val="clear" w:color="auto" w:fill="CFF0FC"/>
          </w:tcPr>
          <w:p>
            <w:pPr>
              <w:spacing w:after="0"/>
              <w:rPr>
                <w:sz w:val="18"/>
                <w:szCs w:val="18"/>
                <w:color w:val="auto"/>
              </w:rPr>
            </w:pPr>
          </w:p>
        </w:tc>
        <w:tc>
          <w:tcPr>
            <w:tcW w:w="20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6,198,676</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Restricted stock awards</w:t>
            </w:r>
          </w:p>
        </w:tc>
        <w:tc>
          <w:tcPr>
            <w:tcW w:w="2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53"/>
              <w:spacing w:after="0"/>
              <w:rPr>
                <w:sz w:val="20"/>
                <w:szCs w:val="20"/>
                <w:color w:val="auto"/>
              </w:rPr>
            </w:pPr>
            <w:r>
              <w:rPr>
                <w:rFonts w:ascii="Arial" w:cs="Arial" w:eastAsia="Arial" w:hAnsi="Arial"/>
                <w:sz w:val="18"/>
                <w:szCs w:val="18"/>
                <w:color w:val="auto"/>
              </w:rPr>
              <w:t>3,249,382</w:t>
            </w:r>
          </w:p>
        </w:tc>
      </w:tr>
      <w:tr>
        <w:trPr>
          <w:trHeight w:val="216"/>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units</w:t>
            </w:r>
          </w:p>
        </w:tc>
        <w:tc>
          <w:tcPr>
            <w:tcW w:w="1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1,700,090</w:t>
            </w:r>
          </w:p>
        </w:tc>
        <w:tc>
          <w:tcPr>
            <w:tcW w:w="180" w:type="dxa"/>
            <w:vAlign w:val="bottom"/>
            <w:shd w:val="clear" w:color="auto" w:fill="CFF0FC"/>
          </w:tcPr>
          <w:p>
            <w:pPr>
              <w:spacing w:after="0"/>
              <w:rPr>
                <w:sz w:val="18"/>
                <w:szCs w:val="18"/>
                <w:color w:val="auto"/>
              </w:rPr>
            </w:pPr>
          </w:p>
        </w:tc>
        <w:tc>
          <w:tcPr>
            <w:tcW w:w="20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610,278</w:t>
            </w:r>
          </w:p>
        </w:tc>
      </w:tr>
      <w:tr>
        <w:trPr>
          <w:trHeight w:val="210"/>
        </w:trPr>
        <w:tc>
          <w:tcPr>
            <w:tcW w:w="7080" w:type="dxa"/>
            <w:vAlign w:val="bottom"/>
          </w:tcPr>
          <w:p>
            <w:pPr>
              <w:spacing w:after="0"/>
              <w:rPr>
                <w:sz w:val="20"/>
                <w:szCs w:val="20"/>
                <w:color w:val="auto"/>
              </w:rPr>
            </w:pPr>
            <w:r>
              <w:rPr>
                <w:rFonts w:ascii="Arial" w:cs="Arial" w:eastAsia="Arial" w:hAnsi="Arial"/>
                <w:sz w:val="18"/>
                <w:szCs w:val="18"/>
                <w:color w:val="auto"/>
              </w:rPr>
              <w:t>Total</w:t>
            </w:r>
          </w:p>
        </w:tc>
        <w:tc>
          <w:tcPr>
            <w:tcW w:w="1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6,695,400</w:t>
            </w:r>
          </w:p>
        </w:tc>
        <w:tc>
          <w:tcPr>
            <w:tcW w:w="180" w:type="dxa"/>
            <w:vAlign w:val="bottom"/>
          </w:tcPr>
          <w:p>
            <w:pPr>
              <w:spacing w:after="0"/>
              <w:rPr>
                <w:sz w:val="18"/>
                <w:szCs w:val="18"/>
                <w:color w:val="auto"/>
              </w:rPr>
            </w:pPr>
          </w:p>
        </w:tc>
        <w:tc>
          <w:tcPr>
            <w:tcW w:w="20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95,752,866</w:t>
            </w:r>
          </w:p>
        </w:tc>
      </w:tr>
      <w:tr>
        <w:trPr>
          <w:trHeight w:val="20"/>
        </w:trPr>
        <w:tc>
          <w:tcPr>
            <w:tcW w:w="708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ind w:right="8360" w:firstLine="8"/>
        <w:spacing w:after="0" w:line="394" w:lineRule="auto"/>
        <w:tabs>
          <w:tab w:leader="none" w:pos="30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Related Party Transactions </w:t>
      </w:r>
      <w:r>
        <w:rPr>
          <w:rFonts w:ascii="Arial" w:cs="Arial" w:eastAsia="Arial" w:hAnsi="Arial"/>
          <w:sz w:val="17"/>
          <w:szCs w:val="17"/>
          <w:b w:val="1"/>
          <w:bCs w:val="1"/>
          <w:i w:val="1"/>
          <w:iCs w:val="1"/>
          <w:color w:val="auto"/>
        </w:rPr>
        <w:t>Management Services Agreement</w:t>
      </w:r>
    </w:p>
    <w:p>
      <w:pPr>
        <w:spacing w:after="0" w:line="1" w:lineRule="exact"/>
        <w:rPr>
          <w:sz w:val="20"/>
          <w:szCs w:val="20"/>
          <w:color w:val="auto"/>
        </w:rPr>
      </w:pPr>
    </w:p>
    <w:p>
      <w:pPr>
        <w:ind w:right="140" w:firstLine="761"/>
        <w:spacing w:after="0" w:line="234" w:lineRule="auto"/>
        <w:rPr>
          <w:sz w:val="20"/>
          <w:szCs w:val="20"/>
          <w:color w:val="auto"/>
        </w:rPr>
      </w:pPr>
      <w:r>
        <w:rPr>
          <w:rFonts w:ascii="Arial" w:cs="Arial" w:eastAsia="Arial" w:hAnsi="Arial"/>
          <w:sz w:val="18"/>
          <w:szCs w:val="18"/>
          <w:color w:val="auto"/>
        </w:rPr>
        <w:t>In July 2015, the Company entered into a management services agreement (“MSA”) with Catterton Management Company, L.L.C. (“Catterton Management”), an affiliate of L Catterton (“Catterton”), a holder of more than 5% of the Company’s outstanding capital stock, pursuant to which Catterton Management agreed to provide consulting services on certain business and financial matters. Under the MSA, the Company agreed to pay Catterton Management an annual fee of $0.3 million until the expiration of the MSA upon the earlier of</w:t>
      </w:r>
    </w:p>
    <w:p>
      <w:pPr>
        <w:spacing w:after="0" w:line="3" w:lineRule="exact"/>
        <w:rPr>
          <w:sz w:val="20"/>
          <w:szCs w:val="20"/>
          <w:color w:val="auto"/>
        </w:rPr>
      </w:pPr>
    </w:p>
    <w:p>
      <w:pPr>
        <w:ind w:right="360" w:firstLine="8"/>
        <w:spacing w:after="0" w:line="246" w:lineRule="auto"/>
        <w:tabs>
          <w:tab w:leader="none" w:pos="21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termination by mutual consent of the parties and (ii) such time that Catterton and/or its affiliates cease to be one of the Company’s stockholders. For the year ended December 31, 2020, payments of the annual fees were waived. In May 2020, the MSA was terminated.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AutoNation Reconditioning Agreement</w:t>
      </w:r>
    </w:p>
    <w:p>
      <w:pPr>
        <w:spacing w:after="0" w:line="126" w:lineRule="exact"/>
        <w:rPr>
          <w:sz w:val="20"/>
          <w:szCs w:val="20"/>
          <w:color w:val="auto"/>
        </w:rPr>
      </w:pPr>
    </w:p>
    <w:p>
      <w:pPr>
        <w:ind w:firstLine="749"/>
        <w:spacing w:after="0" w:line="238" w:lineRule="auto"/>
        <w:rPr>
          <w:sz w:val="20"/>
          <w:szCs w:val="20"/>
          <w:color w:val="auto"/>
        </w:rPr>
      </w:pPr>
      <w:r>
        <w:rPr>
          <w:rFonts w:ascii="Arial" w:cs="Arial" w:eastAsia="Arial" w:hAnsi="Arial"/>
          <w:sz w:val="18"/>
          <w:szCs w:val="18"/>
          <w:color w:val="auto"/>
        </w:rPr>
        <w:t>In January 2019, the Company entered into a vendor agreement (“Vendor Agreement”) with AutoNation, Inc. (“AutoNation”), an affiliate of Auto Holdings, Inc., a holder of more than 5% of the Company’s outstanding capital stock, pursuant to which AutoNation agreed to provide certain reconditioning and repair services for vehicles owned by the Company. Amounts due under the Vendor Agreement for parts supplied and services performed by AutoNation become due and payable as they accrue. The Vendor Agreement was terminated in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February 2020.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23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below and those incorporated by reference into the section titled "Risk Factors" in Part I, Item 1A of our Annual Report on Form 10-K for the year ended December 31, 2020 (the “Annual Report”), as updated by the section titled "Risk Factors" in Part II, Item 1A of this Quarterly Report on Form 10-Q. Additionally, our historical results are not necessarily indicative of the results that may be expected for any period in the future.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ind w:right="260" w:firstLine="761"/>
        <w:spacing w:after="0" w:line="246" w:lineRule="auto"/>
        <w:rPr>
          <w:sz w:val="20"/>
          <w:szCs w:val="20"/>
          <w:color w:val="auto"/>
        </w:rPr>
      </w:pPr>
      <w:r>
        <w:rPr>
          <w:rFonts w:ascii="Arial" w:cs="Arial" w:eastAsia="Arial" w:hAnsi="Arial"/>
          <w:sz w:val="18"/>
          <w:szCs w:val="18"/>
          <w:color w:val="auto"/>
        </w:rPr>
        <w:t>Vroom is an innovative, end-to-end ecommerce platform that is transforming the used vehicle industry by offering a better way to buy and a better way to sell used vehicles. We are deeply committed to creating an exceptional experience for our customers.</w:t>
      </w:r>
    </w:p>
    <w:p>
      <w:pPr>
        <w:spacing w:after="0" w:line="197" w:lineRule="exact"/>
        <w:rPr>
          <w:sz w:val="20"/>
          <w:szCs w:val="20"/>
          <w:color w:val="auto"/>
        </w:rPr>
      </w:pPr>
    </w:p>
    <w:p>
      <w:pPr>
        <w:ind w:right="440" w:firstLine="761"/>
        <w:spacing w:after="0"/>
        <w:rPr>
          <w:sz w:val="20"/>
          <w:szCs w:val="20"/>
          <w:color w:val="auto"/>
        </w:rPr>
      </w:pPr>
      <w:r>
        <w:rPr>
          <w:rFonts w:ascii="Arial" w:cs="Arial" w:eastAsia="Arial" w:hAnsi="Arial"/>
          <w:sz w:val="18"/>
          <w:szCs w:val="18"/>
          <w:color w:val="auto"/>
        </w:rPr>
        <w:t>We are driving enduring change in the industry on a national scale. We take a vertically integrated, asset-light approach that is reinventing all phases of the vehicle buying and selling process, from discovery to delivery and everything in between. Our platform encompasses:</w:t>
      </w:r>
    </w:p>
    <w:p>
      <w:pPr>
        <w:spacing w:after="0" w:line="73" w:lineRule="exact"/>
        <w:rPr>
          <w:sz w:val="20"/>
          <w:szCs w:val="20"/>
          <w:color w:val="auto"/>
        </w:rPr>
      </w:pPr>
    </w:p>
    <w:p>
      <w:pPr>
        <w:ind w:left="1000" w:hanging="236"/>
        <w:spacing w:after="0" w:line="242"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Ecommerce: </w:t>
      </w:r>
      <w:r>
        <w:rPr>
          <w:rFonts w:ascii="Arial" w:cs="Arial" w:eastAsia="Arial" w:hAnsi="Arial"/>
          <w:sz w:val="18"/>
          <w:szCs w:val="18"/>
          <w:color w:val="auto"/>
        </w:rPr>
        <w:t>We offer an exceptional ecommerce experience for our customers. In contrast to legacy dealerships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peer-to-peer market, we provide consumers with a personalized and intuitive ecommerce interface to research and select from thousands of fully reconditioned vehicles. Our platform is accessible at any time on any device and provides transparent pricing, real-time financing and nationwide contact-free delivery right to a buyer’s driveway. For consumers looking to sell or trade in their vehicles, we provide attractive market-based pricing, real-time price quotes and convenient, contact-free at-home vehicle pick-up.</w:t>
      </w:r>
    </w:p>
    <w:p>
      <w:pPr>
        <w:spacing w:after="0" w:line="70" w:lineRule="exact"/>
        <w:rPr>
          <w:rFonts w:ascii="Arial" w:cs="Arial" w:eastAsia="Arial" w:hAnsi="Arial"/>
          <w:sz w:val="18"/>
          <w:szCs w:val="18"/>
          <w:color w:val="auto"/>
        </w:rPr>
      </w:pPr>
    </w:p>
    <w:p>
      <w:pPr>
        <w:ind w:left="1000" w:right="20" w:hanging="236"/>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Vehicle Operations: </w:t>
      </w:r>
      <w:r>
        <w:rPr>
          <w:rFonts w:ascii="Arial" w:cs="Arial" w:eastAsia="Arial" w:hAnsi="Arial"/>
          <w:sz w:val="18"/>
          <w:szCs w:val="18"/>
          <w:color w:val="auto"/>
        </w:rPr>
        <w:t>Our scalable and vertically integrated operations underpin our business model. We strategically source</w:t>
      </w:r>
      <w:r>
        <w:rPr>
          <w:rFonts w:ascii="Arial" w:cs="Arial" w:eastAsia="Arial" w:hAnsi="Arial"/>
          <w:sz w:val="18"/>
          <w:szCs w:val="18"/>
          <w:b w:val="1"/>
          <w:bCs w:val="1"/>
          <w:color w:val="auto"/>
        </w:rPr>
        <w:t xml:space="preserve"> </w:t>
      </w:r>
      <w:r>
        <w:rPr>
          <w:rFonts w:ascii="Arial" w:cs="Arial" w:eastAsia="Arial" w:hAnsi="Arial"/>
          <w:sz w:val="18"/>
          <w:szCs w:val="18"/>
          <w:color w:val="auto"/>
        </w:rPr>
        <w:t>inventory from auctions, consumers, rental car companies, original equipment manufacturers (“OEMs”) and dealers. We improve our ability to acquire high-demand vehicles through enhanced supply science across all our sourcing channels and we have expanded our national marketing efforts to drive consumer sourcing. In our reconditioning and logistics operations, we deploy an asset-light strategy that optimizes a combination of ownership and operation of assets by us with strategic third-party partnerships. This hybrid approach provides flexibility, agility and speed without taking on unnecessary risk and capital investment, and drives improved unit economics and operating leverage.</w:t>
      </w:r>
    </w:p>
    <w:p>
      <w:pPr>
        <w:spacing w:after="0" w:line="76" w:lineRule="exact"/>
        <w:rPr>
          <w:rFonts w:ascii="Arial" w:cs="Arial" w:eastAsia="Arial" w:hAnsi="Arial"/>
          <w:sz w:val="18"/>
          <w:szCs w:val="18"/>
          <w:color w:val="auto"/>
        </w:rPr>
      </w:pPr>
    </w:p>
    <w:p>
      <w:pPr>
        <w:ind w:left="1000" w:right="120" w:hanging="236"/>
        <w:spacing w:after="0" w:line="242"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Data Science and Experimentation: </w:t>
      </w:r>
      <w:r>
        <w:rPr>
          <w:rFonts w:ascii="Arial" w:cs="Arial" w:eastAsia="Arial" w:hAnsi="Arial"/>
          <w:sz w:val="18"/>
          <w:szCs w:val="18"/>
          <w:color w:val="auto"/>
        </w:rPr>
        <w:t>Data science and experimentation are at the core of everything we do. We rely on data</w:t>
      </w:r>
      <w:r>
        <w:rPr>
          <w:rFonts w:ascii="Arial" w:cs="Arial" w:eastAsia="Arial" w:hAnsi="Arial"/>
          <w:sz w:val="18"/>
          <w:szCs w:val="18"/>
          <w:b w:val="1"/>
          <w:bCs w:val="1"/>
          <w:color w:val="auto"/>
        </w:rPr>
        <w:t xml:space="preserve"> </w:t>
      </w:r>
      <w:r>
        <w:rPr>
          <w:rFonts w:ascii="Arial" w:cs="Arial" w:eastAsia="Arial" w:hAnsi="Arial"/>
          <w:sz w:val="18"/>
          <w:szCs w:val="18"/>
          <w:color w:val="auto"/>
        </w:rPr>
        <w:t>science, machine learning and A/B and multivariate testing to continually drive optimization and operating leverage across our ecommerce and vehicle operations. We leverage data to increase the effectiveness of our national brand and performance marketing, enhance the customer experience, analyze market dynamics at scale, calibrate our vehicle pricing and optimize our overall inventory sales velocity. On the operations side, data science and experimentation enables us to fine tune our supply, sourcing and logistics models and to streamline our reconditioning processes.</w:t>
      </w:r>
    </w:p>
    <w:p>
      <w:pPr>
        <w:spacing w:after="0" w:line="201" w:lineRule="exact"/>
        <w:rPr>
          <w:sz w:val="20"/>
          <w:szCs w:val="20"/>
          <w:color w:val="auto"/>
        </w:rPr>
      </w:pPr>
    </w:p>
    <w:p>
      <w:pPr>
        <w:ind w:right="120" w:firstLine="761"/>
        <w:spacing w:after="0" w:line="237" w:lineRule="auto"/>
        <w:rPr>
          <w:sz w:val="20"/>
          <w:szCs w:val="20"/>
          <w:color w:val="auto"/>
        </w:rPr>
      </w:pPr>
      <w:r>
        <w:rPr>
          <w:rFonts w:ascii="Arial" w:cs="Arial" w:eastAsia="Arial" w:hAnsi="Arial"/>
          <w:sz w:val="18"/>
          <w:szCs w:val="18"/>
          <w:color w:val="auto"/>
        </w:rPr>
        <w:t>Based on data from Cox Automotive, there were an estimated 37.2 million used vehicle transactions in 2020. The U.S. used automotive market is also highly fragmented, with over 42,000 dealers and millions of peer-to-peer transactions across the country. It also is ripe for disruption as an industry that is notorious for consumer dissatisfaction and has one of the lowest levels of ecommerce penetration. Industry reports estimate that ecommerce penetration will grow to as much as half of all used vehicle sales by 2030. Our platform, coupled with our national presence and brand, provides a significant competitive advantage versus local dealerships and regional players that lack nationwide reach and scalable technology, operations and logistics. The traditional auto dealers and peer-to-peer market do not and cannot offer consumers what we offer.</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Model</w:t>
      </w:r>
    </w:p>
    <w:p>
      <w:pPr>
        <w:spacing w:after="0" w:line="234" w:lineRule="exact"/>
        <w:rPr>
          <w:sz w:val="20"/>
          <w:szCs w:val="20"/>
          <w:color w:val="auto"/>
        </w:rPr>
      </w:pPr>
    </w:p>
    <w:p>
      <w:pPr>
        <w:ind w:right="40" w:firstLine="761"/>
        <w:spacing w:after="0" w:line="238" w:lineRule="auto"/>
        <w:rPr>
          <w:sz w:val="20"/>
          <w:szCs w:val="20"/>
          <w:color w:val="auto"/>
        </w:rPr>
      </w:pPr>
      <w:r>
        <w:rPr>
          <w:rFonts w:ascii="Arial" w:cs="Arial" w:eastAsia="Arial" w:hAnsi="Arial"/>
          <w:sz w:val="18"/>
          <w:szCs w:val="18"/>
          <w:color w:val="auto"/>
        </w:rPr>
        <w:t>We generate revenue through the sale of used vehicles and value-added products. We sell vehicles directly to consumers primarily through our Ecommerce segment. As the largest segment in our business, Ecommerce revenue grew 81.1% from the three months ended March 31, 2020 to the three months ended March 31, 2021, and we expect Ecommerce to continue to outgrow our other segments as it is the core focus of our growth strategy.</w:t>
      </w:r>
    </w:p>
    <w:p>
      <w:pPr>
        <w:spacing w:after="0" w:line="205" w:lineRule="exact"/>
        <w:rPr>
          <w:sz w:val="20"/>
          <w:szCs w:val="20"/>
          <w:color w:val="auto"/>
        </w:rPr>
      </w:pPr>
    </w:p>
    <w:p>
      <w:pPr>
        <w:jc w:val="both"/>
        <w:ind w:right="160" w:firstLine="761"/>
        <w:spacing w:after="0"/>
        <w:rPr>
          <w:sz w:val="20"/>
          <w:szCs w:val="20"/>
          <w:color w:val="auto"/>
        </w:rPr>
      </w:pPr>
      <w:r>
        <w:rPr>
          <w:rFonts w:ascii="Arial" w:cs="Arial" w:eastAsia="Arial" w:hAnsi="Arial"/>
          <w:sz w:val="18"/>
          <w:szCs w:val="18"/>
          <w:color w:val="auto"/>
        </w:rPr>
        <w:t>We also sell vehicles through wholesale channels, which provide a revenue source for vehicles that do not meet our Vroom retail sales criteria. Additionally, we generate revenue through the retail sale of used vehicles and value-added products at Houston-based Texas Direct Auto, or TDA.</w:t>
      </w:r>
    </w:p>
    <w:p>
      <w:pPr>
        <w:spacing w:after="0" w:line="203" w:lineRule="exact"/>
        <w:rPr>
          <w:sz w:val="20"/>
          <w:szCs w:val="20"/>
          <w:color w:val="auto"/>
        </w:rPr>
      </w:pPr>
    </w:p>
    <w:p>
      <w:pPr>
        <w:ind w:right="40" w:firstLine="761"/>
        <w:spacing w:after="0" w:line="246" w:lineRule="auto"/>
        <w:rPr>
          <w:sz w:val="20"/>
          <w:szCs w:val="20"/>
          <w:color w:val="auto"/>
        </w:rPr>
      </w:pPr>
      <w:r>
        <w:rPr>
          <w:rFonts w:ascii="Arial" w:cs="Arial" w:eastAsia="Arial" w:hAnsi="Arial"/>
          <w:sz w:val="18"/>
          <w:szCs w:val="18"/>
          <w:color w:val="auto"/>
        </w:rPr>
        <w:t>For the three months ended March 31, 2021, our Ecommerce, Wholesale and TDA segments represented 71.4%, 20.0% and 8.1% of our total revenue, respectively.</w:t>
      </w:r>
    </w:p>
    <w:p>
      <w:pPr>
        <w:spacing w:after="0" w:line="197" w:lineRule="exact"/>
        <w:rPr>
          <w:sz w:val="20"/>
          <w:szCs w:val="20"/>
          <w:color w:val="auto"/>
        </w:rPr>
      </w:pPr>
    </w:p>
    <w:p>
      <w:pPr>
        <w:ind w:right="100" w:firstLine="761"/>
        <w:spacing w:after="0" w:line="253" w:lineRule="auto"/>
        <w:rPr>
          <w:sz w:val="20"/>
          <w:szCs w:val="20"/>
          <w:color w:val="auto"/>
        </w:rPr>
      </w:pPr>
      <w:r>
        <w:rPr>
          <w:rFonts w:ascii="Arial" w:cs="Arial" w:eastAsia="Arial" w:hAnsi="Arial"/>
          <w:sz w:val="17"/>
          <w:szCs w:val="17"/>
          <w:color w:val="auto"/>
        </w:rPr>
        <w:t>Our retail gross profit consists of two components: Vehicle Gross Profit and Product Gross Profit. Vehicle Gross Profit is calculated as the aggregate retail sales price for all vehicles sold to customers along with delivery fee revenue and document fees received from customers, less the aggregate cost to acquire such vehicles, the aggregate cost of inbound transportation for such vehicles to our vehicle reconditioning centers, which we refer to as VRCs, and the aggregate cost of reconditioning such vehicles for sale. Product Gross Profit consists of fees earned on any finance and protection products sold as part of a vehicle sale. Because we are paid fees on the value-added products we sell, our gross profit on such products is equal to the revenue we generate. See “—Key Operating and Financial Metrics.”</w:t>
      </w:r>
    </w:p>
    <w:p>
      <w:pPr>
        <w:spacing w:after="0" w:line="19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Below is an explanation of how we calculate vehicle gross profit per unit and product gross profit per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151765</wp:posOffset>
            </wp:positionV>
            <wp:extent cx="5271770" cy="21431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7177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0" w:firstLine="761"/>
        <w:spacing w:after="0" w:line="237" w:lineRule="auto"/>
        <w:rPr>
          <w:sz w:val="20"/>
          <w:szCs w:val="20"/>
          <w:color w:val="auto"/>
        </w:rPr>
      </w:pPr>
      <w:r>
        <w:rPr>
          <w:rFonts w:ascii="Arial" w:cs="Arial" w:eastAsia="Arial" w:hAnsi="Arial"/>
          <w:sz w:val="18"/>
          <w:szCs w:val="18"/>
          <w:color w:val="auto"/>
        </w:rPr>
        <w:t>Our profitability depends primarily on increasing unit sales and operating leverage, as well as improving unit economics. We deploy an asset-light strategy that optimizes a combination of ownership and operation of assets by us with strategic third-party partnerships. Our hybrid approach also applies to the third-party value-added products we sell to customers, which enables us to generate additional revenue streams without taking on the risk associated with underwriting vehicle financing or protection products. As we scale, we expect to benefit from efficiencies and operating leverage across our business, including our marketing and technology investments, and our inventory procurement, logistics, reconditioning and sales processes.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Sourcing</w:t>
      </w:r>
    </w:p>
    <w:p>
      <w:pPr>
        <w:spacing w:after="0" w:line="126"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We source our vehicle inventory from a variety of channels, including auctions, consumers, rental car companies, OEMs and dealers. Because the quality of vehicles and associated gross margin profile vary across each channel, the mix of inventory sources has an impact on our profitability. We continually evaluate the optimal mix of sourcing channels to generate the highest sales margins and shortest inventory turns, both of which contribute to increased gross profit per unit. We generate a vast set of predictive data derived from market demand, pricing dynamics, vehicle acquisitions and subsequent sales, and we leverage that data to optimize future vehicle acquisitions, which we believe will be enhanced by the acquisition of CarStory. See “—Recent Events—CarStory Acquisition.” As we scale, we expect to continue to leverage the data at our disposal to optimize and enhance the volume and selection of vehicles in our inventory and, in turn, drive revenue growth and profitability. We are also exploring third party inventory strategies, which offers the possibility of</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6"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expanding our sourcing channels through third party sellers while offering us attractive revenue models in an asset light, debt free structure. See “—Other Key Factors and Trends Affecting our Operating Results—Ability to drive growth by cost effectively increasing the volume and selection of vehicles in our inventory.”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Reconditioning</w:t>
      </w:r>
    </w:p>
    <w:p>
      <w:pPr>
        <w:spacing w:after="0" w:line="126" w:lineRule="exact"/>
        <w:rPr>
          <w:sz w:val="20"/>
          <w:szCs w:val="20"/>
          <w:color w:val="auto"/>
        </w:rPr>
      </w:pPr>
    </w:p>
    <w:p>
      <w:pPr>
        <w:ind w:right="100" w:firstLine="761"/>
        <w:spacing w:after="0" w:line="236" w:lineRule="auto"/>
        <w:rPr>
          <w:sz w:val="20"/>
          <w:szCs w:val="20"/>
          <w:color w:val="auto"/>
        </w:rPr>
      </w:pPr>
      <w:r>
        <w:rPr>
          <w:rFonts w:ascii="Arial" w:cs="Arial" w:eastAsia="Arial" w:hAnsi="Arial"/>
          <w:sz w:val="18"/>
          <w:szCs w:val="18"/>
          <w:color w:val="auto"/>
        </w:rPr>
        <w:t>Before a vehicle is listed for retail sale on our platform, it undergoes a thorough reconditioning process in order to meet our Vroom retail sales criteria. The efficiency of this reconditioning process is a key element in our ability to profitably grow. To recondition vehicles, we rely on a combination of our Vroom VRC along with a network of VRCs owned and operated by third parties, and we intend to continue to expand our network of third-party VRCs. Utilizing this hybrid approach, we have increased our total reconditioning capacity to approximately 2,300 units per week as of March 31, 2021, with approximately two-thirds from our twenty-three third-party VRCs. As we increase the number of vehicles in our inventory and expand our reconditioning capacity, we expect that reconditioning costs and inbound shipping costs per unit will decrease as we benefit from economies of scale and operating leverage in reconditioning costs. See “—Other Key Factors and Trends Affecting our Operating Results—Ability to expand and optimize our reconditioning capacity to satisfy increasing demand.”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Logistics Network</w:t>
      </w:r>
    </w:p>
    <w:p>
      <w:pPr>
        <w:spacing w:after="0" w:line="126" w:lineRule="exact"/>
        <w:rPr>
          <w:sz w:val="20"/>
          <w:szCs w:val="20"/>
          <w:color w:val="auto"/>
        </w:rPr>
      </w:pPr>
    </w:p>
    <w:p>
      <w:pPr>
        <w:ind w:firstLine="761"/>
        <w:spacing w:after="0" w:line="235" w:lineRule="auto"/>
        <w:rPr>
          <w:sz w:val="20"/>
          <w:szCs w:val="20"/>
          <w:color w:val="auto"/>
        </w:rPr>
      </w:pPr>
      <w:r>
        <w:rPr>
          <w:rFonts w:ascii="Arial" w:cs="Arial" w:eastAsia="Arial" w:hAnsi="Arial"/>
          <w:sz w:val="18"/>
          <w:szCs w:val="18"/>
          <w:color w:val="auto"/>
        </w:rPr>
        <w:t>For our logistics operations, we primarily have used national third-party carriers, which has allowed us to efficiently deliver vehicles to customers throughout the United States while focusing on expanding other critical components of our business, such as the volume and selection of vehicles in our inventory. We optimized our third-party logistics network nationally through the development of strategic carrier arrangements with national haulers and consolidated our carrier base into dedicated operating regions. This strategy enhanced the flexibility, agility and speed of our growth while reducing the need for additional capital commitments as we scaled our business. Since the start of the COVID-19 pandemic, we have experienced a reduced supply of carriers combined with increased demand for carriers from competitors, resulting in increased shipping prices and delays. In response to these disruptions, and to further enhance the quality of our logistics operations and our customer experience, we have been accelerating our strategy to optimize our hybrid approach by expanding our proprietary logistics network. Initially we have been prioritizing investment in our last-mile delivery operations where we can have the greatest impact on the customer experience. We also have invested in short-haul trucks to make regional deliveries from our last mile hubs, and have begun to invest in long-haul vehicles for hub-to-hub shipments. Consistent with our hybrid approach, as we scale our business, we continue to strategically combine the operation of our expanded proprietary fleet with the use of third-party carriers, which we expect will enable us to both accommodate our growth and provide the highest level of customer service. See “—Other Key Factors and Trends Affecting our Operating Results—Ability to expand and develop our logistics network.”</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Value-Added Products</w:t>
      </w:r>
    </w:p>
    <w:p>
      <w:pPr>
        <w:spacing w:after="0" w:line="126" w:lineRule="exact"/>
        <w:rPr>
          <w:sz w:val="20"/>
          <w:szCs w:val="20"/>
          <w:color w:val="auto"/>
        </w:rPr>
      </w:pPr>
    </w:p>
    <w:p>
      <w:pPr>
        <w:ind w:right="20" w:firstLine="761"/>
        <w:spacing w:after="0" w:line="237" w:lineRule="auto"/>
        <w:rPr>
          <w:sz w:val="20"/>
          <w:szCs w:val="20"/>
          <w:color w:val="auto"/>
        </w:rPr>
      </w:pPr>
      <w:r>
        <w:rPr>
          <w:rFonts w:ascii="Arial" w:cs="Arial" w:eastAsia="Arial" w:hAnsi="Arial"/>
          <w:sz w:val="18"/>
          <w:szCs w:val="18"/>
          <w:color w:val="auto"/>
        </w:rPr>
        <w:t>We generate revenue by earning fees for selling value-added products to customers in connection with vehicle sales. Currently, our third-party value-added product offering consists of finance and protection products, including financing from third-party lenders for our customers’ vehicle purchases, as well as sales of vehicle service contracts, GAP protection and tire and wheel coverage. As we scale our business, we intend to introduce additional value-added products that will be attractive to our customers and drive revenue and profitable growth. We expect that both expanded product offerings and increased attachment rates in value-added product sales will have a positive impact on our profitability. See “—Other Key Factors and Trends Affecting our Operating Results—Ability to increase and better monetize value-added products.”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Segments</w:t>
      </w:r>
    </w:p>
    <w:p>
      <w:pPr>
        <w:spacing w:after="0" w:line="23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manage and report operating results through three reportable segments:</w:t>
      </w:r>
    </w:p>
    <w:p>
      <w:pPr>
        <w:spacing w:after="0" w:line="82" w:lineRule="exact"/>
        <w:rPr>
          <w:sz w:val="20"/>
          <w:szCs w:val="20"/>
          <w:color w:val="auto"/>
        </w:rPr>
      </w:pPr>
    </w:p>
    <w:p>
      <w:pPr>
        <w:ind w:left="1000" w:right="220" w:hanging="236"/>
        <w:spacing w:after="0" w:line="253"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Ecommerce </w:t>
      </w:r>
      <w:r>
        <w:rPr>
          <w:rFonts w:ascii="Arial" w:cs="Arial" w:eastAsia="Arial" w:hAnsi="Arial"/>
          <w:sz w:val="18"/>
          <w:szCs w:val="18"/>
          <w:color w:val="auto"/>
        </w:rPr>
        <w:t>(71.4% of total revenue for the three months ended March 31, 2021): The Ecommerce segment represents retail</w:t>
      </w:r>
      <w:r>
        <w:rPr>
          <w:rFonts w:ascii="Arial" w:cs="Arial" w:eastAsia="Arial" w:hAnsi="Arial"/>
          <w:sz w:val="18"/>
          <w:szCs w:val="18"/>
          <w:b w:val="1"/>
          <w:bCs w:val="1"/>
          <w:color w:val="auto"/>
        </w:rPr>
        <w:t xml:space="preserve"> </w:t>
      </w:r>
      <w:r>
        <w:rPr>
          <w:rFonts w:ascii="Arial" w:cs="Arial" w:eastAsia="Arial" w:hAnsi="Arial"/>
          <w:sz w:val="18"/>
          <w:szCs w:val="18"/>
          <w:color w:val="auto"/>
        </w:rPr>
        <w:t>sales of used vehicles through our ecommerce platform and fees earned on sales of value-added products associated with those vehicle sales.</w:t>
      </w:r>
    </w:p>
    <w:p>
      <w:pPr>
        <w:spacing w:after="0" w:line="60" w:lineRule="exact"/>
        <w:rPr>
          <w:rFonts w:ascii="Arial" w:cs="Arial" w:eastAsia="Arial" w:hAnsi="Arial"/>
          <w:sz w:val="18"/>
          <w:szCs w:val="18"/>
          <w:color w:val="auto"/>
        </w:rPr>
      </w:pPr>
    </w:p>
    <w:p>
      <w:pPr>
        <w:ind w:left="1000" w:right="240" w:hanging="236"/>
        <w:spacing w:after="0" w:line="271"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Wholesale </w:t>
      </w:r>
      <w:r>
        <w:rPr>
          <w:rFonts w:ascii="Arial" w:cs="Arial" w:eastAsia="Arial" w:hAnsi="Arial"/>
          <w:sz w:val="18"/>
          <w:szCs w:val="18"/>
          <w:color w:val="auto"/>
        </w:rPr>
        <w:t>(20.0% of total revenue for the three months ended March 31, 2021): The Wholesale segment represents sales of</w:t>
      </w:r>
      <w:r>
        <w:rPr>
          <w:rFonts w:ascii="Arial" w:cs="Arial" w:eastAsia="Arial" w:hAnsi="Arial"/>
          <w:sz w:val="18"/>
          <w:szCs w:val="18"/>
          <w:b w:val="1"/>
          <w:bCs w:val="1"/>
          <w:color w:val="auto"/>
        </w:rPr>
        <w:t xml:space="preserve"> </w:t>
      </w:r>
      <w:r>
        <w:rPr>
          <w:rFonts w:ascii="Arial" w:cs="Arial" w:eastAsia="Arial" w:hAnsi="Arial"/>
          <w:sz w:val="18"/>
          <w:szCs w:val="18"/>
          <w:color w:val="auto"/>
        </w:rPr>
        <w:t>used vehicles through wholesale channels.</w:t>
      </w:r>
    </w:p>
    <w:p>
      <w:pPr>
        <w:spacing w:after="0" w:line="45" w:lineRule="exact"/>
        <w:rPr>
          <w:rFonts w:ascii="Arial" w:cs="Arial" w:eastAsia="Arial" w:hAnsi="Arial"/>
          <w:sz w:val="18"/>
          <w:szCs w:val="18"/>
          <w:color w:val="auto"/>
        </w:rPr>
      </w:pPr>
    </w:p>
    <w:p>
      <w:pPr>
        <w:ind w:left="1000" w:right="460" w:hanging="236"/>
        <w:spacing w:after="0" w:line="271"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TDA </w:t>
      </w:r>
      <w:r>
        <w:rPr>
          <w:rFonts w:ascii="Arial" w:cs="Arial" w:eastAsia="Arial" w:hAnsi="Arial"/>
          <w:sz w:val="18"/>
          <w:szCs w:val="18"/>
          <w:color w:val="auto"/>
        </w:rPr>
        <w:t>(8.1% of total revenue for the three months ended March 31, 2021): The TDA segment represents retail sales of used</w:t>
      </w:r>
      <w:r>
        <w:rPr>
          <w:rFonts w:ascii="Arial" w:cs="Arial" w:eastAsia="Arial" w:hAnsi="Arial"/>
          <w:sz w:val="18"/>
          <w:szCs w:val="18"/>
          <w:b w:val="1"/>
          <w:bCs w:val="1"/>
          <w:color w:val="auto"/>
        </w:rPr>
        <w:t xml:space="preserve"> </w:t>
      </w:r>
      <w:r>
        <w:rPr>
          <w:rFonts w:ascii="Arial" w:cs="Arial" w:eastAsia="Arial" w:hAnsi="Arial"/>
          <w:sz w:val="18"/>
          <w:szCs w:val="18"/>
          <w:color w:val="auto"/>
        </w:rPr>
        <w:t>vehicles from TDA and fees earned on sales of value-added products associated with those vehicle sales.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ind w:right="420" w:firstLine="761"/>
        <w:spacing w:after="0" w:line="246" w:lineRule="auto"/>
        <w:rPr>
          <w:sz w:val="20"/>
          <w:szCs w:val="20"/>
          <w:color w:val="auto"/>
        </w:rPr>
      </w:pPr>
      <w:r>
        <w:rPr>
          <w:rFonts w:ascii="Arial" w:cs="Arial" w:eastAsia="Arial" w:hAnsi="Arial"/>
          <w:sz w:val="18"/>
          <w:szCs w:val="18"/>
          <w:color w:val="auto"/>
        </w:rPr>
        <w:t>Gross profit is defined as revenue less cost of sales for each segment. Reflected below is a summary of segment revenue and segment gross profit for the three months ended March 31, 2021 and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4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468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center"/>
              <w:ind w:left="655"/>
              <w:spacing w:after="0"/>
              <w:rPr>
                <w:sz w:val="20"/>
                <w:szCs w:val="20"/>
                <w:color w:val="auto"/>
              </w:rPr>
            </w:pPr>
            <w:r>
              <w:rPr>
                <w:rFonts w:ascii="Arial" w:cs="Arial" w:eastAsia="Arial" w:hAnsi="Arial"/>
                <w:sz w:val="14"/>
                <w:szCs w:val="14"/>
                <w:b w:val="1"/>
                <w:bCs w:val="1"/>
                <w:color w:val="auto"/>
              </w:rPr>
              <w:t>March 31,</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46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3"/>
              <w:spacing w:after="0" w:line="169" w:lineRule="exact"/>
              <w:rPr>
                <w:sz w:val="20"/>
                <w:szCs w:val="20"/>
                <w:color w:val="auto"/>
              </w:rPr>
            </w:pPr>
            <w:r>
              <w:rPr>
                <w:rFonts w:ascii="Arial" w:cs="Arial" w:eastAsia="Arial" w:hAnsi="Arial"/>
                <w:sz w:val="12"/>
                <w:szCs w:val="12"/>
                <w:b w:val="1"/>
                <w:bCs w:val="1"/>
                <w:color w:val="auto"/>
              </w:rPr>
              <w:t xml:space="preserve">2020 </w:t>
            </w:r>
            <w:r>
              <w:rPr>
                <w:rFonts w:ascii="Arial" w:cs="Arial" w:eastAsia="Arial" w:hAnsi="Arial"/>
                <w:sz w:val="19"/>
                <w:szCs w:val="19"/>
                <w:b w:val="1"/>
                <w:bCs w:val="1"/>
                <w:color w:val="auto"/>
                <w:vertAlign w:val="superscript"/>
              </w:rPr>
              <w:t>(1)</w:t>
            </w:r>
          </w:p>
        </w:tc>
        <w:tc>
          <w:tcPr>
            <w:tcW w:w="100" w:type="dxa"/>
            <w:vAlign w:val="bottom"/>
          </w:tcPr>
          <w:p>
            <w:pPr>
              <w:spacing w:after="0"/>
              <w:rPr>
                <w:sz w:val="14"/>
                <w:szCs w:val="14"/>
                <w:color w:val="auto"/>
              </w:rPr>
            </w:pPr>
          </w:p>
        </w:tc>
      </w:tr>
      <w:tr>
        <w:trPr>
          <w:trHeight w:val="196"/>
        </w:trPr>
        <w:tc>
          <w:tcPr>
            <w:tcW w:w="46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20" w:type="dxa"/>
            <w:vAlign w:val="bottom"/>
            <w:gridSpan w:val="4"/>
          </w:tcPr>
          <w:p>
            <w:pPr>
              <w:jc w:val="center"/>
              <w:ind w:left="655"/>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3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ind w:left="260"/>
              <w:spacing w:after="0"/>
              <w:rPr>
                <w:sz w:val="20"/>
                <w:szCs w:val="20"/>
                <w:color w:val="auto"/>
              </w:rPr>
            </w:pPr>
            <w:r>
              <w:rPr>
                <w:rFonts w:ascii="Arial" w:cs="Arial" w:eastAsia="Arial" w:hAnsi="Arial"/>
                <w:sz w:val="18"/>
                <w:szCs w:val="18"/>
                <w:color w:val="auto"/>
              </w:rPr>
              <w:t>Ecommerce</w:t>
            </w:r>
          </w:p>
        </w:tc>
        <w:tc>
          <w:tcPr>
            <w:tcW w:w="3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422,308</w:t>
            </w:r>
          </w:p>
        </w:tc>
        <w:tc>
          <w:tcPr>
            <w:tcW w:w="280" w:type="dxa"/>
            <w:vAlign w:val="bottom"/>
          </w:tcPr>
          <w:p>
            <w:pPr>
              <w:spacing w:after="0"/>
              <w:rPr>
                <w:sz w:val="18"/>
                <w:szCs w:val="18"/>
                <w:color w:val="auto"/>
              </w:rPr>
            </w:pPr>
          </w:p>
        </w:tc>
        <w:tc>
          <w:tcPr>
            <w:tcW w:w="440" w:type="dxa"/>
            <w:vAlign w:val="bottom"/>
            <w:gridSpan w:val="2"/>
          </w:tcPr>
          <w:p>
            <w:pPr>
              <w:jc w:val="right"/>
              <w:ind w:right="34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233,172</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Wholesale</w:t>
            </w:r>
          </w:p>
        </w:tc>
        <w:tc>
          <w:tcPr>
            <w:tcW w:w="3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118,024</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55,578</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ind w:left="260"/>
              <w:spacing w:after="0"/>
              <w:rPr>
                <w:sz w:val="20"/>
                <w:szCs w:val="20"/>
                <w:color w:val="auto"/>
              </w:rPr>
            </w:pPr>
            <w:r>
              <w:rPr>
                <w:rFonts w:ascii="Arial" w:cs="Arial" w:eastAsia="Arial" w:hAnsi="Arial"/>
                <w:sz w:val="18"/>
                <w:szCs w:val="18"/>
                <w:color w:val="auto"/>
              </w:rPr>
              <w:t>TDA</w:t>
            </w:r>
          </w:p>
        </w:tc>
        <w:tc>
          <w:tcPr>
            <w:tcW w:w="3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47,587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86,582</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All Other</w:t>
            </w:r>
          </w:p>
        </w:tc>
        <w:tc>
          <w:tcPr>
            <w:tcW w:w="306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3,199</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FF0FC"/>
          </w:tcPr>
          <w:p>
            <w:pPr>
              <w:spacing w:after="0"/>
              <w:rPr>
                <w:sz w:val="18"/>
                <w:szCs w:val="18"/>
                <w:color w:val="auto"/>
              </w:rPr>
            </w:pPr>
          </w:p>
        </w:tc>
      </w:tr>
      <w:tr>
        <w:trPr>
          <w:trHeight w:val="249"/>
        </w:trPr>
        <w:tc>
          <w:tcPr>
            <w:tcW w:w="4680" w:type="dxa"/>
            <w:vAlign w:val="bottom"/>
          </w:tcPr>
          <w:p>
            <w:pPr>
              <w:spacing w:after="0"/>
              <w:rPr>
                <w:sz w:val="20"/>
                <w:szCs w:val="20"/>
                <w:color w:val="auto"/>
              </w:rPr>
            </w:pPr>
            <w:r>
              <w:rPr>
                <w:rFonts w:ascii="Arial" w:cs="Arial" w:eastAsia="Arial" w:hAnsi="Arial"/>
                <w:sz w:val="18"/>
                <w:szCs w:val="18"/>
                <w:color w:val="auto"/>
              </w:rPr>
              <w:t>Total revenue</w:t>
            </w:r>
          </w:p>
        </w:tc>
        <w:tc>
          <w:tcPr>
            <w:tcW w:w="3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591,118</w:t>
            </w:r>
          </w:p>
        </w:tc>
        <w:tc>
          <w:tcPr>
            <w:tcW w:w="280" w:type="dxa"/>
            <w:vAlign w:val="bottom"/>
          </w:tcPr>
          <w:p>
            <w:pPr>
              <w:spacing w:after="0"/>
              <w:rPr>
                <w:sz w:val="21"/>
                <w:szCs w:val="21"/>
                <w:color w:val="auto"/>
              </w:rPr>
            </w:pPr>
          </w:p>
        </w:tc>
        <w:tc>
          <w:tcPr>
            <w:tcW w:w="440" w:type="dxa"/>
            <w:vAlign w:val="bottom"/>
            <w:gridSpan w:val="2"/>
          </w:tcPr>
          <w:p>
            <w:pPr>
              <w:jc w:val="right"/>
              <w:ind w:right="34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375,772</w:t>
            </w:r>
          </w:p>
        </w:tc>
        <w:tc>
          <w:tcPr>
            <w:tcW w:w="100" w:type="dxa"/>
            <w:vAlign w:val="bottom"/>
          </w:tcPr>
          <w:p>
            <w:pPr>
              <w:spacing w:after="0"/>
              <w:rPr>
                <w:sz w:val="21"/>
                <w:szCs w:val="21"/>
                <w:color w:val="auto"/>
              </w:rPr>
            </w:pPr>
          </w:p>
        </w:tc>
      </w:tr>
      <w:tr>
        <w:trPr>
          <w:trHeight w:val="197"/>
        </w:trPr>
        <w:tc>
          <w:tcPr>
            <w:tcW w:w="468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Gross profit (loss):</w:t>
            </w:r>
          </w:p>
        </w:tc>
        <w:tc>
          <w:tcPr>
            <w:tcW w:w="306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6"/>
        </w:trPr>
        <w:tc>
          <w:tcPr>
            <w:tcW w:w="4680" w:type="dxa"/>
            <w:vAlign w:val="bottom"/>
          </w:tcPr>
          <w:p>
            <w:pPr>
              <w:ind w:left="260"/>
              <w:spacing w:after="0"/>
              <w:rPr>
                <w:sz w:val="20"/>
                <w:szCs w:val="20"/>
                <w:color w:val="auto"/>
              </w:rPr>
            </w:pPr>
            <w:r>
              <w:rPr>
                <w:rFonts w:ascii="Arial" w:cs="Arial" w:eastAsia="Arial" w:hAnsi="Arial"/>
                <w:sz w:val="18"/>
                <w:szCs w:val="18"/>
                <w:color w:val="auto"/>
              </w:rPr>
              <w:t>Ecommerce</w:t>
            </w:r>
          </w:p>
        </w:tc>
        <w:tc>
          <w:tcPr>
            <w:tcW w:w="3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31,837</w:t>
            </w:r>
          </w:p>
        </w:tc>
        <w:tc>
          <w:tcPr>
            <w:tcW w:w="280" w:type="dxa"/>
            <w:vAlign w:val="bottom"/>
          </w:tcPr>
          <w:p>
            <w:pPr>
              <w:spacing w:after="0"/>
              <w:rPr>
                <w:sz w:val="18"/>
                <w:szCs w:val="18"/>
                <w:color w:val="auto"/>
              </w:rPr>
            </w:pPr>
          </w:p>
        </w:tc>
        <w:tc>
          <w:tcPr>
            <w:tcW w:w="440" w:type="dxa"/>
            <w:vAlign w:val="bottom"/>
            <w:gridSpan w:val="2"/>
          </w:tcPr>
          <w:p>
            <w:pPr>
              <w:jc w:val="right"/>
              <w:ind w:right="34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14,267</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Wholesale</w:t>
            </w:r>
          </w:p>
        </w:tc>
        <w:tc>
          <w:tcPr>
            <w:tcW w:w="3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(282)</w:t>
            </w:r>
          </w:p>
        </w:tc>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(1,292)</w:t>
            </w:r>
          </w:p>
        </w:tc>
      </w:tr>
      <w:tr>
        <w:trPr>
          <w:trHeight w:val="216"/>
        </w:trPr>
        <w:tc>
          <w:tcPr>
            <w:tcW w:w="4680" w:type="dxa"/>
            <w:vAlign w:val="bottom"/>
          </w:tcPr>
          <w:p>
            <w:pPr>
              <w:ind w:left="260"/>
              <w:spacing w:after="0"/>
              <w:rPr>
                <w:sz w:val="20"/>
                <w:szCs w:val="20"/>
                <w:color w:val="auto"/>
              </w:rPr>
            </w:pPr>
            <w:r>
              <w:rPr>
                <w:rFonts w:ascii="Arial" w:cs="Arial" w:eastAsia="Arial" w:hAnsi="Arial"/>
                <w:sz w:val="18"/>
                <w:szCs w:val="18"/>
                <w:color w:val="auto"/>
              </w:rPr>
              <w:t>TDA</w:t>
            </w:r>
          </w:p>
        </w:tc>
        <w:tc>
          <w:tcPr>
            <w:tcW w:w="3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2,791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5,258</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All Other</w:t>
            </w:r>
          </w:p>
        </w:tc>
        <w:tc>
          <w:tcPr>
            <w:tcW w:w="306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1,830</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FF0FC"/>
          </w:tcPr>
          <w:p>
            <w:pPr>
              <w:spacing w:after="0"/>
              <w:rPr>
                <w:sz w:val="18"/>
                <w:szCs w:val="18"/>
                <w:color w:val="auto"/>
              </w:rPr>
            </w:pPr>
          </w:p>
        </w:tc>
      </w:tr>
      <w:tr>
        <w:trPr>
          <w:trHeight w:val="209"/>
        </w:trPr>
        <w:tc>
          <w:tcPr>
            <w:tcW w:w="4680" w:type="dxa"/>
            <w:vAlign w:val="bottom"/>
          </w:tcPr>
          <w:p>
            <w:pPr>
              <w:spacing w:after="0"/>
              <w:rPr>
                <w:sz w:val="20"/>
                <w:szCs w:val="20"/>
                <w:color w:val="auto"/>
              </w:rPr>
            </w:pPr>
            <w:r>
              <w:rPr>
                <w:rFonts w:ascii="Arial" w:cs="Arial" w:eastAsia="Arial" w:hAnsi="Arial"/>
                <w:sz w:val="18"/>
                <w:szCs w:val="18"/>
                <w:color w:val="auto"/>
              </w:rPr>
              <w:t>Total gross profit</w:t>
            </w:r>
          </w:p>
        </w:tc>
        <w:tc>
          <w:tcPr>
            <w:tcW w:w="3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36,176</w:t>
            </w:r>
          </w:p>
        </w:tc>
        <w:tc>
          <w:tcPr>
            <w:tcW w:w="280" w:type="dxa"/>
            <w:vAlign w:val="bottom"/>
          </w:tcPr>
          <w:p>
            <w:pPr>
              <w:spacing w:after="0"/>
              <w:rPr>
                <w:sz w:val="18"/>
                <w:szCs w:val="18"/>
                <w:color w:val="auto"/>
              </w:rPr>
            </w:pPr>
          </w:p>
        </w:tc>
        <w:tc>
          <w:tcPr>
            <w:tcW w:w="440" w:type="dxa"/>
            <w:vAlign w:val="bottom"/>
            <w:gridSpan w:val="2"/>
          </w:tcPr>
          <w:p>
            <w:pPr>
              <w:jc w:val="right"/>
              <w:ind w:right="34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18,387</w:t>
            </w:r>
          </w:p>
        </w:tc>
        <w:tc>
          <w:tcPr>
            <w:tcW w:w="100" w:type="dxa"/>
            <w:vAlign w:val="bottom"/>
          </w:tcPr>
          <w:p>
            <w:pPr>
              <w:spacing w:after="0"/>
              <w:rPr>
                <w:sz w:val="18"/>
                <w:szCs w:val="18"/>
                <w:color w:val="auto"/>
              </w:rPr>
            </w:pPr>
          </w:p>
        </w:tc>
      </w:tr>
      <w:tr>
        <w:trPr>
          <w:trHeight w:val="20"/>
        </w:trPr>
        <w:tc>
          <w:tcPr>
            <w:tcW w:w="46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740" w:right="420" w:hanging="368"/>
        <w:spacing w:after="0" w:line="258" w:lineRule="auto"/>
        <w:tabs>
          <w:tab w:leader="none" w:pos="7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reclassified other revenue and other gross profit related to the vehicle repair service at TDA from the TDA reportable segment to the “All Other” category to conform to current year presentation.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Operating and Financial Metrics</w:t>
      </w:r>
    </w:p>
    <w:p>
      <w:pPr>
        <w:spacing w:after="0" w:line="234" w:lineRule="exact"/>
        <w:rPr>
          <w:sz w:val="20"/>
          <w:szCs w:val="20"/>
          <w:color w:val="auto"/>
        </w:rPr>
      </w:pPr>
    </w:p>
    <w:p>
      <w:pPr>
        <w:ind w:right="260" w:firstLine="761"/>
        <w:spacing w:after="0" w:line="237" w:lineRule="auto"/>
        <w:rPr>
          <w:sz w:val="20"/>
          <w:szCs w:val="20"/>
          <w:color w:val="auto"/>
        </w:rPr>
      </w:pPr>
      <w:r>
        <w:rPr>
          <w:rFonts w:ascii="Arial" w:cs="Arial" w:eastAsia="Arial" w:hAnsi="Arial"/>
          <w:sz w:val="18"/>
          <w:szCs w:val="18"/>
          <w:color w:val="auto"/>
        </w:rPr>
        <w:t>We regularly review a number of metrics, including the following key operating and financial metrics, to evaluate our business, measure our performance, identify trends in our business, prepare financial forecasts and make strategic decisions. We believe these operational measures are useful in evaluating our performance, in addition to our financial results prepared in accordance with U.S. Generally Accepted Accounting Principles, or U.S. GAAP. You should read the key operating and financial metrics in conjunction with the following discussion of our results of operations and together with our condensed consolidated financial statements and related notes included elsewhere in this Quarterly Report on Form 10-Q. We focus heavily on metrics related to unit economics as improved gross profit per unit is a key element of our growth and profitability strategies.</w:t>
      </w:r>
    </w:p>
    <w:p>
      <w:pPr>
        <w:spacing w:after="0" w:line="203"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The calculation of our key operating and financial metrics is straightforward and does not rely on significant projections, estimates or assumptions. Nevertheless, each of our key operating and financial metrics has limitations because each focuses specifically on only one standard by which to evaluate our business, without taking into account other applicable standards, performance measures or operating trends by which our business could be evaluated. Accordingly, no single metric should be viewed as the bellwether by which our business should be measured. Rather, each key operating and financial metric should be considered in conjunction with other metrics and components of our results of operations, such as each of the other key operating and financial metrics and our revenues, inventory, loss from operations and segment results.</w:t>
      </w:r>
    </w:p>
    <w:p>
      <w:pPr>
        <w:spacing w:after="0" w:line="231" w:lineRule="exact"/>
        <w:rPr>
          <w:sz w:val="20"/>
          <w:szCs w:val="20"/>
          <w:color w:val="auto"/>
        </w:rPr>
      </w:pPr>
    </w:p>
    <w:p>
      <w:pPr>
        <w:jc w:val="center"/>
        <w:ind w:left="760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p>
      <w:pPr>
        <w:jc w:val="center"/>
        <w:ind w:left="7600"/>
        <w:spacing w:after="0"/>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69"/>
        </w:trPr>
        <w:tc>
          <w:tcPr>
            <w:tcW w:w="5620" w:type="dxa"/>
            <w:vAlign w:val="bottom"/>
            <w:tcBorders>
              <w:bottom w:val="single" w:sz="8" w:color="CFF0FC"/>
            </w:tcBorders>
          </w:tcPr>
          <w:p>
            <w:pPr>
              <w:spacing w:after="0"/>
              <w:rPr>
                <w:sz w:val="14"/>
                <w:szCs w:val="14"/>
                <w:color w:val="auto"/>
              </w:rPr>
            </w:pPr>
          </w:p>
        </w:tc>
        <w:tc>
          <w:tcPr>
            <w:tcW w:w="2120" w:type="dxa"/>
            <w:vAlign w:val="bottom"/>
            <w:tcBorders>
              <w:bottom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2020</w:t>
            </w:r>
          </w:p>
        </w:tc>
      </w:tr>
      <w:tr>
        <w:trPr>
          <w:trHeight w:val="210"/>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Ecommerce units sold</w:t>
            </w:r>
          </w:p>
        </w:tc>
        <w:tc>
          <w:tcPr>
            <w:tcW w:w="2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15,504</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7,930</w:t>
            </w:r>
          </w:p>
        </w:tc>
      </w:tr>
      <w:tr>
        <w:trPr>
          <w:trHeight w:val="216"/>
        </w:trPr>
        <w:tc>
          <w:tcPr>
            <w:tcW w:w="5620" w:type="dxa"/>
            <w:vAlign w:val="bottom"/>
          </w:tcPr>
          <w:p>
            <w:pPr>
              <w:ind w:left="260"/>
              <w:spacing w:after="0"/>
              <w:rPr>
                <w:sz w:val="20"/>
                <w:szCs w:val="20"/>
                <w:color w:val="auto"/>
              </w:rPr>
            </w:pPr>
            <w:r>
              <w:rPr>
                <w:rFonts w:ascii="Arial" w:cs="Arial" w:eastAsia="Arial" w:hAnsi="Arial"/>
                <w:sz w:val="18"/>
                <w:szCs w:val="18"/>
                <w:color w:val="auto"/>
              </w:rPr>
              <w:t>Vehicle Gross Profit per ecommerce unit</w:t>
            </w:r>
          </w:p>
        </w:tc>
        <w:tc>
          <w:tcPr>
            <w:tcW w:w="2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1,151</w:t>
            </w:r>
          </w:p>
        </w:tc>
        <w:tc>
          <w:tcPr>
            <w:tcW w:w="16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845</w:t>
            </w:r>
          </w:p>
        </w:tc>
      </w:tr>
      <w:tr>
        <w:trPr>
          <w:trHeight w:val="216"/>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Product Gross Profit per ecommerce unit</w:t>
            </w:r>
          </w:p>
        </w:tc>
        <w:tc>
          <w:tcPr>
            <w:tcW w:w="212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903</w:t>
            </w:r>
          </w:p>
        </w:tc>
        <w:tc>
          <w:tcPr>
            <w:tcW w:w="16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954</w:t>
            </w:r>
          </w:p>
        </w:tc>
      </w:tr>
      <w:tr>
        <w:trPr>
          <w:trHeight w:val="250"/>
        </w:trPr>
        <w:tc>
          <w:tcPr>
            <w:tcW w:w="5620" w:type="dxa"/>
            <w:vAlign w:val="bottom"/>
          </w:tcPr>
          <w:p>
            <w:pPr>
              <w:spacing w:after="0"/>
              <w:rPr>
                <w:sz w:val="20"/>
                <w:szCs w:val="20"/>
                <w:color w:val="auto"/>
              </w:rPr>
            </w:pPr>
            <w:r>
              <w:rPr>
                <w:rFonts w:ascii="Arial" w:cs="Arial" w:eastAsia="Arial" w:hAnsi="Arial"/>
                <w:sz w:val="18"/>
                <w:szCs w:val="18"/>
                <w:color w:val="auto"/>
              </w:rPr>
              <w:t>Total Gross Profit per ecommerce unit</w:t>
            </w:r>
          </w:p>
        </w:tc>
        <w:tc>
          <w:tcPr>
            <w:tcW w:w="2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2,054</w:t>
            </w:r>
          </w:p>
        </w:tc>
        <w:tc>
          <w:tcPr>
            <w:tcW w:w="16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1,799</w:t>
            </w:r>
          </w:p>
        </w:tc>
      </w:tr>
      <w:tr>
        <w:trPr>
          <w:trHeight w:val="197"/>
        </w:trPr>
        <w:tc>
          <w:tcPr>
            <w:tcW w:w="562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Average monthly unique visitors</w:t>
            </w:r>
          </w:p>
        </w:tc>
        <w:tc>
          <w:tcPr>
            <w:tcW w:w="212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1,550,258</w:t>
            </w:r>
          </w:p>
        </w:tc>
        <w:tc>
          <w:tcPr>
            <w:tcW w:w="16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947,014</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Listed vehicles</w:t>
            </w:r>
          </w:p>
        </w:tc>
        <w:tc>
          <w:tcPr>
            <w:tcW w:w="2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11,280</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5,107</w:t>
            </w:r>
          </w:p>
        </w:tc>
      </w:tr>
      <w:tr>
        <w:trPr>
          <w:trHeight w:val="216"/>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Ecommerce average days to sale</w:t>
            </w:r>
          </w:p>
        </w:tc>
        <w:tc>
          <w:tcPr>
            <w:tcW w:w="2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68</w:t>
            </w: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 Units Sold</w:t>
      </w:r>
    </w:p>
    <w:p>
      <w:pPr>
        <w:spacing w:after="0" w:line="126" w:lineRule="exact"/>
        <w:rPr>
          <w:sz w:val="20"/>
          <w:szCs w:val="20"/>
          <w:color w:val="auto"/>
        </w:rPr>
      </w:pPr>
    </w:p>
    <w:p>
      <w:pPr>
        <w:ind w:right="80" w:firstLine="761"/>
        <w:spacing w:after="0"/>
        <w:rPr>
          <w:sz w:val="20"/>
          <w:szCs w:val="20"/>
          <w:color w:val="auto"/>
        </w:rPr>
      </w:pPr>
      <w:r>
        <w:rPr>
          <w:rFonts w:ascii="Arial" w:cs="Arial" w:eastAsia="Arial" w:hAnsi="Arial"/>
          <w:sz w:val="18"/>
          <w:szCs w:val="18"/>
          <w:color w:val="auto"/>
        </w:rPr>
        <w:t>Ecommerce units sold is defined as the number of vehicles sold and shipped to customers through our ecommerce platform, net of returns under our Vroom 7-Day Return Program. Ecommerce units sold excludes sales of vehicles through the TDA and Wholesale segments. As we continue to expand our ecommerce business, we expect that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6"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ecommerce units sold will be the primary driver of our revenue growth. Additionally, each vehicle sale through our ecommerce platform also creates the opportunity to leverage such sale to sell value-added products. Continued ecommerce growth will also increase the number of trade-in vehicles acquired from our customers, which we can either recondition and add to our inventory or sell through wholesale channels.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Gross Profit per Ecommerce Unit</w:t>
      </w:r>
    </w:p>
    <w:p>
      <w:pPr>
        <w:spacing w:after="0" w:line="126" w:lineRule="exact"/>
        <w:rPr>
          <w:sz w:val="20"/>
          <w:szCs w:val="20"/>
          <w:color w:val="auto"/>
        </w:rPr>
      </w:pPr>
    </w:p>
    <w:p>
      <w:pPr>
        <w:ind w:right="20" w:firstLine="761"/>
        <w:spacing w:after="0" w:line="238" w:lineRule="auto"/>
        <w:rPr>
          <w:sz w:val="20"/>
          <w:szCs w:val="20"/>
          <w:color w:val="auto"/>
        </w:rPr>
      </w:pPr>
      <w:r>
        <w:rPr>
          <w:rFonts w:ascii="Arial" w:cs="Arial" w:eastAsia="Arial" w:hAnsi="Arial"/>
          <w:sz w:val="18"/>
          <w:szCs w:val="18"/>
          <w:color w:val="auto"/>
        </w:rPr>
        <w:t>Vehicle Gross Profit per ecommerce unit, which we refer to as Vehicle GPPU, for a given period is defined as the aggregate retail sales price and delivery charges for all vehicles sold through our Ecommerce segment less the aggregate costs to acquire those vehicles, the aggregate costs of inbound transportation to the VRCs and the aggregate costs of reconditioning those vehicles in that period, divided by the number of ecommerce units sold in that period. As we continue to expand our ecommerce business, we believe Vehicle GPPU will be a key driver of our long-term profitability.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Gross Profit per Ecommerce Unit</w:t>
      </w:r>
    </w:p>
    <w:p>
      <w:pPr>
        <w:spacing w:after="0" w:line="126" w:lineRule="exact"/>
        <w:rPr>
          <w:sz w:val="20"/>
          <w:szCs w:val="20"/>
          <w:color w:val="auto"/>
        </w:rPr>
      </w:pPr>
    </w:p>
    <w:p>
      <w:pPr>
        <w:ind w:right="60" w:firstLine="761"/>
        <w:spacing w:after="0" w:line="238" w:lineRule="auto"/>
        <w:rPr>
          <w:sz w:val="20"/>
          <w:szCs w:val="20"/>
          <w:color w:val="auto"/>
        </w:rPr>
      </w:pPr>
      <w:r>
        <w:rPr>
          <w:rFonts w:ascii="Arial" w:cs="Arial" w:eastAsia="Arial" w:hAnsi="Arial"/>
          <w:sz w:val="18"/>
          <w:szCs w:val="18"/>
          <w:color w:val="auto"/>
        </w:rPr>
        <w:t>Product Gross Profit per ecommerce unit, which we refer to as Product GPPU, for a given period is defined as the aggregate fees earned on sales of value-added products in that period, net of the reserves for chargebacks on such products in that period, divided by the number of ecommerce units sold in that period. Because we are paid fees on the value-added products we sell, our gross profit is equal to the revenue we generate from the sale of value-added products. We plan to continue to introduce initiatives to increase the attachment rates of value-added products and expand our offerings of value-added products which will grow our Product GPPU.</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Gross Profit per Ecommerce Unit</w:t>
      </w:r>
    </w:p>
    <w:p>
      <w:pPr>
        <w:spacing w:after="0" w:line="126" w:lineRule="exact"/>
        <w:rPr>
          <w:sz w:val="20"/>
          <w:szCs w:val="20"/>
          <w:color w:val="auto"/>
        </w:rPr>
      </w:pPr>
    </w:p>
    <w:p>
      <w:pPr>
        <w:ind w:right="440" w:firstLine="761"/>
        <w:spacing w:after="0" w:line="246" w:lineRule="auto"/>
        <w:rPr>
          <w:sz w:val="20"/>
          <w:szCs w:val="20"/>
          <w:color w:val="auto"/>
        </w:rPr>
      </w:pPr>
      <w:r>
        <w:rPr>
          <w:rFonts w:ascii="Arial" w:cs="Arial" w:eastAsia="Arial" w:hAnsi="Arial"/>
          <w:sz w:val="18"/>
          <w:szCs w:val="18"/>
          <w:color w:val="auto"/>
        </w:rPr>
        <w:t>Total Gross Profit per ecommerce unit, which we refer to as Total GPPU, for a given period is calculated as the sum of Vehicle GPPU and Product GPPU. We view Total GPPU as a key metric of the profitability of our Ecommerce segment.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Average Monthly Unique Visitors</w:t>
      </w:r>
    </w:p>
    <w:p>
      <w:pPr>
        <w:spacing w:after="0" w:line="126" w:lineRule="exact"/>
        <w:rPr>
          <w:sz w:val="20"/>
          <w:szCs w:val="20"/>
          <w:color w:val="auto"/>
        </w:rPr>
      </w:pPr>
    </w:p>
    <w:p>
      <w:pPr>
        <w:ind w:right="180" w:firstLine="761"/>
        <w:spacing w:after="0" w:line="238" w:lineRule="auto"/>
        <w:rPr>
          <w:sz w:val="20"/>
          <w:szCs w:val="20"/>
          <w:color w:val="auto"/>
        </w:rPr>
      </w:pPr>
      <w:r>
        <w:rPr>
          <w:rFonts w:ascii="Arial" w:cs="Arial" w:eastAsia="Arial" w:hAnsi="Arial"/>
          <w:sz w:val="18"/>
          <w:szCs w:val="18"/>
          <w:color w:val="auto"/>
        </w:rPr>
        <w:t>Average monthly unique visitors is defined as the average number of individuals who access our ecommerce platform within a calendar month. We calculate the average monthly unique visitors over any period by dividing the aggregate monthly unique visitors during such period by the number of months in that period. We use average monthly unique visitors to measure the quality of our customer experience, the effectiveness of our marketing campaigns and customer acquisition as well as the strength of our brand and market penetration.</w:t>
      </w:r>
    </w:p>
    <w:p>
      <w:pPr>
        <w:spacing w:after="0" w:line="202" w:lineRule="exact"/>
        <w:rPr>
          <w:sz w:val="20"/>
          <w:szCs w:val="20"/>
          <w:color w:val="auto"/>
        </w:rPr>
      </w:pPr>
    </w:p>
    <w:p>
      <w:pPr>
        <w:ind w:firstLine="761"/>
        <w:spacing w:after="0" w:line="238" w:lineRule="auto"/>
        <w:rPr>
          <w:sz w:val="20"/>
          <w:szCs w:val="20"/>
          <w:color w:val="auto"/>
        </w:rPr>
      </w:pPr>
      <w:r>
        <w:rPr>
          <w:rFonts w:ascii="Arial" w:cs="Arial" w:eastAsia="Arial" w:hAnsi="Arial"/>
          <w:sz w:val="18"/>
          <w:szCs w:val="18"/>
          <w:color w:val="auto"/>
        </w:rPr>
        <w:t>Average monthly unique visitors is calculated using data provided by Google Analytics. The computation of average monthly unique visitors excludes individuals who access our platform multiple times within a calendar month, counting such individuals only one time for purposes of the calculation. If an individual accesses our ecommerce platform using different devices or different browsers on the same device within a given month, the first access through each such device or browser is counted as a separate monthly unique visitor.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Listed Vehicles</w:t>
      </w:r>
    </w:p>
    <w:p>
      <w:pPr>
        <w:spacing w:after="0" w:line="126" w:lineRule="exact"/>
        <w:rPr>
          <w:sz w:val="20"/>
          <w:szCs w:val="20"/>
          <w:color w:val="auto"/>
        </w:rPr>
      </w:pPr>
    </w:p>
    <w:p>
      <w:pPr>
        <w:ind w:right="160" w:firstLine="761"/>
        <w:spacing w:after="0" w:line="238" w:lineRule="auto"/>
        <w:rPr>
          <w:sz w:val="20"/>
          <w:szCs w:val="20"/>
          <w:color w:val="auto"/>
        </w:rPr>
      </w:pPr>
      <w:r>
        <w:rPr>
          <w:rFonts w:ascii="Arial" w:cs="Arial" w:eastAsia="Arial" w:hAnsi="Arial"/>
          <w:sz w:val="18"/>
          <w:szCs w:val="18"/>
          <w:color w:val="auto"/>
        </w:rPr>
        <w:t>We define listed vehicles as the aggregate number of vehicles listed on our platform at any given point in time. Listed vehicles includes vehicles that are available for sale, pending sale and “coming soon”. Listed vehicles is a key indicator of our performance because we believe that the number of vehicles listed on our platform is a key driver of vehicle sales and revenue growth. Increasing the number of vehicles listed on our platform results in a greater selection of vehicles for our customers, creating demand and increasing conversion.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 Average Days to Sale</w:t>
      </w:r>
    </w:p>
    <w:p>
      <w:pPr>
        <w:spacing w:after="0" w:line="126" w:lineRule="exact"/>
        <w:rPr>
          <w:sz w:val="20"/>
          <w:szCs w:val="20"/>
          <w:color w:val="auto"/>
        </w:rPr>
      </w:pPr>
    </w:p>
    <w:p>
      <w:pPr>
        <w:ind w:right="40" w:firstLine="761"/>
        <w:spacing w:after="0" w:line="237" w:lineRule="auto"/>
        <w:rPr>
          <w:sz w:val="20"/>
          <w:szCs w:val="20"/>
          <w:color w:val="auto"/>
        </w:rPr>
      </w:pPr>
      <w:r>
        <w:rPr>
          <w:rFonts w:ascii="Arial" w:cs="Arial" w:eastAsia="Arial" w:hAnsi="Arial"/>
          <w:sz w:val="18"/>
          <w:szCs w:val="18"/>
          <w:color w:val="auto"/>
        </w:rPr>
        <w:t>We define ecommerce average days to sale as the average number of days between our acquisition of vehicles and the final delivery of such vehicles to customers through our ecommerce platform. We calculate average days to sale for a given period by dividing the aggregate number of days between the acquisition of all vehicles sold through our ecommerce platform during such period and final delivery of such vehicles to customers by the number of ecommerce units sold in that period. Ecommerce average days to sale excludes vehicles sold through the TDA and Wholesale segments. Ecommerce average days to sale is an important metric because a reduction in the number of days between the acquisition of a vehicle and the delivery of such vehicle typically results in a higher gross profit per unit.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Non-GAAP Financial Measures</w:t>
      </w:r>
    </w:p>
    <w:p>
      <w:pPr>
        <w:spacing w:after="0" w:line="234" w:lineRule="exact"/>
        <w:rPr>
          <w:sz w:val="20"/>
          <w:szCs w:val="20"/>
          <w:color w:val="auto"/>
        </w:rPr>
      </w:pPr>
    </w:p>
    <w:p>
      <w:pPr>
        <w:ind w:right="60" w:firstLine="761"/>
        <w:spacing w:after="0" w:line="236" w:lineRule="auto"/>
        <w:rPr>
          <w:sz w:val="20"/>
          <w:szCs w:val="20"/>
          <w:color w:val="auto"/>
        </w:rPr>
      </w:pPr>
      <w:r>
        <w:rPr>
          <w:rFonts w:ascii="Arial" w:cs="Arial" w:eastAsia="Arial" w:hAnsi="Arial"/>
          <w:sz w:val="18"/>
          <w:szCs w:val="18"/>
          <w:color w:val="auto"/>
        </w:rPr>
        <w:t>In addition to our results determined in accordance with U.S. GAAP, we believe EBITDA and Non-GAAP net loss per share, as adjusted, which are non-GAAP financial measures, are useful in evaluating our operating performance. These non-GAAP financial measures have limitations as analytical tools in that they do not reflect all of the amounts associated with our results of operations as determined in accordance with U.S. GAAP. Because of these limitations, these non-GAAP financial measures should be considered along with other operating and financial performance measures presented in accordance with U.S. GAAP. The presentation of these non-GAAP financial measures is not intended to be considered in isolation or as a substitute for, or superior to, financial information prepared and presented in accordance with U.S. GAAP. We have reconciled all non-GAAP financial measures with the most directly comparable U.S. GAAP financial measures.</w:t>
      </w:r>
    </w:p>
    <w:p>
      <w:pPr>
        <w:spacing w:after="0" w:line="208" w:lineRule="exact"/>
        <w:rPr>
          <w:sz w:val="20"/>
          <w:szCs w:val="20"/>
          <w:color w:val="auto"/>
        </w:rPr>
      </w:pPr>
    </w:p>
    <w:p>
      <w:pPr>
        <w:ind w:right="320" w:firstLine="761"/>
        <w:spacing w:after="0" w:line="238" w:lineRule="auto"/>
        <w:rPr>
          <w:sz w:val="20"/>
          <w:szCs w:val="20"/>
          <w:color w:val="auto"/>
        </w:rPr>
      </w:pPr>
      <w:r>
        <w:rPr>
          <w:rFonts w:ascii="Arial" w:cs="Arial" w:eastAsia="Arial" w:hAnsi="Arial"/>
          <w:sz w:val="18"/>
          <w:szCs w:val="18"/>
          <w:color w:val="auto"/>
        </w:rPr>
        <w:t>EBITDA and Non-GAAP net loss per share, as adjusted are supplemental performance measures that our management uses to assess our operating performance and the operating leverage in our business. Because EBITDA and Non-GAAP net loss per share, as adjusted facilitate internal comparisons of our historical operating performance on a more consistent basis, we use these measures for business planning purposes.</w:t>
      </w:r>
    </w:p>
    <w:p>
      <w:pPr>
        <w:spacing w:after="0" w:line="205" w:lineRule="exact"/>
        <w:rPr>
          <w:sz w:val="20"/>
          <w:szCs w:val="20"/>
          <w:color w:val="auto"/>
        </w:rPr>
      </w:pPr>
    </w:p>
    <w:p>
      <w:pPr>
        <w:ind w:right="80" w:firstLine="761"/>
        <w:spacing w:after="0" w:line="246" w:lineRule="auto"/>
        <w:rPr>
          <w:sz w:val="20"/>
          <w:szCs w:val="20"/>
          <w:color w:val="auto"/>
        </w:rPr>
      </w:pPr>
      <w:r>
        <w:rPr>
          <w:rFonts w:ascii="Arial" w:cs="Arial" w:eastAsia="Arial" w:hAnsi="Arial"/>
          <w:sz w:val="18"/>
          <w:szCs w:val="18"/>
          <w:color w:val="auto"/>
        </w:rPr>
        <w:t>We are not presenting Adjusted EBITDA, Adjusted loss from operations, Non-GAAP net loss, and Non-GAAP net loss per share as there were no relevant adjustments for the three months ended March 31, 2021 and 2020.</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w:t>
      </w:r>
    </w:p>
    <w:p>
      <w:pPr>
        <w:spacing w:after="0" w:line="126" w:lineRule="exact"/>
        <w:rPr>
          <w:sz w:val="20"/>
          <w:szCs w:val="20"/>
          <w:color w:val="auto"/>
        </w:rPr>
      </w:pPr>
    </w:p>
    <w:p>
      <w:pPr>
        <w:ind w:right="140" w:firstLine="761"/>
        <w:spacing w:after="0" w:line="246" w:lineRule="auto"/>
        <w:rPr>
          <w:sz w:val="20"/>
          <w:szCs w:val="20"/>
          <w:color w:val="auto"/>
        </w:rPr>
      </w:pPr>
      <w:r>
        <w:rPr>
          <w:rFonts w:ascii="Arial" w:cs="Arial" w:eastAsia="Arial" w:hAnsi="Arial"/>
          <w:sz w:val="18"/>
          <w:szCs w:val="18"/>
          <w:color w:val="auto"/>
        </w:rPr>
        <w:t>We calculate EBITDA as net loss before interest expense, interest income, income tax expense and depreciation and amortization expense. The following table presents a reconciliation of EBITDA to net loss, which is the most directly comparable U.S. GAAP measure:</w:t>
      </w:r>
    </w:p>
    <w:p>
      <w:pPr>
        <w:spacing w:after="0" w:line="225" w:lineRule="exact"/>
        <w:rPr>
          <w:sz w:val="20"/>
          <w:szCs w:val="20"/>
          <w:color w:val="auto"/>
        </w:rPr>
      </w:pPr>
    </w:p>
    <w:p>
      <w:pPr>
        <w:jc w:val="center"/>
        <w:ind w:left="760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p>
      <w:pPr>
        <w:jc w:val="center"/>
        <w:ind w:left="7600"/>
        <w:spacing w:after="0"/>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69"/>
        </w:trPr>
        <w:tc>
          <w:tcPr>
            <w:tcW w:w="43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3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4300" w:type="dxa"/>
            <w:vAlign w:val="bottom"/>
            <w:gridSpan w:val="2"/>
            <w:shd w:val="clear" w:color="auto" w:fill="CFF0FC"/>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(77,189)</w:t>
            </w:r>
          </w:p>
        </w:tc>
        <w:tc>
          <w:tcPr>
            <w:tcW w:w="66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Adjusted to exclude the following:</w:t>
            </w:r>
          </w:p>
        </w:tc>
        <w:tc>
          <w:tcPr>
            <w:tcW w:w="3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expense</w:t>
            </w:r>
          </w:p>
        </w:tc>
        <w:tc>
          <w:tcPr>
            <w:tcW w:w="33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3,812</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2,826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3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(2,296)</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Provision for income taxes</w:t>
            </w:r>
          </w:p>
        </w:tc>
        <w:tc>
          <w:tcPr>
            <w:tcW w:w="33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156</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Depreciation and amortization expense</w:t>
            </w:r>
          </w:p>
        </w:tc>
        <w:tc>
          <w:tcPr>
            <w:tcW w:w="336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2,906</w:t>
            </w:r>
          </w:p>
        </w:tc>
        <w:tc>
          <w:tcPr>
            <w:tcW w:w="18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EBITDA</w:t>
            </w:r>
          </w:p>
        </w:tc>
        <w:tc>
          <w:tcPr>
            <w:tcW w:w="4300" w:type="dxa"/>
            <w:vAlign w:val="bottom"/>
            <w:gridSpan w:val="2"/>
            <w:shd w:val="clear" w:color="auto" w:fill="CFF0FC"/>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(72,611)</w:t>
            </w:r>
          </w:p>
        </w:tc>
        <w:tc>
          <w:tcPr>
            <w:tcW w:w="66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tcBorders>
              <w:top w:val="single" w:sz="8" w:color="CFF0FC"/>
            </w:tcBorders>
          </w:tcPr>
          <w:p>
            <w:pPr>
              <w:spacing w:after="0" w:line="20" w:lineRule="exact"/>
              <w:rPr>
                <w:sz w:val="1"/>
                <w:szCs w:val="1"/>
                <w:color w:val="auto"/>
              </w:rPr>
            </w:pPr>
          </w:p>
        </w:tc>
        <w:tc>
          <w:tcPr>
            <w:tcW w:w="3360" w:type="dxa"/>
            <w:vAlign w:val="bottom"/>
            <w:tcBorders>
              <w:top w:val="single" w:sz="8" w:color="CFF0FC"/>
              <w:bottom w:val="single" w:sz="8" w:color="CFF0FC"/>
            </w:tcBorders>
            <w:vMerge w:val="restart"/>
          </w:tcPr>
          <w:p>
            <w:pPr>
              <w:jc w:val="right"/>
              <w:ind w:right="1930"/>
              <w:spacing w:after="0"/>
              <w:rPr>
                <w:sz w:val="20"/>
                <w:szCs w:val="20"/>
                <w:color w:val="auto"/>
              </w:rPr>
            </w:pPr>
            <w:r>
              <w:rPr>
                <w:rFonts w:ascii="Arial" w:cs="Arial" w:eastAsia="Arial" w:hAnsi="Arial"/>
                <w:sz w:val="18"/>
                <w:szCs w:val="18"/>
                <w:color w:val="auto"/>
              </w:rPr>
              <w:t>29</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38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380" w:type="dxa"/>
            <w:vAlign w:val="bottom"/>
            <w:tcBorders>
              <w:bottom w:val="single" w:sz="8" w:color="9A9A9A"/>
            </w:tcBorders>
          </w:tcPr>
          <w:p>
            <w:pPr>
              <w:spacing w:after="0"/>
              <w:rPr>
                <w:sz w:val="8"/>
                <w:szCs w:val="8"/>
                <w:color w:val="auto"/>
              </w:rPr>
            </w:pPr>
          </w:p>
        </w:tc>
        <w:tc>
          <w:tcPr>
            <w:tcW w:w="33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net loss per share, as adjusted</w:t>
      </w:r>
    </w:p>
    <w:p>
      <w:pPr>
        <w:spacing w:after="0" w:line="261" w:lineRule="exact"/>
        <w:rPr>
          <w:sz w:val="20"/>
          <w:szCs w:val="20"/>
          <w:color w:val="auto"/>
        </w:rPr>
      </w:pPr>
    </w:p>
    <w:p>
      <w:pPr>
        <w:ind w:right="280" w:firstLine="749"/>
        <w:spacing w:after="0" w:line="238" w:lineRule="auto"/>
        <w:rPr>
          <w:sz w:val="20"/>
          <w:szCs w:val="20"/>
          <w:color w:val="auto"/>
        </w:rPr>
      </w:pPr>
      <w:r>
        <w:rPr>
          <w:rFonts w:ascii="Arial" w:cs="Arial" w:eastAsia="Arial" w:hAnsi="Arial"/>
          <w:sz w:val="18"/>
          <w:szCs w:val="18"/>
          <w:color w:val="auto"/>
        </w:rPr>
        <w:t>Non-GAAP net loss per share, as adjusted has been computed to give effect to, as of the beginning of each period presented, (i) the shares of common stock issued in connection with our IPO (ii) the automatic conversion of all outstanding shares of redeemable convertible preferred stock into shares of common stock that occurred upon the consummation of our IPO and (iii) the shares of common stock issued in connection with our follow-on public offering, all of which occurred in 2020. The following table presents a reconciliation of Non-GAAP net loss per share, as adjusted to net loss per share, which is the most directly comparable U.S. GAAP measure:</w:t>
      </w:r>
    </w:p>
    <w:p>
      <w:pPr>
        <w:spacing w:after="0" w:line="230"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69"/>
        </w:trPr>
        <w:tc>
          <w:tcPr>
            <w:tcW w:w="7720" w:type="dxa"/>
            <w:vAlign w:val="bottom"/>
            <w:tcBorders>
              <w:bottom w:val="single" w:sz="8" w:color="CFF0FC"/>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FF0FC"/>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2020</w:t>
            </w: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(77,189)</w:t>
            </w:r>
          </w:p>
        </w:tc>
        <w:tc>
          <w:tcPr>
            <w:tcW w:w="18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(41,059)</w:t>
            </w:r>
          </w:p>
        </w:tc>
      </w:tr>
      <w:tr>
        <w:trPr>
          <w:trHeight w:val="24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per share, basic and diluted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18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r>
      <w:tr>
        <w:trPr>
          <w:trHeight w:val="197"/>
        </w:trPr>
        <w:tc>
          <w:tcPr>
            <w:tcW w:w="77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r>
      <w:tr>
        <w:trPr>
          <w:trHeight w:val="215"/>
        </w:trPr>
        <w:tc>
          <w:tcPr>
            <w:tcW w:w="7720" w:type="dxa"/>
            <w:vAlign w:val="bottom"/>
          </w:tcPr>
          <w:p>
            <w:pPr>
              <w:spacing w:after="0"/>
              <w:rPr>
                <w:sz w:val="20"/>
                <w:szCs w:val="20"/>
                <w:color w:val="auto"/>
              </w:rPr>
            </w:pPr>
            <w:r>
              <w:rPr>
                <w:rFonts w:ascii="Arial" w:cs="Arial" w:eastAsia="Arial" w:hAnsi="Arial"/>
                <w:sz w:val="18"/>
                <w:szCs w:val="18"/>
                <w:color w:val="auto"/>
              </w:rPr>
              <w:t>Weighted-average number of shares outstanding used to compute net loss per</w:t>
            </w: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43"/>
        </w:trPr>
        <w:tc>
          <w:tcPr>
            <w:tcW w:w="7720" w:type="dxa"/>
            <w:vAlign w:val="bottom"/>
            <w:tcBorders>
              <w:bottom w:val="single" w:sz="8" w:color="CFF0FC"/>
            </w:tcBorders>
          </w:tcPr>
          <w:p>
            <w:pPr>
              <w:spacing w:after="0" w:line="203" w:lineRule="exact"/>
              <w:rPr>
                <w:sz w:val="20"/>
                <w:szCs w:val="20"/>
                <w:color w:val="auto"/>
              </w:rPr>
            </w:pPr>
            <w:r>
              <w:rPr>
                <w:rFonts w:ascii="Arial" w:cs="Arial" w:eastAsia="Arial" w:hAnsi="Arial"/>
                <w:sz w:val="18"/>
                <w:szCs w:val="18"/>
                <w:color w:val="auto"/>
              </w:rPr>
              <w:t>share, basic and diluted</w:t>
            </w:r>
          </w:p>
        </w:tc>
        <w:tc>
          <w:tcPr>
            <w:tcW w:w="3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2"/>
              <w:spacing w:after="0" w:line="203" w:lineRule="exact"/>
              <w:rPr>
                <w:sz w:val="20"/>
                <w:szCs w:val="20"/>
                <w:color w:val="auto"/>
              </w:rPr>
            </w:pPr>
            <w:r>
              <w:rPr>
                <w:rFonts w:ascii="Arial" w:cs="Arial" w:eastAsia="Arial" w:hAnsi="Arial"/>
                <w:sz w:val="18"/>
                <w:szCs w:val="18"/>
                <w:color w:val="auto"/>
              </w:rPr>
              <w:t>135,497,511</w:t>
            </w:r>
          </w:p>
        </w:tc>
        <w:tc>
          <w:tcPr>
            <w:tcW w:w="18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2"/>
              <w:spacing w:after="0" w:line="203" w:lineRule="exact"/>
              <w:rPr>
                <w:sz w:val="20"/>
                <w:szCs w:val="20"/>
                <w:color w:val="auto"/>
              </w:rPr>
            </w:pPr>
            <w:r>
              <w:rPr>
                <w:rFonts w:ascii="Arial" w:cs="Arial" w:eastAsia="Arial" w:hAnsi="Arial"/>
                <w:sz w:val="18"/>
                <w:szCs w:val="18"/>
                <w:color w:val="auto"/>
              </w:rPr>
              <w:t>8,471,456</w:t>
            </w:r>
          </w:p>
        </w:tc>
      </w:tr>
      <w:tr>
        <w:trPr>
          <w:trHeight w:val="197"/>
        </w:trPr>
        <w:tc>
          <w:tcPr>
            <w:tcW w:w="7720" w:type="dxa"/>
            <w:vAlign w:val="bottom"/>
            <w:shd w:val="clear" w:color="auto" w:fill="CFF0FC"/>
          </w:tcPr>
          <w:p>
            <w:pPr>
              <w:ind w:left="140"/>
              <w:spacing w:after="0" w:line="196" w:lineRule="exact"/>
              <w:rPr>
                <w:sz w:val="20"/>
                <w:szCs w:val="20"/>
                <w:color w:val="auto"/>
              </w:rPr>
            </w:pPr>
            <w:r>
              <w:rPr>
                <w:rFonts w:ascii="Arial" w:cs="Arial" w:eastAsia="Arial" w:hAnsi="Arial"/>
                <w:sz w:val="18"/>
                <w:szCs w:val="18"/>
                <w:color w:val="auto"/>
              </w:rPr>
              <w:t>Add: unweighted adjustment for common stock issued in connection with IPO</w:t>
            </w:r>
          </w:p>
        </w:tc>
        <w:tc>
          <w:tcPr>
            <w:tcW w:w="32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320"/>
              <w:spacing w:after="0" w:line="196"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24,437,500</w:t>
            </w:r>
          </w:p>
        </w:tc>
      </w:tr>
      <w:tr>
        <w:trPr>
          <w:trHeight w:val="215"/>
        </w:trPr>
        <w:tc>
          <w:tcPr>
            <w:tcW w:w="7720" w:type="dxa"/>
            <w:vAlign w:val="bottom"/>
          </w:tcPr>
          <w:p>
            <w:pPr>
              <w:ind w:left="140"/>
              <w:spacing w:after="0"/>
              <w:rPr>
                <w:sz w:val="20"/>
                <w:szCs w:val="20"/>
                <w:color w:val="auto"/>
              </w:rPr>
            </w:pPr>
            <w:r>
              <w:rPr>
                <w:rFonts w:ascii="Arial" w:cs="Arial" w:eastAsia="Arial" w:hAnsi="Arial"/>
                <w:sz w:val="18"/>
                <w:szCs w:val="18"/>
                <w:color w:val="auto"/>
              </w:rPr>
              <w:t>Add: unweighted adjustment for conversion of redeemable convertible preferred stock in</w:t>
            </w: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3"/>
        </w:trPr>
        <w:tc>
          <w:tcPr>
            <w:tcW w:w="7720" w:type="dxa"/>
            <w:vAlign w:val="bottom"/>
          </w:tcPr>
          <w:p>
            <w:pPr>
              <w:ind w:left="140"/>
              <w:spacing w:after="0" w:line="203" w:lineRule="exact"/>
              <w:rPr>
                <w:sz w:val="20"/>
                <w:szCs w:val="20"/>
                <w:color w:val="auto"/>
              </w:rPr>
            </w:pPr>
            <w:r>
              <w:rPr>
                <w:rFonts w:ascii="Arial" w:cs="Arial" w:eastAsia="Arial" w:hAnsi="Arial"/>
                <w:sz w:val="18"/>
                <w:szCs w:val="18"/>
                <w:color w:val="auto"/>
              </w:rPr>
              <w:t>connection with IPO</w:t>
            </w:r>
          </w:p>
        </w:tc>
        <w:tc>
          <w:tcPr>
            <w:tcW w:w="320" w:type="dxa"/>
            <w:vAlign w:val="bottom"/>
          </w:tcPr>
          <w:p>
            <w:pPr>
              <w:spacing w:after="0"/>
              <w:rPr>
                <w:sz w:val="17"/>
                <w:szCs w:val="17"/>
                <w:color w:val="auto"/>
              </w:rPr>
            </w:pPr>
          </w:p>
        </w:tc>
        <w:tc>
          <w:tcPr>
            <w:tcW w:w="1540" w:type="dxa"/>
            <w:vAlign w:val="bottom"/>
            <w:gridSpan w:val="2"/>
          </w:tcPr>
          <w:p>
            <w:pPr>
              <w:jc w:val="right"/>
              <w:ind w:right="320"/>
              <w:spacing w:after="0" w:line="203"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340" w:type="dxa"/>
            <w:vAlign w:val="bottom"/>
          </w:tcPr>
          <w:p>
            <w:pPr>
              <w:jc w:val="right"/>
              <w:ind w:right="32"/>
              <w:spacing w:after="0" w:line="203" w:lineRule="exact"/>
              <w:rPr>
                <w:sz w:val="20"/>
                <w:szCs w:val="20"/>
                <w:color w:val="auto"/>
              </w:rPr>
            </w:pPr>
            <w:r>
              <w:rPr>
                <w:rFonts w:ascii="Arial" w:cs="Arial" w:eastAsia="Arial" w:hAnsi="Arial"/>
                <w:sz w:val="18"/>
                <w:szCs w:val="18"/>
                <w:color w:val="auto"/>
              </w:rPr>
              <w:t>85,533,394</w:t>
            </w:r>
          </w:p>
        </w:tc>
      </w:tr>
      <w:tr>
        <w:trPr>
          <w:trHeight w:val="215"/>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Add: unweighted adjustment for common stock issued in connection with follow-on public</w:t>
            </w: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r>
      <w:tr>
        <w:trPr>
          <w:trHeight w:val="203"/>
        </w:trPr>
        <w:tc>
          <w:tcPr>
            <w:tcW w:w="772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offering</w:t>
            </w:r>
          </w:p>
        </w:tc>
        <w:tc>
          <w:tcPr>
            <w:tcW w:w="32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320"/>
              <w:spacing w:after="0" w:line="203"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2"/>
              <w:spacing w:after="0" w:line="203" w:lineRule="exact"/>
              <w:rPr>
                <w:sz w:val="20"/>
                <w:szCs w:val="20"/>
                <w:color w:val="auto"/>
              </w:rPr>
            </w:pPr>
            <w:r>
              <w:rPr>
                <w:rFonts w:ascii="Arial" w:cs="Arial" w:eastAsia="Arial" w:hAnsi="Arial"/>
                <w:sz w:val="18"/>
                <w:szCs w:val="18"/>
                <w:color w:val="auto"/>
              </w:rPr>
              <w:t>10,800,000</w:t>
            </w:r>
          </w:p>
        </w:tc>
      </w:tr>
      <w:tr>
        <w:trPr>
          <w:trHeight w:val="215"/>
        </w:trPr>
        <w:tc>
          <w:tcPr>
            <w:tcW w:w="7720" w:type="dxa"/>
            <w:vAlign w:val="bottom"/>
          </w:tcPr>
          <w:p>
            <w:pPr>
              <w:ind w:left="140"/>
              <w:spacing w:after="0"/>
              <w:rPr>
                <w:sz w:val="20"/>
                <w:szCs w:val="20"/>
                <w:color w:val="auto"/>
              </w:rPr>
            </w:pPr>
            <w:r>
              <w:rPr>
                <w:rFonts w:ascii="Arial" w:cs="Arial" w:eastAsia="Arial" w:hAnsi="Arial"/>
                <w:sz w:val="18"/>
                <w:szCs w:val="18"/>
                <w:color w:val="auto"/>
              </w:rPr>
              <w:t>Less: Adjustment for the impact of the above items already included in weighted-average</w:t>
            </w: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3"/>
        </w:trPr>
        <w:tc>
          <w:tcPr>
            <w:tcW w:w="7720" w:type="dxa"/>
            <w:vAlign w:val="bottom"/>
          </w:tcPr>
          <w:p>
            <w:pPr>
              <w:ind w:left="140"/>
              <w:spacing w:after="0" w:line="203" w:lineRule="exact"/>
              <w:rPr>
                <w:sz w:val="20"/>
                <w:szCs w:val="20"/>
                <w:color w:val="auto"/>
              </w:rPr>
            </w:pPr>
            <w:r>
              <w:rPr>
                <w:rFonts w:ascii="Arial" w:cs="Arial" w:eastAsia="Arial" w:hAnsi="Arial"/>
                <w:sz w:val="18"/>
                <w:szCs w:val="18"/>
                <w:color w:val="auto"/>
              </w:rPr>
              <w:t>number of shares outstanding for the periods presented</w:t>
            </w:r>
          </w:p>
        </w:tc>
        <w:tc>
          <w:tcPr>
            <w:tcW w:w="320" w:type="dxa"/>
            <w:vAlign w:val="bottom"/>
          </w:tcPr>
          <w:p>
            <w:pPr>
              <w:spacing w:after="0"/>
              <w:rPr>
                <w:sz w:val="17"/>
                <w:szCs w:val="17"/>
                <w:color w:val="auto"/>
              </w:rPr>
            </w:pPr>
          </w:p>
        </w:tc>
        <w:tc>
          <w:tcPr>
            <w:tcW w:w="1540" w:type="dxa"/>
            <w:vAlign w:val="bottom"/>
            <w:gridSpan w:val="2"/>
          </w:tcPr>
          <w:p>
            <w:pPr>
              <w:jc w:val="right"/>
              <w:ind w:right="320"/>
              <w:spacing w:after="0" w:line="203"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340" w:type="dxa"/>
            <w:vAlign w:val="bottom"/>
          </w:tcPr>
          <w:p>
            <w:pPr>
              <w:jc w:val="right"/>
              <w:ind w:right="32"/>
              <w:spacing w:after="0" w:line="203" w:lineRule="exact"/>
              <w:rPr>
                <w:sz w:val="20"/>
                <w:szCs w:val="20"/>
                <w:color w:val="auto"/>
              </w:rPr>
            </w:pPr>
            <w:r>
              <w:rPr>
                <w:rFonts w:ascii="Arial" w:cs="Arial" w:eastAsia="Arial" w:hAnsi="Arial"/>
                <w:sz w:val="18"/>
                <w:szCs w:val="18"/>
                <w:color w:val="auto"/>
              </w:rPr>
              <w:t>—</w:t>
            </w:r>
          </w:p>
        </w:tc>
      </w:tr>
      <w:tr>
        <w:trPr>
          <w:trHeight w:val="209"/>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number of shares outstanding used to compute net loss per share, as</w:t>
            </w:r>
          </w:p>
        </w:tc>
        <w:tc>
          <w:tcPr>
            <w:tcW w:w="32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r>
      <w:tr>
        <w:trPr>
          <w:trHeight w:val="203"/>
        </w:trPr>
        <w:tc>
          <w:tcPr>
            <w:tcW w:w="7720" w:type="dxa"/>
            <w:vAlign w:val="bottom"/>
            <w:tcBorders>
              <w:bottom w:val="single" w:sz="8" w:color="CFF0FC"/>
            </w:tcBorders>
            <w:shd w:val="clear" w:color="auto" w:fill="CFF0FC"/>
          </w:tcPr>
          <w:p>
            <w:pPr>
              <w:spacing w:after="0" w:line="203" w:lineRule="exact"/>
              <w:rPr>
                <w:sz w:val="20"/>
                <w:szCs w:val="20"/>
                <w:color w:val="auto"/>
              </w:rPr>
            </w:pPr>
            <w:r>
              <w:rPr>
                <w:rFonts w:ascii="Arial" w:cs="Arial" w:eastAsia="Arial" w:hAnsi="Arial"/>
                <w:sz w:val="18"/>
                <w:szCs w:val="18"/>
                <w:color w:val="auto"/>
              </w:rPr>
              <w:t>adjusted, basic and diluted</w:t>
            </w:r>
          </w:p>
        </w:tc>
        <w:tc>
          <w:tcPr>
            <w:tcW w:w="32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ind w:right="52"/>
              <w:spacing w:after="0" w:line="203" w:lineRule="exact"/>
              <w:rPr>
                <w:sz w:val="20"/>
                <w:szCs w:val="20"/>
                <w:color w:val="auto"/>
              </w:rPr>
            </w:pPr>
            <w:r>
              <w:rPr>
                <w:rFonts w:ascii="Arial" w:cs="Arial" w:eastAsia="Arial" w:hAnsi="Arial"/>
                <w:sz w:val="18"/>
                <w:szCs w:val="18"/>
                <w:color w:val="auto"/>
              </w:rPr>
              <w:t>135,497,511</w:t>
            </w:r>
          </w:p>
        </w:tc>
        <w:tc>
          <w:tcPr>
            <w:tcW w:w="1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ind w:right="32"/>
              <w:spacing w:after="0" w:line="203" w:lineRule="exact"/>
              <w:rPr>
                <w:sz w:val="20"/>
                <w:szCs w:val="20"/>
                <w:color w:val="auto"/>
              </w:rPr>
            </w:pPr>
            <w:r>
              <w:rPr>
                <w:rFonts w:ascii="Arial" w:cs="Arial" w:eastAsia="Arial" w:hAnsi="Arial"/>
                <w:sz w:val="18"/>
                <w:szCs w:val="18"/>
                <w:color w:val="auto"/>
              </w:rPr>
              <w:t>129,242,350</w:t>
            </w:r>
          </w:p>
        </w:tc>
      </w:tr>
      <w:tr>
        <w:trPr>
          <w:trHeight w:val="20"/>
        </w:trPr>
        <w:tc>
          <w:tcPr>
            <w:tcW w:w="7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7"/>
        </w:trPr>
        <w:tc>
          <w:tcPr>
            <w:tcW w:w="7720" w:type="dxa"/>
            <w:vAlign w:val="bottom"/>
          </w:tcPr>
          <w:p>
            <w:pPr>
              <w:spacing w:after="0" w:line="196" w:lineRule="exact"/>
              <w:rPr>
                <w:sz w:val="20"/>
                <w:szCs w:val="20"/>
                <w:color w:val="auto"/>
              </w:rPr>
            </w:pPr>
            <w:r>
              <w:rPr>
                <w:rFonts w:ascii="Arial" w:cs="Arial" w:eastAsia="Arial" w:hAnsi="Arial"/>
                <w:sz w:val="18"/>
                <w:szCs w:val="18"/>
                <w:color w:val="auto"/>
              </w:rPr>
              <w:t>Non-GAAP net loss per share, as adjusted, basic and diluted</w:t>
            </w:r>
          </w:p>
        </w:tc>
        <w:tc>
          <w:tcPr>
            <w:tcW w:w="3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(0.57)</w:t>
            </w:r>
          </w:p>
        </w:tc>
        <w:tc>
          <w:tcPr>
            <w:tcW w:w="18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(0.32)</w:t>
            </w:r>
          </w:p>
        </w:tc>
      </w:tr>
      <w:tr>
        <w:trPr>
          <w:trHeight w:val="20"/>
        </w:trPr>
        <w:tc>
          <w:tcPr>
            <w:tcW w:w="7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Recent Events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CarStory Acquisition</w:t>
      </w:r>
    </w:p>
    <w:p>
      <w:pPr>
        <w:spacing w:after="0" w:line="126" w:lineRule="exact"/>
        <w:rPr>
          <w:sz w:val="20"/>
          <w:szCs w:val="20"/>
          <w:color w:val="auto"/>
        </w:rPr>
      </w:pPr>
    </w:p>
    <w:p>
      <w:pPr>
        <w:jc w:val="both"/>
        <w:ind w:right="40" w:firstLine="761"/>
        <w:spacing w:after="0" w:line="246" w:lineRule="auto"/>
        <w:rPr>
          <w:sz w:val="20"/>
          <w:szCs w:val="20"/>
          <w:color w:val="auto"/>
        </w:rPr>
      </w:pPr>
      <w:r>
        <w:rPr>
          <w:rFonts w:ascii="Arial" w:cs="Arial" w:eastAsia="Arial" w:hAnsi="Arial"/>
          <w:sz w:val="18"/>
          <w:szCs w:val="18"/>
          <w:color w:val="auto"/>
        </w:rPr>
        <w:t>On January 7, 2021, we completed the acquisition of 100% of Vast Holdings, Inc. (d/b/a CarStory), a leader in AI-powered analytics and digital services for automotive retail.</w:t>
      </w:r>
    </w:p>
    <w:p>
      <w:pPr>
        <w:spacing w:after="0" w:line="305" w:lineRule="exact"/>
        <w:rPr>
          <w:sz w:val="20"/>
          <w:szCs w:val="20"/>
          <w:color w:val="auto"/>
        </w:rPr>
      </w:pPr>
    </w:p>
    <w:p>
      <w:pPr>
        <w:ind w:right="140" w:firstLine="761"/>
        <w:spacing w:after="0" w:line="238" w:lineRule="auto"/>
        <w:rPr>
          <w:sz w:val="20"/>
          <w:szCs w:val="20"/>
          <w:color w:val="auto"/>
        </w:rPr>
      </w:pPr>
      <w:r>
        <w:rPr>
          <w:rFonts w:ascii="Arial" w:cs="Arial" w:eastAsia="Arial" w:hAnsi="Arial"/>
          <w:sz w:val="18"/>
          <w:szCs w:val="18"/>
          <w:color w:val="auto"/>
        </w:rPr>
        <w:t>Leveraging its machine learning, informed by more than 7 million listings per day and more than 18 million consumer sessions per month, CarStory brings the industry’s most complete and accurate view of predictive market data to our national ecommerce and vehicle operations platform. We expect CarStory to continue to drive automotive retail innovation by aggregating, optimizing and distributing current market data from thousands of automotive sources and offering its digital retailing services to dealers, top automotive financial services companies and household names in automotive industry research and retailing.</w:t>
      </w:r>
    </w:p>
    <w:p>
      <w:pPr>
        <w:spacing w:after="0" w:line="202" w:lineRule="exact"/>
        <w:rPr>
          <w:sz w:val="20"/>
          <w:szCs w:val="20"/>
          <w:color w:val="auto"/>
        </w:rPr>
      </w:pPr>
    </w:p>
    <w:p>
      <w:pPr>
        <w:ind w:right="460" w:firstLine="761"/>
        <w:spacing w:after="0" w:line="246" w:lineRule="auto"/>
        <w:rPr>
          <w:sz w:val="20"/>
          <w:szCs w:val="20"/>
          <w:color w:val="auto"/>
        </w:rPr>
      </w:pPr>
      <w:r>
        <w:rPr>
          <w:rFonts w:ascii="Arial" w:cs="Arial" w:eastAsia="Arial" w:hAnsi="Arial"/>
          <w:sz w:val="18"/>
          <w:szCs w:val="18"/>
          <w:color w:val="auto"/>
        </w:rPr>
        <w:t>The acquisition date fair value of the consideration transferred was approximately $117.1 million, comprised of $77.0 million in cash, $39.1 million of common stock issued, and $1.0 million of unvested stock options assumed.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Update on the Impact of the COVID-19 Pandemic</w:t>
      </w:r>
    </w:p>
    <w:p>
      <w:pPr>
        <w:spacing w:after="0" w:line="234" w:lineRule="exact"/>
        <w:rPr>
          <w:sz w:val="20"/>
          <w:szCs w:val="20"/>
          <w:color w:val="auto"/>
        </w:rPr>
      </w:pPr>
    </w:p>
    <w:p>
      <w:pPr>
        <w:ind w:right="180" w:firstLine="761"/>
        <w:spacing w:after="0" w:line="238" w:lineRule="auto"/>
        <w:rPr>
          <w:sz w:val="20"/>
          <w:szCs w:val="20"/>
          <w:color w:val="auto"/>
        </w:rPr>
      </w:pPr>
      <w:r>
        <w:rPr>
          <w:rFonts w:ascii="Arial" w:cs="Arial" w:eastAsia="Arial" w:hAnsi="Arial"/>
          <w:sz w:val="18"/>
          <w:szCs w:val="18"/>
          <w:color w:val="auto"/>
        </w:rPr>
        <w:t>Measures implemented by governmental authorities around the world to reduce the spread of COVID-19 disrupted our operations and adversely affected our financial performance beginning late in the first quarter of 2020. After the initial disruption in our ecommerce operations, the used vehicle market began to recover and consumer demand for used vehicles increased and now exceeds pre-pandemic levels. This recovery has been bolstered by the introduction of COVID-19 vaccines nationwide.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We believe the COVID-19 pandemic has reinforced our business model and we have been able to navigate the impact of COVID-19 on our business to date. However, the full extent of the future impact of the COVID-19 pandemic on our operational and financial performance is currently uncertain and will depend on many factors outside our control, including, without limitation, the timing, extent, trajectory and duration of the pandemic; the availability, adoption and effectiveness of vaccines; the imposition of protective public safety measures; and the impact of the pandemic on the global economy and demand for used vehicles. We will continue to monitor and assess the impact of the COVID-19 pandemic on our business and our results of operations and financial condition as the pandemic continues to evolve. See Part I, Item 1A of our Annual Report under the heading “Risk Factors” for more information.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Key Factors and Trends Affecting our Operating Results</w:t>
      </w:r>
    </w:p>
    <w:p>
      <w:pPr>
        <w:spacing w:after="0" w:line="234" w:lineRule="exact"/>
        <w:rPr>
          <w:sz w:val="20"/>
          <w:szCs w:val="20"/>
          <w:color w:val="auto"/>
        </w:rPr>
      </w:pPr>
    </w:p>
    <w:p>
      <w:pPr>
        <w:ind w:right="380" w:firstLine="761"/>
        <w:spacing w:after="0" w:line="246" w:lineRule="auto"/>
        <w:rPr>
          <w:sz w:val="20"/>
          <w:szCs w:val="20"/>
          <w:color w:val="auto"/>
        </w:rPr>
      </w:pPr>
      <w:r>
        <w:rPr>
          <w:rFonts w:ascii="Arial" w:cs="Arial" w:eastAsia="Arial" w:hAnsi="Arial"/>
          <w:sz w:val="18"/>
          <w:szCs w:val="18"/>
          <w:color w:val="auto"/>
        </w:rPr>
        <w:t>Our financial condition and results of operations have been, and will continue to be, affected by a number of factors and trends, including the following:</w:t>
      </w:r>
    </w:p>
    <w:p>
      <w:pPr>
        <w:spacing w:after="0" w:line="283"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b w:val="1"/>
          <w:bCs w:val="1"/>
          <w:i w:val="1"/>
          <w:iCs w:val="1"/>
          <w:color w:val="auto"/>
        </w:rPr>
        <w:t>Ability to utilize data science to drive revenue growth by cost effectively increasing the volume and selection of vehicles in our inventory</w:t>
      </w:r>
    </w:p>
    <w:p>
      <w:pPr>
        <w:spacing w:after="0" w:line="68" w:lineRule="exact"/>
        <w:rPr>
          <w:sz w:val="20"/>
          <w:szCs w:val="20"/>
          <w:color w:val="auto"/>
        </w:rPr>
      </w:pPr>
    </w:p>
    <w:p>
      <w:pPr>
        <w:ind w:right="100" w:firstLine="761"/>
        <w:spacing w:after="0"/>
        <w:rPr>
          <w:sz w:val="20"/>
          <w:szCs w:val="20"/>
          <w:color w:val="auto"/>
        </w:rPr>
      </w:pPr>
      <w:r>
        <w:rPr>
          <w:rFonts w:ascii="Arial" w:cs="Arial" w:eastAsia="Arial" w:hAnsi="Arial"/>
          <w:sz w:val="18"/>
          <w:szCs w:val="18"/>
          <w:color w:val="auto"/>
        </w:rPr>
        <w:t>Our growth is primarily driven by vehicle sales. Vehicle sales growth, in turn, is largely driven by the volume of inventory and the selection of vehicles listed on our platform. Accordingly, we believe that having the appropriate volume and mix of vehicle inventory is critical to our ability to drive growth.</w:t>
      </w:r>
    </w:p>
    <w:p>
      <w:pPr>
        <w:spacing w:after="0" w:line="203" w:lineRule="exact"/>
        <w:rPr>
          <w:sz w:val="20"/>
          <w:szCs w:val="20"/>
          <w:color w:val="auto"/>
        </w:rPr>
      </w:pPr>
    </w:p>
    <w:p>
      <w:pPr>
        <w:ind w:right="40" w:firstLine="761"/>
        <w:spacing w:after="0" w:line="236" w:lineRule="auto"/>
        <w:rPr>
          <w:sz w:val="20"/>
          <w:szCs w:val="20"/>
          <w:color w:val="auto"/>
        </w:rPr>
      </w:pPr>
      <w:r>
        <w:rPr>
          <w:rFonts w:ascii="Arial" w:cs="Arial" w:eastAsia="Arial" w:hAnsi="Arial"/>
          <w:sz w:val="18"/>
          <w:szCs w:val="18"/>
          <w:color w:val="auto"/>
        </w:rPr>
        <w:t>The continued growth of our vehicle inventory requires a number of important capabilities, including the ability to finance the acquisition of inventory at competitive rates, source high quality vehicles across various acquisition channels nationwide, secure adequate reconditioning capacity and execute effective marketing strategies to increase consumer sourcing. In addition, our ability to accurately forecast pricing and consumer demand for specific types of vehicles is critical to sourcing high quality, high-demand vehicles. This ability is enabled by our data science capabilities that leverage the growing amount of data at our disposal and generate predictive data analytics that fine-tune our supply and sourcing models. The acquisition of CarStory will enhance our predictive market data capabilities. As we continue to invest in our operational efficiency and data analytics, we expect that we will continue to cost effectively increase the volume and optimize the selection of our ecommerce inventory. Our data analytics are complex models that incorporate numerous assumptions and predictions about consumer and industry dynamics. As with all predictions, the output of our data analytics is subject to inherent uncertainty and reflects judgment and expertise when providing data-driven decisions based on those analytics.</w:t>
      </w:r>
    </w:p>
    <w:p>
      <w:pPr>
        <w:spacing w:after="0" w:line="292"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b w:val="1"/>
          <w:bCs w:val="1"/>
          <w:i w:val="1"/>
          <w:iCs w:val="1"/>
          <w:color w:val="auto"/>
        </w:rPr>
        <w:t>Ability to capitalize on the continued migration of vehicle purchasers to ecommerce platforms through data-driven marketing efforts</w:t>
      </w:r>
    </w:p>
    <w:p>
      <w:pPr>
        <w:spacing w:after="0" w:line="68" w:lineRule="exact"/>
        <w:rPr>
          <w:sz w:val="20"/>
          <w:szCs w:val="20"/>
          <w:color w:val="auto"/>
        </w:rPr>
      </w:pPr>
    </w:p>
    <w:p>
      <w:pPr>
        <w:ind w:right="280" w:firstLine="761"/>
        <w:spacing w:after="0" w:line="238" w:lineRule="auto"/>
        <w:rPr>
          <w:sz w:val="20"/>
          <w:szCs w:val="20"/>
          <w:color w:val="auto"/>
        </w:rPr>
      </w:pPr>
      <w:r>
        <w:rPr>
          <w:rFonts w:ascii="Arial" w:cs="Arial" w:eastAsia="Arial" w:hAnsi="Arial"/>
          <w:sz w:val="18"/>
          <w:szCs w:val="18"/>
          <w:color w:val="auto"/>
        </w:rPr>
        <w:t>While the overall ecommerce penetration rate in used vehicle sales remains low, over the last several years, ecommerce used vehicle sales have experienced significant growth. There has been a shift in consumer buying patterns towards more convenient, personalized, and on-demand purchases, as well as a demand for ecommerce across more diverse categories, including the used vehicle market. We expect that the ecommerce model for buying and selling used vehicles will continue to grow. Our ability to continue to benefit from this trend will be an important driver of our future performance.</w:t>
      </w:r>
    </w:p>
    <w:p>
      <w:pPr>
        <w:spacing w:after="0" w:line="202" w:lineRule="exact"/>
        <w:rPr>
          <w:sz w:val="20"/>
          <w:szCs w:val="20"/>
          <w:color w:val="auto"/>
        </w:rPr>
      </w:pPr>
    </w:p>
    <w:p>
      <w:pPr>
        <w:ind w:right="40" w:firstLine="761"/>
        <w:spacing w:after="0" w:line="237" w:lineRule="auto"/>
        <w:rPr>
          <w:sz w:val="20"/>
          <w:szCs w:val="20"/>
          <w:color w:val="auto"/>
        </w:rPr>
      </w:pPr>
      <w:r>
        <w:rPr>
          <w:rFonts w:ascii="Arial" w:cs="Arial" w:eastAsia="Arial" w:hAnsi="Arial"/>
          <w:sz w:val="18"/>
          <w:szCs w:val="18"/>
          <w:color w:val="auto"/>
        </w:rPr>
        <w:t>We seek to improve our brand awareness among consumers through national marketing campaigns in order to strengthen our customer acquisition funnel. We also use digital performance marketing such as search engine marketing, automotive aggregator sites and social media to acquire customers more cost effectively. Our aggregate marketing spend has significantly increased over time and we expect to continue to invest in both national brand marketing and performance marketing efforts. As we leverage our national brand, we believe this investment in marketing spend will drive additional demand and sales. We also believe that we have the ability to drive down the cost of acquisition per unit sold by increasing the efficiency of our marketing spend.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convert visitors to our platform into customers</w:t>
      </w:r>
    </w:p>
    <w:p>
      <w:pPr>
        <w:spacing w:after="0" w:line="126" w:lineRule="exact"/>
        <w:rPr>
          <w:sz w:val="20"/>
          <w:szCs w:val="20"/>
          <w:color w:val="auto"/>
        </w:rPr>
      </w:pPr>
    </w:p>
    <w:p>
      <w:pPr>
        <w:ind w:right="40" w:firstLine="761"/>
        <w:spacing w:after="0"/>
        <w:rPr>
          <w:sz w:val="20"/>
          <w:szCs w:val="20"/>
          <w:color w:val="auto"/>
        </w:rPr>
      </w:pPr>
      <w:r>
        <w:rPr>
          <w:rFonts w:ascii="Arial" w:cs="Arial" w:eastAsia="Arial" w:hAnsi="Arial"/>
          <w:sz w:val="18"/>
          <w:szCs w:val="18"/>
          <w:color w:val="auto"/>
        </w:rPr>
        <w:t>The quality of the customer experience on our ecommerce platform is critical to our ability to attract new visitors to our platform, convert such visitors into customers and increase repeat customers. Our ability to drive higher customer conversion depends on our ability to make our platform a compelling choice for consumers based on our functionalities and consumer offerings.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jc w:val="both"/>
        <w:ind w:right="80" w:firstLine="764"/>
        <w:spacing w:after="0"/>
        <w:rPr>
          <w:sz w:val="20"/>
          <w:szCs w:val="20"/>
          <w:color w:val="auto"/>
        </w:rPr>
      </w:pPr>
      <w:r>
        <w:rPr>
          <w:rFonts w:ascii="Arial" w:cs="Arial" w:eastAsia="Arial" w:hAnsi="Arial"/>
          <w:sz w:val="18"/>
          <w:szCs w:val="18"/>
          <w:color w:val="auto"/>
        </w:rPr>
        <w:t>Data analytics and experimentation drive decision making across all of our conversion efforts. By analyzing the data generated by the millions of visitors and tens of thousands of transactions on our platform, and continually testing strategies to maximize conversion rates, we form a better understanding of consumer preferences and try to create a more tailored ecommerce experience.</w:t>
      </w:r>
    </w:p>
    <w:p>
      <w:pPr>
        <w:spacing w:after="0" w:line="203" w:lineRule="exact"/>
        <w:rPr>
          <w:sz w:val="20"/>
          <w:szCs w:val="20"/>
          <w:color w:val="auto"/>
        </w:rPr>
      </w:pPr>
    </w:p>
    <w:p>
      <w:pPr>
        <w:ind w:right="20" w:firstLine="761"/>
        <w:spacing w:after="0" w:line="236" w:lineRule="auto"/>
        <w:rPr>
          <w:sz w:val="20"/>
          <w:szCs w:val="20"/>
          <w:color w:val="auto"/>
        </w:rPr>
      </w:pPr>
      <w:r>
        <w:rPr>
          <w:rFonts w:ascii="Arial" w:cs="Arial" w:eastAsia="Arial" w:hAnsi="Arial"/>
          <w:sz w:val="18"/>
          <w:szCs w:val="18"/>
          <w:color w:val="auto"/>
        </w:rPr>
        <w:t>Increased conversion also depends on our ability to provide the necessary customer service and sales support to respond to increased demand. Our ongoing investment in our sales and sales support operations includes investments in people, processes and technology. We are continuing to invest in (1) people, to mitigate bottlenecks; (2) in our processes, to remove friction and increase sales flow; and (3) in technology, to automate and improve our customer experience and drive conversion. We have continued to expand our sales and sales support team and expect to continue expanding these capabilities commensurate with our expected sales growth throughout the remainder of 2021. We also recently engaged two additional customer service providers to expand our customer service operations as we scale our business. As we continue to invest in our brand and improve the customer experience, we expect that we will attract more visitors, improve conversion and drive greater sales.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optimize the mix of inventory sources to drive increased gross profit and improvements to our unit economics</w:t>
      </w:r>
    </w:p>
    <w:p>
      <w:pPr>
        <w:spacing w:after="0" w:line="126"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We strategically source inventory from auctions, consumers, rental car companies, OEMs and dealers. Consumers and auctions represent the vast majority of our inventory sources, accounting for approximately 54% and 37% of our retail inventory sold for the three months ended March 31, 2021, respectively. Because the quality of vehicles and associated gross margin profile vary across each channel, the mix of inventory sources has an impact on our profitability. We continually evaluate the optimal mix of sourcing channels and strive to source vehicles in a way that maximizes our average gross profit per unit and improves our unit economics. For example, purchasing vehicles at third-party auctions is competitive and, consequently, vehicle prices at third-party auctions tend to be higher than vehicle prices for vehicles sourced directly from consumers. Accordingly, as part of our sourcing strategy, we seek to increase the percentage of vehicle sales that we source from consumers. Furthermore, we are currently experiencing unprecedented market conditions, caused in part by the shortage of microchips and delays in new car manufacturing, which increases demand for used vehicles, putting downward pressure on supply and upward pressure on wholesale pricing. As used vehicle supply is constrained and wholesale pricing is high in traditional channels, we will continue to focus on acquiring vehicles from consumers.</w:t>
      </w:r>
    </w:p>
    <w:p>
      <w:pPr>
        <w:spacing w:after="0" w:line="205" w:lineRule="exact"/>
        <w:rPr>
          <w:sz w:val="20"/>
          <w:szCs w:val="20"/>
          <w:color w:val="auto"/>
        </w:rPr>
      </w:pPr>
    </w:p>
    <w:p>
      <w:pPr>
        <w:ind w:right="180" w:firstLine="761"/>
        <w:spacing w:after="0" w:line="238" w:lineRule="auto"/>
        <w:rPr>
          <w:sz w:val="20"/>
          <w:szCs w:val="20"/>
          <w:color w:val="auto"/>
        </w:rPr>
      </w:pPr>
      <w:r>
        <w:rPr>
          <w:rFonts w:ascii="Arial" w:cs="Arial" w:eastAsia="Arial" w:hAnsi="Arial"/>
          <w:sz w:val="18"/>
          <w:szCs w:val="18"/>
          <w:color w:val="auto"/>
        </w:rPr>
        <w:t>Our ability to increase the percentage of inventory sourced directly from consumers will depend on the popularity and success of our ecommerce platform. In order to continue to increase the percentage of vehicles that we source directly from consumers, we also have expanded our national marketing efforts that are focused on our Sell Us Your Car</w:t>
      </w:r>
      <w:r>
        <w:rPr>
          <w:rFonts w:ascii="Arial" w:cs="Arial" w:eastAsia="Arial" w:hAnsi="Arial"/>
          <w:sz w:val="15"/>
          <w:szCs w:val="15"/>
          <w:color w:val="auto"/>
        </w:rPr>
        <w:t>®</w:t>
      </w:r>
      <w:r>
        <w:rPr>
          <w:rFonts w:ascii="Arial" w:cs="Arial" w:eastAsia="Arial" w:hAnsi="Arial"/>
          <w:sz w:val="18"/>
          <w:szCs w:val="18"/>
          <w:color w:val="auto"/>
        </w:rPr>
        <w:t xml:space="preserve"> proposition, which we believe will result in more customers gaining familiarity with our platform. We expect that, as consumers experience the convenience of our platform to sell or trade in their used vehicles, the percentage of inventory we source directly from consumers will continue to grow.</w:t>
      </w:r>
    </w:p>
    <w:p>
      <w:pPr>
        <w:spacing w:after="0" w:line="202" w:lineRule="exact"/>
        <w:rPr>
          <w:sz w:val="20"/>
          <w:szCs w:val="20"/>
          <w:color w:val="auto"/>
        </w:rPr>
      </w:pPr>
    </w:p>
    <w:p>
      <w:pPr>
        <w:ind w:right="120" w:firstLine="761"/>
        <w:spacing w:after="0" w:line="246" w:lineRule="auto"/>
        <w:rPr>
          <w:sz w:val="20"/>
          <w:szCs w:val="20"/>
          <w:color w:val="auto"/>
        </w:rPr>
      </w:pPr>
      <w:r>
        <w:rPr>
          <w:rFonts w:ascii="Arial" w:cs="Arial" w:eastAsia="Arial" w:hAnsi="Arial"/>
          <w:sz w:val="18"/>
          <w:szCs w:val="18"/>
          <w:color w:val="auto"/>
        </w:rPr>
        <w:t>We are also exploring third-party inventory strategies, which offers the possibility of expanding our sourcing channels through third party sellers while offering us attractive revenue models in an asset light, debt free structure.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expand and optimize our reconditioning capacity to satisfy increasing demand</w:t>
      </w:r>
    </w:p>
    <w:p>
      <w:pPr>
        <w:spacing w:after="0" w:line="126" w:lineRule="exact"/>
        <w:rPr>
          <w:sz w:val="20"/>
          <w:szCs w:val="20"/>
          <w:color w:val="auto"/>
        </w:rPr>
      </w:pPr>
    </w:p>
    <w:p>
      <w:pPr>
        <w:ind w:right="100" w:firstLine="761"/>
        <w:spacing w:after="0" w:line="238" w:lineRule="auto"/>
        <w:rPr>
          <w:sz w:val="20"/>
          <w:szCs w:val="20"/>
          <w:color w:val="auto"/>
        </w:rPr>
      </w:pPr>
      <w:r>
        <w:rPr>
          <w:rFonts w:ascii="Arial" w:cs="Arial" w:eastAsia="Arial" w:hAnsi="Arial"/>
          <w:sz w:val="18"/>
          <w:szCs w:val="18"/>
          <w:color w:val="auto"/>
        </w:rPr>
        <w:t>Our ability to recondition purchased vehicles to our quality standards is a critical component of our business. Historically, we have successfully increased our reconditioning capacity as our business has grown, and our future success will depend on our ability to expand and optimize our reconditioning capacity to satisfy increasing customer demand. We employ a hybrid approach that combines the use of our Vroom VRC and third-party VRCs to best meet our reconditioning needs.</w:t>
      </w:r>
    </w:p>
    <w:p>
      <w:pPr>
        <w:spacing w:after="0" w:line="205" w:lineRule="exact"/>
        <w:rPr>
          <w:sz w:val="20"/>
          <w:szCs w:val="20"/>
          <w:color w:val="auto"/>
        </w:rPr>
      </w:pPr>
    </w:p>
    <w:p>
      <w:pPr>
        <w:ind w:right="80" w:firstLine="761"/>
        <w:spacing w:after="0" w:line="238" w:lineRule="auto"/>
        <w:rPr>
          <w:sz w:val="20"/>
          <w:szCs w:val="20"/>
          <w:color w:val="auto"/>
        </w:rPr>
      </w:pPr>
      <w:r>
        <w:rPr>
          <w:rFonts w:ascii="Arial" w:cs="Arial" w:eastAsia="Arial" w:hAnsi="Arial"/>
          <w:sz w:val="18"/>
          <w:szCs w:val="18"/>
          <w:color w:val="auto"/>
        </w:rPr>
        <w:t>As we continue to grow our business, we intend to continue to increase reconditioning capacity and operational efficiency through third-party VRC locations. Additionally, our use of third-party VRCs to recondition vehicles allows us to avoid additional capital expenditures, quickly increase capacity, maintain greater operational flexibility and broaden our geographic footprint to drive lower logistics costs. We have continued to expand our third-party VRC operations and, as of the date of this Quarterly Report on Form 10-Q, have a total of twenty-three third-party VRCs throughout the U.S.</w:t>
      </w:r>
    </w:p>
    <w:p>
      <w:pPr>
        <w:spacing w:after="0" w:line="202" w:lineRule="exact"/>
        <w:rPr>
          <w:sz w:val="20"/>
          <w:szCs w:val="20"/>
          <w:color w:val="auto"/>
        </w:rPr>
      </w:pPr>
    </w:p>
    <w:p>
      <w:pPr>
        <w:ind w:right="120" w:firstLine="761"/>
        <w:spacing w:after="0" w:line="261" w:lineRule="auto"/>
        <w:rPr>
          <w:sz w:val="20"/>
          <w:szCs w:val="20"/>
          <w:color w:val="auto"/>
        </w:rPr>
      </w:pPr>
      <w:r>
        <w:rPr>
          <w:rFonts w:ascii="Arial" w:cs="Arial" w:eastAsia="Arial" w:hAnsi="Arial"/>
          <w:sz w:val="17"/>
          <w:szCs w:val="17"/>
          <w:color w:val="auto"/>
        </w:rPr>
        <w:t>We leverage our data analytics and deep industry experience to strategically select VRC locations where we believe there is the highest supply and demand for our vehicles. We expect that the increase in reconditioning capacity and investment in technology will lower our reconditioning costs per unit and drive greater operational efficiency, higher gross profit per unit and improved unit economics over time.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expand and develop our logistics network</w:t>
      </w:r>
    </w:p>
    <w:p>
      <w:pPr>
        <w:spacing w:after="0" w:line="126" w:lineRule="exact"/>
        <w:rPr>
          <w:sz w:val="20"/>
          <w:szCs w:val="20"/>
          <w:color w:val="auto"/>
        </w:rPr>
      </w:pPr>
    </w:p>
    <w:p>
      <w:pPr>
        <w:ind w:firstLine="761"/>
        <w:spacing w:after="0" w:line="235" w:lineRule="auto"/>
        <w:rPr>
          <w:sz w:val="20"/>
          <w:szCs w:val="20"/>
          <w:color w:val="auto"/>
        </w:rPr>
      </w:pPr>
      <w:r>
        <w:rPr>
          <w:rFonts w:ascii="Arial" w:cs="Arial" w:eastAsia="Arial" w:hAnsi="Arial"/>
          <w:sz w:val="18"/>
          <w:szCs w:val="18"/>
          <w:color w:val="auto"/>
        </w:rPr>
        <w:t>We primarily use third-party carriers and have optimized our third-party logistics network nationwide through the development of strategic carrier arrangements with national haulers and the consolidation of our carrier base into a smaller number of carriers in dedicated operating regions. We expect that these enhanced logistics operations, combined with the expansion of strategically located VRCs, will drive efficiency in our logistics operations. Our VRCs also serve as pooling points to aggregate acquired vehicles and we are using certain VRCs as hubs for staging vehicles for last-mile delivery to customers, which we expect to provide an improved experience for customers. As of March 31, 2021, we had eighteen hubs and we delivered over 16% of our ecommerce units sold with our proprietary last-mile service. Recently, as a result of the continued prevalence of the COVID-19 pandemic, we have experienced a reduced supply of carriers combined with increased demand for carriers from competitors, resulting in increased shipping prices and delays. In response to these disruptions, and to further enhance the quality of our logistics operations and our customer experience, we are accelerating our strategy to optimize our hybrid approach by expanding our proprietary logistics network. Currently, we are prioritizing investment in our last-mile delivery operations where we can have the greatest impact on the customer experience. We also have invested in short-haul trucks to make regional deliveries from our last mile hubs, and have begun to invest in long-haul vehicles for hub-to-hub shipments. As we invest in our expanded logistics operations, we expect to incur increased operating expenses and capital expenditures associated with purchasing or leasing fleet vehicles, leasing space for delivery hubs, hiring qualified drivers, and operating and maintaining fleet vehicles, offset in part by reduced third-party logistics expense. Consistent with our hybrid approach, we continue to strategically combine the operation of our expanded proprietary fleet with the use of third-party carriers, which we expect will enable us to both accommodate our growth and provide the highest level of customer service. Over time, as our business scales, we expect that optimizing our logistics network through this hybrid approach will result in improved unit economics, increased profitability and an enhanced customer experience.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increase and better monetize value-added products</w:t>
      </w:r>
    </w:p>
    <w:p>
      <w:pPr>
        <w:spacing w:after="0" w:line="126" w:lineRule="exact"/>
        <w:rPr>
          <w:sz w:val="20"/>
          <w:szCs w:val="20"/>
          <w:color w:val="auto"/>
        </w:rPr>
      </w:pPr>
    </w:p>
    <w:p>
      <w:pPr>
        <w:ind w:right="60" w:firstLine="761"/>
        <w:spacing w:after="0" w:line="236" w:lineRule="auto"/>
        <w:rPr>
          <w:sz w:val="20"/>
          <w:szCs w:val="20"/>
          <w:color w:val="auto"/>
        </w:rPr>
      </w:pPr>
      <w:r>
        <w:rPr>
          <w:rFonts w:ascii="Arial" w:cs="Arial" w:eastAsia="Arial" w:hAnsi="Arial"/>
          <w:sz w:val="18"/>
          <w:szCs w:val="18"/>
          <w:color w:val="auto"/>
        </w:rPr>
        <w:t>Our offering of value-added products is an integral part of providing a seamless vehicle-buying experience to our customers. These products provide added revenue streams for us as well as offering convenience, assurance and efficiency for our customers. We sell our third-party value-added products through our strategic relationships with multiple lenders and other third parties who bear the incremental risks associated with the underwriting of finance and protection products. We have entered into strategic partnerships with lenders such as Chase, Ally, and Santander which have contributed to improvements in Product GPPU. Additionally, through our on-going data analytics, experimentation and further development of our ecommerce technology, we expect to increase attachment rates of our existing value-added products while finding new opportunities to include additional finance and protection products, as well as other value-added products. Because we are paid fees on value-added products we sell, our gross profit is equal to the revenue we generate on such sales. As a result, such sales help drive total gross profit per unit. We expect that, as we scale our business, we will increase the breadth and variety of value-added products offered to customers and improve attachment rates to our vehicle sales, which in turn will grow revenue and drive profitability.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26" w:lineRule="exact"/>
        <w:rPr>
          <w:sz w:val="20"/>
          <w:szCs w:val="20"/>
          <w:color w:val="auto"/>
        </w:rPr>
      </w:pPr>
    </w:p>
    <w:p>
      <w:pPr>
        <w:ind w:right="60" w:firstLine="761"/>
        <w:spacing w:after="0" w:line="236" w:lineRule="auto"/>
        <w:rPr>
          <w:sz w:val="20"/>
          <w:szCs w:val="20"/>
          <w:color w:val="auto"/>
        </w:rPr>
      </w:pPr>
      <w:r>
        <w:rPr>
          <w:rFonts w:ascii="Arial" w:cs="Arial" w:eastAsia="Arial" w:hAnsi="Arial"/>
          <w:sz w:val="18"/>
          <w:szCs w:val="18"/>
          <w:color w:val="auto"/>
        </w:rPr>
        <w:t>Used vehicle sales are seasonal. The used vehicle industry typically experiences an increase in sales early in the calendar year and reaches its highest point late in the first quarter and early in the second quarter. Vehicle sales then level off through the rest of the year, with the lowest level of sales in the fourth quarter. This seasonality has historically corresponded with the timing of income tax refunds, which are an important source of funding for vehicle purchases. Additionally, used vehicles depreciate at a faster rate in the last two quarters of each year and a slower rate in the first two quarters of each year. In line with these macro trends, our gross profit per unit has historically been higher in the first half of the year when compared to the second half of the year. See “Risk Factors—Risks Related to Our Financial Condition and Results of Operations—We may experience seasonal and other fluctuations in our quarterly results of operations, which may not fully reflect the underlying performance of our business” in our Annual Report.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vehicle revenue</w:t>
      </w:r>
    </w:p>
    <w:p>
      <w:pPr>
        <w:spacing w:after="0" w:line="122" w:lineRule="exact"/>
        <w:rPr>
          <w:sz w:val="20"/>
          <w:szCs w:val="20"/>
          <w:color w:val="auto"/>
        </w:rPr>
      </w:pPr>
    </w:p>
    <w:p>
      <w:pPr>
        <w:ind w:right="60" w:firstLine="761"/>
        <w:spacing w:after="0"/>
        <w:rPr>
          <w:sz w:val="20"/>
          <w:szCs w:val="20"/>
          <w:color w:val="auto"/>
        </w:rPr>
      </w:pPr>
      <w:r>
        <w:rPr>
          <w:rFonts w:ascii="Arial" w:cs="Arial" w:eastAsia="Arial" w:hAnsi="Arial"/>
          <w:sz w:val="18"/>
          <w:szCs w:val="18"/>
          <w:color w:val="auto"/>
        </w:rPr>
        <w:t>We sell retail vehicles through both our ecommerce platform and TDA. Revenue from vehicle sales, including any delivery charges, are recognized when vehicles are delivered to the customers or picked up at our TDA retail location, net of a reserve for estimated returns. The number of units sold and the average selling price (“ASP”) per unit are the primary factors impacting our retail revenue stream.</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ind w:right="200" w:firstLine="761"/>
        <w:spacing w:after="0" w:line="246" w:lineRule="auto"/>
        <w:rPr>
          <w:sz w:val="20"/>
          <w:szCs w:val="20"/>
          <w:color w:val="auto"/>
        </w:rPr>
      </w:pPr>
      <w:r>
        <w:rPr>
          <w:rFonts w:ascii="Arial" w:cs="Arial" w:eastAsia="Arial" w:hAnsi="Arial"/>
          <w:sz w:val="18"/>
          <w:szCs w:val="18"/>
          <w:color w:val="auto"/>
        </w:rPr>
        <w:t>The number of units sold depends on the volume of inventory and the selection of vehicles listed on our ecommerce platform, our ability to attract new customers, our brand awareness and our ability to expand our reconditioning operations and logistics network.</w:t>
      </w:r>
    </w:p>
    <w:p>
      <w:pPr>
        <w:spacing w:after="0" w:line="197" w:lineRule="exact"/>
        <w:rPr>
          <w:sz w:val="20"/>
          <w:szCs w:val="20"/>
          <w:color w:val="auto"/>
        </w:rPr>
      </w:pPr>
    </w:p>
    <w:p>
      <w:pPr>
        <w:ind w:right="20" w:firstLine="761"/>
        <w:spacing w:after="0" w:line="246" w:lineRule="auto"/>
        <w:rPr>
          <w:sz w:val="20"/>
          <w:szCs w:val="20"/>
          <w:color w:val="auto"/>
        </w:rPr>
      </w:pPr>
      <w:r>
        <w:rPr>
          <w:rFonts w:ascii="Arial" w:cs="Arial" w:eastAsia="Arial" w:hAnsi="Arial"/>
          <w:sz w:val="18"/>
          <w:szCs w:val="18"/>
          <w:color w:val="auto"/>
        </w:rPr>
        <w:t>ASP depends primarily on our acquisition and pricing strategies, retail used vehicle market prices, our average days to sale and our reconditioning and logistics costs.</w:t>
      </w:r>
    </w:p>
    <w:p>
      <w:pPr>
        <w:spacing w:after="0" w:line="197" w:lineRule="exact"/>
        <w:rPr>
          <w:sz w:val="20"/>
          <w:szCs w:val="20"/>
          <w:color w:val="auto"/>
        </w:rPr>
      </w:pPr>
    </w:p>
    <w:p>
      <w:pPr>
        <w:ind w:right="660" w:firstLine="761"/>
        <w:spacing w:after="0" w:line="274" w:lineRule="auto"/>
        <w:rPr>
          <w:sz w:val="20"/>
          <w:szCs w:val="20"/>
          <w:color w:val="auto"/>
        </w:rPr>
      </w:pPr>
      <w:r>
        <w:rPr>
          <w:rFonts w:ascii="Arial" w:cs="Arial" w:eastAsia="Arial" w:hAnsi="Arial"/>
          <w:sz w:val="17"/>
          <w:szCs w:val="17"/>
          <w:color w:val="auto"/>
        </w:rPr>
        <w:t>We have begun to strategically take advantage of a broader portion of the used vehicle market by adding more lower priced vehicles to our inventory. As a data-driven company, we acquire inventory based upon demand predicted by our data analytics.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Wholesale vehicle revenue</w:t>
      </w:r>
    </w:p>
    <w:p>
      <w:pPr>
        <w:spacing w:after="0" w:line="122" w:lineRule="exact"/>
        <w:rPr>
          <w:sz w:val="20"/>
          <w:szCs w:val="20"/>
          <w:color w:val="auto"/>
        </w:rPr>
      </w:pPr>
    </w:p>
    <w:p>
      <w:pPr>
        <w:ind w:right="80" w:firstLine="761"/>
        <w:spacing w:after="0" w:line="238" w:lineRule="auto"/>
        <w:rPr>
          <w:sz w:val="20"/>
          <w:szCs w:val="20"/>
          <w:color w:val="auto"/>
        </w:rPr>
      </w:pPr>
      <w:r>
        <w:rPr>
          <w:rFonts w:ascii="Arial" w:cs="Arial" w:eastAsia="Arial" w:hAnsi="Arial"/>
          <w:sz w:val="18"/>
          <w:szCs w:val="18"/>
          <w:color w:val="auto"/>
        </w:rPr>
        <w:t>We sell vehicles that do not meet our Vroom retail sales criteria through wholesale channels. Vehicles sold through wholesale channels are acquired from customers who trade-in their vehicles when making a purchase from us, from customers who sell their vehicle to us in direct-buy transactions, and from liquidation of vehicles previously listed for retail sale. The number of wholesale vehicles sold and the ASP per unit are the primary drivers of wholesale revenue. The ASP per unit is affected by the mix of the vehicles we acquire and general supply and demand conditions in the wholesale market.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122"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We generate revenue by earning fees on sales of value-added products to our customers in connection with vehicle sales, including fees earned on customer vehicle financing from third-party lenders and fees earned on sales of other value-added products, such as vehicle service contracts, GAP protection and tire and wheel coverage. We earn fees on these products pursuant to arrangements with the third parties that sell and administer these products. For accounting purposes, we are an agent for these transactions and, as a result, we recognize fees on a net basis when the customer enters into an arrangement to purchase these products or obtain third-party financing, which is typically at the time of a vehicle sale. Our gross profit on product revenue is equal to the revenue we generate.</w:t>
      </w:r>
    </w:p>
    <w:p>
      <w:pPr>
        <w:spacing w:after="0" w:line="205" w:lineRule="exact"/>
        <w:rPr>
          <w:sz w:val="20"/>
          <w:szCs w:val="20"/>
          <w:color w:val="auto"/>
        </w:rPr>
      </w:pPr>
    </w:p>
    <w:p>
      <w:pPr>
        <w:ind w:firstLine="761"/>
        <w:spacing w:after="0"/>
        <w:rPr>
          <w:sz w:val="20"/>
          <w:szCs w:val="20"/>
          <w:color w:val="auto"/>
        </w:rPr>
      </w:pPr>
      <w:r>
        <w:rPr>
          <w:rFonts w:ascii="Arial" w:cs="Arial" w:eastAsia="Arial" w:hAnsi="Arial"/>
          <w:sz w:val="18"/>
          <w:szCs w:val="18"/>
          <w:color w:val="auto"/>
        </w:rPr>
        <w:t>Product revenue is affected by the number of vehicles sold, the attachment rate of value-added products and the amount of fees we receive on each product. Product revenue also consists of estimated profit-sharing amounts to which we are entitled based on the performance of third-party protection products once a required claims period has passed.</w:t>
      </w:r>
    </w:p>
    <w:p>
      <w:pPr>
        <w:spacing w:after="0" w:line="203" w:lineRule="exact"/>
        <w:rPr>
          <w:sz w:val="20"/>
          <w:szCs w:val="20"/>
          <w:color w:val="auto"/>
        </w:rPr>
      </w:pPr>
    </w:p>
    <w:p>
      <w:pPr>
        <w:ind w:right="220" w:firstLine="761"/>
        <w:spacing w:after="0" w:line="246" w:lineRule="auto"/>
        <w:rPr>
          <w:sz w:val="20"/>
          <w:szCs w:val="20"/>
          <w:color w:val="auto"/>
        </w:rPr>
      </w:pPr>
      <w:r>
        <w:rPr>
          <w:rFonts w:ascii="Arial" w:cs="Arial" w:eastAsia="Arial" w:hAnsi="Arial"/>
          <w:sz w:val="18"/>
          <w:szCs w:val="18"/>
          <w:color w:val="auto"/>
        </w:rPr>
        <w:t>A portion of the fees we receive is subject to chargeback in the event of early termination, default, or prepayment of the contracts by our customers. We recognize product revenue net of reserves for estimated chargebacks.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22" w:lineRule="exact"/>
        <w:rPr>
          <w:sz w:val="20"/>
          <w:szCs w:val="20"/>
          <w:color w:val="auto"/>
        </w:rPr>
      </w:pPr>
    </w:p>
    <w:p>
      <w:pPr>
        <w:ind w:right="380" w:firstLine="761"/>
        <w:spacing w:after="0" w:line="246" w:lineRule="auto"/>
        <w:rPr>
          <w:sz w:val="20"/>
          <w:szCs w:val="20"/>
          <w:color w:val="auto"/>
        </w:rPr>
      </w:pPr>
      <w:r>
        <w:rPr>
          <w:rFonts w:ascii="Arial" w:cs="Arial" w:eastAsia="Arial" w:hAnsi="Arial"/>
          <w:sz w:val="18"/>
          <w:szCs w:val="18"/>
          <w:color w:val="auto"/>
        </w:rPr>
        <w:t>Other revenue consists of labor and parts revenue earned by us for vehicle repair services at TDA and, commencing in the first quarter of 2021, revenue from CarStory.</w:t>
      </w:r>
    </w:p>
    <w:p>
      <w:pPr>
        <w:spacing w:after="0" w:line="22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See Note 3—Revenue Recognition to our consolidated financial statements included elsewhere in this Quarterly Report on Form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10-Q.</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26" w:lineRule="exact"/>
        <w:rPr>
          <w:sz w:val="20"/>
          <w:szCs w:val="20"/>
          <w:color w:val="auto"/>
        </w:rPr>
      </w:pPr>
    </w:p>
    <w:p>
      <w:pPr>
        <w:ind w:right="160" w:firstLine="761"/>
        <w:spacing w:after="0" w:line="237" w:lineRule="auto"/>
        <w:rPr>
          <w:sz w:val="20"/>
          <w:szCs w:val="20"/>
          <w:color w:val="auto"/>
        </w:rPr>
      </w:pPr>
      <w:r>
        <w:rPr>
          <w:rFonts w:ascii="Arial" w:cs="Arial" w:eastAsia="Arial" w:hAnsi="Arial"/>
          <w:sz w:val="18"/>
          <w:szCs w:val="18"/>
          <w:color w:val="auto"/>
        </w:rPr>
        <w:t>Cost of sales primarily includes the costs to acquire vehicles, inbound transportation costs and direct and indirect reconditioning costs associated with preparing vehicles for sale. Costs to acquire vehicles are primarily driven by the inventory source, vehicle mix and general supply and demand conditions of the used vehicle market. Inbound transportation costs include costs to transport the vehicle to our VRCs. Reconditioning costs include parts, labor and third-party reconditioning costs directly attributable to the vehicle and allocated overhead costs. Cost of sales also includes any accounting adjustments to reflect vehicle inventory at the lower of cost or net realizable value.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gross profit</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Total gross profit is defined as total revenue less costs associated with such revenue.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26" w:lineRule="exact"/>
        <w:rPr>
          <w:sz w:val="20"/>
          <w:szCs w:val="20"/>
          <w:color w:val="auto"/>
        </w:rPr>
      </w:pPr>
    </w:p>
    <w:p>
      <w:pPr>
        <w:ind w:right="480" w:firstLine="761"/>
        <w:spacing w:after="0"/>
        <w:rPr>
          <w:sz w:val="20"/>
          <w:szCs w:val="20"/>
          <w:color w:val="auto"/>
        </w:rPr>
      </w:pPr>
      <w:r>
        <w:rPr>
          <w:rFonts w:ascii="Arial" w:cs="Arial" w:eastAsia="Arial" w:hAnsi="Arial"/>
          <w:sz w:val="18"/>
          <w:szCs w:val="18"/>
          <w:color w:val="auto"/>
        </w:rPr>
        <w:t>Our selling, general, and administrative expenses, which we refer to as SG&amp;A expenses, consist primarily of advertising and marketing expenses, outbound transportation costs, employee compensation, occupancy costs of our facilities and professional fees for accounting, auditing, tax, legal and consulting services.</w:t>
      </w:r>
    </w:p>
    <w:p>
      <w:pPr>
        <w:spacing w:after="0" w:line="203" w:lineRule="exact"/>
        <w:rPr>
          <w:sz w:val="20"/>
          <w:szCs w:val="20"/>
          <w:color w:val="auto"/>
        </w:rPr>
      </w:pPr>
    </w:p>
    <w:p>
      <w:pPr>
        <w:ind w:right="120" w:firstLine="761"/>
        <w:spacing w:after="0" w:line="237" w:lineRule="auto"/>
        <w:rPr>
          <w:sz w:val="20"/>
          <w:szCs w:val="20"/>
          <w:color w:val="auto"/>
        </w:rPr>
      </w:pPr>
      <w:r>
        <w:rPr>
          <w:rFonts w:ascii="Arial" w:cs="Arial" w:eastAsia="Arial" w:hAnsi="Arial"/>
          <w:sz w:val="18"/>
          <w:szCs w:val="18"/>
          <w:color w:val="auto"/>
        </w:rPr>
        <w:t>We expect that our SG&amp;A expenses will increase in the future as we expand our operations, including our proprietary logistics operations, hire additional employees and continue to increase our marketing spend. We have continued to expand our sales and sales support team, processes and technology and expect to continue to expand these capabilities commensurate with our expected sales growth throughout the remainder of 2021. We also recently engaged two additional customer service providers to expand our customer service operations as we scale our business. We also will continue to incur increased expenses associated with being a public company, including costs of accounting, audit, legal, regulatory and tax-related services associated with maintaining compliance with SEC and Nasdaq requirements, director and officer insurance costs, and investor and public relations costs.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26" w:lineRule="exact"/>
        <w:rPr>
          <w:sz w:val="20"/>
          <w:szCs w:val="20"/>
          <w:color w:val="auto"/>
        </w:rPr>
      </w:pPr>
    </w:p>
    <w:p>
      <w:pPr>
        <w:ind w:right="280" w:firstLine="761"/>
        <w:spacing w:after="0" w:line="238" w:lineRule="auto"/>
        <w:rPr>
          <w:sz w:val="20"/>
          <w:szCs w:val="20"/>
          <w:color w:val="auto"/>
        </w:rPr>
      </w:pPr>
      <w:r>
        <w:rPr>
          <w:rFonts w:ascii="Arial" w:cs="Arial" w:eastAsia="Arial" w:hAnsi="Arial"/>
          <w:sz w:val="18"/>
          <w:szCs w:val="18"/>
          <w:color w:val="auto"/>
        </w:rPr>
        <w:t>Our depreciation and amortization expense primarily includes: depreciation related to our leasehold improvements and company vehicles; amortization related to intangible assets in acquired businesses; and capitalized internal use software costs incurred in the development of our platform and website applications. Depreciation expense related to our Vroom VRC is included in cost of sales in the condensed consolidated statements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26" w:lineRule="exact"/>
        <w:rPr>
          <w:sz w:val="20"/>
          <w:szCs w:val="20"/>
          <w:color w:val="auto"/>
        </w:rPr>
      </w:pPr>
    </w:p>
    <w:p>
      <w:pPr>
        <w:ind w:right="220" w:firstLine="761"/>
        <w:spacing w:after="0" w:line="246" w:lineRule="auto"/>
        <w:rPr>
          <w:sz w:val="20"/>
          <w:szCs w:val="20"/>
          <w:color w:val="auto"/>
        </w:rPr>
      </w:pPr>
      <w:r>
        <w:rPr>
          <w:rFonts w:ascii="Arial" w:cs="Arial" w:eastAsia="Arial" w:hAnsi="Arial"/>
          <w:sz w:val="18"/>
          <w:szCs w:val="18"/>
          <w:color w:val="auto"/>
        </w:rPr>
        <w:t>Our interest expense includes interest expense related to our vehicle floorplan facility with Ally Bank and Ally Financial (the “2020 Vehicle Floorplan Facility”), as discussed below, which is used to finance our inventory.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26" w:lineRule="exact"/>
        <w:rPr>
          <w:sz w:val="20"/>
          <w:szCs w:val="20"/>
          <w:color w:val="auto"/>
        </w:rPr>
      </w:pPr>
    </w:p>
    <w:p>
      <w:pPr>
        <w:ind w:right="240" w:firstLine="761"/>
        <w:spacing w:after="0" w:line="246" w:lineRule="auto"/>
        <w:rPr>
          <w:sz w:val="20"/>
          <w:szCs w:val="20"/>
          <w:color w:val="auto"/>
        </w:rPr>
      </w:pPr>
      <w:r>
        <w:rPr>
          <w:rFonts w:ascii="Arial" w:cs="Arial" w:eastAsia="Arial" w:hAnsi="Arial"/>
          <w:sz w:val="18"/>
          <w:szCs w:val="18"/>
          <w:color w:val="auto"/>
        </w:rPr>
        <w:t>Interest income primarily represents interest credits earned on cash deposits maintained in relation to our 2020 Vehicle Floorplan Facility as well as interest earned on cash and cash equivalents.</w:t>
      </w:r>
    </w:p>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Results of Operations</w:t>
      </w:r>
    </w:p>
    <w:p>
      <w:pPr>
        <w:spacing w:after="0" w:line="23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consolidated results of operations for the periods indicated: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4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rPr>
              <w:t>Three Months Ended</w:t>
            </w:r>
          </w:p>
        </w:tc>
        <w:tc>
          <w:tcPr>
            <w:tcW w:w="1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center"/>
              <w:ind w:left="593"/>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5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154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5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80" w:type="dxa"/>
            <w:vAlign w:val="bottom"/>
            <w:gridSpan w:val="3"/>
          </w:tcPr>
          <w:p>
            <w:pPr>
              <w:jc w:val="center"/>
              <w:ind w:left="593"/>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7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260"/>
              <w:spacing w:after="0"/>
              <w:rPr>
                <w:sz w:val="20"/>
                <w:szCs w:val="20"/>
                <w:color w:val="auto"/>
              </w:rPr>
            </w:pPr>
            <w:r>
              <w:rPr>
                <w:rFonts w:ascii="Arial" w:cs="Arial" w:eastAsia="Arial" w:hAnsi="Arial"/>
                <w:sz w:val="18"/>
                <w:szCs w:val="18"/>
                <w:color w:val="auto"/>
              </w:rPr>
              <w:t>Retail vehicle, net</w:t>
            </w:r>
          </w:p>
        </w:tc>
        <w:tc>
          <w:tcPr>
            <w:tcW w:w="2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454,323</w:t>
            </w:r>
          </w:p>
        </w:tc>
        <w:tc>
          <w:tcPr>
            <w:tcW w:w="140" w:type="dxa"/>
            <w:vAlign w:val="bottom"/>
          </w:tcPr>
          <w:p>
            <w:pPr>
              <w:spacing w:after="0"/>
              <w:rPr>
                <w:sz w:val="18"/>
                <w:szCs w:val="18"/>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308,710</w:t>
            </w: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Wholesale vehicle</w:t>
            </w:r>
          </w:p>
        </w:tc>
        <w:tc>
          <w:tcPr>
            <w:tcW w:w="1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118,024</w:t>
            </w: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55,578</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260"/>
              <w:spacing w:after="0"/>
              <w:rPr>
                <w:sz w:val="20"/>
                <w:szCs w:val="20"/>
                <w:color w:val="auto"/>
              </w:rPr>
            </w:pPr>
            <w:r>
              <w:rPr>
                <w:rFonts w:ascii="Arial" w:cs="Arial" w:eastAsia="Arial" w:hAnsi="Arial"/>
                <w:sz w:val="18"/>
                <w:szCs w:val="18"/>
                <w:color w:val="auto"/>
              </w:rPr>
              <w:t>Product, net</w:t>
            </w:r>
          </w:p>
        </w:tc>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15,572</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11,044</w:t>
            </w: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74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3,199</w:t>
            </w:r>
          </w:p>
        </w:tc>
        <w:tc>
          <w:tcPr>
            <w:tcW w:w="140" w:type="dxa"/>
            <w:vAlign w:val="bottom"/>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440</w:t>
            </w:r>
          </w:p>
        </w:tc>
        <w:tc>
          <w:tcPr>
            <w:tcW w:w="140" w:type="dxa"/>
            <w:vAlign w:val="bottom"/>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tcPr>
          <w:p>
            <w:pPr>
              <w:spacing w:after="0"/>
              <w:rPr>
                <w:sz w:val="20"/>
                <w:szCs w:val="20"/>
                <w:color w:val="auto"/>
              </w:rPr>
            </w:pPr>
            <w:r>
              <w:rPr>
                <w:rFonts w:ascii="Arial" w:cs="Arial" w:eastAsia="Arial" w:hAnsi="Arial"/>
                <w:sz w:val="18"/>
                <w:szCs w:val="18"/>
                <w:color w:val="auto"/>
              </w:rPr>
              <w:t>Total revenue</w:t>
            </w:r>
          </w:p>
        </w:tc>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591,118</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375,772</w:t>
            </w: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Cost of sales</w:t>
            </w:r>
          </w:p>
        </w:tc>
        <w:tc>
          <w:tcPr>
            <w:tcW w:w="174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554,942</w:t>
            </w:r>
          </w:p>
        </w:tc>
        <w:tc>
          <w:tcPr>
            <w:tcW w:w="140" w:type="dxa"/>
            <w:vAlign w:val="bottom"/>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357,385</w:t>
            </w:r>
          </w:p>
        </w:tc>
        <w:tc>
          <w:tcPr>
            <w:tcW w:w="140" w:type="dxa"/>
            <w:vAlign w:val="bottom"/>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tcPr>
          <w:p>
            <w:pPr>
              <w:spacing w:after="0"/>
              <w:rPr>
                <w:sz w:val="20"/>
                <w:szCs w:val="20"/>
                <w:color w:val="auto"/>
              </w:rPr>
            </w:pPr>
            <w:r>
              <w:rPr>
                <w:rFonts w:ascii="Arial" w:cs="Arial" w:eastAsia="Arial" w:hAnsi="Arial"/>
                <w:sz w:val="18"/>
                <w:szCs w:val="18"/>
                <w:color w:val="auto"/>
              </w:rPr>
              <w:t>Total gross profit</w:t>
            </w:r>
          </w:p>
        </w:tc>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36,176</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18,387</w:t>
            </w: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1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109,114</w:t>
            </w: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58,380</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Depreciation and amortization</w:t>
            </w:r>
          </w:p>
        </w:tc>
        <w:tc>
          <w:tcPr>
            <w:tcW w:w="174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2,594</w:t>
            </w:r>
          </w:p>
        </w:tc>
        <w:tc>
          <w:tcPr>
            <w:tcW w:w="14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966</w:t>
            </w:r>
          </w:p>
        </w:tc>
        <w:tc>
          <w:tcPr>
            <w:tcW w:w="140" w:type="dxa"/>
            <w:vAlign w:val="bottom"/>
            <w:tcBorders>
              <w:bottom w:val="single" w:sz="8" w:color="CFF0FC"/>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(75,532)</w:t>
            </w: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(40,959)</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Interest expense</w:t>
            </w:r>
          </w:p>
        </w:tc>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3,812</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2,826</w:t>
            </w: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(2,296)</w:t>
            </w: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(1,956)</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Revaluation of stock warrant</w:t>
            </w:r>
          </w:p>
        </w:tc>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(790)</w:t>
            </w: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74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6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(77,033)</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(41,006)</w:t>
            </w: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74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156</w:t>
            </w:r>
          </w:p>
        </w:tc>
        <w:tc>
          <w:tcPr>
            <w:tcW w:w="140" w:type="dxa"/>
            <w:vAlign w:val="bottom"/>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tcPr>
          <w:p>
            <w:pPr>
              <w:spacing w:after="0"/>
              <w:rPr>
                <w:sz w:val="20"/>
                <w:szCs w:val="20"/>
                <w:color w:val="auto"/>
              </w:rPr>
            </w:pPr>
            <w:r>
              <w:rPr>
                <w:rFonts w:ascii="Arial" w:cs="Arial" w:eastAsia="Arial" w:hAnsi="Arial"/>
                <w:sz w:val="18"/>
                <w:szCs w:val="18"/>
                <w:color w:val="auto"/>
              </w:rPr>
              <w:t>Net loss</w:t>
            </w:r>
          </w:p>
        </w:tc>
        <w:tc>
          <w:tcPr>
            <w:tcW w:w="2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(77,189)</w:t>
            </w:r>
          </w:p>
        </w:tc>
        <w:tc>
          <w:tcPr>
            <w:tcW w:w="140" w:type="dxa"/>
            <w:vAlign w:val="bottom"/>
          </w:tcPr>
          <w:p>
            <w:pPr>
              <w:spacing w:after="0"/>
              <w:rPr>
                <w:sz w:val="18"/>
                <w:szCs w:val="18"/>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(41,059)</w:t>
            </w: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740" w:type="dxa"/>
            <w:vAlign w:val="bottom"/>
            <w:vMerge w:val="restart"/>
          </w:tcPr>
          <w:p>
            <w:pPr>
              <w:jc w:val="right"/>
              <w:ind w:right="490"/>
              <w:spacing w:after="0"/>
              <w:rPr>
                <w:sz w:val="20"/>
                <w:szCs w:val="20"/>
                <w:color w:val="auto"/>
              </w:rPr>
            </w:pPr>
            <w:r>
              <w:rPr>
                <w:rFonts w:ascii="Arial" w:cs="Arial" w:eastAsia="Arial" w:hAnsi="Arial"/>
                <w:sz w:val="18"/>
                <w:szCs w:val="18"/>
                <w:color w:val="auto"/>
              </w:rPr>
              <w:t>35</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56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56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manage and report operating results through three reportable segments:</w:t>
      </w:r>
    </w:p>
    <w:p>
      <w:pPr>
        <w:spacing w:after="0" w:line="82" w:lineRule="exact"/>
        <w:rPr>
          <w:sz w:val="20"/>
          <w:szCs w:val="20"/>
          <w:color w:val="auto"/>
        </w:rPr>
      </w:pPr>
    </w:p>
    <w:p>
      <w:pPr>
        <w:ind w:left="1000" w:hanging="236"/>
        <w:spacing w:after="0" w:line="253"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Ecommerce </w:t>
      </w:r>
      <w:r>
        <w:rPr>
          <w:rFonts w:ascii="Arial" w:cs="Arial" w:eastAsia="Arial" w:hAnsi="Arial"/>
          <w:sz w:val="18"/>
          <w:szCs w:val="18"/>
          <w:color w:val="auto"/>
        </w:rPr>
        <w:t>(71.4% of total revenue for the three months ended March 31, 2021): The Ecommerce segment represents retail</w:t>
      </w:r>
      <w:r>
        <w:rPr>
          <w:rFonts w:ascii="Arial" w:cs="Arial" w:eastAsia="Arial" w:hAnsi="Arial"/>
          <w:sz w:val="18"/>
          <w:szCs w:val="18"/>
          <w:b w:val="1"/>
          <w:bCs w:val="1"/>
          <w:color w:val="auto"/>
        </w:rPr>
        <w:t xml:space="preserve"> </w:t>
      </w:r>
      <w:r>
        <w:rPr>
          <w:rFonts w:ascii="Arial" w:cs="Arial" w:eastAsia="Arial" w:hAnsi="Arial"/>
          <w:sz w:val="18"/>
          <w:szCs w:val="18"/>
          <w:color w:val="auto"/>
        </w:rPr>
        <w:t>sales of used vehicles through our ecommerce platform and fees earned on sales of value-added products associated with those vehicle sales.</w:t>
      </w:r>
    </w:p>
    <w:p>
      <w:pPr>
        <w:spacing w:after="0" w:line="60" w:lineRule="exact"/>
        <w:rPr>
          <w:rFonts w:ascii="Arial" w:cs="Arial" w:eastAsia="Arial" w:hAnsi="Arial"/>
          <w:sz w:val="18"/>
          <w:szCs w:val="18"/>
          <w:color w:val="auto"/>
        </w:rPr>
      </w:pPr>
    </w:p>
    <w:p>
      <w:pPr>
        <w:ind w:left="1000" w:right="20" w:hanging="236"/>
        <w:spacing w:after="0" w:line="271"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Wholesale </w:t>
      </w:r>
      <w:r>
        <w:rPr>
          <w:rFonts w:ascii="Arial" w:cs="Arial" w:eastAsia="Arial" w:hAnsi="Arial"/>
          <w:sz w:val="18"/>
          <w:szCs w:val="18"/>
          <w:color w:val="auto"/>
        </w:rPr>
        <w:t>(20.0% of total revenue for the three months ended March 31, 2021): The Wholesale segment represents sales of</w:t>
      </w:r>
      <w:r>
        <w:rPr>
          <w:rFonts w:ascii="Arial" w:cs="Arial" w:eastAsia="Arial" w:hAnsi="Arial"/>
          <w:sz w:val="18"/>
          <w:szCs w:val="18"/>
          <w:b w:val="1"/>
          <w:bCs w:val="1"/>
          <w:color w:val="auto"/>
        </w:rPr>
        <w:t xml:space="preserve"> </w:t>
      </w:r>
      <w:r>
        <w:rPr>
          <w:rFonts w:ascii="Arial" w:cs="Arial" w:eastAsia="Arial" w:hAnsi="Arial"/>
          <w:sz w:val="18"/>
          <w:szCs w:val="18"/>
          <w:color w:val="auto"/>
        </w:rPr>
        <w:t>used vehicles through wholesale channels.</w:t>
      </w:r>
    </w:p>
    <w:p>
      <w:pPr>
        <w:spacing w:after="0" w:line="45" w:lineRule="exact"/>
        <w:rPr>
          <w:rFonts w:ascii="Arial" w:cs="Arial" w:eastAsia="Arial" w:hAnsi="Arial"/>
          <w:sz w:val="18"/>
          <w:szCs w:val="18"/>
          <w:color w:val="auto"/>
        </w:rPr>
      </w:pPr>
    </w:p>
    <w:p>
      <w:pPr>
        <w:ind w:left="1000" w:right="240" w:hanging="236"/>
        <w:spacing w:after="0" w:line="271"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TDA </w:t>
      </w:r>
      <w:r>
        <w:rPr>
          <w:rFonts w:ascii="Arial" w:cs="Arial" w:eastAsia="Arial" w:hAnsi="Arial"/>
          <w:sz w:val="18"/>
          <w:szCs w:val="18"/>
          <w:color w:val="auto"/>
        </w:rPr>
        <w:t>(8.1% of total revenue for the three months ended March 31, 2021): The TDA segment represents retail sales of used</w:t>
      </w:r>
      <w:r>
        <w:rPr>
          <w:rFonts w:ascii="Arial" w:cs="Arial" w:eastAsia="Arial" w:hAnsi="Arial"/>
          <w:sz w:val="18"/>
          <w:szCs w:val="18"/>
          <w:b w:val="1"/>
          <w:bCs w:val="1"/>
          <w:color w:val="auto"/>
        </w:rPr>
        <w:t xml:space="preserve"> </w:t>
      </w:r>
      <w:r>
        <w:rPr>
          <w:rFonts w:ascii="Arial" w:cs="Arial" w:eastAsia="Arial" w:hAnsi="Arial"/>
          <w:sz w:val="18"/>
          <w:szCs w:val="18"/>
          <w:color w:val="auto"/>
        </w:rPr>
        <w:t>vehicles from TDA and fees earned on sales of value-added products associated with those vehicle sales.</w:t>
      </w:r>
    </w:p>
    <w:p>
      <w:pPr>
        <w:spacing w:after="0" w:line="39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00"/>
          </w:cols>
          <w:pgMar w:left="320" w:top="140" w:right="57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2021 and 2020</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Ecommerce segment results of operations for the periods indicated: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5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center"/>
              <w:ind w:left="595"/>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Change</w:t>
            </w:r>
          </w:p>
        </w:tc>
        <w:tc>
          <w:tcPr>
            <w:tcW w:w="120" w:type="dxa"/>
            <w:vAlign w:val="bottom"/>
            <w:vMerge w:val="restart"/>
          </w:tcPr>
          <w:p>
            <w:pPr>
              <w:spacing w:after="0"/>
              <w:rPr>
                <w:sz w:val="15"/>
                <w:szCs w:val="15"/>
                <w:color w:val="auto"/>
              </w:rPr>
            </w:pPr>
          </w:p>
        </w:tc>
        <w:tc>
          <w:tcPr>
            <w:tcW w:w="134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5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(in thousands, except unit</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data and average days to sale)</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Ecommerce units sold</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15,504</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7,930</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7,574</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Ecommerce revenue:</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Vehicle revenue</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408,314</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225,606</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182,708</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16"/>
        </w:trPr>
        <w:tc>
          <w:tcPr>
            <w:tcW w:w="55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Product revenue</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13,994</w:t>
            </w:r>
          </w:p>
        </w:tc>
        <w:tc>
          <w:tcPr>
            <w:tcW w:w="1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7,566</w:t>
            </w: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6,428</w:t>
            </w:r>
          </w:p>
        </w:tc>
        <w:tc>
          <w:tcPr>
            <w:tcW w:w="120" w:type="dxa"/>
            <w:vAlign w:val="bottom"/>
            <w:tcBorders>
              <w:bottom w:val="single" w:sz="8" w:color="CFF0FC"/>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09"/>
        </w:trPr>
        <w:tc>
          <w:tcPr>
            <w:tcW w:w="5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ecommerce revenue</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422,308</w:t>
            </w: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233,172</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189,136</w:t>
            </w:r>
          </w:p>
        </w:tc>
        <w:tc>
          <w:tcPr>
            <w:tcW w:w="12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8"/>
                <w:szCs w:val="18"/>
                <w:color w:val="auto"/>
              </w:rPr>
              <w:t>Ecommerce gross profit:</w:t>
            </w: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Vehicle gross profit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17,843</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6,701</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11,142</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166.3%</w:t>
            </w:r>
          </w:p>
        </w:tc>
        <w:tc>
          <w:tcPr>
            <w:tcW w:w="0" w:type="dxa"/>
            <w:vAlign w:val="bottom"/>
          </w:tcPr>
          <w:p>
            <w:pPr>
              <w:spacing w:after="0"/>
              <w:rPr>
                <w:sz w:val="1"/>
                <w:szCs w:val="1"/>
                <w:color w:val="auto"/>
              </w:rPr>
            </w:pPr>
          </w:p>
        </w:tc>
      </w:tr>
      <w:tr>
        <w:trPr>
          <w:trHeight w:val="216"/>
        </w:trPr>
        <w:tc>
          <w:tcPr>
            <w:tcW w:w="55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Product gross profit</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13,994</w:t>
            </w:r>
          </w:p>
        </w:tc>
        <w:tc>
          <w:tcPr>
            <w:tcW w:w="1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7,566</w:t>
            </w: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6,428</w:t>
            </w:r>
          </w:p>
        </w:tc>
        <w:tc>
          <w:tcPr>
            <w:tcW w:w="120" w:type="dxa"/>
            <w:vAlign w:val="bottom"/>
            <w:tcBorders>
              <w:bottom w:val="single" w:sz="8" w:color="CFF0FC"/>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09"/>
        </w:trPr>
        <w:tc>
          <w:tcPr>
            <w:tcW w:w="5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ecommerce gross profit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31,837</w:t>
            </w: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14,267</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17,570</w:t>
            </w:r>
          </w:p>
        </w:tc>
        <w:tc>
          <w:tcPr>
            <w:tcW w:w="12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60" w:type="dxa"/>
            <w:vAlign w:val="bottom"/>
          </w:tcPr>
          <w:p>
            <w:pPr>
              <w:spacing w:after="0" w:line="196" w:lineRule="exact"/>
              <w:rPr>
                <w:sz w:val="20"/>
                <w:szCs w:val="20"/>
                <w:color w:val="auto"/>
              </w:rPr>
            </w:pPr>
            <w:r>
              <w:rPr>
                <w:rFonts w:ascii="Arial" w:cs="Arial" w:eastAsia="Arial" w:hAnsi="Arial"/>
                <w:sz w:val="18"/>
                <w:szCs w:val="18"/>
                <w:color w:val="auto"/>
              </w:rPr>
              <w:t>Average vehicle selling price per ecommerce unit</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5"/>
              <w:spacing w:after="0" w:line="196" w:lineRule="exact"/>
              <w:rPr>
                <w:sz w:val="20"/>
                <w:szCs w:val="20"/>
                <w:color w:val="auto"/>
              </w:rPr>
            </w:pPr>
            <w:r>
              <w:rPr>
                <w:rFonts w:ascii="Arial" w:cs="Arial" w:eastAsia="Arial" w:hAnsi="Arial"/>
                <w:sz w:val="18"/>
                <w:szCs w:val="18"/>
                <w:color w:val="auto"/>
              </w:rPr>
              <w:t>26,336</w:t>
            </w:r>
          </w:p>
        </w:tc>
        <w:tc>
          <w:tcPr>
            <w:tcW w:w="12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1"/>
              <w:spacing w:after="0" w:line="196" w:lineRule="exact"/>
              <w:rPr>
                <w:sz w:val="20"/>
                <w:szCs w:val="20"/>
                <w:color w:val="auto"/>
              </w:rPr>
            </w:pPr>
            <w:r>
              <w:rPr>
                <w:rFonts w:ascii="Arial" w:cs="Arial" w:eastAsia="Arial" w:hAnsi="Arial"/>
                <w:sz w:val="18"/>
                <w:szCs w:val="18"/>
                <w:color w:val="auto"/>
              </w:rPr>
              <w:t>28,450</w:t>
            </w:r>
          </w:p>
        </w:tc>
        <w:tc>
          <w:tcPr>
            <w:tcW w:w="120" w:type="dxa"/>
            <w:vAlign w:val="bottom"/>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(2,114)</w:t>
            </w:r>
          </w:p>
        </w:tc>
        <w:tc>
          <w:tcPr>
            <w:tcW w:w="120" w:type="dxa"/>
            <w:vAlign w:val="bottom"/>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Gross profit per ecommerce unit:</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260"/>
              <w:spacing w:after="0"/>
              <w:rPr>
                <w:sz w:val="20"/>
                <w:szCs w:val="20"/>
                <w:color w:val="auto"/>
              </w:rPr>
            </w:pPr>
            <w:r>
              <w:rPr>
                <w:rFonts w:ascii="Arial" w:cs="Arial" w:eastAsia="Arial" w:hAnsi="Arial"/>
                <w:sz w:val="18"/>
                <w:szCs w:val="18"/>
                <w:color w:val="auto"/>
              </w:rPr>
              <w:t>Vehicle gross profit per ecommerce unit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1,151</w:t>
            </w:r>
          </w:p>
        </w:tc>
        <w:tc>
          <w:tcPr>
            <w:tcW w:w="1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Product gross profit per ecommerce unit</w:t>
            </w:r>
          </w:p>
        </w:tc>
        <w:tc>
          <w:tcPr>
            <w:tcW w:w="2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903</w:t>
            </w:r>
          </w:p>
        </w:tc>
        <w:tc>
          <w:tcPr>
            <w:tcW w:w="12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954</w:t>
            </w:r>
          </w:p>
        </w:tc>
        <w:tc>
          <w:tcPr>
            <w:tcW w:w="1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9"/>
        </w:trPr>
        <w:tc>
          <w:tcPr>
            <w:tcW w:w="5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gross profit per ecommerce unit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2,054</w:t>
            </w:r>
          </w:p>
        </w:tc>
        <w:tc>
          <w:tcPr>
            <w:tcW w:w="12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1,799</w:t>
            </w:r>
          </w:p>
        </w:tc>
        <w:tc>
          <w:tcPr>
            <w:tcW w:w="12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FF0FC"/>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197"/>
        </w:trPr>
        <w:tc>
          <w:tcPr>
            <w:tcW w:w="55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Ecommerce average days to sale</w:t>
            </w: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83</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68</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 units</w:t>
      </w:r>
    </w:p>
    <w:p>
      <w:pPr>
        <w:spacing w:after="0" w:line="126" w:lineRule="exact"/>
        <w:rPr>
          <w:sz w:val="20"/>
          <w:szCs w:val="20"/>
          <w:color w:val="auto"/>
        </w:rPr>
      </w:pPr>
    </w:p>
    <w:p>
      <w:pPr>
        <w:ind w:right="60" w:firstLine="761"/>
        <w:spacing w:after="0" w:line="234" w:lineRule="auto"/>
        <w:rPr>
          <w:sz w:val="20"/>
          <w:szCs w:val="20"/>
          <w:color w:val="auto"/>
        </w:rPr>
      </w:pPr>
      <w:r>
        <w:rPr>
          <w:rFonts w:ascii="Arial" w:cs="Arial" w:eastAsia="Arial" w:hAnsi="Arial"/>
          <w:sz w:val="18"/>
          <w:szCs w:val="18"/>
          <w:color w:val="auto"/>
        </w:rPr>
        <w:t>Ecommerce units sold increased 7,574, or 95.5%, from 7,930 for the three months ended March 31, 2020 to 15,504 for the three months ended March 31, 2021. This increase was attributable to higher inventory levels, strong national brand recognition driven by our national advertising campaign, an acceleration in the popularity of our business model due to disruptions related to the COVID-19 pandemic, as well as further process improvements in our ecommerce platform. Average monthly unique visitors to our website grew from 947,014 for the three months ended March 31, 2020 to 1,550,258 for the three months ended March 31, 2021, representing year over year growth of</w:t>
      </w:r>
    </w:p>
    <w:p>
      <w:pPr>
        <w:spacing w:after="0" w:line="3"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63.7%. We expect ecommerce units sold to continue to grow in the future as we increase our inventory selection and marketing efforts as well as improve conversion.</w:t>
      </w:r>
    </w:p>
    <w:p>
      <w:pPr>
        <w:spacing w:after="0" w:line="197" w:lineRule="exact"/>
        <w:rPr>
          <w:sz w:val="20"/>
          <w:szCs w:val="20"/>
          <w:color w:val="auto"/>
        </w:rPr>
      </w:pPr>
    </w:p>
    <w:p>
      <w:pPr>
        <w:ind w:right="40" w:firstLine="761"/>
        <w:spacing w:after="0" w:line="238" w:lineRule="auto"/>
        <w:rPr>
          <w:sz w:val="20"/>
          <w:szCs w:val="20"/>
          <w:color w:val="auto"/>
        </w:rPr>
      </w:pPr>
      <w:r>
        <w:rPr>
          <w:rFonts w:ascii="Arial" w:cs="Arial" w:eastAsia="Arial" w:hAnsi="Arial"/>
          <w:sz w:val="18"/>
          <w:szCs w:val="18"/>
          <w:color w:val="auto"/>
        </w:rPr>
        <w:t>Ecommerce average days to sale increased from 68 days for the three months ended March 31, 2020 to 83 days for the three months ended March 31, 2021. The increase is primarily driven by a continuation of the constraints experienced in the fourth quarter of 2020 in sales support meeting the accelerating demand, the sale of aged inventory, and to a lesser extent due to an increase in consumer sourced vehicles, which generally take longer to deliver to our VRCs than auction sourced vehicles. We expect to continue to invest in consumer support functions and related technology and to continue to improve the sales and logistics processes.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Revenue</w:t>
      </w:r>
    </w:p>
    <w:p>
      <w:pPr>
        <w:spacing w:after="0" w:line="126" w:lineRule="exact"/>
        <w:rPr>
          <w:sz w:val="20"/>
          <w:szCs w:val="20"/>
          <w:color w:val="auto"/>
        </w:rPr>
      </w:pPr>
    </w:p>
    <w:p>
      <w:pPr>
        <w:ind w:right="60" w:firstLine="761"/>
        <w:spacing w:after="0" w:line="237" w:lineRule="auto"/>
        <w:rPr>
          <w:sz w:val="20"/>
          <w:szCs w:val="20"/>
          <w:color w:val="auto"/>
        </w:rPr>
      </w:pPr>
      <w:r>
        <w:rPr>
          <w:rFonts w:ascii="Arial" w:cs="Arial" w:eastAsia="Arial" w:hAnsi="Arial"/>
          <w:sz w:val="18"/>
          <w:szCs w:val="18"/>
          <w:color w:val="auto"/>
        </w:rPr>
        <w:t>Ecommerce vehicle revenue increased $182.7 million, or 81.0%, from $225.6 million for the three months ended March 31, 2020 to $408.3 million for the three months ended March 31, 2021. The increase in ecommerce vehicle revenue was primarily attributable to the 7,574 increase in ecommerce units sold, which increased vehicle revenue by $215.5 million, partially offset by a lower ASP per unit, which decreased from $28,450 for the three months ended March 31, 2020 to $26,336 for the three months ended March 31, 2021 and decreased vehicle revenue by $32.8 million. We expect to continue to sell vehicles with a lower ASP per unit than historical levels and we expect ecommerce vehicle revenue to continue to grow driven by increases in ecommerce units sold.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Ecommerce product revenue increased $6.4 million, or 85.0%, from $7.6 million for the three months ended March 31, 2020 to</w:t>
      </w:r>
    </w:p>
    <w:p>
      <w:pPr>
        <w:spacing w:after="0" w:line="234" w:lineRule="auto"/>
        <w:rPr>
          <w:sz w:val="20"/>
          <w:szCs w:val="20"/>
          <w:color w:val="auto"/>
        </w:rPr>
      </w:pPr>
      <w:r>
        <w:rPr>
          <w:rFonts w:ascii="Arial" w:cs="Arial" w:eastAsia="Arial" w:hAnsi="Arial"/>
          <w:sz w:val="18"/>
          <w:szCs w:val="18"/>
          <w:color w:val="auto"/>
        </w:rPr>
        <w:t>$14.0 million for the three months ended March 31, 2021. The increase in ecommerce product revenue was primarily attributable to the 7,574</w:t>
      </w:r>
    </w:p>
    <w:p>
      <w:pPr>
        <w:spacing w:after="0" w:line="235" w:lineRule="auto"/>
        <w:rPr>
          <w:sz w:val="20"/>
          <w:szCs w:val="20"/>
          <w:color w:val="auto"/>
        </w:rPr>
      </w:pPr>
      <w:r>
        <w:rPr>
          <w:rFonts w:ascii="Arial" w:cs="Arial" w:eastAsia="Arial" w:hAnsi="Arial"/>
          <w:sz w:val="18"/>
          <w:szCs w:val="18"/>
          <w:color w:val="auto"/>
        </w:rPr>
        <w:t>increase in ecommerce units sold, which increased product revenue by $7.2 million, partially offset by a slight decrease in product revenue</w:t>
      </w:r>
    </w:p>
    <w:p>
      <w:pPr>
        <w:spacing w:after="0" w:line="235" w:lineRule="auto"/>
        <w:rPr>
          <w:sz w:val="20"/>
          <w:szCs w:val="20"/>
          <w:color w:val="auto"/>
        </w:rPr>
      </w:pPr>
      <w:r>
        <w:rPr>
          <w:rFonts w:ascii="Arial" w:cs="Arial" w:eastAsia="Arial" w:hAnsi="Arial"/>
          <w:sz w:val="18"/>
          <w:szCs w:val="18"/>
          <w:color w:val="auto"/>
        </w:rPr>
        <w:t>per unit, which decreased product revenue by $0.8 million. We expect ecommerce product revenue will continue to grow in the future driven</w:t>
      </w:r>
    </w:p>
    <w:p>
      <w:pPr>
        <w:spacing w:after="0"/>
        <w:rPr>
          <w:sz w:val="20"/>
          <w:szCs w:val="20"/>
          <w:color w:val="auto"/>
        </w:rPr>
      </w:pPr>
      <w:r>
        <w:rPr>
          <w:rFonts w:ascii="Arial" w:cs="Arial" w:eastAsia="Arial" w:hAnsi="Arial"/>
          <w:sz w:val="18"/>
          <w:szCs w:val="18"/>
          <w:color w:val="auto"/>
        </w:rPr>
        <w:t>by increases in ecommerce units sold, new product offerings, initiatives to improve product attachment rates and increases in per unit profit.</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Gross Profit</w:t>
      </w:r>
    </w:p>
    <w:p>
      <w:pPr>
        <w:spacing w:after="0" w:line="126" w:lineRule="exact"/>
        <w:rPr>
          <w:sz w:val="20"/>
          <w:szCs w:val="20"/>
          <w:color w:val="auto"/>
        </w:rPr>
      </w:pPr>
    </w:p>
    <w:p>
      <w:pPr>
        <w:ind w:right="20" w:firstLine="761"/>
        <w:spacing w:after="0" w:line="237" w:lineRule="auto"/>
        <w:rPr>
          <w:sz w:val="20"/>
          <w:szCs w:val="20"/>
          <w:color w:val="auto"/>
        </w:rPr>
      </w:pPr>
      <w:r>
        <w:rPr>
          <w:rFonts w:ascii="Arial" w:cs="Arial" w:eastAsia="Arial" w:hAnsi="Arial"/>
          <w:sz w:val="18"/>
          <w:szCs w:val="18"/>
          <w:color w:val="auto"/>
        </w:rPr>
        <w:t>Ecommerce vehicle gross profit increased $11.1 million, or 166.3%, from $6.7 million for the three months ended March 31, 2020 to $17.8 million for the three months ended March 31, 2021. The increase in vehicle gross profit was primarily attributable to the 7,574 increase in ecommerce units sold, which increased vehicle gross profit by $6.4 million as well as a $306 increase in vehicle gross profit per unit, which increased vehicle gross profit by $4.7 million. Vehicle gross profit per unit increased from $ 845 for the three months ended March 31, 2020 to $1,151 for the three months ended March 31, 2021, primarily attributable to improvements in reconditioning costs as well as a higher inventory reserve in the first quarter of 2020 due to the beginning of the COVID-19 pandemic.</w:t>
      </w:r>
    </w:p>
    <w:p>
      <w:pPr>
        <w:spacing w:after="0" w:line="205" w:lineRule="exact"/>
        <w:rPr>
          <w:sz w:val="20"/>
          <w:szCs w:val="20"/>
          <w:color w:val="auto"/>
        </w:rPr>
      </w:pPr>
    </w:p>
    <w:p>
      <w:pPr>
        <w:ind w:right="160" w:firstLine="761"/>
        <w:spacing w:after="0" w:line="246" w:lineRule="auto"/>
        <w:rPr>
          <w:sz w:val="20"/>
          <w:szCs w:val="20"/>
          <w:color w:val="auto"/>
        </w:rPr>
      </w:pPr>
      <w:r>
        <w:rPr>
          <w:rFonts w:ascii="Arial" w:cs="Arial" w:eastAsia="Arial" w:hAnsi="Arial"/>
          <w:sz w:val="18"/>
          <w:szCs w:val="18"/>
          <w:color w:val="auto"/>
        </w:rPr>
        <w:t>As we continue to mature our infrastructure and increase and optimize our network of VRCs, we expect ecommerce vehicle gross profit per unit to increase in the future driven by optimizing our acquisition strategy and reducing costs in logistics and reconditioning.</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Gross Profit</w:t>
      </w:r>
    </w:p>
    <w:p>
      <w:pPr>
        <w:spacing w:after="0" w:line="126" w:lineRule="exact"/>
        <w:rPr>
          <w:sz w:val="20"/>
          <w:szCs w:val="20"/>
          <w:color w:val="auto"/>
        </w:rPr>
      </w:pPr>
    </w:p>
    <w:p>
      <w:pPr>
        <w:ind w:right="180" w:firstLine="761"/>
        <w:spacing w:after="0" w:line="237" w:lineRule="auto"/>
        <w:rPr>
          <w:sz w:val="20"/>
          <w:szCs w:val="20"/>
          <w:color w:val="auto"/>
        </w:rPr>
      </w:pPr>
      <w:r>
        <w:rPr>
          <w:rFonts w:ascii="Arial" w:cs="Arial" w:eastAsia="Arial" w:hAnsi="Arial"/>
          <w:sz w:val="18"/>
          <w:szCs w:val="18"/>
          <w:color w:val="auto"/>
        </w:rPr>
        <w:t>Ecommerce product gross profit increased $6.4 million, or 85.0%, from $7.6 million for the three months ended March 31, 2020 to $14.0 million for the three months ended March 31, 2021. The increase in ecommerce product gross profit was primarily attributable to the 7,574 increase in ecommerce units sold which increased product gross profit by $7.2 million, partially offset by a slight decrease in product revenue per unit, which decreased product revenue by $ 0.8 million. We expect ecommerce product revenue will continue to grow in the future driven by increases in ecommerce units sold, new product offerings, initiatives to improve product attachment rates and increases in per unit profit.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Wholesale segment results of operations for the periods indicated: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2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5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Change</w:t>
            </w:r>
          </w:p>
        </w:tc>
        <w:tc>
          <w:tcPr>
            <w:tcW w:w="120" w:type="dxa"/>
            <w:vAlign w:val="bottom"/>
            <w:vMerge w:val="restart"/>
          </w:tcPr>
          <w:p>
            <w:pPr>
              <w:spacing w:after="0"/>
              <w:rPr>
                <w:sz w:val="15"/>
                <w:szCs w:val="15"/>
                <w:color w:val="auto"/>
              </w:rPr>
            </w:pPr>
          </w:p>
        </w:tc>
        <w:tc>
          <w:tcPr>
            <w:tcW w:w="134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5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20" w:type="dxa"/>
            <w:vAlign w:val="bottom"/>
            <w:gridSpan w:val="5"/>
          </w:tcPr>
          <w:p>
            <w:pPr>
              <w:ind w:left="80"/>
              <w:spacing w:after="0"/>
              <w:rPr>
                <w:sz w:val="20"/>
                <w:szCs w:val="20"/>
                <w:color w:val="auto"/>
              </w:rPr>
            </w:pPr>
            <w:r>
              <w:rPr>
                <w:rFonts w:ascii="Arial" w:cs="Arial" w:eastAsia="Arial" w:hAnsi="Arial"/>
                <w:sz w:val="14"/>
                <w:szCs w:val="14"/>
                <w:b w:val="1"/>
                <w:bCs w:val="1"/>
                <w:color w:val="auto"/>
              </w:rPr>
              <w:t>(in thousands, except unit data)</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Wholesale units sold</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8,641</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4,685</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3,956</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Wholesale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8"/>
              <w:spacing w:after="0"/>
              <w:rPr>
                <w:sz w:val="20"/>
                <w:szCs w:val="20"/>
                <w:color w:val="auto"/>
              </w:rPr>
            </w:pPr>
            <w:r>
              <w:rPr>
                <w:rFonts w:ascii="Arial" w:cs="Arial" w:eastAsia="Arial" w:hAnsi="Arial"/>
                <w:sz w:val="18"/>
                <w:szCs w:val="18"/>
                <w:color w:val="auto"/>
              </w:rPr>
              <w:t>118,024</w:t>
            </w:r>
          </w:p>
        </w:tc>
        <w:tc>
          <w:tcPr>
            <w:tcW w:w="12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55,578</w:t>
            </w:r>
          </w:p>
        </w:tc>
        <w:tc>
          <w:tcPr>
            <w:tcW w:w="1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62,446</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Wholesale gross loss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(1,292)</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1,010</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Average selling price per unit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8"/>
              <w:spacing w:after="0"/>
              <w:rPr>
                <w:sz w:val="20"/>
                <w:szCs w:val="20"/>
                <w:color w:val="auto"/>
              </w:rPr>
            </w:pPr>
            <w:r>
              <w:rPr>
                <w:rFonts w:ascii="Arial" w:cs="Arial" w:eastAsia="Arial" w:hAnsi="Arial"/>
                <w:sz w:val="18"/>
                <w:szCs w:val="18"/>
                <w:color w:val="auto"/>
              </w:rPr>
              <w:t>13,659</w:t>
            </w:r>
          </w:p>
        </w:tc>
        <w:tc>
          <w:tcPr>
            <w:tcW w:w="12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11,863</w:t>
            </w:r>
          </w:p>
        </w:tc>
        <w:tc>
          <w:tcPr>
            <w:tcW w:w="1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1,796</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Wholesale gross loss per unit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Units</w:t>
      </w:r>
    </w:p>
    <w:p>
      <w:pPr>
        <w:spacing w:after="0" w:line="126" w:lineRule="exact"/>
        <w:rPr>
          <w:sz w:val="20"/>
          <w:szCs w:val="20"/>
          <w:color w:val="auto"/>
        </w:rPr>
      </w:pPr>
    </w:p>
    <w:p>
      <w:pPr>
        <w:ind w:right="480" w:firstLine="761"/>
        <w:spacing w:after="0" w:line="238" w:lineRule="auto"/>
        <w:rPr>
          <w:sz w:val="20"/>
          <w:szCs w:val="20"/>
          <w:color w:val="auto"/>
        </w:rPr>
      </w:pPr>
      <w:r>
        <w:rPr>
          <w:rFonts w:ascii="Arial" w:cs="Arial" w:eastAsia="Arial" w:hAnsi="Arial"/>
          <w:sz w:val="18"/>
          <w:szCs w:val="18"/>
          <w:color w:val="auto"/>
        </w:rPr>
        <w:t>Wholesale units sold increased 3,956, or 84.4%, from 4,685 for the three months ended March 31, 2020 to 8,641 for the three months ended March 31, 2021, primarily driven by an increase of wholesale grade units purchased from consumers, an increase in the number of trade-in vehicles as a result of the increase in number of ecommerce units sold, and the liquidation of the remaining aged inventory that commenced in the fourth quarter of 2020.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Revenue</w:t>
      </w:r>
    </w:p>
    <w:p>
      <w:pPr>
        <w:spacing w:after="0" w:line="126" w:lineRule="exact"/>
        <w:rPr>
          <w:sz w:val="20"/>
          <w:szCs w:val="20"/>
          <w:color w:val="auto"/>
        </w:rPr>
      </w:pPr>
    </w:p>
    <w:p>
      <w:pPr>
        <w:ind w:right="80" w:firstLine="761"/>
        <w:spacing w:after="0" w:line="257" w:lineRule="auto"/>
        <w:rPr>
          <w:sz w:val="20"/>
          <w:szCs w:val="20"/>
          <w:color w:val="auto"/>
        </w:rPr>
      </w:pPr>
      <w:r>
        <w:rPr>
          <w:rFonts w:ascii="Arial" w:cs="Arial" w:eastAsia="Arial" w:hAnsi="Arial"/>
          <w:sz w:val="17"/>
          <w:szCs w:val="17"/>
          <w:color w:val="auto"/>
        </w:rPr>
        <w:t>Wholesale revenue increased $ 62.4 million, or 112.4%, from $55.6 million for the three months ended March 31, 2020 to $118.0 million for the three months ended March 31, 2021. The increase was primarily attributable to the 3,956 increase in wholesale units sold, which increased wholesale revenue by $46.9 million, as well as a higher ASP per wholesale unit, which increased from $ 11,863 for the three months ended March 31, 2020 to $13,659 for the three months ended March 31, 2021 and increased wholesale revenue by $15.5 million.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Gross Loss</w:t>
      </w:r>
    </w:p>
    <w:p>
      <w:pPr>
        <w:spacing w:after="0" w:line="126" w:lineRule="exact"/>
        <w:rPr>
          <w:sz w:val="20"/>
          <w:szCs w:val="20"/>
          <w:color w:val="auto"/>
        </w:rPr>
      </w:pPr>
    </w:p>
    <w:p>
      <w:pPr>
        <w:ind w:right="100" w:firstLine="761"/>
        <w:spacing w:after="0" w:line="237" w:lineRule="auto"/>
        <w:rPr>
          <w:sz w:val="20"/>
          <w:szCs w:val="20"/>
          <w:color w:val="auto"/>
        </w:rPr>
      </w:pPr>
      <w:r>
        <w:rPr>
          <w:rFonts w:ascii="Arial" w:cs="Arial" w:eastAsia="Arial" w:hAnsi="Arial"/>
          <w:sz w:val="18"/>
          <w:szCs w:val="18"/>
          <w:color w:val="auto"/>
        </w:rPr>
        <w:t>Wholesale gross loss decreased $1.0 million from $1.3 million for the three months ended March 31, 2020 to $0.3 million for the three months ended March 31, 2021. The decrease was primarily attributable to a $243 decrease in wholesale gross loss per unit, which decreased wholesale gross loss by $2.1 million, partially offset by an increase in wholesale units sold, which increased wholesale gross loss by $1.1 million. The decrease in wholesale gross loss per unit was primarily attributable to higher sales margins during the three months ended March 31, 2021 as a result of improved wholesale market conditions as well as a higher inventory reserve in the first quarter of 2020 due to the beginning of the COVID-19 pandemic.</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TDA</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TDA segment results of operations for the periods indicated: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5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center"/>
              <w:ind w:left="635"/>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Change</w:t>
            </w:r>
          </w:p>
        </w:tc>
        <w:tc>
          <w:tcPr>
            <w:tcW w:w="120" w:type="dxa"/>
            <w:vAlign w:val="bottom"/>
            <w:vMerge w:val="restart"/>
          </w:tcPr>
          <w:p>
            <w:pPr>
              <w:spacing w:after="0"/>
              <w:rPr>
                <w:sz w:val="15"/>
                <w:szCs w:val="15"/>
                <w:color w:val="auto"/>
              </w:rPr>
            </w:pPr>
          </w:p>
        </w:tc>
        <w:tc>
          <w:tcPr>
            <w:tcW w:w="134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5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92"/>
              <w:spacing w:after="0" w:line="169" w:lineRule="exact"/>
              <w:rPr>
                <w:sz w:val="20"/>
                <w:szCs w:val="20"/>
                <w:color w:val="auto"/>
              </w:rPr>
            </w:pPr>
            <w:r>
              <w:rPr>
                <w:rFonts w:ascii="Arial" w:cs="Arial" w:eastAsia="Arial" w:hAnsi="Arial"/>
                <w:sz w:val="12"/>
                <w:szCs w:val="12"/>
                <w:b w:val="1"/>
                <w:bCs w:val="1"/>
                <w:color w:val="auto"/>
              </w:rPr>
              <w:t xml:space="preserve">2020 </w:t>
            </w:r>
            <w:r>
              <w:rPr>
                <w:rFonts w:ascii="Arial" w:cs="Arial" w:eastAsia="Arial" w:hAnsi="Arial"/>
                <w:sz w:val="19"/>
                <w:szCs w:val="19"/>
                <w:b w:val="1"/>
                <w:bCs w:val="1"/>
                <w:color w:val="auto"/>
                <w:vertAlign w:val="superscript"/>
              </w:rPr>
              <w:t>(1)</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(in thousands, except unit</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data and average days to sale)</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TDA units sold</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1,775</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3,035</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(1,260)</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TDA revenue:</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Vehicle revenue</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46,009</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83,105</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(37,096)</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6"/>
        </w:trPr>
        <w:tc>
          <w:tcPr>
            <w:tcW w:w="55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Product revenue</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1,578</w:t>
            </w:r>
          </w:p>
        </w:tc>
        <w:tc>
          <w:tcPr>
            <w:tcW w:w="1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3,477</w:t>
            </w: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(1,899)</w:t>
            </w:r>
          </w:p>
        </w:tc>
        <w:tc>
          <w:tcPr>
            <w:tcW w:w="120" w:type="dxa"/>
            <w:vAlign w:val="bottom"/>
            <w:tcBorders>
              <w:bottom w:val="single" w:sz="8" w:color="CFF0FC"/>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0"/>
        </w:trPr>
        <w:tc>
          <w:tcPr>
            <w:tcW w:w="5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TDA revenue</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47,587</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86,582</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(38,995)</w:t>
            </w:r>
          </w:p>
        </w:tc>
        <w:tc>
          <w:tcPr>
            <w:tcW w:w="12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8"/>
                <w:szCs w:val="18"/>
                <w:color w:val="auto"/>
              </w:rPr>
              <w:t>TDA gross profit:</w:t>
            </w: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Vehicle gross profit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1,213</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1,781</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55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Product gross profit</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1,578</w:t>
            </w:r>
          </w:p>
        </w:tc>
        <w:tc>
          <w:tcPr>
            <w:tcW w:w="1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3,477</w:t>
            </w: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(1,899)</w:t>
            </w:r>
          </w:p>
        </w:tc>
        <w:tc>
          <w:tcPr>
            <w:tcW w:w="120" w:type="dxa"/>
            <w:vAlign w:val="bottom"/>
            <w:tcBorders>
              <w:bottom w:val="single" w:sz="8" w:color="CFF0FC"/>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09"/>
        </w:trPr>
        <w:tc>
          <w:tcPr>
            <w:tcW w:w="5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TDA gross profit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2,791</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5,258</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(2,467)</w:t>
            </w:r>
          </w:p>
        </w:tc>
        <w:tc>
          <w:tcPr>
            <w:tcW w:w="12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60" w:type="dxa"/>
            <w:vAlign w:val="bottom"/>
          </w:tcPr>
          <w:p>
            <w:pPr>
              <w:spacing w:after="0" w:line="196" w:lineRule="exact"/>
              <w:rPr>
                <w:sz w:val="20"/>
                <w:szCs w:val="20"/>
                <w:color w:val="auto"/>
              </w:rPr>
            </w:pPr>
            <w:r>
              <w:rPr>
                <w:rFonts w:ascii="Arial" w:cs="Arial" w:eastAsia="Arial" w:hAnsi="Arial"/>
                <w:sz w:val="18"/>
                <w:szCs w:val="18"/>
                <w:color w:val="auto"/>
              </w:rPr>
              <w:t>Average vehicle selling price per TDA unit</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5"/>
              <w:spacing w:after="0" w:line="196" w:lineRule="exact"/>
              <w:rPr>
                <w:sz w:val="20"/>
                <w:szCs w:val="20"/>
                <w:color w:val="auto"/>
              </w:rPr>
            </w:pPr>
            <w:r>
              <w:rPr>
                <w:rFonts w:ascii="Arial" w:cs="Arial" w:eastAsia="Arial" w:hAnsi="Arial"/>
                <w:sz w:val="18"/>
                <w:szCs w:val="18"/>
                <w:color w:val="auto"/>
              </w:rPr>
              <w:t>25,921</w:t>
            </w:r>
          </w:p>
        </w:tc>
        <w:tc>
          <w:tcPr>
            <w:tcW w:w="120" w:type="dxa"/>
            <w:vAlign w:val="bottom"/>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2"/>
              <w:spacing w:after="0" w:line="196" w:lineRule="exact"/>
              <w:rPr>
                <w:sz w:val="20"/>
                <w:szCs w:val="20"/>
                <w:color w:val="auto"/>
              </w:rPr>
            </w:pPr>
            <w:r>
              <w:rPr>
                <w:rFonts w:ascii="Arial" w:cs="Arial" w:eastAsia="Arial" w:hAnsi="Arial"/>
                <w:sz w:val="18"/>
                <w:szCs w:val="18"/>
                <w:color w:val="auto"/>
              </w:rPr>
              <w:t>27,382</w:t>
            </w:r>
          </w:p>
        </w:tc>
        <w:tc>
          <w:tcPr>
            <w:tcW w:w="120" w:type="dxa"/>
            <w:vAlign w:val="bottom"/>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(1,461)</w:t>
            </w:r>
          </w:p>
        </w:tc>
        <w:tc>
          <w:tcPr>
            <w:tcW w:w="120" w:type="dxa"/>
            <w:vAlign w:val="bottom"/>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Gross profit per TDA unit:</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260"/>
              <w:spacing w:after="0"/>
              <w:rPr>
                <w:sz w:val="20"/>
                <w:szCs w:val="20"/>
                <w:color w:val="auto"/>
              </w:rPr>
            </w:pPr>
            <w:r>
              <w:rPr>
                <w:rFonts w:ascii="Arial" w:cs="Arial" w:eastAsia="Arial" w:hAnsi="Arial"/>
                <w:sz w:val="18"/>
                <w:szCs w:val="18"/>
                <w:color w:val="auto"/>
              </w:rPr>
              <w:t>Vehicle gross profit per TDA unit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683</w:t>
            </w:r>
          </w:p>
        </w:tc>
        <w:tc>
          <w:tcPr>
            <w:tcW w:w="1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586</w:t>
            </w:r>
          </w:p>
        </w:tc>
        <w:tc>
          <w:tcPr>
            <w:tcW w:w="1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Product gross profit per TDA unit</w:t>
            </w:r>
          </w:p>
        </w:tc>
        <w:tc>
          <w:tcPr>
            <w:tcW w:w="2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889</w:t>
            </w:r>
          </w:p>
        </w:tc>
        <w:tc>
          <w:tcPr>
            <w:tcW w:w="12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1,146</w:t>
            </w:r>
          </w:p>
        </w:tc>
        <w:tc>
          <w:tcPr>
            <w:tcW w:w="1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50"/>
        </w:trPr>
        <w:tc>
          <w:tcPr>
            <w:tcW w:w="5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gross profit per TDA unit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1,572</w:t>
            </w:r>
          </w:p>
        </w:tc>
        <w:tc>
          <w:tcPr>
            <w:tcW w:w="12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1,732</w:t>
            </w:r>
          </w:p>
        </w:tc>
        <w:tc>
          <w:tcPr>
            <w:tcW w:w="12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FF0FC"/>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97"/>
        </w:trPr>
        <w:tc>
          <w:tcPr>
            <w:tcW w:w="55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TDA average days to sale</w:t>
            </w: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56</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50</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740" w:right="80" w:hanging="368"/>
        <w:spacing w:after="0" w:line="258" w:lineRule="auto"/>
        <w:tabs>
          <w:tab w:leader="none" w:pos="7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We reclassified other revenue and gross profit related to the vehicle repair service at TDA from the TDA reportable segment to the “All Other” category to conform to current year presentation.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TDA units</w:t>
      </w:r>
    </w:p>
    <w:p>
      <w:pPr>
        <w:spacing w:after="0" w:line="126" w:lineRule="exact"/>
        <w:rPr>
          <w:sz w:val="20"/>
          <w:szCs w:val="20"/>
          <w:color w:val="auto"/>
        </w:rPr>
      </w:pPr>
    </w:p>
    <w:p>
      <w:pPr>
        <w:ind w:right="140" w:firstLine="761"/>
        <w:spacing w:after="0" w:line="274" w:lineRule="auto"/>
        <w:rPr>
          <w:sz w:val="20"/>
          <w:szCs w:val="20"/>
          <w:color w:val="auto"/>
        </w:rPr>
      </w:pPr>
      <w:r>
        <w:rPr>
          <w:rFonts w:ascii="Arial" w:cs="Arial" w:eastAsia="Arial" w:hAnsi="Arial"/>
          <w:sz w:val="17"/>
          <w:szCs w:val="17"/>
          <w:color w:val="auto"/>
        </w:rPr>
        <w:t>TDA units sold decreased 1,260, or 41.5%, from 3,035 for the three months ended March 31, 2020 to 1,775 for the three months ended March 31, 2021. The decrease was a result of reduced inventory at the TDA location as the ecommerce business continues to scale.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Revenue</w:t>
      </w:r>
    </w:p>
    <w:p>
      <w:pPr>
        <w:spacing w:after="0" w:line="126" w:lineRule="exact"/>
        <w:rPr>
          <w:sz w:val="20"/>
          <w:szCs w:val="20"/>
          <w:color w:val="auto"/>
        </w:rPr>
      </w:pPr>
    </w:p>
    <w:p>
      <w:pPr>
        <w:ind w:right="260" w:firstLine="761"/>
        <w:spacing w:after="0" w:line="238" w:lineRule="auto"/>
        <w:rPr>
          <w:sz w:val="20"/>
          <w:szCs w:val="20"/>
          <w:color w:val="auto"/>
        </w:rPr>
      </w:pPr>
      <w:r>
        <w:rPr>
          <w:rFonts w:ascii="Arial" w:cs="Arial" w:eastAsia="Arial" w:hAnsi="Arial"/>
          <w:sz w:val="18"/>
          <w:szCs w:val="18"/>
          <w:color w:val="auto"/>
        </w:rPr>
        <w:t>TDA vehicle revenue decreased $37.1 million, or 44.6%, from $83.1 million for the three months ended March 31, 2020 to $ 46.0 million for the three months ended March 31, 2021. The decrease in TDA vehicle revenue was primarily due to the 1,260 decrease in TDA units sold, which decreased TDA vehicle revenue by $34.5 million and a lower ASP per unit, which decreased from $27,382 for the three months ended March 31, 2020 to $25,921 for the three months ended March 31, 2021 and decreased revenue by $2.6 million.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26" w:lineRule="exact"/>
        <w:rPr>
          <w:sz w:val="20"/>
          <w:szCs w:val="20"/>
          <w:color w:val="auto"/>
        </w:rPr>
      </w:pPr>
    </w:p>
    <w:p>
      <w:pPr>
        <w:ind w:right="40" w:firstLine="761"/>
        <w:spacing w:after="0" w:line="238" w:lineRule="auto"/>
        <w:rPr>
          <w:sz w:val="20"/>
          <w:szCs w:val="20"/>
          <w:color w:val="auto"/>
        </w:rPr>
      </w:pPr>
      <w:r>
        <w:rPr>
          <w:rFonts w:ascii="Arial" w:cs="Arial" w:eastAsia="Arial" w:hAnsi="Arial"/>
          <w:sz w:val="18"/>
          <w:szCs w:val="18"/>
          <w:color w:val="auto"/>
        </w:rPr>
        <w:t>TDA product revenue decreased $1.9 million, or 54.6%, from $3.5 million for the three months ended March 31, 2020 to $1.6 million for the three months ended March 31, 2021. The decrease in TDA product revenue was primarily attributable to the 1,260 decrease in TDA units sold, which decreased TDA product revenue by $1.4 million, as well as the decrease in product revenue per unit, which decreased revenue by $0.5 million.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Gross Profit</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TDA vehicle gross profit decreased $0.6 million, or 31.9%, from $1.8 million for the three months ended March 31, 2020 to</w:t>
      </w:r>
    </w:p>
    <w:p>
      <w:pPr>
        <w:ind w:right="40"/>
        <w:spacing w:after="0" w:line="238" w:lineRule="auto"/>
        <w:rPr>
          <w:sz w:val="20"/>
          <w:szCs w:val="20"/>
          <w:color w:val="auto"/>
        </w:rPr>
      </w:pPr>
      <w:r>
        <w:rPr>
          <w:rFonts w:ascii="Arial" w:cs="Arial" w:eastAsia="Arial" w:hAnsi="Arial"/>
          <w:sz w:val="18"/>
          <w:szCs w:val="18"/>
          <w:color w:val="auto"/>
        </w:rPr>
        <w:t>$1.2 million for the three months ended March 31, 2021. The decrease in vehicle gross profit was primarily attributable to the 1,260 decrease in TDA units sold, which decreased TDA vehicle gross profit by $ 0.7 million, partially offset by a $97 increase in TDA vehicle gross profit per unit, which increased vehicle gross profit by $0.1 million. Vehicle gross profit per unit increased from $586 for the three months ended March 31, 2020 to $683 for the three months ended March 31, 2021, primarily attributable to improvements in reconditioning costs as well as a higher inventory reserve in the first quarter of 2020 due to the beginning of the COVID-19 pandemic.</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Gross Profit</w:t>
      </w:r>
    </w:p>
    <w:p>
      <w:pPr>
        <w:spacing w:after="0" w:line="126" w:lineRule="exact"/>
        <w:rPr>
          <w:sz w:val="20"/>
          <w:szCs w:val="20"/>
          <w:color w:val="auto"/>
        </w:rPr>
      </w:pPr>
    </w:p>
    <w:p>
      <w:pPr>
        <w:ind w:right="20" w:firstLine="761"/>
        <w:spacing w:after="0" w:line="238" w:lineRule="auto"/>
        <w:rPr>
          <w:sz w:val="20"/>
          <w:szCs w:val="20"/>
          <w:color w:val="auto"/>
        </w:rPr>
      </w:pPr>
      <w:r>
        <w:rPr>
          <w:rFonts w:ascii="Arial" w:cs="Arial" w:eastAsia="Arial" w:hAnsi="Arial"/>
          <w:sz w:val="18"/>
          <w:szCs w:val="18"/>
          <w:color w:val="auto"/>
        </w:rPr>
        <w:t>TDA product gross profit decreased $1.9 million, or 54.6% from $3.5 million for the three months ended March 31, 2020 to $1.6 million for the three months ended March 31, 2021. The decrease in TDA product gross profit was primarily attributable to the 1,260 decrease in TDA units sold, which decreased TDA product gross profit by $1.4 million as well as the decrease in product gross profit per unit, which decreased gross profit by $0.5 million.</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center"/>
              <w:ind w:left="477"/>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Change</w:t>
            </w:r>
          </w:p>
        </w:tc>
        <w:tc>
          <w:tcPr>
            <w:tcW w:w="120" w:type="dxa"/>
            <w:vAlign w:val="bottom"/>
            <w:vMerge w:val="restart"/>
          </w:tcPr>
          <w:p>
            <w:pPr>
              <w:spacing w:after="0"/>
              <w:rPr>
                <w:sz w:val="15"/>
                <w:szCs w:val="15"/>
                <w:color w:val="auto"/>
              </w:rPr>
            </w:pPr>
          </w:p>
        </w:tc>
        <w:tc>
          <w:tcPr>
            <w:tcW w:w="126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gridSpan w:val="3"/>
          </w:tcPr>
          <w:p>
            <w:pPr>
              <w:jc w:val="center"/>
              <w:ind w:left="457"/>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Compensation &amp; benefits</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39,870</w:t>
            </w:r>
          </w:p>
        </w:tc>
        <w:tc>
          <w:tcPr>
            <w:tcW w:w="5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20,321</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19,549</w:t>
            </w: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Marketing expense</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29,558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17,915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11,643</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Outbound logistics </w:t>
            </w:r>
            <w:r>
              <w:rPr>
                <w:rFonts w:ascii="Arial" w:cs="Arial" w:eastAsia="Arial" w:hAnsi="Arial"/>
                <w:sz w:val="15"/>
                <w:szCs w:val="15"/>
                <w:color w:val="auto"/>
              </w:rPr>
              <w:t>(1)</w:t>
            </w: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15,366</w:t>
            </w: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5,792</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9,574</w:t>
            </w: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Occupancy and related costs</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3,922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2,697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1,225</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3,998</w:t>
            </w: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2,459</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1,539</w:t>
            </w: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16"/>
        </w:trPr>
        <w:tc>
          <w:tcPr>
            <w:tcW w:w="4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16,400</w:t>
            </w:r>
          </w:p>
        </w:tc>
        <w:tc>
          <w:tcPr>
            <w:tcW w:w="12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9,196</w:t>
            </w:r>
          </w:p>
        </w:tc>
        <w:tc>
          <w:tcPr>
            <w:tcW w:w="1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7,204</w:t>
            </w:r>
          </w:p>
        </w:tc>
        <w:tc>
          <w:tcPr>
            <w:tcW w:w="120" w:type="dxa"/>
            <w:vAlign w:val="bottom"/>
            <w:tcBorders>
              <w:bottom w:val="single" w:sz="8" w:color="CFF0FC"/>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09"/>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Total selling, general &amp; administrative expenses</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109,114</w:t>
            </w:r>
          </w:p>
        </w:tc>
        <w:tc>
          <w:tcPr>
            <w:tcW w:w="5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58,380</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50,734</w:t>
            </w: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740" w:right="140" w:hanging="368"/>
        <w:spacing w:after="0" w:line="258" w:lineRule="auto"/>
        <w:tabs>
          <w:tab w:leader="none" w:pos="7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Outbound logistics includes fuel, maintenance and depreciation related to operating our proprietary logistics network, and third party transportation fees, except the portion related to inbound transportation from the point of acquisition to the relevant reconditioning facility, which is included in cost of sales</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Selling, general and administrative expenses increased $50.7 million, or 86.9%, from $58.4 million for the three months ended</w:t>
      </w:r>
    </w:p>
    <w:p>
      <w:pPr>
        <w:spacing w:after="0"/>
        <w:rPr>
          <w:sz w:val="20"/>
          <w:szCs w:val="20"/>
          <w:color w:val="auto"/>
        </w:rPr>
      </w:pPr>
      <w:r>
        <w:rPr>
          <w:rFonts w:ascii="Arial" w:cs="Arial" w:eastAsia="Arial" w:hAnsi="Arial"/>
          <w:sz w:val="18"/>
          <w:szCs w:val="18"/>
          <w:color w:val="auto"/>
        </w:rPr>
        <w:t>March 31, 2020 to $109.1 million for the three months ended March 31, 2021. The increase was primarily due to:</w:t>
      </w:r>
    </w:p>
    <w:p>
      <w:pPr>
        <w:spacing w:after="0" w:line="104" w:lineRule="exact"/>
        <w:rPr>
          <w:sz w:val="20"/>
          <w:szCs w:val="20"/>
          <w:color w:val="auto"/>
        </w:rPr>
      </w:pPr>
    </w:p>
    <w:p>
      <w:pPr>
        <w:jc w:val="both"/>
        <w:ind w:left="1000" w:right="200" w:hanging="236"/>
        <w:spacing w:after="0" w:line="238"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$19.5 million increase in compensation and benefits as a result of an increase in headcount, an increase in variable fees for third-party sales and sales support providers, as well as a $2.2 million increase in stock-based compensation from $0.6 million for the three months ended March 31, 2020 to $2.8 million for the three months ended March 31, 2021, as a result of our initial public offering (the “IPO”);</w:t>
      </w:r>
    </w:p>
    <w:p>
      <w:pPr>
        <w:spacing w:after="0" w:line="96" w:lineRule="exact"/>
        <w:rPr>
          <w:rFonts w:ascii="Arial" w:cs="Arial" w:eastAsia="Arial" w:hAnsi="Arial"/>
          <w:sz w:val="18"/>
          <w:szCs w:val="18"/>
          <w:color w:val="auto"/>
        </w:rPr>
      </w:pPr>
    </w:p>
    <w:p>
      <w:pPr>
        <w:ind w:left="1000" w:right="220" w:hanging="236"/>
        <w:spacing w:after="0" w:line="246"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$11.6 million increase in marketing expense as we expanded our national broad-reach advertising and aired our first Super Bowl commercial;</w:t>
      </w:r>
    </w:p>
    <w:p>
      <w:pPr>
        <w:spacing w:after="0" w:line="88" w:lineRule="exact"/>
        <w:rPr>
          <w:rFonts w:ascii="Arial" w:cs="Arial" w:eastAsia="Arial" w:hAnsi="Arial"/>
          <w:sz w:val="18"/>
          <w:szCs w:val="18"/>
          <w:color w:val="auto"/>
        </w:rPr>
      </w:pPr>
    </w:p>
    <w:p>
      <w:pPr>
        <w:ind w:left="1000" w:right="80" w:hanging="236"/>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$9.6 million increase in outbound logistics costs attributable to the growth in ecommerce units sold, which increased outbound logistics costs by $5.5 million, and increases in market rates of logistics providers, which increased outbound logistics costs by $4.1 million; and</w:t>
      </w:r>
    </w:p>
    <w:p>
      <w:pPr>
        <w:spacing w:after="0" w:line="94" w:lineRule="exact"/>
        <w:rPr>
          <w:rFonts w:ascii="Arial" w:cs="Arial" w:eastAsia="Arial" w:hAnsi="Arial"/>
          <w:sz w:val="18"/>
          <w:szCs w:val="18"/>
          <w:color w:val="auto"/>
        </w:rPr>
      </w:pPr>
    </w:p>
    <w:p>
      <w:pPr>
        <w:ind w:left="1000" w:right="440" w:hanging="236"/>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$7.2 million increase in other selling, general, and administrative expenses primarily related to additional insurance costs associated with being a publicly traded company and volume-based fees for software licenses as our business continues to scale.</w:t>
      </w:r>
    </w:p>
    <w:p>
      <w:pPr>
        <w:spacing w:after="0" w:line="230" w:lineRule="exact"/>
        <w:rPr>
          <w:sz w:val="20"/>
          <w:szCs w:val="20"/>
          <w:color w:val="auto"/>
        </w:rPr>
      </w:pPr>
    </w:p>
    <w:p>
      <w:pPr>
        <w:ind w:right="460" w:firstLine="761"/>
        <w:spacing w:after="0"/>
        <w:rPr>
          <w:sz w:val="20"/>
          <w:szCs w:val="20"/>
          <w:color w:val="auto"/>
        </w:rPr>
      </w:pPr>
      <w:r>
        <w:rPr>
          <w:rFonts w:ascii="Arial" w:cs="Arial" w:eastAsia="Arial" w:hAnsi="Arial"/>
          <w:sz w:val="18"/>
          <w:szCs w:val="18"/>
          <w:color w:val="auto"/>
        </w:rPr>
        <w:t>We expect selling, general and administrative expenses to increase in the future as we scale our business and sell more ecommerce units. We also expect to continue to invest in and improve our customer experience and invest in expanding our proprietary logistics network including our last-mile delivery operations.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26" w:lineRule="exact"/>
        <w:rPr>
          <w:sz w:val="20"/>
          <w:szCs w:val="20"/>
          <w:color w:val="auto"/>
        </w:rPr>
      </w:pPr>
    </w:p>
    <w:p>
      <w:pPr>
        <w:jc w:val="both"/>
        <w:ind w:firstLine="761"/>
        <w:spacing w:after="0"/>
        <w:rPr>
          <w:sz w:val="20"/>
          <w:szCs w:val="20"/>
          <w:color w:val="auto"/>
        </w:rPr>
      </w:pPr>
      <w:r>
        <w:rPr>
          <w:rFonts w:ascii="Arial" w:cs="Arial" w:eastAsia="Arial" w:hAnsi="Arial"/>
          <w:sz w:val="18"/>
          <w:szCs w:val="18"/>
          <w:color w:val="auto"/>
        </w:rPr>
        <w:t>Depreciation and amortization expenses increased $1.6 million, or 168.5%, from $1.0 million for the three months ended March 31, 2020 to $2.6 million for the three months ended March 31, 2021. The increase was primarily due to amortization expense of intangible assets acquired as part of the acquisition of the CarStory business on January 7, 2021.</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26" w:lineRule="exact"/>
        <w:rPr>
          <w:sz w:val="20"/>
          <w:szCs w:val="20"/>
          <w:color w:val="auto"/>
        </w:rPr>
      </w:pPr>
    </w:p>
    <w:p>
      <w:pPr>
        <w:ind w:right="160" w:firstLine="761"/>
        <w:spacing w:after="0"/>
        <w:rPr>
          <w:sz w:val="20"/>
          <w:szCs w:val="20"/>
          <w:color w:val="auto"/>
        </w:rPr>
      </w:pPr>
      <w:r>
        <w:rPr>
          <w:rFonts w:ascii="Arial" w:cs="Arial" w:eastAsia="Arial" w:hAnsi="Arial"/>
          <w:sz w:val="18"/>
          <w:szCs w:val="18"/>
          <w:color w:val="auto"/>
        </w:rPr>
        <w:t>Interest expense increased $1.0 million, or 34.9%, from $2.8 million for the three months ended March 31, 2020 to $3.8 million for the three months ended March 31, 2021. The increase was primarily attributable to a higher outstanding balance of the 2020 Vehicle Floorplan Facility due to the increase in vehicle inventory levels as the business continues to scale.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26" w:lineRule="exact"/>
        <w:rPr>
          <w:sz w:val="20"/>
          <w:szCs w:val="20"/>
          <w:color w:val="auto"/>
        </w:rPr>
      </w:pPr>
    </w:p>
    <w:p>
      <w:pPr>
        <w:ind w:right="140" w:firstLine="761"/>
        <w:spacing w:after="0"/>
        <w:rPr>
          <w:sz w:val="20"/>
          <w:szCs w:val="20"/>
          <w:color w:val="auto"/>
        </w:rPr>
      </w:pPr>
      <w:r>
        <w:rPr>
          <w:rFonts w:ascii="Arial" w:cs="Arial" w:eastAsia="Arial" w:hAnsi="Arial"/>
          <w:sz w:val="18"/>
          <w:szCs w:val="18"/>
          <w:color w:val="auto"/>
        </w:rPr>
        <w:t>Interest income increased $0.3 million, or 17.4%, from $ 2.0 million for the three months ended March 31, 2020 to $2.3 million for the three months ended March 31, 2021. The increase in interest income was primarily driven by higher cash and cash equivalent balances for the three months ended March 31, 2021 as compared to March 31, 2020, as a result of the IPO and follow-on public offering.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operations historically have been financed primarily from the sale of redeemable convertible preferred stock and borrowings</w:t>
      </w:r>
    </w:p>
    <w:p>
      <w:pPr>
        <w:spacing w:after="0" w:line="234" w:lineRule="auto"/>
        <w:rPr>
          <w:sz w:val="20"/>
          <w:szCs w:val="20"/>
          <w:color w:val="auto"/>
        </w:rPr>
      </w:pPr>
      <w:r>
        <w:rPr>
          <w:rFonts w:ascii="Arial" w:cs="Arial" w:eastAsia="Arial" w:hAnsi="Arial"/>
          <w:sz w:val="18"/>
          <w:szCs w:val="18"/>
          <w:color w:val="auto"/>
        </w:rPr>
        <w:t>under our 2020 Vehicle Floorplan Facility. On June 11, 2020, we completed our IPO in which we sold 24,437,500 shares of our common</w:t>
      </w:r>
    </w:p>
    <w:p>
      <w:pPr>
        <w:spacing w:after="0" w:line="235" w:lineRule="auto"/>
        <w:rPr>
          <w:sz w:val="20"/>
          <w:szCs w:val="20"/>
          <w:color w:val="auto"/>
        </w:rPr>
      </w:pPr>
      <w:r>
        <w:rPr>
          <w:rFonts w:ascii="Arial" w:cs="Arial" w:eastAsia="Arial" w:hAnsi="Arial"/>
          <w:sz w:val="18"/>
          <w:szCs w:val="18"/>
          <w:color w:val="auto"/>
        </w:rPr>
        <w:t>stock, which included 3,187,500 shares sold pursuant to the exercise by the underwriters of an over-allotment option to purchase additional</w:t>
      </w:r>
    </w:p>
    <w:p>
      <w:pPr>
        <w:spacing w:after="0" w:line="235" w:lineRule="auto"/>
        <w:rPr>
          <w:sz w:val="20"/>
          <w:szCs w:val="20"/>
          <w:color w:val="auto"/>
        </w:rPr>
      </w:pPr>
      <w:r>
        <w:rPr>
          <w:rFonts w:ascii="Arial" w:cs="Arial" w:eastAsia="Arial" w:hAnsi="Arial"/>
          <w:sz w:val="18"/>
          <w:szCs w:val="18"/>
          <w:color w:val="auto"/>
        </w:rPr>
        <w:t>shares, for proceeds of $504.0 million, net of the underwriting discount and before deducting offering expenses of $7.5 million. On</w:t>
      </w:r>
    </w:p>
    <w:p>
      <w:pPr>
        <w:spacing w:after="0" w:line="235" w:lineRule="auto"/>
        <w:rPr>
          <w:sz w:val="20"/>
          <w:szCs w:val="20"/>
          <w:color w:val="auto"/>
        </w:rPr>
      </w:pPr>
      <w:r>
        <w:rPr>
          <w:rFonts w:ascii="Arial" w:cs="Arial" w:eastAsia="Arial" w:hAnsi="Arial"/>
          <w:sz w:val="18"/>
          <w:szCs w:val="18"/>
          <w:color w:val="auto"/>
        </w:rPr>
        <w:t>September 15, 2020, we completed our follow-on public offering in which we sold 10,800,000 shares of common stock for proceeds of</w:t>
      </w:r>
    </w:p>
    <w:p>
      <w:pPr>
        <w:spacing w:after="0" w:line="235" w:lineRule="auto"/>
        <w:rPr>
          <w:sz w:val="20"/>
          <w:szCs w:val="20"/>
          <w:color w:val="auto"/>
        </w:rPr>
      </w:pPr>
      <w:r>
        <w:rPr>
          <w:rFonts w:ascii="Arial" w:cs="Arial" w:eastAsia="Arial" w:hAnsi="Arial"/>
          <w:sz w:val="18"/>
          <w:szCs w:val="18"/>
          <w:color w:val="auto"/>
        </w:rPr>
        <w:t>$569.5 million, net of the underwriting discount and before deducting offering expenses of $1.5 million. As of March 31, 2021, we had cash</w:t>
      </w:r>
    </w:p>
    <w:p>
      <w:pPr>
        <w:spacing w:after="0"/>
        <w:rPr>
          <w:sz w:val="20"/>
          <w:szCs w:val="20"/>
          <w:color w:val="auto"/>
        </w:rPr>
      </w:pPr>
      <w:r>
        <w:rPr>
          <w:rFonts w:ascii="Arial" w:cs="Arial" w:eastAsia="Arial" w:hAnsi="Arial"/>
          <w:sz w:val="18"/>
          <w:szCs w:val="18"/>
          <w:color w:val="auto"/>
        </w:rPr>
        <w:t>and cash equivalents of $940.3 million.</w:t>
      </w:r>
    </w:p>
    <w:p>
      <w:pPr>
        <w:spacing w:after="0" w:line="212" w:lineRule="exact"/>
        <w:rPr>
          <w:sz w:val="20"/>
          <w:szCs w:val="20"/>
          <w:color w:val="auto"/>
        </w:rPr>
      </w:pPr>
    </w:p>
    <w:p>
      <w:pPr>
        <w:ind w:firstLine="761"/>
        <w:spacing w:after="0" w:line="238" w:lineRule="auto"/>
        <w:rPr>
          <w:sz w:val="20"/>
          <w:szCs w:val="20"/>
          <w:color w:val="auto"/>
        </w:rPr>
      </w:pPr>
      <w:r>
        <w:rPr>
          <w:rFonts w:ascii="Arial" w:cs="Arial" w:eastAsia="Arial" w:hAnsi="Arial"/>
          <w:sz w:val="18"/>
          <w:szCs w:val="18"/>
          <w:color w:val="auto"/>
        </w:rPr>
        <w:t>We anticipate that our existing cash and cash equivalents and the 2020 Vehicle Floorplan Facility will be sufficient to support our working capital and capital expenditure requirements for at least the next twelve months from the date of this Quarterly Report on Form 10-Q. For the three months ended March 31, 2021, we generated a net loss. We have not been profitable since our inception in 2012 and we expect to incur additional losses in the future.</w:t>
      </w:r>
    </w:p>
    <w:p>
      <w:pPr>
        <w:spacing w:after="0" w:line="205" w:lineRule="exact"/>
        <w:rPr>
          <w:sz w:val="20"/>
          <w:szCs w:val="20"/>
          <w:color w:val="auto"/>
        </w:rPr>
      </w:pPr>
    </w:p>
    <w:p>
      <w:pPr>
        <w:ind w:right="100" w:firstLine="761"/>
        <w:spacing w:after="0" w:line="236" w:lineRule="auto"/>
        <w:rPr>
          <w:sz w:val="20"/>
          <w:szCs w:val="20"/>
          <w:color w:val="auto"/>
        </w:rPr>
      </w:pPr>
      <w:r>
        <w:rPr>
          <w:rFonts w:ascii="Arial" w:cs="Arial" w:eastAsia="Arial" w:hAnsi="Arial"/>
          <w:sz w:val="18"/>
          <w:szCs w:val="18"/>
          <w:color w:val="auto"/>
        </w:rPr>
        <w:t>We historically have funded vehicle inventory purchases primarily through our floorplan financing arrangements. Our cash flows from operations may differ substantially from our net loss due to non-cash charges or due to changes in balance sheet accounts. The timing of our cash flows from operating activities can also vary among periods due to the timing of payments made or received. Our future capital requirements will depend on many factors, including our rate of revenue growth, our efforts to reduce costs per unit, the expansion of our inventory and sales and marketing activities, investment in our reconditioning, logistics and customer experience operations, enhancements to our ecommerce platform, and increased hiring efforts. We may be required to seek additional equity or debt financing in the future to fund our operations or to fund our needs for capital expenditures. In the event that additional financing is required, we may not be able to raise it on terms acceptable to us, or at all. If we are unable to raise additional capital or generate cash flows necessary to expand our operations, our business, results of operations and financial condition could be adversely affected.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Financing</w:t>
      </w:r>
    </w:p>
    <w:p>
      <w:pPr>
        <w:spacing w:after="0" w:line="126" w:lineRule="exact"/>
        <w:rPr>
          <w:sz w:val="20"/>
          <w:szCs w:val="20"/>
          <w:color w:val="auto"/>
        </w:rPr>
      </w:pPr>
    </w:p>
    <w:p>
      <w:pPr>
        <w:ind w:right="20" w:firstLine="761"/>
        <w:spacing w:after="0" w:line="246" w:lineRule="auto"/>
        <w:rPr>
          <w:sz w:val="20"/>
          <w:szCs w:val="20"/>
          <w:color w:val="auto"/>
        </w:rPr>
      </w:pPr>
      <w:r>
        <w:rPr>
          <w:rFonts w:ascii="Arial" w:cs="Arial" w:eastAsia="Arial" w:hAnsi="Arial"/>
          <w:sz w:val="18"/>
          <w:szCs w:val="18"/>
          <w:color w:val="auto"/>
        </w:rPr>
        <w:t>As of March 31, 2021, we finance our inventory with a vehicle floorplan facility (the “2020 Vehicle Floorplan Facility”) with Ally Bank, which provides a committed credit line of up to $450.0 million.</w:t>
      </w:r>
    </w:p>
    <w:p>
      <w:pPr>
        <w:spacing w:after="0" w:line="197" w:lineRule="exact"/>
        <w:rPr>
          <w:sz w:val="20"/>
          <w:szCs w:val="20"/>
          <w:color w:val="auto"/>
        </w:rPr>
      </w:pPr>
    </w:p>
    <w:p>
      <w:pPr>
        <w:ind w:right="200" w:firstLine="761"/>
        <w:spacing w:after="0" w:line="237" w:lineRule="auto"/>
        <w:rPr>
          <w:sz w:val="20"/>
          <w:szCs w:val="20"/>
          <w:color w:val="auto"/>
        </w:rPr>
      </w:pPr>
      <w:r>
        <w:rPr>
          <w:rFonts w:ascii="Arial" w:cs="Arial" w:eastAsia="Arial" w:hAnsi="Arial"/>
          <w:sz w:val="18"/>
          <w:szCs w:val="18"/>
          <w:color w:val="auto"/>
        </w:rPr>
        <w:t>The amount of credit available to us under the 2020 Vehicle Floorplan Facility is determined on a monthly basis based on a calculation that considers average outstanding borrowings and vehicle units paid off by us within the three immediately preceding months. Approximately $162.2 million was available under this facility as of March 31, 2021. The maturity date of 2020 Vehicle Floorplan Facility is September 30, 2022. We are required to pay an availability fee on the average unused capacity from the prior quarter if it was greater than 50% of the calculated floorplan allowance, as defined. We are subject to financial covenants that require us to maintain a certain level of equity in the vehicles that are financed, to maintain at least 7.5% of the credit line in cash and cash equivalents and to maintain 10% of the monthly daily floorplan principal balance outstanding on deposit with Ally Bank.</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ind w:right="300" w:firstLine="761"/>
        <w:spacing w:after="0"/>
        <w:rPr>
          <w:sz w:val="20"/>
          <w:szCs w:val="20"/>
          <w:color w:val="auto"/>
        </w:rPr>
      </w:pPr>
      <w:r>
        <w:rPr>
          <w:rFonts w:ascii="Arial" w:cs="Arial" w:eastAsia="Arial" w:hAnsi="Arial"/>
          <w:sz w:val="18"/>
          <w:szCs w:val="18"/>
          <w:color w:val="auto"/>
        </w:rPr>
        <w:t>Outstanding borrowings are due as the vehicles financed are sold, or in any event, on the maturity date. The 2020 Vehicle Floorplan Facility bears interest at a rate equal to the 1-Month LIBOR rate applicable in the immediately preceding month plus a spread of 425 basis points.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Cash Flows from Operating, Investing, and Financing Activities</w:t>
      </w:r>
    </w:p>
    <w:p>
      <w:pPr>
        <w:spacing w:after="0" w:line="23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our cash flows for the three months ended March 31, 2021 and 2020:</w:t>
      </w:r>
    </w:p>
    <w:p>
      <w:pPr>
        <w:spacing w:after="0" w:line="240"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69"/>
        </w:trPr>
        <w:tc>
          <w:tcPr>
            <w:tcW w:w="6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r>
      <w:tr>
        <w:trPr>
          <w:trHeight w:val="196"/>
        </w:trPr>
        <w:tc>
          <w:tcPr>
            <w:tcW w:w="6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7"/>
                <w:szCs w:val="17"/>
                <w:color w:val="auto"/>
              </w:rPr>
            </w:pPr>
          </w:p>
        </w:tc>
      </w:tr>
      <w:tr>
        <w:trPr>
          <w:trHeight w:val="216"/>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operating activities</w:t>
            </w:r>
          </w:p>
        </w:tc>
        <w:tc>
          <w:tcPr>
            <w:tcW w:w="14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29,554</w:t>
            </w:r>
          </w:p>
        </w:tc>
        <w:tc>
          <w:tcPr>
            <w:tcW w:w="16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(25,145)</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(79,384)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(1,699)</w:t>
            </w:r>
          </w:p>
        </w:tc>
      </w:tr>
      <w:tr>
        <w:trPr>
          <w:trHeight w:val="216"/>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 financing activities</w:t>
            </w:r>
          </w:p>
        </w:tc>
        <w:tc>
          <w:tcPr>
            <w:tcW w:w="1060" w:type="dxa"/>
            <w:vAlign w:val="bottom"/>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(73,372)</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9,600</w:t>
            </w:r>
          </w:p>
        </w:tc>
      </w:tr>
      <w:tr>
        <w:trPr>
          <w:trHeight w:val="210"/>
        </w:trPr>
        <w:tc>
          <w:tcPr>
            <w:tcW w:w="6600" w:type="dxa"/>
            <w:vAlign w:val="bottom"/>
          </w:tcPr>
          <w:p>
            <w:pPr>
              <w:spacing w:after="0"/>
              <w:rPr>
                <w:sz w:val="20"/>
                <w:szCs w:val="20"/>
                <w:color w:val="auto"/>
              </w:rPr>
            </w:pPr>
            <w:r>
              <w:rPr>
                <w:rFonts w:ascii="Arial" w:cs="Arial" w:eastAsia="Arial" w:hAnsi="Arial"/>
                <w:sz w:val="18"/>
                <w:szCs w:val="18"/>
                <w:color w:val="auto"/>
              </w:rPr>
              <w:t>Net decrease in cash and cash equivalents and restricted cash</w:t>
            </w: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(123,202)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(17,244)</w:t>
            </w:r>
          </w:p>
        </w:tc>
      </w:tr>
      <w:tr>
        <w:trPr>
          <w:trHeight w:val="216"/>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1060" w:type="dxa"/>
            <w:vAlign w:val="bottom"/>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1,090,039</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219,587</w:t>
            </w:r>
          </w:p>
        </w:tc>
      </w:tr>
      <w:tr>
        <w:trPr>
          <w:trHeight w:val="209"/>
        </w:trPr>
        <w:tc>
          <w:tcPr>
            <w:tcW w:w="6600" w:type="dxa"/>
            <w:vAlign w:val="bottom"/>
          </w:tcPr>
          <w:p>
            <w:pPr>
              <w:spacing w:after="0"/>
              <w:rPr>
                <w:sz w:val="20"/>
                <w:szCs w:val="20"/>
                <w:color w:val="auto"/>
              </w:rPr>
            </w:pPr>
            <w:r>
              <w:rPr>
                <w:rFonts w:ascii="Arial" w:cs="Arial" w:eastAsia="Arial" w:hAnsi="Arial"/>
                <w:sz w:val="18"/>
                <w:szCs w:val="18"/>
                <w:color w:val="auto"/>
              </w:rPr>
              <w:t>Cash and cash equivalents and restricted cash at end of period</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966,837</w:t>
            </w:r>
          </w:p>
        </w:tc>
        <w:tc>
          <w:tcPr>
            <w:tcW w:w="160" w:type="dxa"/>
            <w:vAlign w:val="bottom"/>
          </w:tcPr>
          <w:p>
            <w:pPr>
              <w:spacing w:after="0"/>
              <w:rPr>
                <w:sz w:val="18"/>
                <w:szCs w:val="18"/>
                <w:color w:val="auto"/>
              </w:rPr>
            </w:pPr>
          </w:p>
        </w:tc>
        <w:tc>
          <w:tcPr>
            <w:tcW w:w="540" w:type="dxa"/>
            <w:vAlign w:val="bottom"/>
            <w:gridSpan w:val="2"/>
          </w:tcPr>
          <w:p>
            <w:pPr>
              <w:jc w:val="right"/>
              <w:ind w:right="44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202,343</w:t>
            </w:r>
          </w:p>
        </w:tc>
      </w:tr>
      <w:tr>
        <w:trPr>
          <w:trHeight w:val="20"/>
        </w:trPr>
        <w:tc>
          <w:tcPr>
            <w:tcW w:w="6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39" w:lineRule="exact"/>
        <w:rPr>
          <w:sz w:val="20"/>
          <w:szCs w:val="20"/>
          <w:color w:val="auto"/>
        </w:rPr>
      </w:pPr>
    </w:p>
    <w:p>
      <w:pPr>
        <w:ind w:right="60" w:firstLine="761"/>
        <w:spacing w:after="0" w:line="237" w:lineRule="auto"/>
        <w:rPr>
          <w:sz w:val="20"/>
          <w:szCs w:val="20"/>
          <w:color w:val="auto"/>
        </w:rPr>
      </w:pPr>
      <w:r>
        <w:rPr>
          <w:rFonts w:ascii="Arial" w:cs="Arial" w:eastAsia="Arial" w:hAnsi="Arial"/>
          <w:sz w:val="18"/>
          <w:szCs w:val="18"/>
          <w:color w:val="auto"/>
        </w:rPr>
        <w:t>Net cash flows from operating activities changed by $54.7 million, or 217.5%, from net cash used in operating activities of $25.1 million for the three months ended March 31, 2020 to net cash provided by operating activities of $29.6 million for the three months ended March 31, 2021. The increase is primarily attributable to lower inventory levels and higher accounts payable and accrued expenses for the three months ended March 31, 2021, resulting in a decrease in the use of cash of $92.3 million. Additionally, this increase was partially offset by $36.5 million in incremental net loss after reconciling adjustments for the three months ended March 31, 2021 as compared to for the three months ended March 31, 2020.</w:t>
      </w:r>
    </w:p>
    <w:p>
      <w:pPr>
        <w:spacing w:after="0" w:line="232" w:lineRule="exact"/>
        <w:rPr>
          <w:sz w:val="20"/>
          <w:szCs w:val="20"/>
          <w:color w:val="auto"/>
        </w:rPr>
      </w:pPr>
    </w:p>
    <w:p>
      <w:pPr>
        <w:jc w:val="both"/>
        <w:ind w:right="240" w:firstLine="761"/>
        <w:spacing w:after="0"/>
        <w:rPr>
          <w:sz w:val="20"/>
          <w:szCs w:val="20"/>
          <w:color w:val="auto"/>
        </w:rPr>
      </w:pPr>
      <w:r>
        <w:rPr>
          <w:rFonts w:ascii="Arial" w:cs="Arial" w:eastAsia="Arial" w:hAnsi="Arial"/>
          <w:sz w:val="18"/>
          <w:szCs w:val="18"/>
          <w:color w:val="auto"/>
        </w:rPr>
        <w:t>We finance substantially all our inventories with the 2020 Vehicle Floorplan Facility. In accordance with U.S. GAAP relating to the statement of cash flows, we report all cash flows arising in connection with the 2020 Vehicle Floorplan Facility, as a financing activity in our statement of cash flows.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39" w:lineRule="exact"/>
        <w:rPr>
          <w:sz w:val="20"/>
          <w:szCs w:val="20"/>
          <w:color w:val="auto"/>
        </w:rPr>
      </w:pPr>
    </w:p>
    <w:p>
      <w:pPr>
        <w:ind w:right="140" w:firstLine="761"/>
        <w:spacing w:after="0"/>
        <w:rPr>
          <w:sz w:val="20"/>
          <w:szCs w:val="20"/>
          <w:color w:val="auto"/>
        </w:rPr>
      </w:pPr>
      <w:r>
        <w:rPr>
          <w:rFonts w:ascii="Arial" w:cs="Arial" w:eastAsia="Arial" w:hAnsi="Arial"/>
          <w:sz w:val="18"/>
          <w:szCs w:val="18"/>
          <w:color w:val="auto"/>
        </w:rPr>
        <w:t>Net cash flows used in investing activities increased $77.7 million, from $1.7 million for the three months ended March 31, 2020 to $79.4 million for the three months ended March 31, 2021, primarily as a result of the acquisition of the CarStory business on January 7, 2021.</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39" w:lineRule="exact"/>
        <w:rPr>
          <w:sz w:val="20"/>
          <w:szCs w:val="20"/>
          <w:color w:val="auto"/>
        </w:rPr>
      </w:pPr>
    </w:p>
    <w:p>
      <w:pPr>
        <w:ind w:right="140" w:firstLine="761"/>
        <w:spacing w:after="0" w:line="238" w:lineRule="auto"/>
        <w:rPr>
          <w:sz w:val="20"/>
          <w:szCs w:val="20"/>
          <w:color w:val="auto"/>
        </w:rPr>
      </w:pPr>
      <w:r>
        <w:rPr>
          <w:rFonts w:ascii="Arial" w:cs="Arial" w:eastAsia="Arial" w:hAnsi="Arial"/>
          <w:sz w:val="18"/>
          <w:szCs w:val="18"/>
          <w:color w:val="auto"/>
        </w:rPr>
        <w:t>Net cash flows from financing activities changed by $83.0 million from net cash provided by financing activities of $9.6 million for the three months ended March 31, 2020 to net cash used in financing activities of $73.4 million for the three months ended March 31, 2021. The decrease was primarily related to a net decrease in cash of $67.9 million related to net repayments under our 2020 Vehicle Floorplan Facility and a net decrease in cash of $21.7 million related to the net issuance of Series H preferred stock in 2020.</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34" w:lineRule="exact"/>
        <w:rPr>
          <w:sz w:val="20"/>
          <w:szCs w:val="20"/>
          <w:color w:val="auto"/>
        </w:rPr>
      </w:pPr>
    </w:p>
    <w:p>
      <w:pPr>
        <w:ind w:right="160" w:firstLine="749"/>
        <w:spacing w:after="0" w:line="246" w:lineRule="auto"/>
        <w:rPr>
          <w:sz w:val="20"/>
          <w:szCs w:val="20"/>
          <w:color w:val="auto"/>
        </w:rPr>
      </w:pPr>
      <w:r>
        <w:rPr>
          <w:rFonts w:ascii="Arial" w:cs="Arial" w:eastAsia="Arial" w:hAnsi="Arial"/>
          <w:sz w:val="18"/>
          <w:szCs w:val="18"/>
          <w:color w:val="auto"/>
        </w:rPr>
        <w:t>There have been no material changes to our contractual obligations or commitments outside of the ordinary course of business as compared to those described in our Annual Report.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 Balance Sheet Arrangements</w:t>
      </w:r>
    </w:p>
    <w:p>
      <w:pPr>
        <w:spacing w:after="0" w:line="234" w:lineRule="exact"/>
        <w:rPr>
          <w:sz w:val="20"/>
          <w:szCs w:val="20"/>
          <w:color w:val="auto"/>
        </w:rPr>
      </w:pPr>
    </w:p>
    <w:p>
      <w:pPr>
        <w:ind w:right="120" w:firstLine="761"/>
        <w:spacing w:after="0" w:line="246" w:lineRule="auto"/>
        <w:rPr>
          <w:sz w:val="20"/>
          <w:szCs w:val="20"/>
          <w:color w:val="auto"/>
        </w:rPr>
      </w:pPr>
      <w:r>
        <w:rPr>
          <w:rFonts w:ascii="Arial" w:cs="Arial" w:eastAsia="Arial" w:hAnsi="Arial"/>
          <w:sz w:val="18"/>
          <w:szCs w:val="18"/>
          <w:color w:val="auto"/>
        </w:rPr>
        <w:t>We do not have any off balance sheet arrangements, as defined by applicable regulations of the SEC, that are reasonably likely to have a current or future material effect on our financial condition, results of operations, liquidity, capital expenditures or capital resources.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74" w:lineRule="exact"/>
        <w:rPr>
          <w:sz w:val="20"/>
          <w:szCs w:val="20"/>
          <w:color w:val="auto"/>
        </w:rPr>
      </w:pPr>
    </w:p>
    <w:p>
      <w:pPr>
        <w:ind w:right="140" w:firstLine="761"/>
        <w:spacing w:after="0" w:line="237"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condensed consolidated financial statements, which have been prepared in accordance with U.S. GAAP. In preparing the condensed consolidated financial statements, we make estimates, assumptions and judgments that affect the reported amounts of assets, liabilities, revenue, and expenses and related disclosures. On an ongoing basis, we evaluate our estimates, including, among others, those related to income taxes, the realizability of inventory, stock-based compensation, revenue-related reserves, as well as impairment of goodwill and long-lived assets. We base our estimates on historical experience, market conditions and on various other assumptions that are believed to be reasonable. Actual results may differ from these estimates.</w:t>
      </w:r>
    </w:p>
    <w:p>
      <w:pPr>
        <w:spacing w:after="0" w:line="230" w:lineRule="exact"/>
        <w:rPr>
          <w:sz w:val="20"/>
          <w:szCs w:val="20"/>
          <w:color w:val="auto"/>
        </w:rPr>
      </w:pPr>
    </w:p>
    <w:p>
      <w:pPr>
        <w:ind w:firstLine="761"/>
        <w:spacing w:after="0" w:line="238" w:lineRule="auto"/>
        <w:rPr>
          <w:sz w:val="20"/>
          <w:szCs w:val="20"/>
          <w:color w:val="auto"/>
        </w:rPr>
      </w:pPr>
      <w:r>
        <w:rPr>
          <w:rFonts w:ascii="Arial" w:cs="Arial" w:eastAsia="Arial" w:hAnsi="Arial"/>
          <w:sz w:val="18"/>
          <w:szCs w:val="18"/>
          <w:color w:val="auto"/>
        </w:rPr>
        <w:t>Due to the evolving and uncertain nature of the COVID-19 pandemic, it is reasonably possible that it could materially impact our estimates, particularly those noted above that require consideration of forecasted financial information, in the near to medium term. The ultimate impact will depend on numerous evolving factors that we may not be able to accurately predict, including the duration and extent of the pandemic, the impact of federal, state, local and foreign governmental actions, consumer behavior in response to the pandemic and other economic and operational conditions we may face.</w:t>
      </w:r>
    </w:p>
    <w:p>
      <w:pPr>
        <w:spacing w:after="0" w:line="243" w:lineRule="exact"/>
        <w:rPr>
          <w:sz w:val="20"/>
          <w:szCs w:val="20"/>
          <w:color w:val="auto"/>
        </w:rPr>
      </w:pPr>
    </w:p>
    <w:p>
      <w:pPr>
        <w:ind w:right="140" w:firstLine="761"/>
        <w:spacing w:after="0" w:line="238" w:lineRule="auto"/>
        <w:rPr>
          <w:sz w:val="20"/>
          <w:szCs w:val="20"/>
          <w:color w:val="auto"/>
        </w:rPr>
      </w:pPr>
      <w:r>
        <w:rPr>
          <w:rFonts w:ascii="Arial" w:cs="Arial" w:eastAsia="Arial" w:hAnsi="Arial"/>
          <w:sz w:val="18"/>
          <w:szCs w:val="18"/>
          <w:color w:val="auto"/>
        </w:rPr>
        <w:t>The critical accounting policies that reflect our more significant judgments and estimates used in the preparation of our condensed consolidated financial statements include those described in Note 2—Summary of Significant Accounting Policies and Note 3—Revenue Recognition to our condensed consolidated financial statements included elsewhere in this Quarterly Report on Form 10-Q and Note 2— Summary of Significant Accounting Policies to our consolidated financial statements included in our Annual Report.</w:t>
      </w:r>
    </w:p>
    <w:p>
      <w:pPr>
        <w:spacing w:after="0" w:line="245" w:lineRule="exact"/>
        <w:rPr>
          <w:sz w:val="20"/>
          <w:szCs w:val="20"/>
          <w:color w:val="auto"/>
        </w:rPr>
      </w:pPr>
    </w:p>
    <w:p>
      <w:pPr>
        <w:jc w:val="both"/>
        <w:ind w:right="340" w:firstLine="761"/>
        <w:spacing w:after="0"/>
        <w:rPr>
          <w:sz w:val="20"/>
          <w:szCs w:val="20"/>
          <w:color w:val="auto"/>
        </w:rPr>
      </w:pPr>
      <w:r>
        <w:rPr>
          <w:rFonts w:ascii="Arial" w:cs="Arial" w:eastAsia="Arial" w:hAnsi="Arial"/>
          <w:sz w:val="18"/>
          <w:szCs w:val="18"/>
          <w:color w:val="auto"/>
        </w:rPr>
        <w:t>Except as described in Note 2 to our condensed consolidated financial statements, there have been no material changes to our critical accounting policies and estimates as compared to the critical accounting policies and estimates disclosed in our Annual Report on Form 10-K for the year ended December 31, 2020.</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34" w:lineRule="exact"/>
        <w:rPr>
          <w:sz w:val="20"/>
          <w:szCs w:val="20"/>
          <w:color w:val="auto"/>
        </w:rPr>
      </w:pPr>
    </w:p>
    <w:p>
      <w:pPr>
        <w:ind w:firstLine="761"/>
        <w:spacing w:after="0"/>
        <w:rPr>
          <w:sz w:val="20"/>
          <w:szCs w:val="20"/>
          <w:color w:val="auto"/>
        </w:rPr>
      </w:pPr>
      <w:r>
        <w:rPr>
          <w:rFonts w:ascii="Arial" w:cs="Arial" w:eastAsia="Arial" w:hAnsi="Arial"/>
          <w:sz w:val="18"/>
          <w:szCs w:val="18"/>
          <w:color w:val="auto"/>
        </w:rPr>
        <w:t>See Note 2—Summary of Significant Accounting Policies to our condensed consolidated financial statements included elsewhere in this Quarterly Report on Form 10-Q for a discussion about new accounting pronouncements adopted and not yet adopted as of the date of this report.</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26" w:lineRule="exact"/>
        <w:rPr>
          <w:sz w:val="20"/>
          <w:szCs w:val="20"/>
          <w:color w:val="auto"/>
        </w:rPr>
      </w:pPr>
    </w:p>
    <w:p>
      <w:pPr>
        <w:ind w:right="80" w:firstLine="761"/>
        <w:spacing w:after="0" w:line="246" w:lineRule="auto"/>
        <w:rPr>
          <w:sz w:val="20"/>
          <w:szCs w:val="20"/>
          <w:color w:val="auto"/>
        </w:rPr>
      </w:pPr>
      <w:r>
        <w:rPr>
          <w:rFonts w:ascii="Arial" w:cs="Arial" w:eastAsia="Arial" w:hAnsi="Arial"/>
          <w:sz w:val="18"/>
          <w:szCs w:val="18"/>
          <w:color w:val="auto"/>
        </w:rPr>
        <w:t>Market risk is the risk of economic losses due to adverse changes in financial market prices and rates. Our primary market risk has been interest rate risk. We do not have material exposure to commodity risk.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26" w:lineRule="exact"/>
        <w:rPr>
          <w:sz w:val="20"/>
          <w:szCs w:val="20"/>
          <w:color w:val="auto"/>
        </w:rPr>
      </w:pPr>
    </w:p>
    <w:p>
      <w:pPr>
        <w:ind w:right="20" w:firstLine="761"/>
        <w:spacing w:after="0" w:line="238" w:lineRule="auto"/>
        <w:rPr>
          <w:sz w:val="20"/>
          <w:szCs w:val="20"/>
          <w:color w:val="auto"/>
        </w:rPr>
      </w:pPr>
      <w:r>
        <w:rPr>
          <w:rFonts w:ascii="Arial" w:cs="Arial" w:eastAsia="Arial" w:hAnsi="Arial"/>
          <w:sz w:val="18"/>
          <w:szCs w:val="18"/>
          <w:color w:val="auto"/>
        </w:rPr>
        <w:t>As of March 31, 2021, we had an outstanding balance under the 2020 Vehicle Floorplan Facility of $253.0 million. The 2020 Vehicle Floorplan Facility bears interest at a rate equal to the 1-Month LIBOR rate applicable in the immediately preceding month, plus a spread of 425 basis points. A hypothetical 10% change in interest rates during the periods presented would result in a change to interest expense of $0.4 million for the three months ended March 31, 2021.</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26" w:lineRule="exact"/>
        <w:rPr>
          <w:sz w:val="20"/>
          <w:szCs w:val="20"/>
          <w:color w:val="auto"/>
        </w:rPr>
      </w:pPr>
    </w:p>
    <w:p>
      <w:pPr>
        <w:ind w:right="80" w:firstLine="761"/>
        <w:spacing w:after="0" w:line="238"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6" w:lineRule="exact"/>
        <w:rPr>
          <w:sz w:val="20"/>
          <w:szCs w:val="20"/>
          <w:color w:val="auto"/>
        </w:rPr>
      </w:pPr>
    </w:p>
    <w:p>
      <w:pPr>
        <w:ind w:right="20" w:firstLine="761"/>
        <w:spacing w:after="0" w:line="236"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and as a result of the material weaknesses described below, our principal executive officer and principal financial officer concluded that, as of March 31, 2021, our disclosure controls and procedures were not effective. In light of this fact, our management has performed additional analyses, reconciliations, and other post-closing procedures and has concluded that, notwithstanding the material weaknesses in our internal control over financial reporting, the condensed consolidated financial statements for the periods covered by and included in this Quarterly Report on Form 10-Q fairly state, in all material respects, our financial position, results of operations and cash flows for the periods presented in conformity with U.S. GAAP.</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Weaknesses</w:t>
      </w:r>
    </w:p>
    <w:p>
      <w:pPr>
        <w:spacing w:after="0" w:line="126" w:lineRule="exact"/>
        <w:rPr>
          <w:sz w:val="20"/>
          <w:szCs w:val="20"/>
          <w:color w:val="auto"/>
        </w:rPr>
      </w:pPr>
    </w:p>
    <w:p>
      <w:pPr>
        <w:ind w:right="20" w:firstLine="761"/>
        <w:spacing w:after="0" w:line="236" w:lineRule="auto"/>
        <w:rPr>
          <w:sz w:val="20"/>
          <w:szCs w:val="20"/>
          <w:color w:val="auto"/>
        </w:rPr>
      </w:pPr>
      <w:r>
        <w:rPr>
          <w:rFonts w:ascii="Arial" w:cs="Arial" w:eastAsia="Arial" w:hAnsi="Arial"/>
          <w:sz w:val="18"/>
          <w:szCs w:val="18"/>
          <w:color w:val="auto"/>
        </w:rPr>
        <w:t>A material weakness is a deficiency, or combination of deficiencies, in internal control over financial reporting such that there is a reasonable possibility that a material misstatement of annual or interim financial statements will not be prevented or detected on a timely basis. Internal control over financial reporting is a process designed to provide reasonable assurance regarding the reliability of financial reporting and the preparation of financial statements in accordance with GAAP. In connection with our audit of consolidated financial statements for the year ended December 31, 2018, we identified material weaknesses in our internal control over financial reporting. We did not design or maintain an effective control environment commensurate with our financial reporting requirements. Specifically, we lacked a sufficient complement of personnel with (i) an appropriate level of accounting knowledge, training and experience to appropriately analyze, record and disclose accounting matters timely and accurately, and (ii) an appropriate level of knowledge and experience to establish effective information technology processes and controls. This material weakness contributed to the following material weaknesses:</w:t>
      </w:r>
    </w:p>
    <w:p>
      <w:pPr>
        <w:spacing w:after="0" w:line="99" w:lineRule="exact"/>
        <w:rPr>
          <w:sz w:val="20"/>
          <w:szCs w:val="20"/>
          <w:color w:val="auto"/>
        </w:rPr>
      </w:pPr>
    </w:p>
    <w:p>
      <w:pPr>
        <w:ind w:left="1000" w:hanging="236"/>
        <w:spacing w:after="0" w:line="238"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did not design and maintain adequate controls over the preparation and review of certain account reconciliations and journal entries. Specifically, we did not design and maintain controls to ensure (i) the appropriate segregation of duties in the preparation and review of account reconciliations and journal entries and (ii) account reconciliations and journal entries were reviewed at the appropriate level of precision.</w:t>
      </w:r>
    </w:p>
    <w:p>
      <w:pPr>
        <w:spacing w:after="0" w:line="110" w:lineRule="exact"/>
        <w:rPr>
          <w:rFonts w:ascii="Arial" w:cs="Arial" w:eastAsia="Arial" w:hAnsi="Arial"/>
          <w:sz w:val="18"/>
          <w:szCs w:val="18"/>
          <w:color w:val="auto"/>
        </w:rPr>
      </w:pPr>
    </w:p>
    <w:p>
      <w:pPr>
        <w:ind w:left="1000" w:right="80" w:hanging="236"/>
        <w:spacing w:after="0" w:line="23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did not design and maintain effective controls over certain information technology general controls for information systems and applications that are relevant to the preparation of the consolidated financial statements. Specifically, we did not design and maintain sufficient user and privileged access controls to ensure appropriate segregation of duties and adequate restricted user access to financial applications; program change management controls to ensure that IT program and data changes affecting financial IT applications and underlying accounting records are identified, tested, authorized and implemented appropriately; or computer operations controls as well as testing and approval controls for program development.</w:t>
      </w:r>
    </w:p>
    <w:p>
      <w:pPr>
        <w:spacing w:after="0" w:line="232" w:lineRule="exact"/>
        <w:rPr>
          <w:sz w:val="20"/>
          <w:szCs w:val="20"/>
          <w:color w:val="auto"/>
        </w:rPr>
      </w:pPr>
    </w:p>
    <w:p>
      <w:pPr>
        <w:ind w:firstLine="761"/>
        <w:spacing w:after="0" w:line="238" w:lineRule="auto"/>
        <w:rPr>
          <w:sz w:val="20"/>
          <w:szCs w:val="20"/>
          <w:color w:val="auto"/>
        </w:rPr>
      </w:pPr>
      <w:r>
        <w:rPr>
          <w:rFonts w:ascii="Arial" w:cs="Arial" w:eastAsia="Arial" w:hAnsi="Arial"/>
          <w:sz w:val="18"/>
          <w:szCs w:val="18"/>
          <w:color w:val="auto"/>
        </w:rPr>
        <w:t>The control deficiencies described above did not result in a misstatement to our annual or interim consolidated financial statements. However, each of the control deficiencies described above, if not remediated, could result in a misstatement of one or more account balances or disclosures that would result in a material misstatement to the annual or interim consolidated financial statements that would not be prevented or detected, and, accordingly, we determined that these control deficiencies constitute material weaknesses.</w:t>
      </w:r>
    </w:p>
    <w:p>
      <w:pPr>
        <w:spacing w:after="0" w:line="245" w:lineRule="exact"/>
        <w:rPr>
          <w:sz w:val="20"/>
          <w:szCs w:val="20"/>
          <w:color w:val="auto"/>
        </w:rPr>
      </w:pPr>
    </w:p>
    <w:p>
      <w:pPr>
        <w:ind w:firstLine="761"/>
        <w:spacing w:after="0" w:line="246" w:lineRule="auto"/>
        <w:rPr>
          <w:sz w:val="20"/>
          <w:szCs w:val="20"/>
          <w:color w:val="auto"/>
        </w:rPr>
      </w:pPr>
      <w:r>
        <w:rPr>
          <w:rFonts w:ascii="Arial" w:cs="Arial" w:eastAsia="Arial" w:hAnsi="Arial"/>
          <w:sz w:val="18"/>
          <w:szCs w:val="18"/>
          <w:color w:val="auto"/>
        </w:rPr>
        <w:t>We have concluded that these material weaknesses arose because, as a private company, we did not have the necessary business processes, systems, personnel and related internal controls.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ind w:right="180" w:firstLine="761"/>
        <w:spacing w:after="0" w:line="238" w:lineRule="auto"/>
        <w:rPr>
          <w:sz w:val="20"/>
          <w:szCs w:val="20"/>
          <w:color w:val="auto"/>
        </w:rPr>
      </w:pPr>
      <w:r>
        <w:rPr>
          <w:rFonts w:ascii="Arial" w:cs="Arial" w:eastAsia="Arial" w:hAnsi="Arial"/>
          <w:sz w:val="18"/>
          <w:szCs w:val="18"/>
          <w:color w:val="auto"/>
        </w:rPr>
        <w:t>During the years ended December 31, 2019 and 2020, we commenced measures to address material weaknesses in our internal controls. In particular, we (i) hired additional finance and accounting personnel with expertise in preparation of financial statements and account reconciliations; (ii) further developed and documented our accounting policies; and (iii) hired a director responsible for implementation of information technology general controls. Further, we have continued to take additional steps to remediate these material weaknesses, including:</w:t>
      </w:r>
    </w:p>
    <w:p>
      <w:pPr>
        <w:spacing w:after="0" w:line="94" w:lineRule="exact"/>
        <w:rPr>
          <w:sz w:val="20"/>
          <w:szCs w:val="20"/>
          <w:color w:val="auto"/>
        </w:rPr>
      </w:pPr>
    </w:p>
    <w:p>
      <w:pPr>
        <w:ind w:left="1000" w:hanging="236"/>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hired additional qualified accounting, financial reporting and information technology personnel with public company experience;</w:t>
      </w:r>
    </w:p>
    <w:p>
      <w:pPr>
        <w:spacing w:after="0" w:line="130" w:lineRule="exact"/>
        <w:rPr>
          <w:rFonts w:ascii="Arial" w:cs="Arial" w:eastAsia="Arial" w:hAnsi="Arial"/>
          <w:sz w:val="18"/>
          <w:szCs w:val="18"/>
          <w:color w:val="auto"/>
        </w:rPr>
      </w:pPr>
    </w:p>
    <w:p>
      <w:pPr>
        <w:ind w:left="1000" w:hanging="236"/>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provided additional training for our personnel on internal control over financial reporting;</w:t>
      </w:r>
    </w:p>
    <w:p>
      <w:pPr>
        <w:spacing w:after="0" w:line="130" w:lineRule="exact"/>
        <w:rPr>
          <w:rFonts w:ascii="Arial" w:cs="Arial" w:eastAsia="Arial" w:hAnsi="Arial"/>
          <w:sz w:val="18"/>
          <w:szCs w:val="18"/>
          <w:color w:val="auto"/>
        </w:rPr>
      </w:pPr>
    </w:p>
    <w:p>
      <w:pPr>
        <w:ind w:left="1000" w:hanging="236"/>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implemented new financial systems and processes;</w:t>
      </w:r>
    </w:p>
    <w:p>
      <w:pPr>
        <w:spacing w:after="0" w:line="130" w:lineRule="exact"/>
        <w:rPr>
          <w:rFonts w:ascii="Arial" w:cs="Arial" w:eastAsia="Arial" w:hAnsi="Arial"/>
          <w:sz w:val="18"/>
          <w:szCs w:val="18"/>
          <w:color w:val="auto"/>
        </w:rPr>
      </w:pPr>
    </w:p>
    <w:p>
      <w:pPr>
        <w:ind w:left="1000" w:hanging="236"/>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implemented additional review controls and processes and timely preparation of account reconciliations and analyses;</w:t>
      </w:r>
    </w:p>
    <w:p>
      <w:pPr>
        <w:spacing w:after="0" w:line="130" w:lineRule="exact"/>
        <w:rPr>
          <w:rFonts w:ascii="Arial" w:cs="Arial" w:eastAsia="Arial" w:hAnsi="Arial"/>
          <w:sz w:val="18"/>
          <w:szCs w:val="18"/>
          <w:color w:val="auto"/>
        </w:rPr>
      </w:pPr>
    </w:p>
    <w:p>
      <w:pPr>
        <w:ind w:left="1000" w:hanging="236"/>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implemented processes and controls to better identify and manage segregation of duties; and</w:t>
      </w:r>
    </w:p>
    <w:p>
      <w:pPr>
        <w:spacing w:after="0" w:line="130" w:lineRule="exact"/>
        <w:rPr>
          <w:rFonts w:ascii="Arial" w:cs="Arial" w:eastAsia="Arial" w:hAnsi="Arial"/>
          <w:sz w:val="18"/>
          <w:szCs w:val="18"/>
          <w:color w:val="auto"/>
        </w:rPr>
      </w:pPr>
    </w:p>
    <w:p>
      <w:pPr>
        <w:ind w:left="1000" w:right="600" w:hanging="236"/>
        <w:spacing w:after="0" w:line="246"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engaged an external advisor to assist with evaluating and documenting the design and operating effectiveness of internal controls and assisting with the remediation of deficiencies, as necessary.</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6"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While we believe that the efforts, as described above, have improved our internal control over financial reporting, the implementation of our remediation for the material weaknesses is ongoing and requires validation and testing of the design and operating effectiveness of internal controls over a sustained period of financial reporting cycles. Accordingly, we will not be able to fully remediate these material weaknesses until these steps have been completed. Except as otherwise described herein, there was no change in our internal control over financial reporting (as defined in Rules 13a-15(f) and 15d-15(f) under the Exchange Act) during the three months ended March 31, 2021 that has materially affected, or is reasonably likely to materially affect, our internal control over financial reporting.</w:t>
      </w: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6"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From time to time, we are subject to legal proceedings in the normal course of operating our business. The outcome of litigation, regardless of the merits, is inherently uncertain. Beginning in March 2021, multiple putative class actions were filed in the U.S. District Court for the Southern District of New York by certain of our stockholders against us and certain of our officers alleging violations of federal securities laws. The lawsuits are captioned Zawatsky et al. v. Vroom, Inc. et al., Case No. 21-cv-2477; Holbrook v. Vroom, Inc. et al., Case No. 21-cv-2551; and Hudda v. Vroom, Inc. et al., Case No. 21-cv-3296. All three of the lawsuits assert similar claims under Sections 10(b) and 20(a) of the Exchange Act, and SEC Rule 10b-5. The complaints seek damages purportedly caused by alleged materially misleading statements and/or omissions by us and the named individual officers. In each case, the named plaintiff(s) seek to represent a proposed class of all persons who purchased or otherwise acquired our securities during a period from June 9, 2020 to March 3, 2021 (in the case of Holbrook and Hudda), or November 11, 2020 to March 3, 2021 (in the case of Zawatsky). These cases are in preliminary stages, and we have not yet responded to the complaints. We believe these lawsuits are without merit and intend to vigorously contest these claims. While the outcome of any complex legal proceeding is inherently unpredictable and subject to significant uncertainties, based upon information presently known to management, we believe that the potential liability, if any, will not have a material adverse effect on our financial condition, cash flows, or results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6" w:lineRule="exact"/>
        <w:rPr>
          <w:sz w:val="20"/>
          <w:szCs w:val="20"/>
          <w:color w:val="auto"/>
        </w:rPr>
      </w:pPr>
    </w:p>
    <w:p>
      <w:pPr>
        <w:ind w:right="20" w:firstLine="749"/>
        <w:spacing w:after="0" w:line="257" w:lineRule="auto"/>
        <w:rPr>
          <w:sz w:val="20"/>
          <w:szCs w:val="20"/>
          <w:color w:val="auto"/>
        </w:rPr>
      </w:pPr>
      <w:r>
        <w:rPr>
          <w:rFonts w:ascii="Arial" w:cs="Arial" w:eastAsia="Arial" w:hAnsi="Arial"/>
          <w:sz w:val="17"/>
          <w:szCs w:val="17"/>
          <w:color w:val="auto"/>
        </w:rPr>
        <w:t xml:space="preserve">Our operations and financial results are subject to various risks and uncertainties including those disclosed under “Item 1A. Risk Factors” in our </w:t>
      </w:r>
      <w:r>
        <w:rPr>
          <w:rFonts w:ascii="Arial" w:cs="Arial" w:eastAsia="Arial" w:hAnsi="Arial"/>
          <w:sz w:val="17"/>
          <w:szCs w:val="17"/>
          <w:u w:val="single" w:color="auto"/>
          <w:color w:val="auto"/>
        </w:rPr>
        <w:t>Annual Report</w:t>
      </w:r>
      <w:r>
        <w:rPr>
          <w:rFonts w:ascii="Arial" w:cs="Arial" w:eastAsia="Arial" w:hAnsi="Arial"/>
          <w:sz w:val="17"/>
          <w:szCs w:val="17"/>
          <w:color w:val="auto"/>
        </w:rPr>
        <w:t xml:space="preserve">. We provide below the material changes to our risk factors described in our </w:t>
      </w:r>
      <w:r>
        <w:rPr>
          <w:rFonts w:ascii="Arial" w:cs="Arial" w:eastAsia="Arial" w:hAnsi="Arial"/>
          <w:sz w:val="17"/>
          <w:szCs w:val="17"/>
          <w:u w:val="single" w:color="auto"/>
          <w:color w:val="auto"/>
        </w:rPr>
        <w:t>Annual Report.</w:t>
      </w:r>
      <w:r>
        <w:rPr>
          <w:rFonts w:ascii="Arial" w:cs="Arial" w:eastAsia="Arial" w:hAnsi="Arial"/>
          <w:sz w:val="17"/>
          <w:szCs w:val="17"/>
          <w:color w:val="auto"/>
        </w:rPr>
        <w:t xml:space="preserve"> If any of these risks or others not specified materialize, our business, financial condition and results of operations could be materially and adversely affected. In that case, the trading price of our common stock could decline and you could lose all or part of your investment in our common stock:</w:t>
      </w:r>
    </w:p>
    <w:p>
      <w:pPr>
        <w:spacing w:after="0" w:line="275"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i w:val="1"/>
          <w:iCs w:val="1"/>
          <w:color w:val="auto"/>
        </w:rPr>
        <w:t>Our common stock price may be volatile and the value of our common stock may decline regardless of our operating performance, and you may not be able to resell your shares at or above the price which you paid for them.</w:t>
      </w:r>
    </w:p>
    <w:p>
      <w:pPr>
        <w:spacing w:after="0" w:line="68" w:lineRule="exact"/>
        <w:rPr>
          <w:sz w:val="20"/>
          <w:szCs w:val="20"/>
          <w:color w:val="auto"/>
        </w:rPr>
      </w:pPr>
    </w:p>
    <w:p>
      <w:pPr>
        <w:ind w:right="160" w:firstLine="637"/>
        <w:spacing w:after="0" w:line="246" w:lineRule="auto"/>
        <w:rPr>
          <w:sz w:val="20"/>
          <w:szCs w:val="20"/>
          <w:color w:val="auto"/>
        </w:rPr>
      </w:pPr>
      <w:r>
        <w:rPr>
          <w:rFonts w:ascii="Arial" w:cs="Arial" w:eastAsia="Arial" w:hAnsi="Arial"/>
          <w:sz w:val="18"/>
          <w:szCs w:val="18"/>
          <w:color w:val="auto"/>
        </w:rPr>
        <w:t>It is possible that an active trading market for shares of our common stock will not be sustained, which could make it difficult for you to sell your shares of common stock at an attractive price or at all.</w:t>
      </w:r>
    </w:p>
    <w:p>
      <w:pPr>
        <w:spacing w:after="0" w:line="197" w:lineRule="exact"/>
        <w:rPr>
          <w:sz w:val="20"/>
          <w:szCs w:val="20"/>
          <w:color w:val="auto"/>
        </w:rPr>
      </w:pPr>
    </w:p>
    <w:p>
      <w:pPr>
        <w:ind w:right="40" w:firstLine="637"/>
        <w:spacing w:after="0"/>
        <w:rPr>
          <w:sz w:val="20"/>
          <w:szCs w:val="20"/>
          <w:color w:val="auto"/>
        </w:rPr>
      </w:pPr>
      <w:r>
        <w:rPr>
          <w:rFonts w:ascii="Arial" w:cs="Arial" w:eastAsia="Arial" w:hAnsi="Arial"/>
          <w:sz w:val="18"/>
          <w:szCs w:val="18"/>
          <w:color w:val="auto"/>
        </w:rPr>
        <w:t>Many factors, some of which are outside our control, may cause the market price of our common stock to fluctuate significantly, including those described in the “Risk Factors” sections of our Annual Report and quarterly reports and elsewhere in this Quarterly Report on Form 10-Q, as well as the following:</w:t>
      </w:r>
    </w:p>
    <w:p>
      <w:pPr>
        <w:spacing w:after="0" w:line="95" w:lineRule="exact"/>
        <w:rPr>
          <w:sz w:val="20"/>
          <w:szCs w:val="20"/>
          <w:color w:val="auto"/>
        </w:rPr>
      </w:pPr>
    </w:p>
    <w:p>
      <w:pPr>
        <w:ind w:left="1000" w:hanging="35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operating and financial performance and prospects;</w:t>
      </w:r>
    </w:p>
    <w:p>
      <w:pPr>
        <w:spacing w:after="0" w:line="117" w:lineRule="exact"/>
        <w:rPr>
          <w:rFonts w:ascii="Arial" w:cs="Arial" w:eastAsia="Arial" w:hAnsi="Arial"/>
          <w:sz w:val="18"/>
          <w:szCs w:val="18"/>
          <w:color w:val="auto"/>
        </w:rPr>
      </w:pPr>
    </w:p>
    <w:p>
      <w:pPr>
        <w:ind w:left="1000" w:hanging="35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companies in our industry compared to market expectations;</w:t>
      </w:r>
    </w:p>
    <w:p>
      <w:pPr>
        <w:spacing w:after="0" w:line="117" w:lineRule="exact"/>
        <w:rPr>
          <w:rFonts w:ascii="Arial" w:cs="Arial" w:eastAsia="Arial" w:hAnsi="Arial"/>
          <w:sz w:val="18"/>
          <w:szCs w:val="18"/>
          <w:color w:val="auto"/>
        </w:rPr>
      </w:pPr>
    </w:p>
    <w:p>
      <w:pPr>
        <w:ind w:left="1000" w:hanging="35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guidance regarding future quarterly or annual earnings and our financial results in relation to previously issued guidance;</w:t>
      </w:r>
    </w:p>
    <w:p>
      <w:pPr>
        <w:spacing w:after="0" w:line="117" w:lineRule="exact"/>
        <w:rPr>
          <w:rFonts w:ascii="Arial" w:cs="Arial" w:eastAsia="Arial" w:hAnsi="Arial"/>
          <w:sz w:val="18"/>
          <w:szCs w:val="18"/>
          <w:color w:val="auto"/>
        </w:rPr>
      </w:pPr>
    </w:p>
    <w:p>
      <w:pPr>
        <w:ind w:left="1000" w:right="400" w:hanging="358"/>
        <w:spacing w:after="0" w:line="246"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conditions that impact demand for our offerings and platform, including demand in the automotive industry generally and the performance of the third parties through whom we conduct significant parts of our business;</w:t>
      </w:r>
    </w:p>
    <w:p>
      <w:pPr>
        <w:spacing w:after="0" w:line="88" w:lineRule="exact"/>
        <w:rPr>
          <w:rFonts w:ascii="Arial" w:cs="Arial" w:eastAsia="Arial" w:hAnsi="Arial"/>
          <w:sz w:val="18"/>
          <w:szCs w:val="18"/>
          <w:color w:val="auto"/>
        </w:rPr>
      </w:pPr>
    </w:p>
    <w:p>
      <w:pPr>
        <w:ind w:left="1000" w:hanging="35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future announcements concerning our business or our competitors’ businesses;</w:t>
      </w:r>
    </w:p>
    <w:p>
      <w:pPr>
        <w:spacing w:after="0" w:line="117" w:lineRule="exact"/>
        <w:rPr>
          <w:rFonts w:ascii="Arial" w:cs="Arial" w:eastAsia="Arial" w:hAnsi="Arial"/>
          <w:sz w:val="18"/>
          <w:szCs w:val="18"/>
          <w:color w:val="auto"/>
        </w:rPr>
      </w:pPr>
    </w:p>
    <w:p>
      <w:pPr>
        <w:ind w:left="1000" w:hanging="35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117" w:lineRule="exact"/>
        <w:rPr>
          <w:rFonts w:ascii="Arial" w:cs="Arial" w:eastAsia="Arial" w:hAnsi="Arial"/>
          <w:sz w:val="18"/>
          <w:szCs w:val="18"/>
          <w:color w:val="auto"/>
        </w:rPr>
      </w:pPr>
    </w:p>
    <w:p>
      <w:pPr>
        <w:ind w:left="1000" w:hanging="35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coverage by or changes in financial estimates by securities analysts or failure to meet their expectations;</w:t>
      </w:r>
    </w:p>
    <w:p>
      <w:pPr>
        <w:spacing w:after="0" w:line="117" w:lineRule="exact"/>
        <w:rPr>
          <w:rFonts w:ascii="Arial" w:cs="Arial" w:eastAsia="Arial" w:hAnsi="Arial"/>
          <w:sz w:val="18"/>
          <w:szCs w:val="18"/>
          <w:color w:val="auto"/>
        </w:rPr>
      </w:pPr>
    </w:p>
    <w:p>
      <w:pPr>
        <w:ind w:left="1000" w:hanging="35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 and industry perception of our success, or lack thereof, in pursuing our growth strategy;</w:t>
      </w:r>
    </w:p>
    <w:p>
      <w:pPr>
        <w:spacing w:after="0" w:line="117" w:lineRule="exact"/>
        <w:rPr>
          <w:rFonts w:ascii="Arial" w:cs="Arial" w:eastAsia="Arial" w:hAnsi="Arial"/>
          <w:sz w:val="18"/>
          <w:szCs w:val="18"/>
          <w:color w:val="auto"/>
        </w:rPr>
      </w:pPr>
    </w:p>
    <w:p>
      <w:pPr>
        <w:ind w:left="1000" w:hanging="35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strategic actions by us or our competitors, such as acquisitions or restructurings;</w:t>
      </w:r>
    </w:p>
    <w:p>
      <w:pPr>
        <w:spacing w:after="0" w:line="117" w:lineRule="exact"/>
        <w:rPr>
          <w:rFonts w:ascii="Arial" w:cs="Arial" w:eastAsia="Arial" w:hAnsi="Arial"/>
          <w:sz w:val="18"/>
          <w:szCs w:val="18"/>
          <w:color w:val="auto"/>
        </w:rPr>
      </w:pPr>
    </w:p>
    <w:p>
      <w:pPr>
        <w:ind w:left="1000" w:hanging="35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laws or regulations which adversely affect our industry or us;</w:t>
      </w:r>
    </w:p>
    <w:p>
      <w:pPr>
        <w:spacing w:after="0" w:line="117" w:lineRule="exact"/>
        <w:rPr>
          <w:rFonts w:ascii="Arial" w:cs="Arial" w:eastAsia="Arial" w:hAnsi="Arial"/>
          <w:sz w:val="18"/>
          <w:szCs w:val="18"/>
          <w:color w:val="auto"/>
        </w:rPr>
      </w:pPr>
    </w:p>
    <w:p>
      <w:pPr>
        <w:ind w:left="1000" w:hanging="35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17" w:lineRule="exact"/>
        <w:rPr>
          <w:rFonts w:ascii="Arial" w:cs="Arial" w:eastAsia="Arial" w:hAnsi="Arial"/>
          <w:sz w:val="18"/>
          <w:szCs w:val="18"/>
          <w:color w:val="auto"/>
        </w:rPr>
      </w:pPr>
    </w:p>
    <w:p>
      <w:pPr>
        <w:ind w:left="1000" w:hanging="35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117" w:lineRule="exact"/>
        <w:rPr>
          <w:rFonts w:ascii="Arial" w:cs="Arial" w:eastAsia="Arial" w:hAnsi="Arial"/>
          <w:sz w:val="18"/>
          <w:szCs w:val="18"/>
          <w:color w:val="auto"/>
        </w:rPr>
      </w:pPr>
    </w:p>
    <w:p>
      <w:pPr>
        <w:ind w:left="1000" w:hanging="35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issuances, exchanges or sales, or expected issuances, exchanges or sales of our capital stock;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6" w:lineRule="exact"/>
        <w:rPr>
          <w:sz w:val="20"/>
          <w:szCs w:val="20"/>
          <w:color w:val="auto"/>
        </w:rPr>
      </w:pPr>
    </w:p>
    <w:p>
      <w:pPr>
        <w:ind w:left="1000" w:hanging="35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our dividend policy;</w:t>
      </w:r>
    </w:p>
    <w:p>
      <w:pPr>
        <w:spacing w:after="0" w:line="117" w:lineRule="exact"/>
        <w:rPr>
          <w:rFonts w:ascii="Arial" w:cs="Arial" w:eastAsia="Arial" w:hAnsi="Arial"/>
          <w:sz w:val="18"/>
          <w:szCs w:val="18"/>
          <w:color w:val="auto"/>
        </w:rPr>
      </w:pPr>
    </w:p>
    <w:p>
      <w:pPr>
        <w:ind w:left="1000" w:hanging="35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new, or adverse resolution of pending, litigation or other claims against us; and</w:t>
      </w:r>
    </w:p>
    <w:p>
      <w:pPr>
        <w:spacing w:after="0" w:line="117" w:lineRule="exact"/>
        <w:rPr>
          <w:rFonts w:ascii="Arial" w:cs="Arial" w:eastAsia="Arial" w:hAnsi="Arial"/>
          <w:sz w:val="18"/>
          <w:szCs w:val="18"/>
          <w:color w:val="auto"/>
        </w:rPr>
      </w:pPr>
    </w:p>
    <w:p>
      <w:pPr>
        <w:ind w:left="1000" w:right="240" w:hanging="358"/>
        <w:spacing w:after="0" w:line="274" w:lineRule="auto"/>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in general market, economic and political conditions in the United States and global economies or financial markets, including those resulting from natural disasters, terrorist attacks, global pandemics, acts of war and responses to such events.</w:t>
      </w:r>
    </w:p>
    <w:p>
      <w:pPr>
        <w:spacing w:after="0" w:line="175" w:lineRule="exact"/>
        <w:rPr>
          <w:sz w:val="20"/>
          <w:szCs w:val="20"/>
          <w:color w:val="auto"/>
        </w:rPr>
      </w:pPr>
    </w:p>
    <w:p>
      <w:pPr>
        <w:ind w:right="40" w:firstLine="637"/>
        <w:spacing w:after="0" w:line="236" w:lineRule="auto"/>
        <w:rPr>
          <w:sz w:val="20"/>
          <w:szCs w:val="20"/>
          <w:color w:val="auto"/>
        </w:rPr>
      </w:pPr>
      <w:r>
        <w:rPr>
          <w:rFonts w:ascii="Arial" w:cs="Arial" w:eastAsia="Arial" w:hAnsi="Arial"/>
          <w:sz w:val="18"/>
          <w:szCs w:val="18"/>
          <w:color w:val="auto"/>
        </w:rPr>
        <w:t>As a result, volatility in the market price of our common stock may prevent investors from being able to sell their common stock at or above the price which they paid for them. These broad market and industry factors may materially reduce the market price of our common stock, regardless of our operating performance. In addition, price volatility may be greater if the public float and trading volume of our common stock is low. As a result, you may suffer a loss on your investment. Broad market and industry fluctuations, as well as general economic, political, regulatory, and market conditions, may negatively impact the market price of our common stock. Companies that experience volatility in the market price of their securities often are the subject to securities class action litigation. For example, multiple putative class actions have been filed in the U.S. District Court for the Southern District of New York by certain of our stockholders against us and certain of our officers alleging violations of federal securities laws. See Part II, Item 1. “Legal Proceedings.” We may be the target of additional securities litigation in the future, which could result in substantial costs and divert our management’s attention.</w:t>
      </w:r>
    </w:p>
    <w:p>
      <w:pPr>
        <w:spacing w:after="0" w:line="293" w:lineRule="exact"/>
        <w:rPr>
          <w:sz w:val="20"/>
          <w:szCs w:val="20"/>
          <w:color w:val="auto"/>
        </w:rPr>
      </w:pPr>
    </w:p>
    <w:p>
      <w:pPr>
        <w:ind w:right="440"/>
        <w:spacing w:after="0" w:line="253" w:lineRule="auto"/>
        <w:rPr>
          <w:sz w:val="20"/>
          <w:szCs w:val="20"/>
          <w:color w:val="auto"/>
        </w:rPr>
      </w:pPr>
      <w:r>
        <w:rPr>
          <w:rFonts w:ascii="Arial" w:cs="Arial" w:eastAsia="Arial" w:hAnsi="Arial"/>
          <w:sz w:val="18"/>
          <w:szCs w:val="18"/>
          <w:b w:val="1"/>
          <w:bCs w:val="1"/>
          <w:i w:val="1"/>
          <w:iCs w:val="1"/>
          <w:color w:val="auto"/>
        </w:rPr>
        <w:t>We are, and may in the future be, subject to legal proceedings in the ordinary course of our business. If the outcomes of these proceedings are adverse to us, it could have a material adverse effect on our business, financial condition and results of operations.</w:t>
      </w:r>
    </w:p>
    <w:p>
      <w:pPr>
        <w:spacing w:after="0" w:line="83" w:lineRule="exact"/>
        <w:rPr>
          <w:sz w:val="20"/>
          <w:szCs w:val="20"/>
          <w:color w:val="auto"/>
        </w:rPr>
      </w:pPr>
    </w:p>
    <w:p>
      <w:pPr>
        <w:ind w:right="60" w:firstLine="637"/>
        <w:spacing w:after="0" w:line="236" w:lineRule="auto"/>
        <w:rPr>
          <w:sz w:val="20"/>
          <w:szCs w:val="20"/>
          <w:color w:val="auto"/>
        </w:rPr>
      </w:pPr>
      <w:r>
        <w:rPr>
          <w:rFonts w:ascii="Arial" w:cs="Arial" w:eastAsia="Arial" w:hAnsi="Arial"/>
          <w:sz w:val="18"/>
          <w:szCs w:val="18"/>
          <w:color w:val="auto"/>
        </w:rPr>
        <w:t>We are subject to various litigation matters from time to time, the outcome of which could have a material adverse effect on our business, financial condition and results of operations. Claims arising out of actual or alleged violations of law could be asserted against us by individuals, either individually or through class actions, by governmental entities in civil or criminal investigations and proceedings or by other entities. These claims could be asserted under a variety of laws, including but not limited to consumer finance laws, consumer protection laws, intellectual property laws, privacy laws, labor and employment laws, securities laws and employee benefit laws. These actions could expose us to adverse publicity and to substantial monetary damages and legal defense costs, injunctive relief and criminal and civil fines and penalties, including but not limited to suspension or revocation of licenses to conduct business. For example, multiple putative class actions have been filed in the U.S. District Court for the Southern District of New York by certain of our stockholders against us and certain of our officers alleging violations of federal securities laws. We believe these lawsuits are without merit and intend to vigorously contest these claims. See Part II, Item 1. “Legal Proceedings.”</w:t>
      </w:r>
    </w:p>
    <w:p>
      <w:pPr>
        <w:spacing w:after="0" w:line="332" w:lineRule="exact"/>
        <w:rPr>
          <w:sz w:val="20"/>
          <w:szCs w:val="20"/>
          <w:color w:val="auto"/>
        </w:rPr>
      </w:pPr>
    </w:p>
    <w:p>
      <w:pPr>
        <w:ind w:right="5420"/>
        <w:spacing w:after="0" w:line="372"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b w:val="1"/>
          <w:bCs w:val="1"/>
          <w:i w:val="1"/>
          <w:iCs w:val="1"/>
          <w:color w:val="auto"/>
        </w:rPr>
        <w:t>Unregistered Sales of Equity Securities</w:t>
      </w:r>
    </w:p>
    <w:p>
      <w:pPr>
        <w:spacing w:after="0" w:line="1" w:lineRule="exact"/>
        <w:rPr>
          <w:sz w:val="20"/>
          <w:szCs w:val="20"/>
          <w:color w:val="auto"/>
        </w:rPr>
      </w:pPr>
    </w:p>
    <w:p>
      <w:pPr>
        <w:ind w:right="140" w:firstLine="761"/>
        <w:spacing w:after="0" w:line="238" w:lineRule="auto"/>
        <w:rPr>
          <w:sz w:val="20"/>
          <w:szCs w:val="20"/>
          <w:color w:val="auto"/>
        </w:rPr>
      </w:pPr>
      <w:r>
        <w:rPr>
          <w:rFonts w:ascii="Arial" w:cs="Arial" w:eastAsia="Arial" w:hAnsi="Arial"/>
          <w:sz w:val="18"/>
          <w:szCs w:val="18"/>
          <w:color w:val="auto"/>
        </w:rPr>
        <w:t>On January 7, 2021, we completed the acquisition of 100% of Vast Holdings, Inc. (d/b/a CarStory) and issued 1,072,117 shares of our common stock as partial consideration for the acquisition. The issuance of such shares of common stock was made in reliance on Section 4(a)(2) of the Securities Act of 1933, as amended. See Note 4 — Acquisition to our condensed consolidated financial statements included elsewhere in this Quarterly Report on Form 10-Q for additional information concerning the acquisition.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Public Offering of Common Stock</w:t>
      </w:r>
    </w:p>
    <w:p>
      <w:pPr>
        <w:spacing w:after="0" w:line="126" w:lineRule="exact"/>
        <w:rPr>
          <w:sz w:val="20"/>
          <w:szCs w:val="20"/>
          <w:color w:val="auto"/>
        </w:rPr>
      </w:pPr>
    </w:p>
    <w:p>
      <w:pPr>
        <w:ind w:firstLine="749"/>
        <w:spacing w:after="0" w:line="238" w:lineRule="auto"/>
        <w:rPr>
          <w:sz w:val="20"/>
          <w:szCs w:val="20"/>
          <w:color w:val="auto"/>
        </w:rPr>
      </w:pPr>
      <w:r>
        <w:rPr>
          <w:rFonts w:ascii="Arial" w:cs="Arial" w:eastAsia="Arial" w:hAnsi="Arial"/>
          <w:sz w:val="18"/>
          <w:szCs w:val="18"/>
          <w:color w:val="auto"/>
        </w:rPr>
        <w:t>On June 11, 2020, we completed our IPO. The offer and sale of all of the shares in the IPO were registered under the Securities Act pursuant to a registration statement on Form S-1 (File No. 333-238482), as amended, which was declared effective by the SEC on June 8, 2020. There has been no material change in the planned use of proceeds from our IPO as described in our final prospectus filed with the SEC on June 9, 2020 pursuant to Rule 424(b)(4).</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98" w:lineRule="exact"/>
        <w:rPr>
          <w:sz w:val="20"/>
          <w:szCs w:val="20"/>
          <w:color w:val="auto"/>
        </w:rPr>
      </w:pPr>
    </w:p>
    <w:p>
      <w:pPr>
        <w:jc w:val="center"/>
        <w:ind w:right="8540"/>
        <w:spacing w:after="0"/>
        <w:rPr>
          <w:sz w:val="20"/>
          <w:szCs w:val="20"/>
          <w:color w:val="auto"/>
        </w:rPr>
      </w:pPr>
      <w:r>
        <w:rPr>
          <w:rFonts w:ascii="Arial" w:cs="Arial" w:eastAsia="Arial" w:hAnsi="Arial"/>
          <w:sz w:val="18"/>
          <w:szCs w:val="18"/>
          <w:b w:val="1"/>
          <w:bCs w:val="1"/>
          <w:color w:val="auto"/>
        </w:rPr>
        <w:t>Item 4. Mine Safety Disclosures</w:t>
      </w:r>
    </w:p>
    <w:p>
      <w:pPr>
        <w:spacing w:after="0" w:line="126" w:lineRule="exact"/>
        <w:rPr>
          <w:sz w:val="20"/>
          <w:szCs w:val="20"/>
          <w:color w:val="auto"/>
        </w:rPr>
      </w:pPr>
    </w:p>
    <w:p>
      <w:pPr>
        <w:jc w:val="center"/>
        <w:ind w:right="8520"/>
        <w:spacing w:after="0"/>
        <w:rPr>
          <w:sz w:val="20"/>
          <w:szCs w:val="20"/>
          <w:color w:val="auto"/>
        </w:rPr>
      </w:pPr>
      <w:r>
        <w:rPr>
          <w:rFonts w:ascii="Arial" w:cs="Arial" w:eastAsia="Arial" w:hAnsi="Arial"/>
          <w:sz w:val="18"/>
          <w:szCs w:val="18"/>
          <w:color w:val="auto"/>
        </w:rPr>
        <w:t>Not applicable.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212529"/>
              </w:rPr>
              <w:t>Filing</w:t>
            </w:r>
          </w:p>
        </w:tc>
        <w:tc>
          <w:tcPr>
            <w:tcW w:w="2200" w:type="dxa"/>
            <w:vAlign w:val="bottom"/>
          </w:tcPr>
          <w:p>
            <w:pPr>
              <w:ind w:left="1300"/>
              <w:spacing w:after="0"/>
              <w:rPr>
                <w:sz w:val="20"/>
                <w:szCs w:val="20"/>
                <w:color w:val="auto"/>
              </w:rPr>
            </w:pPr>
            <w:r>
              <w:rPr>
                <w:rFonts w:ascii="Arial" w:cs="Arial" w:eastAsia="Arial" w:hAnsi="Arial"/>
                <w:sz w:val="14"/>
                <w:szCs w:val="14"/>
                <w:b w:val="1"/>
                <w:bCs w:val="1"/>
                <w:color w:val="212529"/>
              </w:rPr>
              <w:t>Furnished</w:t>
            </w:r>
          </w:p>
        </w:tc>
        <w:tc>
          <w:tcPr>
            <w:tcW w:w="0" w:type="dxa"/>
            <w:vAlign w:val="bottom"/>
          </w:tcPr>
          <w:p>
            <w:pPr>
              <w:spacing w:after="0"/>
              <w:rPr>
                <w:sz w:val="1"/>
                <w:szCs w:val="1"/>
                <w:color w:val="auto"/>
              </w:rPr>
            </w:pPr>
          </w:p>
        </w:tc>
      </w:tr>
      <w:tr>
        <w:trPr>
          <w:trHeight w:val="175"/>
        </w:trPr>
        <w:tc>
          <w:tcPr>
            <w:tcW w:w="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17"/>
          </w:tcPr>
          <w:p>
            <w:pPr>
              <w:ind w:left="740"/>
              <w:spacing w:after="0"/>
              <w:rPr>
                <w:sz w:val="20"/>
                <w:szCs w:val="20"/>
                <w:color w:val="auto"/>
              </w:rPr>
            </w:pPr>
            <w:r>
              <w:rPr>
                <w:rFonts w:ascii="Arial" w:cs="Arial" w:eastAsia="Arial" w:hAnsi="Arial"/>
                <w:sz w:val="14"/>
                <w:szCs w:val="14"/>
                <w:b w:val="1"/>
                <w:bCs w:val="1"/>
                <w:color w:val="212529"/>
              </w:rPr>
              <w:t>Exhibit Description</w:t>
            </w:r>
          </w:p>
        </w:tc>
        <w:tc>
          <w:tcPr>
            <w:tcW w:w="8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rPr>
              <w:t>Form</w:t>
            </w:r>
          </w:p>
        </w:tc>
        <w:tc>
          <w:tcPr>
            <w:tcW w:w="100" w:type="dxa"/>
            <w:vAlign w:val="bottom"/>
          </w:tcPr>
          <w:p>
            <w:pPr>
              <w:spacing w:after="0"/>
              <w:rPr>
                <w:sz w:val="15"/>
                <w:szCs w:val="15"/>
                <w:color w:val="auto"/>
              </w:rPr>
            </w:pPr>
          </w:p>
        </w:tc>
        <w:tc>
          <w:tcPr>
            <w:tcW w:w="156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212529"/>
              </w:rPr>
              <w:t>File No.</w:t>
            </w:r>
          </w:p>
        </w:tc>
        <w:tc>
          <w:tcPr>
            <w:tcW w:w="100" w:type="dxa"/>
            <w:vAlign w:val="bottom"/>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rPr>
              <w:t>Exhibit</w:t>
            </w:r>
          </w:p>
        </w:tc>
        <w:tc>
          <w:tcPr>
            <w:tcW w:w="10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w w:val="98"/>
              </w:rPr>
              <w:t>Date</w:t>
            </w:r>
          </w:p>
        </w:tc>
        <w:tc>
          <w:tcPr>
            <w:tcW w:w="140" w:type="dxa"/>
            <w:vAlign w:val="bottom"/>
          </w:tcPr>
          <w:p>
            <w:pPr>
              <w:spacing w:after="0"/>
              <w:rPr>
                <w:sz w:val="15"/>
                <w:szCs w:val="15"/>
                <w:color w:val="auto"/>
              </w:rPr>
            </w:pPr>
          </w:p>
        </w:tc>
        <w:tc>
          <w:tcPr>
            <w:tcW w:w="22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212529"/>
              </w:rPr>
              <w:t>Filed HerewithHerewith</w:t>
            </w:r>
          </w:p>
        </w:tc>
        <w:tc>
          <w:tcPr>
            <w:tcW w:w="0" w:type="dxa"/>
            <w:vAlign w:val="bottom"/>
          </w:tcPr>
          <w:p>
            <w:pPr>
              <w:spacing w:after="0"/>
              <w:rPr>
                <w:sz w:val="1"/>
                <w:szCs w:val="1"/>
                <w:color w:val="auto"/>
              </w:rPr>
            </w:pPr>
          </w:p>
        </w:tc>
      </w:tr>
      <w:tr>
        <w:trPr>
          <w:trHeight w:val="290"/>
        </w:trPr>
        <w:tc>
          <w:tcPr>
            <w:tcW w:w="860" w:type="dxa"/>
            <w:vAlign w:val="bottom"/>
          </w:tcPr>
          <w:p>
            <w:pPr>
              <w:jc w:val="right"/>
              <w:ind w:right="41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2960" w:type="dxa"/>
            <w:vAlign w:val="bottom"/>
            <w:tcBorders>
              <w:bottom w:val="single" w:sz="8" w:color="0000EE"/>
            </w:tcBorders>
            <w:gridSpan w:val="7"/>
          </w:tcPr>
          <w:p>
            <w:pPr>
              <w:spacing w:after="0"/>
              <w:rPr>
                <w:rFonts w:ascii="Arial" w:cs="Arial" w:eastAsia="Arial" w:hAnsi="Arial"/>
                <w:sz w:val="18"/>
                <w:szCs w:val="18"/>
                <w:color w:val="0000EE"/>
                <w:w w:val="99"/>
              </w:rPr>
            </w:pPr>
            <w:hyperlink r:id="rId64">
              <w:r>
                <w:rPr>
                  <w:rFonts w:ascii="Arial" w:cs="Arial" w:eastAsia="Arial" w:hAnsi="Arial"/>
                  <w:sz w:val="18"/>
                  <w:szCs w:val="18"/>
                  <w:color w:val="0000EE"/>
                  <w:w w:val="99"/>
                </w:rPr>
                <w:t>Amended and Restated Certificate of</w:t>
              </w:r>
            </w:hyperlink>
          </w:p>
        </w:tc>
        <w:tc>
          <w:tcPr>
            <w:tcW w:w="520" w:type="dxa"/>
            <w:vAlign w:val="bottom"/>
            <w:gridSpan w:val="12"/>
          </w:tcPr>
          <w:p>
            <w:pPr>
              <w:spacing w:after="0"/>
              <w:rPr>
                <w:sz w:val="24"/>
                <w:szCs w:val="2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10-Q</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10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4"/>
                <w:szCs w:val="24"/>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August 13,</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tcBorders>
              <w:bottom w:val="single" w:sz="8" w:color="0000EE"/>
            </w:tcBorders>
            <w:gridSpan w:val="3"/>
          </w:tcPr>
          <w:p>
            <w:pPr>
              <w:spacing w:after="0" w:line="182" w:lineRule="exact"/>
              <w:rPr>
                <w:rFonts w:ascii="Arial" w:cs="Arial" w:eastAsia="Arial" w:hAnsi="Arial"/>
                <w:sz w:val="18"/>
                <w:szCs w:val="18"/>
                <w:color w:val="0000EE"/>
                <w:w w:val="99"/>
              </w:rPr>
            </w:pPr>
            <w:hyperlink r:id="rId64">
              <w:r>
                <w:rPr>
                  <w:rFonts w:ascii="Arial" w:cs="Arial" w:eastAsia="Arial" w:hAnsi="Arial"/>
                  <w:sz w:val="18"/>
                  <w:szCs w:val="18"/>
                  <w:color w:val="0000EE"/>
                  <w:w w:val="99"/>
                </w:rPr>
                <w:t>Incorporation of Vroom, Inc.</w:t>
              </w:r>
            </w:hyperlink>
          </w:p>
        </w:tc>
        <w:tc>
          <w:tcPr>
            <w:tcW w:w="1260" w:type="dxa"/>
            <w:vAlign w:val="bottom"/>
            <w:gridSpan w:val="16"/>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2020</w:t>
            </w:r>
          </w:p>
        </w:tc>
        <w:tc>
          <w:tcPr>
            <w:tcW w:w="1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860" w:type="dxa"/>
            <w:vAlign w:val="bottom"/>
          </w:tcPr>
          <w:p>
            <w:pPr>
              <w:jc w:val="right"/>
              <w:ind w:right="41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3480" w:type="dxa"/>
            <w:vAlign w:val="bottom"/>
            <w:gridSpan w:val="19"/>
          </w:tcPr>
          <w:p>
            <w:pPr>
              <w:spacing w:after="0"/>
              <w:rPr>
                <w:rFonts w:ascii="Arial" w:cs="Arial" w:eastAsia="Arial" w:hAnsi="Arial"/>
                <w:sz w:val="18"/>
                <w:szCs w:val="18"/>
                <w:color w:val="0000EE"/>
              </w:rPr>
            </w:pPr>
            <w:hyperlink r:id="rId65">
              <w:r>
                <w:rPr>
                  <w:rFonts w:ascii="Arial" w:cs="Arial" w:eastAsia="Arial" w:hAnsi="Arial"/>
                  <w:sz w:val="18"/>
                  <w:szCs w:val="18"/>
                  <w:color w:val="0000EE"/>
                </w:rPr>
                <w:t>Amended and Restated Bylaws of Vroom,</w:t>
              </w:r>
            </w:hyperlink>
          </w:p>
        </w:tc>
        <w:tc>
          <w:tcPr>
            <w:tcW w:w="7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10-Q</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10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24"/>
                <w:szCs w:val="24"/>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August 13,</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6"/>
              </w:rPr>
            </w:pPr>
            <w:hyperlink r:id="rId65">
              <w:r>
                <w:rPr>
                  <w:rFonts w:ascii="Arial" w:cs="Arial" w:eastAsia="Arial" w:hAnsi="Arial"/>
                  <w:sz w:val="18"/>
                  <w:szCs w:val="18"/>
                  <w:color w:val="0000EE"/>
                  <w:w w:val="96"/>
                </w:rPr>
                <w:t>Inc.</w:t>
              </w:r>
            </w:hyperlink>
          </w:p>
        </w:tc>
        <w:tc>
          <w:tcPr>
            <w:tcW w:w="3040" w:type="dxa"/>
            <w:vAlign w:val="bottom"/>
            <w:tcBorders>
              <w:top w:val="single" w:sz="8" w:color="0000EE"/>
            </w:tcBorders>
            <w:gridSpan w:val="15"/>
          </w:tcPr>
          <w:p>
            <w:pPr>
              <w:spacing w:after="0"/>
              <w:rPr>
                <w:sz w:val="15"/>
                <w:szCs w:val="15"/>
                <w:color w:val="auto"/>
              </w:rPr>
            </w:pPr>
          </w:p>
        </w:tc>
        <w:tc>
          <w:tcPr>
            <w:tcW w:w="140" w:type="dxa"/>
            <w:vAlign w:val="bottom"/>
            <w:gridSpan w:val="3"/>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2020</w:t>
            </w:r>
          </w:p>
        </w:tc>
        <w:tc>
          <w:tcPr>
            <w:tcW w:w="1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860" w:type="dxa"/>
            <w:vAlign w:val="bottom"/>
          </w:tcPr>
          <w:p>
            <w:pPr>
              <w:jc w:val="right"/>
              <w:ind w:right="41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3380" w:type="dxa"/>
            <w:vAlign w:val="bottom"/>
            <w:tcBorders>
              <w:bottom w:val="single" w:sz="8" w:color="0000EE"/>
            </w:tcBorders>
            <w:gridSpan w:val="17"/>
          </w:tcPr>
          <w:p>
            <w:pPr>
              <w:spacing w:after="0"/>
              <w:rPr>
                <w:rFonts w:ascii="Arial" w:cs="Arial" w:eastAsia="Arial" w:hAnsi="Arial"/>
                <w:sz w:val="18"/>
                <w:szCs w:val="18"/>
                <w:color w:val="0000EE"/>
                <w:w w:val="99"/>
              </w:rPr>
            </w:pPr>
            <w:hyperlink r:id="rId66">
              <w:r>
                <w:rPr>
                  <w:rFonts w:ascii="Arial" w:cs="Arial" w:eastAsia="Arial" w:hAnsi="Arial"/>
                  <w:sz w:val="18"/>
                  <w:szCs w:val="18"/>
                  <w:color w:val="0000EE"/>
                  <w:w w:val="99"/>
                </w:rPr>
                <w:t>Specimen Stock Certificate evidencing the</w:t>
              </w:r>
            </w:hyperlink>
          </w:p>
        </w:tc>
        <w:tc>
          <w:tcPr>
            <w:tcW w:w="100" w:type="dxa"/>
            <w:vAlign w:val="bottom"/>
            <w:gridSpan w:val="2"/>
          </w:tcPr>
          <w:p>
            <w:pPr>
              <w:spacing w:after="0"/>
              <w:rPr>
                <w:sz w:val="24"/>
                <w:szCs w:val="2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8"/>
                <w:szCs w:val="18"/>
                <w:color w:val="auto"/>
              </w:rPr>
              <w:t>S-1/A</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333-238482</w:t>
            </w:r>
          </w:p>
        </w:tc>
        <w:tc>
          <w:tcPr>
            <w:tcW w:w="10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8"/>
                <w:szCs w:val="18"/>
                <w:color w:val="auto"/>
              </w:rPr>
              <w:t>June 1, 2020</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r:id="rId66">
              <w:r>
                <w:rPr>
                  <w:rFonts w:ascii="Arial" w:cs="Arial" w:eastAsia="Arial" w:hAnsi="Arial"/>
                  <w:sz w:val="18"/>
                  <w:szCs w:val="18"/>
                  <w:color w:val="0000EE"/>
                  <w:w w:val="99"/>
                </w:rPr>
                <w:t>shares of common stock</w:t>
              </w:r>
            </w:hyperlink>
          </w:p>
        </w:tc>
        <w:tc>
          <w:tcPr>
            <w:tcW w:w="1520" w:type="dxa"/>
            <w:vAlign w:val="bottom"/>
            <w:gridSpan w:val="17"/>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3140" w:type="dxa"/>
            <w:vAlign w:val="bottom"/>
            <w:tcBorders>
              <w:bottom w:val="single" w:sz="8" w:color="0000EE"/>
            </w:tcBorders>
            <w:gridSpan w:val="10"/>
          </w:tcPr>
          <w:p>
            <w:pPr>
              <w:spacing w:after="0"/>
              <w:rPr>
                <w:rFonts w:ascii="Arial" w:cs="Arial" w:eastAsia="Arial" w:hAnsi="Arial"/>
                <w:sz w:val="18"/>
                <w:szCs w:val="18"/>
                <w:color w:val="0000EE"/>
                <w:w w:val="99"/>
              </w:rPr>
            </w:pPr>
            <w:hyperlink w:anchor="page50">
              <w:r>
                <w:rPr>
                  <w:rFonts w:ascii="Arial" w:cs="Arial" w:eastAsia="Arial" w:hAnsi="Arial"/>
                  <w:sz w:val="18"/>
                  <w:szCs w:val="18"/>
                  <w:color w:val="0000EE"/>
                  <w:w w:val="99"/>
                </w:rPr>
                <w:t>Amended and Restated Non-Employee</w:t>
              </w:r>
            </w:hyperlink>
          </w:p>
        </w:tc>
        <w:tc>
          <w:tcPr>
            <w:tcW w:w="340" w:type="dxa"/>
            <w:vAlign w:val="bottom"/>
            <w:gridSpan w:val="9"/>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0" w:type="dxa"/>
            <w:vAlign w:val="bottom"/>
          </w:tcPr>
          <w:p>
            <w:pPr>
              <w:ind w:left="4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tcBorders>
              <w:bottom w:val="single" w:sz="8" w:color="0000EE"/>
            </w:tcBorders>
            <w:gridSpan w:val="6"/>
          </w:tcPr>
          <w:p>
            <w:pPr>
              <w:spacing w:after="0" w:line="182" w:lineRule="exact"/>
              <w:rPr>
                <w:rFonts w:ascii="Arial" w:cs="Arial" w:eastAsia="Arial" w:hAnsi="Arial"/>
                <w:sz w:val="18"/>
                <w:szCs w:val="18"/>
                <w:color w:val="0000EE"/>
                <w:w w:val="99"/>
              </w:rPr>
            </w:pPr>
            <w:hyperlink w:anchor="page50">
              <w:r>
                <w:rPr>
                  <w:rFonts w:ascii="Arial" w:cs="Arial" w:eastAsia="Arial" w:hAnsi="Arial"/>
                  <w:sz w:val="18"/>
                  <w:szCs w:val="18"/>
                  <w:color w:val="0000EE"/>
                  <w:w w:val="99"/>
                </w:rPr>
                <w:t>Director Compensation Policy</w:t>
              </w:r>
            </w:hyperlink>
          </w:p>
        </w:tc>
        <w:tc>
          <w:tcPr>
            <w:tcW w:w="1100" w:type="dxa"/>
            <w:vAlign w:val="bottom"/>
            <w:gridSpan w:val="13"/>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860" w:type="dxa"/>
            <w:vAlign w:val="bottom"/>
          </w:tcPr>
          <w:p>
            <w:pPr>
              <w:jc w:val="right"/>
              <w:ind w:right="412"/>
              <w:spacing w:after="0"/>
              <w:rPr>
                <w:sz w:val="20"/>
                <w:szCs w:val="20"/>
                <w:color w:val="auto"/>
              </w:rPr>
            </w:pPr>
            <w:r>
              <w:rPr>
                <w:rFonts w:ascii="Arial" w:cs="Arial" w:eastAsia="Arial" w:hAnsi="Arial"/>
                <w:sz w:val="18"/>
                <w:szCs w:val="18"/>
                <w:color w:val="auto"/>
                <w:w w:val="96"/>
              </w:rPr>
              <w:t>31.1</w:t>
            </w:r>
          </w:p>
        </w:tc>
        <w:tc>
          <w:tcPr>
            <w:tcW w:w="100" w:type="dxa"/>
            <w:vAlign w:val="bottom"/>
          </w:tcPr>
          <w:p>
            <w:pPr>
              <w:spacing w:after="0"/>
              <w:rPr>
                <w:sz w:val="24"/>
                <w:szCs w:val="24"/>
                <w:color w:val="auto"/>
              </w:rPr>
            </w:pPr>
          </w:p>
        </w:tc>
        <w:tc>
          <w:tcPr>
            <w:tcW w:w="3480" w:type="dxa"/>
            <w:vAlign w:val="bottom"/>
            <w:gridSpan w:val="19"/>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Certification of Principal Executive Officer</w:t>
              </w:r>
            </w:hyperlink>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0" w:type="dxa"/>
            <w:vAlign w:val="bottom"/>
          </w:tcPr>
          <w:p>
            <w:pPr>
              <w:ind w:left="4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0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w:anchor="page53">
              <w:r>
                <w:rPr>
                  <w:rFonts w:ascii="Arial" w:cs="Arial" w:eastAsia="Arial" w:hAnsi="Arial"/>
                  <w:sz w:val="18"/>
                  <w:szCs w:val="18"/>
                  <w:color w:val="0000EE"/>
                </w:rPr>
                <w:t>Pursuant to Rules 13a-14(a) and 15d-</w:t>
              </w:r>
            </w:hyperlink>
          </w:p>
        </w:tc>
        <w:tc>
          <w:tcPr>
            <w:tcW w:w="180" w:type="dxa"/>
            <w:vAlign w:val="bottom"/>
            <w:gridSpan w:val="4"/>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4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w:anchor="page53">
              <w:r>
                <w:rPr>
                  <w:rFonts w:ascii="Arial" w:cs="Arial" w:eastAsia="Arial" w:hAnsi="Arial"/>
                  <w:sz w:val="18"/>
                  <w:szCs w:val="18"/>
                  <w:color w:val="0000EE"/>
                  <w:w w:val="99"/>
                </w:rPr>
                <w:t>14(a) under the Securities Exchange Act</w:t>
              </w:r>
            </w:hyperlink>
          </w:p>
        </w:tc>
        <w:tc>
          <w:tcPr>
            <w:tcW w:w="240" w:type="dxa"/>
            <w:vAlign w:val="bottom"/>
            <w:gridSpan w:val="7"/>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60" w:type="dxa"/>
            <w:vAlign w:val="bottom"/>
            <w:tcBorders>
              <w:bottom w:val="single" w:sz="8" w:color="0000EE"/>
            </w:tcBorders>
            <w:gridSpan w:val="13"/>
          </w:tcPr>
          <w:p>
            <w:pPr>
              <w:spacing w:after="0" w:line="182" w:lineRule="exact"/>
              <w:rPr>
                <w:rFonts w:ascii="Arial" w:cs="Arial" w:eastAsia="Arial" w:hAnsi="Arial"/>
                <w:sz w:val="18"/>
                <w:szCs w:val="18"/>
                <w:color w:val="0000EE"/>
              </w:rPr>
            </w:pPr>
            <w:hyperlink w:anchor="page53">
              <w:r>
                <w:rPr>
                  <w:rFonts w:ascii="Arial" w:cs="Arial" w:eastAsia="Arial" w:hAnsi="Arial"/>
                  <w:sz w:val="18"/>
                  <w:szCs w:val="18"/>
                  <w:color w:val="0000EE"/>
                </w:rPr>
                <w:t>of 1934, as Adopted Pursuant to Section</w:t>
              </w:r>
            </w:hyperlink>
          </w:p>
        </w:tc>
        <w:tc>
          <w:tcPr>
            <w:tcW w:w="220" w:type="dxa"/>
            <w:vAlign w:val="bottom"/>
            <w:gridSpan w:val="6"/>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80" w:type="dxa"/>
            <w:vAlign w:val="bottom"/>
            <w:gridSpan w:val="19"/>
          </w:tcPr>
          <w:p>
            <w:pPr>
              <w:spacing w:after="0" w:line="182" w:lineRule="exact"/>
              <w:rPr>
                <w:rFonts w:ascii="Arial" w:cs="Arial" w:eastAsia="Arial" w:hAnsi="Arial"/>
                <w:sz w:val="18"/>
                <w:szCs w:val="18"/>
                <w:color w:val="0000EE"/>
              </w:rPr>
            </w:pPr>
            <w:hyperlink w:anchor="page53">
              <w:r>
                <w:rPr>
                  <w:rFonts w:ascii="Arial" w:cs="Arial" w:eastAsia="Arial" w:hAnsi="Arial"/>
                  <w:sz w:val="18"/>
                  <w:szCs w:val="18"/>
                  <w:color w:val="0000EE"/>
                </w:rPr>
                <w:t>302 of the Sarbanes-Oxley Act of 2002</w:t>
              </w:r>
            </w:hyperlink>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vMerge w:val="restart"/>
          </w:tcPr>
          <w:p>
            <w:pPr>
              <w:ind w:left="480"/>
              <w:spacing w:after="0"/>
              <w:rPr>
                <w:sz w:val="20"/>
                <w:szCs w:val="20"/>
                <w:color w:val="auto"/>
              </w:rPr>
            </w:pPr>
            <w:r>
              <w:rPr>
                <w:rFonts w:ascii="Arial" w:cs="Arial" w:eastAsia="Arial" w:hAnsi="Arial"/>
                <w:sz w:val="18"/>
                <w:szCs w:val="18"/>
                <w:color w:val="auto"/>
              </w:rPr>
              <w:t>X</w:t>
            </w:r>
          </w:p>
        </w:tc>
        <w:tc>
          <w:tcPr>
            <w:tcW w:w="0" w:type="dxa"/>
            <w:vAlign w:val="bottom"/>
          </w:tcPr>
          <w:p>
            <w:pPr>
              <w:spacing w:after="0" w:line="20" w:lineRule="exact"/>
              <w:rPr>
                <w:sz w:val="1"/>
                <w:szCs w:val="1"/>
                <w:color w:val="auto"/>
              </w:rPr>
            </w:pPr>
          </w:p>
        </w:tc>
      </w:tr>
      <w:tr>
        <w:trPr>
          <w:trHeight w:val="304"/>
        </w:trPr>
        <w:tc>
          <w:tcPr>
            <w:tcW w:w="860" w:type="dxa"/>
            <w:vAlign w:val="bottom"/>
          </w:tcPr>
          <w:p>
            <w:pPr>
              <w:jc w:val="right"/>
              <w:ind w:right="412"/>
              <w:spacing w:after="0"/>
              <w:rPr>
                <w:sz w:val="20"/>
                <w:szCs w:val="20"/>
                <w:color w:val="auto"/>
              </w:rPr>
            </w:pPr>
            <w:r>
              <w:rPr>
                <w:rFonts w:ascii="Arial" w:cs="Arial" w:eastAsia="Arial" w:hAnsi="Arial"/>
                <w:sz w:val="18"/>
                <w:szCs w:val="18"/>
                <w:color w:val="auto"/>
                <w:w w:val="96"/>
              </w:rPr>
              <w:t>31.2</w:t>
            </w:r>
          </w:p>
        </w:tc>
        <w:tc>
          <w:tcPr>
            <w:tcW w:w="100" w:type="dxa"/>
            <w:vAlign w:val="bottom"/>
          </w:tcPr>
          <w:p>
            <w:pPr>
              <w:spacing w:after="0"/>
              <w:rPr>
                <w:sz w:val="24"/>
                <w:szCs w:val="24"/>
                <w:color w:val="auto"/>
              </w:rPr>
            </w:pPr>
          </w:p>
        </w:tc>
        <w:tc>
          <w:tcPr>
            <w:tcW w:w="3280" w:type="dxa"/>
            <w:vAlign w:val="bottom"/>
            <w:tcBorders>
              <w:bottom w:val="single" w:sz="8" w:color="0000EE"/>
            </w:tcBorders>
            <w:gridSpan w:val="14"/>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Certification of Principal Financial Officer</w:t>
              </w:r>
            </w:hyperlink>
          </w:p>
        </w:tc>
        <w:tc>
          <w:tcPr>
            <w:tcW w:w="200" w:type="dxa"/>
            <w:vAlign w:val="bottom"/>
            <w:gridSpan w:val="5"/>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80" w:type="dxa"/>
            <w:vAlign w:val="bottom"/>
            <w:gridSpan w:val="19"/>
          </w:tcPr>
          <w:p>
            <w:pPr>
              <w:spacing w:after="0" w:line="182" w:lineRule="exact"/>
              <w:rPr>
                <w:rFonts w:ascii="Arial" w:cs="Arial" w:eastAsia="Arial" w:hAnsi="Arial"/>
                <w:sz w:val="18"/>
                <w:szCs w:val="18"/>
                <w:color w:val="0000EE"/>
              </w:rPr>
            </w:pPr>
            <w:hyperlink w:anchor="page54">
              <w:r>
                <w:rPr>
                  <w:rFonts w:ascii="Arial" w:cs="Arial" w:eastAsia="Arial" w:hAnsi="Arial"/>
                  <w:sz w:val="18"/>
                  <w:szCs w:val="18"/>
                  <w:color w:val="0000EE"/>
                </w:rPr>
                <w:t>Pursuant to Rules 13a-14(a) and 15d-</w:t>
              </w:r>
            </w:hyperlink>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4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w:anchor="page54">
              <w:r>
                <w:rPr>
                  <w:rFonts w:ascii="Arial" w:cs="Arial" w:eastAsia="Arial" w:hAnsi="Arial"/>
                  <w:sz w:val="18"/>
                  <w:szCs w:val="18"/>
                  <w:color w:val="0000EE"/>
                  <w:w w:val="99"/>
                </w:rPr>
                <w:t>14(a) under the Securities Exchange Act</w:t>
              </w:r>
            </w:hyperlink>
          </w:p>
        </w:tc>
        <w:tc>
          <w:tcPr>
            <w:tcW w:w="240" w:type="dxa"/>
            <w:vAlign w:val="bottom"/>
            <w:gridSpan w:val="7"/>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60" w:type="dxa"/>
            <w:vAlign w:val="bottom"/>
            <w:tcBorders>
              <w:bottom w:val="single" w:sz="8" w:color="0000EE"/>
            </w:tcBorders>
            <w:gridSpan w:val="13"/>
          </w:tcPr>
          <w:p>
            <w:pPr>
              <w:spacing w:after="0" w:line="182" w:lineRule="exact"/>
              <w:rPr>
                <w:rFonts w:ascii="Arial" w:cs="Arial" w:eastAsia="Arial" w:hAnsi="Arial"/>
                <w:sz w:val="18"/>
                <w:szCs w:val="18"/>
                <w:color w:val="0000EE"/>
              </w:rPr>
            </w:pPr>
            <w:hyperlink w:anchor="page54">
              <w:r>
                <w:rPr>
                  <w:rFonts w:ascii="Arial" w:cs="Arial" w:eastAsia="Arial" w:hAnsi="Arial"/>
                  <w:sz w:val="18"/>
                  <w:szCs w:val="18"/>
                  <w:color w:val="0000EE"/>
                </w:rPr>
                <w:t>of 1934, as Adopted Pursuant to Section</w:t>
              </w:r>
            </w:hyperlink>
          </w:p>
        </w:tc>
        <w:tc>
          <w:tcPr>
            <w:tcW w:w="220" w:type="dxa"/>
            <w:vAlign w:val="bottom"/>
            <w:gridSpan w:val="6"/>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80" w:type="dxa"/>
            <w:vAlign w:val="bottom"/>
            <w:gridSpan w:val="19"/>
          </w:tcPr>
          <w:p>
            <w:pPr>
              <w:spacing w:after="0" w:line="182" w:lineRule="exact"/>
              <w:rPr>
                <w:rFonts w:ascii="Arial" w:cs="Arial" w:eastAsia="Arial" w:hAnsi="Arial"/>
                <w:sz w:val="18"/>
                <w:szCs w:val="18"/>
                <w:color w:val="0000EE"/>
              </w:rPr>
            </w:pPr>
            <w:hyperlink w:anchor="page54">
              <w:r>
                <w:rPr>
                  <w:rFonts w:ascii="Arial" w:cs="Arial" w:eastAsia="Arial" w:hAnsi="Arial"/>
                  <w:sz w:val="18"/>
                  <w:szCs w:val="18"/>
                  <w:color w:val="0000EE"/>
                </w:rPr>
                <w:t>302 of the Sarbanes-Oxley Act of 2002</w:t>
              </w:r>
            </w:hyperlink>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vMerge w:val="restart"/>
          </w:tcPr>
          <w:p>
            <w:pPr>
              <w:ind w:left="1580"/>
              <w:spacing w:after="0"/>
              <w:rPr>
                <w:sz w:val="20"/>
                <w:szCs w:val="20"/>
                <w:color w:val="auto"/>
              </w:rPr>
            </w:pPr>
            <w:r>
              <w:rPr>
                <w:rFonts w:ascii="Arial" w:cs="Arial" w:eastAsia="Arial" w:hAnsi="Arial"/>
                <w:sz w:val="18"/>
                <w:szCs w:val="18"/>
                <w:color w:val="auto"/>
              </w:rPr>
              <w:t>X</w:t>
            </w:r>
          </w:p>
        </w:tc>
        <w:tc>
          <w:tcPr>
            <w:tcW w:w="0" w:type="dxa"/>
            <w:vAlign w:val="bottom"/>
          </w:tcPr>
          <w:p>
            <w:pPr>
              <w:spacing w:after="0" w:line="20" w:lineRule="exact"/>
              <w:rPr>
                <w:sz w:val="1"/>
                <w:szCs w:val="1"/>
                <w:color w:val="auto"/>
              </w:rPr>
            </w:pPr>
          </w:p>
        </w:tc>
      </w:tr>
      <w:tr>
        <w:trPr>
          <w:trHeight w:val="304"/>
        </w:trPr>
        <w:tc>
          <w:tcPr>
            <w:tcW w:w="860" w:type="dxa"/>
            <w:vAlign w:val="bottom"/>
          </w:tcPr>
          <w:p>
            <w:pPr>
              <w:jc w:val="right"/>
              <w:ind w:right="412"/>
              <w:spacing w:after="0"/>
              <w:rPr>
                <w:sz w:val="20"/>
                <w:szCs w:val="20"/>
                <w:color w:val="auto"/>
              </w:rPr>
            </w:pPr>
            <w:r>
              <w:rPr>
                <w:rFonts w:ascii="Arial" w:cs="Arial" w:eastAsia="Arial" w:hAnsi="Arial"/>
                <w:sz w:val="18"/>
                <w:szCs w:val="18"/>
                <w:color w:val="auto"/>
                <w:w w:val="96"/>
              </w:rPr>
              <w:t>32.1</w:t>
            </w:r>
          </w:p>
        </w:tc>
        <w:tc>
          <w:tcPr>
            <w:tcW w:w="100" w:type="dxa"/>
            <w:vAlign w:val="bottom"/>
          </w:tcPr>
          <w:p>
            <w:pPr>
              <w:spacing w:after="0"/>
              <w:rPr>
                <w:sz w:val="24"/>
                <w:szCs w:val="24"/>
                <w:color w:val="auto"/>
              </w:rPr>
            </w:pPr>
          </w:p>
        </w:tc>
        <w:tc>
          <w:tcPr>
            <w:tcW w:w="3480" w:type="dxa"/>
            <w:vAlign w:val="bottom"/>
            <w:gridSpan w:val="19"/>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Certification of Principal Executive Officer</w:t>
              </w:r>
            </w:hyperlink>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0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w:anchor="page55">
              <w:r>
                <w:rPr>
                  <w:rFonts w:ascii="Arial" w:cs="Arial" w:eastAsia="Arial" w:hAnsi="Arial"/>
                  <w:sz w:val="18"/>
                  <w:szCs w:val="18"/>
                  <w:color w:val="0000EE"/>
                </w:rPr>
                <w:t>Pursuant to 18 U.S.C. Section 1350, as</w:t>
              </w:r>
            </w:hyperlink>
          </w:p>
        </w:tc>
        <w:tc>
          <w:tcPr>
            <w:tcW w:w="180" w:type="dxa"/>
            <w:vAlign w:val="bottom"/>
            <w:gridSpan w:val="4"/>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60" w:type="dxa"/>
            <w:vAlign w:val="bottom"/>
            <w:tcBorders>
              <w:bottom w:val="single" w:sz="8" w:color="0000EE"/>
            </w:tcBorders>
            <w:gridSpan w:val="11"/>
          </w:tcPr>
          <w:p>
            <w:pPr>
              <w:spacing w:after="0" w:line="182" w:lineRule="exact"/>
              <w:rPr>
                <w:rFonts w:ascii="Arial" w:cs="Arial" w:eastAsia="Arial" w:hAnsi="Arial"/>
                <w:sz w:val="18"/>
                <w:szCs w:val="18"/>
                <w:color w:val="0000EE"/>
                <w:w w:val="99"/>
              </w:rPr>
            </w:pPr>
            <w:hyperlink w:anchor="page55">
              <w:r>
                <w:rPr>
                  <w:rFonts w:ascii="Arial" w:cs="Arial" w:eastAsia="Arial" w:hAnsi="Arial"/>
                  <w:sz w:val="18"/>
                  <w:szCs w:val="18"/>
                  <w:color w:val="0000EE"/>
                  <w:w w:val="99"/>
                </w:rPr>
                <w:t>Adopted Pursuant to Section 906 of the</w:t>
              </w:r>
            </w:hyperlink>
          </w:p>
        </w:tc>
        <w:tc>
          <w:tcPr>
            <w:tcW w:w="320" w:type="dxa"/>
            <w:vAlign w:val="bottom"/>
            <w:gridSpan w:val="8"/>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tcBorders>
              <w:bottom w:val="single" w:sz="8" w:color="0000EE"/>
            </w:tcBorders>
            <w:gridSpan w:val="5"/>
          </w:tcPr>
          <w:p>
            <w:pPr>
              <w:spacing w:after="0" w:line="182" w:lineRule="exact"/>
              <w:rPr>
                <w:rFonts w:ascii="Arial" w:cs="Arial" w:eastAsia="Arial" w:hAnsi="Arial"/>
                <w:sz w:val="18"/>
                <w:szCs w:val="18"/>
                <w:color w:val="0000EE"/>
              </w:rPr>
            </w:pPr>
            <w:hyperlink w:anchor="page55">
              <w:r>
                <w:rPr>
                  <w:rFonts w:ascii="Arial" w:cs="Arial" w:eastAsia="Arial" w:hAnsi="Arial"/>
                  <w:sz w:val="18"/>
                  <w:szCs w:val="18"/>
                  <w:color w:val="0000EE"/>
                </w:rPr>
                <w:t>Sarbanes-Oxley Act of 2002</w:t>
              </w:r>
            </w:hyperlink>
          </w:p>
        </w:tc>
        <w:tc>
          <w:tcPr>
            <w:tcW w:w="1200" w:type="dxa"/>
            <w:vAlign w:val="bottom"/>
            <w:gridSpan w:val="14"/>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860" w:type="dxa"/>
            <w:vAlign w:val="bottom"/>
          </w:tcPr>
          <w:p>
            <w:pPr>
              <w:jc w:val="right"/>
              <w:ind w:right="412"/>
              <w:spacing w:after="0"/>
              <w:rPr>
                <w:sz w:val="20"/>
                <w:szCs w:val="20"/>
                <w:color w:val="auto"/>
              </w:rPr>
            </w:pPr>
            <w:r>
              <w:rPr>
                <w:rFonts w:ascii="Arial" w:cs="Arial" w:eastAsia="Arial" w:hAnsi="Arial"/>
                <w:sz w:val="18"/>
                <w:szCs w:val="18"/>
                <w:color w:val="auto"/>
                <w:w w:val="96"/>
              </w:rPr>
              <w:t>32.2</w:t>
            </w:r>
          </w:p>
        </w:tc>
        <w:tc>
          <w:tcPr>
            <w:tcW w:w="100" w:type="dxa"/>
            <w:vAlign w:val="bottom"/>
          </w:tcPr>
          <w:p>
            <w:pPr>
              <w:spacing w:after="0"/>
              <w:rPr>
                <w:sz w:val="24"/>
                <w:szCs w:val="24"/>
                <w:color w:val="auto"/>
              </w:rPr>
            </w:pPr>
          </w:p>
        </w:tc>
        <w:tc>
          <w:tcPr>
            <w:tcW w:w="3280" w:type="dxa"/>
            <w:vAlign w:val="bottom"/>
            <w:tcBorders>
              <w:bottom w:val="single" w:sz="8" w:color="0000EE"/>
            </w:tcBorders>
            <w:gridSpan w:val="14"/>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Certification of Principal Financial Officer</w:t>
              </w:r>
            </w:hyperlink>
          </w:p>
        </w:tc>
        <w:tc>
          <w:tcPr>
            <w:tcW w:w="200" w:type="dxa"/>
            <w:vAlign w:val="bottom"/>
            <w:gridSpan w:val="5"/>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0" w:type="dxa"/>
            <w:vAlign w:val="bottom"/>
          </w:tcPr>
          <w:p>
            <w:pPr>
              <w:ind w:left="15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80" w:type="dxa"/>
            <w:vAlign w:val="bottom"/>
            <w:gridSpan w:val="19"/>
          </w:tcPr>
          <w:p>
            <w:pPr>
              <w:spacing w:after="0" w:line="182" w:lineRule="exact"/>
              <w:rPr>
                <w:rFonts w:ascii="Arial" w:cs="Arial" w:eastAsia="Arial" w:hAnsi="Arial"/>
                <w:sz w:val="18"/>
                <w:szCs w:val="18"/>
                <w:color w:val="0000EE"/>
              </w:rPr>
            </w:pPr>
            <w:hyperlink w:anchor="page56">
              <w:r>
                <w:rPr>
                  <w:rFonts w:ascii="Arial" w:cs="Arial" w:eastAsia="Arial" w:hAnsi="Arial"/>
                  <w:sz w:val="18"/>
                  <w:szCs w:val="18"/>
                  <w:color w:val="0000EE"/>
                </w:rPr>
                <w:t>Pursuant to 18 U.S.C. Section 1350, as</w:t>
              </w:r>
            </w:hyperlink>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gridSpan w:val="4"/>
            <w:shd w:val="clear" w:color="auto" w:fill="0000EE"/>
          </w:tcPr>
          <w:p>
            <w:pPr>
              <w:spacing w:after="0" w:line="20" w:lineRule="exact"/>
              <w:rPr>
                <w:sz w:val="1"/>
                <w:szCs w:val="1"/>
                <w:color w:val="auto"/>
              </w:rPr>
            </w:pPr>
          </w:p>
        </w:tc>
        <w:tc>
          <w:tcPr>
            <w:tcW w:w="880" w:type="dxa"/>
            <w:vAlign w:val="bottom"/>
            <w:gridSpan w:val="6"/>
            <w:shd w:val="clear" w:color="auto" w:fill="0000EE"/>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60" w:type="dxa"/>
            <w:vAlign w:val="bottom"/>
            <w:tcBorders>
              <w:bottom w:val="single" w:sz="8" w:color="0000EE"/>
            </w:tcBorders>
            <w:gridSpan w:val="11"/>
          </w:tcPr>
          <w:p>
            <w:pPr>
              <w:spacing w:after="0" w:line="182" w:lineRule="exact"/>
              <w:rPr>
                <w:rFonts w:ascii="Arial" w:cs="Arial" w:eastAsia="Arial" w:hAnsi="Arial"/>
                <w:sz w:val="18"/>
                <w:szCs w:val="18"/>
                <w:color w:val="0000EE"/>
                <w:w w:val="99"/>
              </w:rPr>
            </w:pPr>
            <w:hyperlink w:anchor="page56">
              <w:r>
                <w:rPr>
                  <w:rFonts w:ascii="Arial" w:cs="Arial" w:eastAsia="Arial" w:hAnsi="Arial"/>
                  <w:sz w:val="18"/>
                  <w:szCs w:val="18"/>
                  <w:color w:val="0000EE"/>
                  <w:w w:val="99"/>
                </w:rPr>
                <w:t>Adopted Pursuant to Section 906 of the</w:t>
              </w:r>
            </w:hyperlink>
          </w:p>
        </w:tc>
        <w:tc>
          <w:tcPr>
            <w:tcW w:w="320" w:type="dxa"/>
            <w:vAlign w:val="bottom"/>
            <w:gridSpan w:val="8"/>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tcBorders>
              <w:bottom w:val="single" w:sz="8" w:color="0000EE"/>
            </w:tcBorders>
            <w:gridSpan w:val="4"/>
          </w:tcPr>
          <w:p>
            <w:pPr>
              <w:spacing w:after="0" w:line="182" w:lineRule="exact"/>
              <w:rPr>
                <w:rFonts w:ascii="Arial" w:cs="Arial" w:eastAsia="Arial" w:hAnsi="Arial"/>
                <w:sz w:val="18"/>
                <w:szCs w:val="18"/>
                <w:color w:val="0000EE"/>
                <w:w w:val="99"/>
              </w:rPr>
            </w:pPr>
            <w:hyperlink w:anchor="page56">
              <w:r>
                <w:rPr>
                  <w:rFonts w:ascii="Arial" w:cs="Arial" w:eastAsia="Arial" w:hAnsi="Arial"/>
                  <w:sz w:val="18"/>
                  <w:szCs w:val="18"/>
                  <w:color w:val="0000EE"/>
                  <w:w w:val="99"/>
                </w:rPr>
                <w:t>Sarbanes-Oxley Act of 2002</w:t>
              </w:r>
            </w:hyperlink>
          </w:p>
        </w:tc>
        <w:tc>
          <w:tcPr>
            <w:tcW w:w="1220" w:type="dxa"/>
            <w:vAlign w:val="bottom"/>
            <w:gridSpan w:val="15"/>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4"/>
                <w:szCs w:val="24"/>
                <w:color w:val="auto"/>
              </w:rPr>
            </w:pPr>
          </w:p>
        </w:tc>
        <w:tc>
          <w:tcPr>
            <w:tcW w:w="3480" w:type="dxa"/>
            <w:vAlign w:val="bottom"/>
            <w:gridSpan w:val="19"/>
          </w:tcPr>
          <w:p>
            <w:pPr>
              <w:spacing w:after="0"/>
              <w:rPr>
                <w:sz w:val="20"/>
                <w:szCs w:val="20"/>
                <w:color w:val="auto"/>
              </w:rPr>
            </w:pPr>
            <w:r>
              <w:rPr>
                <w:rFonts w:ascii="Arial" w:cs="Arial" w:eastAsia="Arial" w:hAnsi="Arial"/>
                <w:sz w:val="18"/>
                <w:szCs w:val="18"/>
                <w:color w:val="auto"/>
              </w:rPr>
              <w:t>XBRL Instance Document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0" w:type="dxa"/>
            <w:vAlign w:val="bottom"/>
          </w:tcPr>
          <w:p>
            <w:pPr>
              <w:ind w:left="4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3"/>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24"/>
                <w:szCs w:val="24"/>
                <w:color w:val="auto"/>
              </w:rPr>
            </w:pPr>
          </w:p>
        </w:tc>
        <w:tc>
          <w:tcPr>
            <w:tcW w:w="3480" w:type="dxa"/>
            <w:vAlign w:val="bottom"/>
            <w:gridSpan w:val="19"/>
          </w:tcPr>
          <w:p>
            <w:pPr>
              <w:spacing w:after="0"/>
              <w:rPr>
                <w:sz w:val="20"/>
                <w:szCs w:val="20"/>
                <w:color w:val="auto"/>
              </w:rPr>
            </w:pPr>
            <w:r>
              <w:rPr>
                <w:rFonts w:ascii="Arial" w:cs="Arial" w:eastAsia="Arial" w:hAnsi="Arial"/>
                <w:sz w:val="18"/>
                <w:szCs w:val="18"/>
                <w:color w:val="auto"/>
              </w:rPr>
              <w:t>XBRL Taxonomy Extension Schema</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0" w:type="dxa"/>
            <w:vAlign w:val="bottom"/>
          </w:tcPr>
          <w:p>
            <w:pPr>
              <w:ind w:left="4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7"/>
        </w:trPr>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gridSpan w:val="19"/>
          </w:tcPr>
          <w:p>
            <w:pPr>
              <w:spacing w:after="0"/>
              <w:rPr>
                <w:sz w:val="20"/>
                <w:szCs w:val="20"/>
                <w:color w:val="auto"/>
              </w:rPr>
            </w:pPr>
            <w:r>
              <w:rPr>
                <w:rFonts w:ascii="Arial" w:cs="Arial" w:eastAsia="Arial" w:hAnsi="Arial"/>
                <w:sz w:val="18"/>
                <w:szCs w:val="18"/>
                <w:color w:val="auto"/>
              </w:rPr>
              <w:t>Document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24"/>
                <w:szCs w:val="24"/>
                <w:color w:val="auto"/>
              </w:rPr>
            </w:pPr>
          </w:p>
        </w:tc>
        <w:tc>
          <w:tcPr>
            <w:tcW w:w="3480" w:type="dxa"/>
            <w:vAlign w:val="bottom"/>
            <w:gridSpan w:val="19"/>
          </w:tcPr>
          <w:p>
            <w:pPr>
              <w:spacing w:after="0"/>
              <w:rPr>
                <w:sz w:val="20"/>
                <w:szCs w:val="20"/>
                <w:color w:val="auto"/>
              </w:rPr>
            </w:pPr>
            <w:r>
              <w:rPr>
                <w:rFonts w:ascii="Arial" w:cs="Arial" w:eastAsia="Arial" w:hAnsi="Arial"/>
                <w:sz w:val="18"/>
                <w:szCs w:val="18"/>
                <w:color w:val="auto"/>
              </w:rPr>
              <w:t>XBRL Taxonomy Extension Calculation</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0" w:type="dxa"/>
            <w:vAlign w:val="bottom"/>
          </w:tcPr>
          <w:p>
            <w:pPr>
              <w:ind w:left="4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7"/>
        </w:trPr>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gridSpan w:val="19"/>
          </w:tcPr>
          <w:p>
            <w:pPr>
              <w:spacing w:after="0"/>
              <w:rPr>
                <w:sz w:val="20"/>
                <w:szCs w:val="20"/>
                <w:color w:val="auto"/>
              </w:rPr>
            </w:pPr>
            <w:r>
              <w:rPr>
                <w:rFonts w:ascii="Arial" w:cs="Arial" w:eastAsia="Arial" w:hAnsi="Arial"/>
                <w:sz w:val="18"/>
                <w:szCs w:val="18"/>
                <w:color w:val="auto"/>
              </w:rPr>
              <w:t>Linkbase Document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100" w:type="dxa"/>
            <w:vAlign w:val="bottom"/>
          </w:tcPr>
          <w:p>
            <w:pPr>
              <w:spacing w:after="0"/>
              <w:rPr>
                <w:sz w:val="24"/>
                <w:szCs w:val="24"/>
                <w:color w:val="auto"/>
              </w:rPr>
            </w:pPr>
          </w:p>
        </w:tc>
        <w:tc>
          <w:tcPr>
            <w:tcW w:w="3480" w:type="dxa"/>
            <w:vAlign w:val="bottom"/>
            <w:gridSpan w:val="19"/>
          </w:tcPr>
          <w:p>
            <w:pPr>
              <w:spacing w:after="0"/>
              <w:rPr>
                <w:sz w:val="20"/>
                <w:szCs w:val="20"/>
                <w:color w:val="auto"/>
              </w:rPr>
            </w:pPr>
            <w:r>
              <w:rPr>
                <w:rFonts w:ascii="Arial" w:cs="Arial" w:eastAsia="Arial" w:hAnsi="Arial"/>
                <w:sz w:val="18"/>
                <w:szCs w:val="18"/>
                <w:color w:val="auto"/>
              </w:rPr>
              <w:t>XBRL Taxonomy Extension Definition</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0" w:type="dxa"/>
            <w:vAlign w:val="bottom"/>
          </w:tcPr>
          <w:p>
            <w:pPr>
              <w:ind w:left="4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7"/>
        </w:trPr>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gridSpan w:val="19"/>
          </w:tcPr>
          <w:p>
            <w:pPr>
              <w:spacing w:after="0"/>
              <w:rPr>
                <w:sz w:val="20"/>
                <w:szCs w:val="20"/>
                <w:color w:val="auto"/>
              </w:rPr>
            </w:pPr>
            <w:r>
              <w:rPr>
                <w:rFonts w:ascii="Arial" w:cs="Arial" w:eastAsia="Arial" w:hAnsi="Arial"/>
                <w:sz w:val="18"/>
                <w:szCs w:val="18"/>
                <w:color w:val="auto"/>
              </w:rPr>
              <w:t>Linkbase Document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24"/>
                <w:szCs w:val="24"/>
                <w:color w:val="auto"/>
              </w:rPr>
            </w:pPr>
          </w:p>
        </w:tc>
        <w:tc>
          <w:tcPr>
            <w:tcW w:w="3480" w:type="dxa"/>
            <w:vAlign w:val="bottom"/>
            <w:gridSpan w:val="19"/>
          </w:tcPr>
          <w:p>
            <w:pPr>
              <w:spacing w:after="0"/>
              <w:rPr>
                <w:sz w:val="20"/>
                <w:szCs w:val="20"/>
                <w:color w:val="auto"/>
              </w:rPr>
            </w:pPr>
            <w:r>
              <w:rPr>
                <w:rFonts w:ascii="Arial" w:cs="Arial" w:eastAsia="Arial" w:hAnsi="Arial"/>
                <w:sz w:val="18"/>
                <w:szCs w:val="18"/>
                <w:color w:val="auto"/>
              </w:rPr>
              <w:t>XBRL Taxonomy Extension Label</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0" w:type="dxa"/>
            <w:vAlign w:val="bottom"/>
          </w:tcPr>
          <w:p>
            <w:pPr>
              <w:ind w:left="4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7"/>
        </w:trPr>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gridSpan w:val="19"/>
          </w:tcPr>
          <w:p>
            <w:pPr>
              <w:spacing w:after="0"/>
              <w:rPr>
                <w:sz w:val="20"/>
                <w:szCs w:val="20"/>
                <w:color w:val="auto"/>
              </w:rPr>
            </w:pPr>
            <w:r>
              <w:rPr>
                <w:rFonts w:ascii="Arial" w:cs="Arial" w:eastAsia="Arial" w:hAnsi="Arial"/>
                <w:sz w:val="18"/>
                <w:szCs w:val="18"/>
                <w:color w:val="auto"/>
              </w:rPr>
              <w:t>Linkbase Document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24"/>
                <w:szCs w:val="24"/>
                <w:color w:val="auto"/>
              </w:rPr>
            </w:pPr>
          </w:p>
        </w:tc>
        <w:tc>
          <w:tcPr>
            <w:tcW w:w="3480" w:type="dxa"/>
            <w:vAlign w:val="bottom"/>
            <w:gridSpan w:val="19"/>
          </w:tcPr>
          <w:p>
            <w:pPr>
              <w:spacing w:after="0"/>
              <w:rPr>
                <w:sz w:val="20"/>
                <w:szCs w:val="20"/>
                <w:color w:val="auto"/>
              </w:rPr>
            </w:pPr>
            <w:r>
              <w:rPr>
                <w:rFonts w:ascii="Arial" w:cs="Arial" w:eastAsia="Arial" w:hAnsi="Arial"/>
                <w:sz w:val="18"/>
                <w:szCs w:val="18"/>
                <w:color w:val="auto"/>
              </w:rPr>
              <w:t>XBRL Taxonomy Extension Presentation</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0" w:type="dxa"/>
            <w:vAlign w:val="bottom"/>
          </w:tcPr>
          <w:p>
            <w:pPr>
              <w:ind w:left="4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7"/>
        </w:trPr>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gridSpan w:val="19"/>
          </w:tcPr>
          <w:p>
            <w:pPr>
              <w:spacing w:after="0"/>
              <w:rPr>
                <w:sz w:val="20"/>
                <w:szCs w:val="20"/>
                <w:color w:val="auto"/>
              </w:rPr>
            </w:pPr>
            <w:r>
              <w:rPr>
                <w:rFonts w:ascii="Arial" w:cs="Arial" w:eastAsia="Arial" w:hAnsi="Arial"/>
                <w:sz w:val="18"/>
                <w:szCs w:val="18"/>
                <w:color w:val="auto"/>
              </w:rPr>
              <w:t>Linkbase Document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520" w:right="4720" w:hanging="5512"/>
        <w:spacing w:after="0" w:line="390" w:lineRule="auto"/>
        <w:tabs>
          <w:tab w:leader="none" w:pos="752"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Indicates a management contract or compensatory plan or arrangement.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248920</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right="140" w:firstLine="761"/>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60" w:type="dxa"/>
            <w:vAlign w:val="bottom"/>
          </w:tcPr>
          <w:p>
            <w:pPr>
              <w:spacing w:after="0"/>
              <w:rPr>
                <w:sz w:val="18"/>
                <w:szCs w:val="18"/>
                <w:color w:val="auto"/>
              </w:rPr>
            </w:pPr>
          </w:p>
        </w:tc>
        <w:tc>
          <w:tcPr>
            <w:tcW w:w="3640" w:type="dxa"/>
            <w:vAlign w:val="bottom"/>
            <w:gridSpan w:val="2"/>
          </w:tcPr>
          <w:p>
            <w:pPr>
              <w:ind w:left="2700"/>
              <w:spacing w:after="0"/>
              <w:rPr>
                <w:sz w:val="20"/>
                <w:szCs w:val="20"/>
                <w:color w:val="auto"/>
              </w:rPr>
            </w:pPr>
            <w:r>
              <w:rPr>
                <w:rFonts w:ascii="Arial" w:cs="Arial" w:eastAsia="Arial" w:hAnsi="Arial"/>
                <w:sz w:val="18"/>
                <w:szCs w:val="18"/>
                <w:color w:val="auto"/>
                <w:w w:val="99"/>
              </w:rPr>
              <w:t>Vroom, Inc.</w:t>
            </w:r>
          </w:p>
        </w:tc>
        <w:tc>
          <w:tcPr>
            <w:tcW w:w="4040" w:type="dxa"/>
            <w:vAlign w:val="bottom"/>
          </w:tcPr>
          <w:p>
            <w:pPr>
              <w:spacing w:after="0"/>
              <w:rPr>
                <w:sz w:val="18"/>
                <w:szCs w:val="18"/>
                <w:color w:val="auto"/>
              </w:rPr>
            </w:pPr>
          </w:p>
        </w:tc>
      </w:tr>
      <w:tr>
        <w:trPr>
          <w:trHeight w:val="324"/>
        </w:trPr>
        <w:tc>
          <w:tcPr>
            <w:tcW w:w="3560" w:type="dxa"/>
            <w:vAlign w:val="bottom"/>
          </w:tcPr>
          <w:p>
            <w:pPr>
              <w:spacing w:after="0"/>
              <w:rPr>
                <w:sz w:val="20"/>
                <w:szCs w:val="20"/>
                <w:color w:val="auto"/>
              </w:rPr>
            </w:pPr>
            <w:r>
              <w:rPr>
                <w:rFonts w:ascii="Arial" w:cs="Arial" w:eastAsia="Arial" w:hAnsi="Arial"/>
                <w:sz w:val="18"/>
                <w:szCs w:val="18"/>
                <w:color w:val="auto"/>
              </w:rPr>
              <w:t>Date: May 12, 2021</w:t>
            </w:r>
          </w:p>
        </w:tc>
        <w:tc>
          <w:tcPr>
            <w:tcW w:w="3640" w:type="dxa"/>
            <w:vAlign w:val="bottom"/>
            <w:gridSpan w:val="2"/>
          </w:tcPr>
          <w:p>
            <w:pPr>
              <w:ind w:left="2640"/>
              <w:spacing w:after="0"/>
              <w:rPr>
                <w:sz w:val="20"/>
                <w:szCs w:val="20"/>
                <w:color w:val="auto"/>
              </w:rPr>
            </w:pPr>
            <w:r>
              <w:rPr>
                <w:rFonts w:ascii="Arial" w:cs="Arial" w:eastAsia="Arial" w:hAnsi="Arial"/>
                <w:sz w:val="18"/>
                <w:szCs w:val="18"/>
                <w:color w:val="auto"/>
              </w:rPr>
              <w:t>By:</w:t>
            </w:r>
          </w:p>
        </w:tc>
        <w:tc>
          <w:tcPr>
            <w:tcW w:w="4040" w:type="dxa"/>
            <w:vAlign w:val="bottom"/>
          </w:tcPr>
          <w:p>
            <w:pPr>
              <w:jc w:val="center"/>
              <w:ind w:right="590"/>
              <w:spacing w:after="0"/>
              <w:rPr>
                <w:sz w:val="20"/>
                <w:szCs w:val="20"/>
                <w:color w:val="auto"/>
              </w:rPr>
            </w:pPr>
            <w:r>
              <w:rPr>
                <w:rFonts w:ascii="Arial" w:cs="Arial" w:eastAsia="Arial" w:hAnsi="Arial"/>
                <w:sz w:val="18"/>
                <w:szCs w:val="18"/>
                <w:color w:val="auto"/>
                <w:w w:val="99"/>
              </w:rPr>
              <w:t>/s/ Paul J. Hennessy</w:t>
            </w:r>
          </w:p>
        </w:tc>
      </w:tr>
      <w:tr>
        <w:trPr>
          <w:trHeight w:val="222"/>
        </w:trPr>
        <w:tc>
          <w:tcPr>
            <w:tcW w:w="35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040" w:type="dxa"/>
            <w:vAlign w:val="bottom"/>
            <w:tcBorders>
              <w:top w:val="single" w:sz="8" w:color="auto"/>
            </w:tcBorders>
          </w:tcPr>
          <w:p>
            <w:pPr>
              <w:jc w:val="center"/>
              <w:ind w:right="590"/>
              <w:spacing w:after="0"/>
              <w:rPr>
                <w:sz w:val="20"/>
                <w:szCs w:val="20"/>
                <w:color w:val="auto"/>
              </w:rPr>
            </w:pPr>
            <w:r>
              <w:rPr>
                <w:rFonts w:ascii="Arial" w:cs="Arial" w:eastAsia="Arial" w:hAnsi="Arial"/>
                <w:sz w:val="18"/>
                <w:szCs w:val="18"/>
                <w:color w:val="auto"/>
                <w:w w:val="99"/>
              </w:rPr>
              <w:t>Paul J. Hennessy</w:t>
            </w:r>
          </w:p>
        </w:tc>
      </w:tr>
      <w:tr>
        <w:trPr>
          <w:trHeight w:val="198"/>
        </w:trPr>
        <w:tc>
          <w:tcPr>
            <w:tcW w:w="35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40" w:type="dxa"/>
            <w:vAlign w:val="bottom"/>
          </w:tcPr>
          <w:p>
            <w:pPr>
              <w:jc w:val="center"/>
              <w:ind w:right="570"/>
              <w:spacing w:after="0" w:line="198" w:lineRule="exact"/>
              <w:rPr>
                <w:sz w:val="20"/>
                <w:szCs w:val="20"/>
                <w:color w:val="auto"/>
              </w:rPr>
            </w:pPr>
            <w:r>
              <w:rPr>
                <w:rFonts w:ascii="Arial" w:cs="Arial" w:eastAsia="Arial" w:hAnsi="Arial"/>
                <w:sz w:val="18"/>
                <w:szCs w:val="18"/>
                <w:color w:val="auto"/>
                <w:w w:val="99"/>
              </w:rPr>
              <w:t>Chief Executive Officer</w:t>
            </w:r>
          </w:p>
        </w:tc>
      </w:tr>
      <w:tr>
        <w:trPr>
          <w:trHeight w:val="235"/>
        </w:trPr>
        <w:tc>
          <w:tcPr>
            <w:tcW w:w="35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40" w:type="dxa"/>
            <w:vAlign w:val="bottom"/>
          </w:tcPr>
          <w:p>
            <w:pPr>
              <w:ind w:left="580"/>
              <w:spacing w:after="0"/>
              <w:rPr>
                <w:sz w:val="20"/>
                <w:szCs w:val="20"/>
                <w:color w:val="auto"/>
              </w:rPr>
            </w:pPr>
            <w:r>
              <w:rPr>
                <w:rFonts w:ascii="Arial" w:cs="Arial" w:eastAsia="Arial" w:hAnsi="Arial"/>
                <w:sz w:val="18"/>
                <w:szCs w:val="18"/>
                <w:i w:val="1"/>
                <w:iCs w:val="1"/>
                <w:color w:val="auto"/>
              </w:rPr>
              <w:t>(principal executive officer)</w:t>
            </w:r>
          </w:p>
        </w:tc>
      </w:tr>
      <w:tr>
        <w:trPr>
          <w:trHeight w:val="540"/>
        </w:trPr>
        <w:tc>
          <w:tcPr>
            <w:tcW w:w="3560" w:type="dxa"/>
            <w:vAlign w:val="bottom"/>
          </w:tcPr>
          <w:p>
            <w:pPr>
              <w:spacing w:after="0"/>
              <w:rPr>
                <w:sz w:val="20"/>
                <w:szCs w:val="20"/>
                <w:color w:val="auto"/>
              </w:rPr>
            </w:pPr>
            <w:r>
              <w:rPr>
                <w:rFonts w:ascii="Arial" w:cs="Arial" w:eastAsia="Arial" w:hAnsi="Arial"/>
                <w:sz w:val="18"/>
                <w:szCs w:val="18"/>
                <w:color w:val="auto"/>
              </w:rPr>
              <w:t>Date: May 12, 2021</w:t>
            </w:r>
          </w:p>
        </w:tc>
        <w:tc>
          <w:tcPr>
            <w:tcW w:w="3640" w:type="dxa"/>
            <w:vAlign w:val="bottom"/>
            <w:gridSpan w:val="2"/>
          </w:tcPr>
          <w:p>
            <w:pPr>
              <w:ind w:left="2640"/>
              <w:spacing w:after="0"/>
              <w:rPr>
                <w:sz w:val="20"/>
                <w:szCs w:val="20"/>
                <w:color w:val="auto"/>
              </w:rPr>
            </w:pPr>
            <w:r>
              <w:rPr>
                <w:rFonts w:ascii="Arial" w:cs="Arial" w:eastAsia="Arial" w:hAnsi="Arial"/>
                <w:sz w:val="18"/>
                <w:szCs w:val="18"/>
                <w:color w:val="auto"/>
              </w:rPr>
              <w:t>By:</w:t>
            </w:r>
          </w:p>
        </w:tc>
        <w:tc>
          <w:tcPr>
            <w:tcW w:w="4040" w:type="dxa"/>
            <w:vAlign w:val="bottom"/>
          </w:tcPr>
          <w:p>
            <w:pPr>
              <w:jc w:val="center"/>
              <w:ind w:right="590"/>
              <w:spacing w:after="0"/>
              <w:rPr>
                <w:sz w:val="20"/>
                <w:szCs w:val="20"/>
                <w:color w:val="auto"/>
              </w:rPr>
            </w:pPr>
            <w:r>
              <w:rPr>
                <w:rFonts w:ascii="Arial" w:cs="Arial" w:eastAsia="Arial" w:hAnsi="Arial"/>
                <w:sz w:val="18"/>
                <w:szCs w:val="18"/>
                <w:color w:val="auto"/>
              </w:rPr>
              <w:t>/s/ Dave Jones</w:t>
            </w:r>
          </w:p>
        </w:tc>
      </w:tr>
      <w:tr>
        <w:trPr>
          <w:trHeight w:val="222"/>
        </w:trPr>
        <w:tc>
          <w:tcPr>
            <w:tcW w:w="35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040" w:type="dxa"/>
            <w:vAlign w:val="bottom"/>
            <w:tcBorders>
              <w:top w:val="single" w:sz="8" w:color="auto"/>
            </w:tcBorders>
          </w:tcPr>
          <w:p>
            <w:pPr>
              <w:jc w:val="center"/>
              <w:ind w:right="590"/>
              <w:spacing w:after="0"/>
              <w:rPr>
                <w:sz w:val="20"/>
                <w:szCs w:val="20"/>
                <w:color w:val="auto"/>
              </w:rPr>
            </w:pPr>
            <w:r>
              <w:rPr>
                <w:rFonts w:ascii="Arial" w:cs="Arial" w:eastAsia="Arial" w:hAnsi="Arial"/>
                <w:sz w:val="18"/>
                <w:szCs w:val="18"/>
                <w:color w:val="auto"/>
              </w:rPr>
              <w:t>Dave Jones</w:t>
            </w:r>
          </w:p>
        </w:tc>
      </w:tr>
      <w:tr>
        <w:trPr>
          <w:trHeight w:val="198"/>
        </w:trPr>
        <w:tc>
          <w:tcPr>
            <w:tcW w:w="35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40" w:type="dxa"/>
            <w:vAlign w:val="bottom"/>
          </w:tcPr>
          <w:p>
            <w:pPr>
              <w:jc w:val="center"/>
              <w:ind w:right="590"/>
              <w:spacing w:after="0" w:line="198" w:lineRule="exact"/>
              <w:rPr>
                <w:sz w:val="20"/>
                <w:szCs w:val="20"/>
                <w:color w:val="auto"/>
              </w:rPr>
            </w:pPr>
            <w:r>
              <w:rPr>
                <w:rFonts w:ascii="Arial" w:cs="Arial" w:eastAsia="Arial" w:hAnsi="Arial"/>
                <w:sz w:val="18"/>
                <w:szCs w:val="18"/>
                <w:color w:val="auto"/>
                <w:w w:val="99"/>
              </w:rPr>
              <w:t>Chief Financial Officer</w:t>
            </w:r>
          </w:p>
        </w:tc>
      </w:tr>
      <w:tr>
        <w:trPr>
          <w:trHeight w:val="235"/>
        </w:trPr>
        <w:tc>
          <w:tcPr>
            <w:tcW w:w="35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40" w:type="dxa"/>
            <w:vAlign w:val="bottom"/>
          </w:tcPr>
          <w:p>
            <w:pPr>
              <w:jc w:val="center"/>
              <w:ind w:right="590"/>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662"/>
        </w:trPr>
        <w:tc>
          <w:tcPr>
            <w:tcW w:w="3560" w:type="dxa"/>
            <w:vAlign w:val="bottom"/>
          </w:tcPr>
          <w:p>
            <w:pPr>
              <w:spacing w:after="0"/>
              <w:rPr>
                <w:sz w:val="24"/>
                <w:szCs w:val="24"/>
                <w:color w:val="auto"/>
              </w:rPr>
            </w:pPr>
          </w:p>
        </w:tc>
        <w:tc>
          <w:tcPr>
            <w:tcW w:w="2960" w:type="dxa"/>
            <w:vAlign w:val="bottom"/>
          </w:tcPr>
          <w:p>
            <w:pPr>
              <w:jc w:val="right"/>
              <w:ind w:right="710"/>
              <w:spacing w:after="0"/>
              <w:rPr>
                <w:sz w:val="20"/>
                <w:szCs w:val="20"/>
                <w:color w:val="auto"/>
              </w:rPr>
            </w:pPr>
            <w:r>
              <w:rPr>
                <w:rFonts w:ascii="Arial" w:cs="Arial" w:eastAsia="Arial" w:hAnsi="Arial"/>
                <w:sz w:val="18"/>
                <w:szCs w:val="18"/>
                <w:color w:val="auto"/>
              </w:rPr>
              <w:t>49</w:t>
            </w:r>
          </w:p>
        </w:tc>
        <w:tc>
          <w:tcPr>
            <w:tcW w:w="680" w:type="dxa"/>
            <w:vAlign w:val="bottom"/>
          </w:tcPr>
          <w:p>
            <w:pPr>
              <w:spacing w:after="0"/>
              <w:rPr>
                <w:sz w:val="24"/>
                <w:szCs w:val="24"/>
                <w:color w:val="auto"/>
              </w:rPr>
            </w:pPr>
          </w:p>
        </w:tc>
        <w:tc>
          <w:tcPr>
            <w:tcW w:w="4040" w:type="dxa"/>
            <w:vAlign w:val="bottom"/>
          </w:tcPr>
          <w:p>
            <w:pPr>
              <w:spacing w:after="0"/>
              <w:rPr>
                <w:sz w:val="24"/>
                <w:szCs w:val="24"/>
                <w:color w:val="auto"/>
              </w:rPr>
            </w:pPr>
          </w:p>
        </w:tc>
      </w:tr>
    </w:tbl>
    <w:p>
      <w:pPr>
        <w:sectPr>
          <w:pgSz w:w="11900" w:h="16838" w:orient="portrait"/>
          <w:cols w:equalWidth="0" w:num="1">
            <w:col w:w="11240"/>
          </w:cols>
          <w:pgMar w:left="320" w:top="140"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22"/>
          <w:szCs w:val="22"/>
          <w:b w:val="1"/>
          <w:bCs w:val="1"/>
          <w:color w:val="auto"/>
        </w:rPr>
        <w:t>Exhibit 10.1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w:t>
      </w:r>
      <w:r>
        <w:rPr>
          <w:rFonts w:ascii="Arial" w:cs="Arial" w:eastAsia="Arial" w:hAnsi="Arial"/>
          <w:sz w:val="14"/>
          <w:szCs w:val="14"/>
          <w:b w:val="1"/>
          <w:bCs w:val="1"/>
          <w:color w:val="auto"/>
        </w:rPr>
        <w:t>ROOM</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jc w:val="center"/>
        <w:spacing w:after="0"/>
        <w:rPr>
          <w:sz w:val="20"/>
          <w:szCs w:val="20"/>
          <w:color w:val="auto"/>
        </w:rPr>
      </w:pPr>
      <w:r>
        <w:rPr>
          <w:rFonts w:ascii="Arial" w:cs="Arial" w:eastAsia="Arial" w:hAnsi="Arial"/>
          <w:sz w:val="15"/>
          <w:szCs w:val="15"/>
          <w:b w:val="1"/>
          <w:bCs w:val="1"/>
          <w:color w:val="auto"/>
        </w:rPr>
        <w:t xml:space="preserve">AMENDED AND RESTATED </w:t>
      </w:r>
      <w:r>
        <w:rPr>
          <w:rFonts w:ascii="Arial" w:cs="Arial" w:eastAsia="Arial" w:hAnsi="Arial"/>
          <w:sz w:val="21"/>
          <w:szCs w:val="21"/>
          <w:b w:val="1"/>
          <w:bCs w:val="1"/>
          <w:color w:val="auto"/>
        </w:rPr>
        <w:t>N</w:t>
      </w:r>
      <w:r>
        <w:rPr>
          <w:rFonts w:ascii="Arial" w:cs="Arial" w:eastAsia="Arial" w:hAnsi="Arial"/>
          <w:sz w:val="15"/>
          <w:szCs w:val="15"/>
          <w:b w:val="1"/>
          <w:bCs w:val="1"/>
          <w:color w:val="auto"/>
        </w:rPr>
        <w:t>ON</w:t>
      </w:r>
      <w:r>
        <w:rPr>
          <w:rFonts w:ascii="Arial" w:cs="Arial" w:eastAsia="Arial" w:hAnsi="Arial"/>
          <w:sz w:val="21"/>
          <w:szCs w:val="21"/>
          <w:b w:val="1"/>
          <w:bCs w:val="1"/>
          <w:color w:val="auto"/>
        </w:rPr>
        <w:t>-E</w:t>
      </w:r>
      <w:r>
        <w:rPr>
          <w:rFonts w:ascii="Arial" w:cs="Arial" w:eastAsia="Arial" w:hAnsi="Arial"/>
          <w:sz w:val="15"/>
          <w:szCs w:val="15"/>
          <w:b w:val="1"/>
          <w:bCs w:val="1"/>
          <w:color w:val="auto"/>
        </w:rPr>
        <w:t xml:space="preserve">MPLOYEE </w:t>
      </w:r>
      <w:r>
        <w:rPr>
          <w:rFonts w:ascii="Arial" w:cs="Arial" w:eastAsia="Arial" w:hAnsi="Arial"/>
          <w:sz w:val="21"/>
          <w:szCs w:val="21"/>
          <w:b w:val="1"/>
          <w:bCs w:val="1"/>
          <w:color w:val="auto"/>
        </w:rPr>
        <w:t>D</w:t>
      </w:r>
      <w:r>
        <w:rPr>
          <w:rFonts w:ascii="Arial" w:cs="Arial" w:eastAsia="Arial" w:hAnsi="Arial"/>
          <w:sz w:val="15"/>
          <w:szCs w:val="15"/>
          <w:b w:val="1"/>
          <w:bCs w:val="1"/>
          <w:color w:val="auto"/>
        </w:rPr>
        <w:t xml:space="preserve">IRECTOR </w:t>
      </w:r>
      <w:r>
        <w:rPr>
          <w:rFonts w:ascii="Arial" w:cs="Arial" w:eastAsia="Arial" w:hAnsi="Arial"/>
          <w:sz w:val="21"/>
          <w:szCs w:val="21"/>
          <w:b w:val="1"/>
          <w:bCs w:val="1"/>
          <w:color w:val="auto"/>
        </w:rPr>
        <w:t>C</w:t>
      </w:r>
      <w:r>
        <w:rPr>
          <w:rFonts w:ascii="Arial" w:cs="Arial" w:eastAsia="Arial" w:hAnsi="Arial"/>
          <w:sz w:val="15"/>
          <w:szCs w:val="15"/>
          <w:b w:val="1"/>
          <w:bCs w:val="1"/>
          <w:color w:val="auto"/>
        </w:rPr>
        <w:t xml:space="preserve">OMPENSATION </w:t>
      </w:r>
      <w:r>
        <w:rPr>
          <w:rFonts w:ascii="Arial" w:cs="Arial" w:eastAsia="Arial" w:hAnsi="Arial"/>
          <w:sz w:val="21"/>
          <w:szCs w:val="21"/>
          <w:b w:val="1"/>
          <w:bCs w:val="1"/>
          <w:color w:val="auto"/>
        </w:rPr>
        <w:t>P</w:t>
      </w:r>
      <w:r>
        <w:rPr>
          <w:rFonts w:ascii="Arial" w:cs="Arial" w:eastAsia="Arial" w:hAnsi="Arial"/>
          <w:sz w:val="15"/>
          <w:szCs w:val="15"/>
          <w:b w:val="1"/>
          <w:bCs w:val="1"/>
          <w:color w:val="auto"/>
        </w:rPr>
        <w:t>OLICY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DOPTED</w:t>
      </w:r>
      <w:r>
        <w:rPr>
          <w:rFonts w:ascii="Arial" w:cs="Arial" w:eastAsia="Arial" w:hAnsi="Arial"/>
          <w:sz w:val="22"/>
          <w:szCs w:val="22"/>
          <w:b w:val="1"/>
          <w:bCs w:val="1"/>
          <w:color w:val="auto"/>
        </w:rPr>
        <w:t xml:space="preserve"> M</w:t>
      </w:r>
      <w:r>
        <w:rPr>
          <w:rFonts w:ascii="Arial" w:cs="Arial" w:eastAsia="Arial" w:hAnsi="Arial"/>
          <w:sz w:val="14"/>
          <w:szCs w:val="14"/>
          <w:b w:val="1"/>
          <w:bCs w:val="1"/>
          <w:color w:val="auto"/>
        </w:rPr>
        <w:t>AY</w:t>
      </w:r>
      <w:r>
        <w:rPr>
          <w:rFonts w:ascii="Arial" w:cs="Arial" w:eastAsia="Arial" w:hAnsi="Arial"/>
          <w:sz w:val="22"/>
          <w:szCs w:val="22"/>
          <w:b w:val="1"/>
          <w:bCs w:val="1"/>
          <w:color w:val="auto"/>
        </w:rPr>
        <w:t xml:space="preserve"> 28, 2020</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April 26, 2021</w:t>
      </w:r>
    </w:p>
    <w:p>
      <w:pPr>
        <w:spacing w:after="0" w:line="212"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color w:val="auto"/>
        </w:rPr>
        <w:t>Non-employee members of the board of directors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of Vroom,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shall be eligible to receive cash and equity compensation as set forth in this Amended and Restated Non-Employee Director Compensation Policy (this “</w:t>
      </w:r>
      <w:r>
        <w:rPr>
          <w:rFonts w:ascii="Arial" w:cs="Arial" w:eastAsia="Arial" w:hAnsi="Arial"/>
          <w:sz w:val="19"/>
          <w:szCs w:val="19"/>
          <w:b w:val="1"/>
          <w:bCs w:val="1"/>
          <w:i w:val="1"/>
          <w:iCs w:val="1"/>
          <w:color w:val="auto"/>
        </w:rPr>
        <w:t>Policy</w:t>
      </w:r>
      <w:r>
        <w:rPr>
          <w:rFonts w:ascii="Arial" w:cs="Arial" w:eastAsia="Arial" w:hAnsi="Arial"/>
          <w:sz w:val="19"/>
          <w:szCs w:val="19"/>
          <w:color w:val="auto"/>
        </w:rPr>
        <w:t>”). The cash and equity compensation described in this Policy shall be paid or be made, as applicable, automatically and without further action of the Board, to each member of the Board who is not an employee of the Company or any parent or subsidiary of the Company (each, a “</w:t>
      </w:r>
      <w:r>
        <w:rPr>
          <w:rFonts w:ascii="Arial" w:cs="Arial" w:eastAsia="Arial" w:hAnsi="Arial"/>
          <w:sz w:val="19"/>
          <w:szCs w:val="19"/>
          <w:b w:val="1"/>
          <w:bCs w:val="1"/>
          <w:i w:val="1"/>
          <w:iCs w:val="1"/>
          <w:color w:val="auto"/>
        </w:rPr>
        <w:t>Non-Employee Director</w:t>
      </w:r>
      <w:r>
        <w:rPr>
          <w:rFonts w:ascii="Arial" w:cs="Arial" w:eastAsia="Arial" w:hAnsi="Arial"/>
          <w:sz w:val="19"/>
          <w:szCs w:val="19"/>
          <w:color w:val="auto"/>
        </w:rPr>
        <w:t>”) who may be eligible to receive such cash or equity compensation, unless such Non-Employee Director declines the receipt of such cash or equity compensation by written notice to the Company. This Policy became effective after the effectiveness of the Company’s initial public offering (the “</w:t>
      </w:r>
      <w:r>
        <w:rPr>
          <w:rFonts w:ascii="Arial" w:cs="Arial" w:eastAsia="Arial" w:hAnsi="Arial"/>
          <w:sz w:val="19"/>
          <w:szCs w:val="19"/>
          <w:b w:val="1"/>
          <w:bCs w:val="1"/>
          <w:i w:val="1"/>
          <w:iCs w:val="1"/>
          <w:color w:val="auto"/>
        </w:rPr>
        <w:t>IPO</w:t>
      </w:r>
      <w:r>
        <w:rPr>
          <w:rFonts w:ascii="Arial" w:cs="Arial" w:eastAsia="Arial" w:hAnsi="Arial"/>
          <w:sz w:val="19"/>
          <w:szCs w:val="19"/>
          <w:color w:val="auto"/>
        </w:rPr>
        <w:t xml:space="preserve">”) and will remain in effect until it is further revised or rescinded by further action of the Board. This Policy may be amended, modified or terminated by the Board at any time in its sole discretion. The terms and conditions of this Policy shall supersede any prior cash and/or equity compensation arrangements for service as a member of the Board between the Company and any of its Non-Employee Directors and between any subsidiary of the Company and any of its non-employee directors,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terms and conditions of this Policy shall not amend or modify the terms of any equity awards granted to any Non-Employee Director prior to the IPO.</w:t>
      </w:r>
    </w:p>
    <w:p>
      <w:pPr>
        <w:spacing w:after="0" w:line="200" w:lineRule="exact"/>
        <w:rPr>
          <w:sz w:val="20"/>
          <w:szCs w:val="20"/>
          <w:color w:val="auto"/>
        </w:rPr>
      </w:pPr>
    </w:p>
    <w:p>
      <w:pPr>
        <w:spacing w:after="0" w:line="204" w:lineRule="exact"/>
        <w:rPr>
          <w:sz w:val="20"/>
          <w:szCs w:val="20"/>
          <w:color w:val="auto"/>
        </w:rPr>
      </w:pPr>
    </w:p>
    <w:p>
      <w:pPr>
        <w:ind w:left="1680" w:hanging="808"/>
        <w:spacing w:after="0"/>
        <w:tabs>
          <w:tab w:leader="none" w:pos="1680"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Cash Compensation.</w:t>
      </w:r>
    </w:p>
    <w:p>
      <w:pPr>
        <w:spacing w:after="0" w:line="206" w:lineRule="exact"/>
        <w:rPr>
          <w:rFonts w:ascii="Arial" w:cs="Arial" w:eastAsia="Arial" w:hAnsi="Arial"/>
          <w:sz w:val="22"/>
          <w:szCs w:val="22"/>
          <w:color w:val="auto"/>
        </w:rPr>
      </w:pPr>
    </w:p>
    <w:p>
      <w:pPr>
        <w:ind w:left="2620" w:hanging="885"/>
        <w:spacing w:after="0"/>
        <w:tabs>
          <w:tab w:leader="none" w:pos="2620" w:val="left"/>
        </w:tabs>
        <w:numPr>
          <w:ilvl w:val="1"/>
          <w:numId w:val="27"/>
        </w:numPr>
        <w:rPr>
          <w:rFonts w:ascii="Arial" w:cs="Arial" w:eastAsia="Arial" w:hAnsi="Arial"/>
          <w:sz w:val="19"/>
          <w:szCs w:val="19"/>
          <w:color w:val="auto"/>
        </w:rPr>
      </w:pPr>
      <w:r>
        <w:rPr>
          <w:rFonts w:ascii="Arial" w:cs="Arial" w:eastAsia="Arial" w:hAnsi="Arial"/>
          <w:sz w:val="19"/>
          <w:szCs w:val="19"/>
          <w:u w:val="single" w:color="auto"/>
          <w:color w:val="auto"/>
        </w:rPr>
        <w:t>Annual Retainers</w:t>
      </w:r>
      <w:r>
        <w:rPr>
          <w:rFonts w:ascii="Arial" w:cs="Arial" w:eastAsia="Arial" w:hAnsi="Arial"/>
          <w:sz w:val="19"/>
          <w:szCs w:val="19"/>
          <w:color w:val="auto"/>
        </w:rPr>
        <w:t>.  Each Non-Employee Director shall receive an annual retainer of $30,000 for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service on the Board.</w:t>
      </w:r>
    </w:p>
    <w:p>
      <w:pPr>
        <w:spacing w:after="0" w:line="188" w:lineRule="exact"/>
        <w:rPr>
          <w:rFonts w:ascii="Arial" w:cs="Arial" w:eastAsia="Arial" w:hAnsi="Arial"/>
          <w:sz w:val="19"/>
          <w:szCs w:val="19"/>
          <w:color w:val="auto"/>
        </w:rPr>
      </w:pPr>
    </w:p>
    <w:p>
      <w:pPr>
        <w:ind w:left="2640" w:hanging="905"/>
        <w:spacing w:after="0"/>
        <w:tabs>
          <w:tab w:leader="none" w:pos="2640" w:val="left"/>
        </w:tabs>
        <w:numPr>
          <w:ilvl w:val="1"/>
          <w:numId w:val="27"/>
        </w:numPr>
        <w:rPr>
          <w:rFonts w:ascii="Arial" w:cs="Arial" w:eastAsia="Arial" w:hAnsi="Arial"/>
          <w:sz w:val="19"/>
          <w:szCs w:val="19"/>
          <w:color w:val="auto"/>
        </w:rPr>
      </w:pPr>
      <w:r>
        <w:rPr>
          <w:rFonts w:ascii="Arial" w:cs="Arial" w:eastAsia="Arial" w:hAnsi="Arial"/>
          <w:sz w:val="19"/>
          <w:szCs w:val="19"/>
          <w:u w:val="single" w:color="auto"/>
          <w:color w:val="auto"/>
        </w:rPr>
        <w:t>Additional Annual Retainers</w:t>
      </w:r>
      <w:r>
        <w:rPr>
          <w:rFonts w:ascii="Arial" w:cs="Arial" w:eastAsia="Arial" w:hAnsi="Arial"/>
          <w:sz w:val="19"/>
          <w:szCs w:val="19"/>
          <w:color w:val="auto"/>
        </w:rPr>
        <w:t>.  In addition, a Non-Employee Director shall receive the following</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annual retainers:</w:t>
      </w:r>
    </w:p>
    <w:p>
      <w:pPr>
        <w:spacing w:after="0" w:line="188" w:lineRule="exact"/>
        <w:rPr>
          <w:rFonts w:ascii="Arial" w:cs="Arial" w:eastAsia="Arial" w:hAnsi="Arial"/>
          <w:sz w:val="19"/>
          <w:szCs w:val="19"/>
          <w:color w:val="auto"/>
        </w:rPr>
      </w:pPr>
    </w:p>
    <w:p>
      <w:pPr>
        <w:ind w:firstLine="2600"/>
        <w:spacing w:after="0" w:line="250" w:lineRule="auto"/>
        <w:tabs>
          <w:tab w:leader="none" w:pos="3444" w:val="left"/>
        </w:tabs>
        <w:numPr>
          <w:ilvl w:val="2"/>
          <w:numId w:val="27"/>
        </w:numPr>
        <w:rPr>
          <w:rFonts w:ascii="Arial" w:cs="Arial" w:eastAsia="Arial" w:hAnsi="Arial"/>
          <w:sz w:val="22"/>
          <w:szCs w:val="22"/>
          <w:color w:val="auto"/>
        </w:rPr>
      </w:pPr>
      <w:r>
        <w:rPr>
          <w:rFonts w:ascii="Arial" w:cs="Arial" w:eastAsia="Arial" w:hAnsi="Arial"/>
          <w:sz w:val="22"/>
          <w:szCs w:val="22"/>
          <w:u w:val="single" w:color="auto"/>
          <w:color w:val="auto"/>
        </w:rPr>
        <w:t>Chairperson of the Board</w:t>
      </w:r>
      <w:r>
        <w:rPr>
          <w:rFonts w:ascii="Arial" w:cs="Arial" w:eastAsia="Arial" w:hAnsi="Arial"/>
          <w:sz w:val="22"/>
          <w:szCs w:val="22"/>
          <w:color w:val="auto"/>
        </w:rPr>
        <w:t>. A Non-Employee Director serving as Chairperson of the Board shall receive an additional annual retainer of $10,000 for such service.</w:t>
      </w:r>
    </w:p>
    <w:p>
      <w:pPr>
        <w:spacing w:after="0" w:line="174" w:lineRule="exact"/>
        <w:rPr>
          <w:rFonts w:ascii="Arial" w:cs="Arial" w:eastAsia="Arial" w:hAnsi="Arial"/>
          <w:sz w:val="22"/>
          <w:szCs w:val="22"/>
          <w:color w:val="auto"/>
        </w:rPr>
      </w:pPr>
    </w:p>
    <w:p>
      <w:pPr>
        <w:jc w:val="both"/>
        <w:ind w:firstLine="2600"/>
        <w:spacing w:after="0" w:line="238" w:lineRule="auto"/>
        <w:tabs>
          <w:tab w:leader="none" w:pos="3504" w:val="left"/>
        </w:tabs>
        <w:numPr>
          <w:ilvl w:val="2"/>
          <w:numId w:val="27"/>
        </w:numPr>
        <w:rPr>
          <w:rFonts w:ascii="Arial" w:cs="Arial" w:eastAsia="Arial" w:hAnsi="Arial"/>
          <w:sz w:val="22"/>
          <w:szCs w:val="22"/>
          <w:color w:val="auto"/>
        </w:rPr>
      </w:pPr>
      <w:r>
        <w:rPr>
          <w:rFonts w:ascii="Arial" w:cs="Arial" w:eastAsia="Arial" w:hAnsi="Arial"/>
          <w:sz w:val="22"/>
          <w:szCs w:val="22"/>
          <w:u w:val="single" w:color="auto"/>
          <w:color w:val="auto"/>
        </w:rPr>
        <w:t>Audit Committee</w:t>
      </w:r>
      <w:r>
        <w:rPr>
          <w:rFonts w:ascii="Arial" w:cs="Arial" w:eastAsia="Arial" w:hAnsi="Arial"/>
          <w:sz w:val="22"/>
          <w:szCs w:val="22"/>
          <w:color w:val="auto"/>
        </w:rPr>
        <w:t>. A Non-Employee Director serving as Chairperson of the Audit Committee shall receive an additional annual retainer of $10,000 for such service. A Non-Employee Director serving as a member of the Audit Committee (other than the Chairperson) shall receive an additional annual retainer of $5,000 for such service.</w:t>
      </w:r>
    </w:p>
    <w:p>
      <w:pPr>
        <w:spacing w:after="0" w:line="184" w:lineRule="exact"/>
        <w:rPr>
          <w:rFonts w:ascii="Arial" w:cs="Arial" w:eastAsia="Arial" w:hAnsi="Arial"/>
          <w:sz w:val="22"/>
          <w:szCs w:val="22"/>
          <w:color w:val="auto"/>
        </w:rPr>
      </w:pPr>
    </w:p>
    <w:p>
      <w:pPr>
        <w:jc w:val="both"/>
        <w:ind w:firstLine="2600"/>
        <w:spacing w:after="0" w:line="238" w:lineRule="auto"/>
        <w:tabs>
          <w:tab w:leader="none" w:pos="3564" w:val="left"/>
        </w:tabs>
        <w:numPr>
          <w:ilvl w:val="2"/>
          <w:numId w:val="27"/>
        </w:numPr>
        <w:rPr>
          <w:rFonts w:ascii="Arial" w:cs="Arial" w:eastAsia="Arial" w:hAnsi="Arial"/>
          <w:sz w:val="22"/>
          <w:szCs w:val="22"/>
          <w:color w:val="auto"/>
        </w:rPr>
      </w:pPr>
      <w:r>
        <w:rPr>
          <w:rFonts w:ascii="Arial" w:cs="Arial" w:eastAsia="Arial" w:hAnsi="Arial"/>
          <w:sz w:val="22"/>
          <w:szCs w:val="22"/>
          <w:u w:val="single" w:color="auto"/>
          <w:color w:val="auto"/>
        </w:rPr>
        <w:t>Compensation Committee</w:t>
      </w:r>
      <w:r>
        <w:rPr>
          <w:rFonts w:ascii="Arial" w:cs="Arial" w:eastAsia="Arial" w:hAnsi="Arial"/>
          <w:sz w:val="22"/>
          <w:szCs w:val="22"/>
          <w:color w:val="auto"/>
        </w:rPr>
        <w:t>. A Non-Employee Director serving as Chairperson of the Compensation Committee shall receive an additional annual retainer of $5,000 for such service. A Non-Employee Director serving as a member of the Compensation Committee (other than the Chairperson) shall receive an additional annual retainer of $2,500 for such service.</w:t>
      </w:r>
    </w:p>
    <w:p>
      <w:pPr>
        <w:spacing w:after="0" w:line="184" w:lineRule="exact"/>
        <w:rPr>
          <w:rFonts w:ascii="Arial" w:cs="Arial" w:eastAsia="Arial" w:hAnsi="Arial"/>
          <w:sz w:val="22"/>
          <w:szCs w:val="22"/>
          <w:color w:val="auto"/>
        </w:rPr>
      </w:pPr>
    </w:p>
    <w:p>
      <w:pPr>
        <w:jc w:val="both"/>
        <w:ind w:firstLine="2600"/>
        <w:spacing w:after="0"/>
        <w:tabs>
          <w:tab w:leader="none" w:pos="3552" w:val="left"/>
        </w:tabs>
        <w:numPr>
          <w:ilvl w:val="2"/>
          <w:numId w:val="27"/>
        </w:numPr>
        <w:rPr>
          <w:rFonts w:ascii="Arial" w:cs="Arial" w:eastAsia="Arial" w:hAnsi="Arial"/>
          <w:sz w:val="22"/>
          <w:szCs w:val="22"/>
          <w:color w:val="auto"/>
        </w:rPr>
      </w:pPr>
      <w:r>
        <w:rPr>
          <w:rFonts w:ascii="Arial" w:cs="Arial" w:eastAsia="Arial" w:hAnsi="Arial"/>
          <w:sz w:val="22"/>
          <w:szCs w:val="22"/>
          <w:u w:val="single" w:color="auto"/>
          <w:color w:val="auto"/>
        </w:rPr>
        <w:t>Nominating and Corporate Governance Committee</w:t>
      </w:r>
      <w:r>
        <w:rPr>
          <w:rFonts w:ascii="Arial" w:cs="Arial" w:eastAsia="Arial" w:hAnsi="Arial"/>
          <w:sz w:val="22"/>
          <w:szCs w:val="22"/>
          <w:color w:val="auto"/>
        </w:rPr>
        <w:t>. A Non-Employee Director serving as Chairperson of the Nominating and Corporate Governance Committee shall receive an additional annual retainer of $4,000 for such service. A 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513715</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0" w:name="page51"/>
    <w:bookmarkEnd w:id="50"/>
    <w:p>
      <w:pPr>
        <w:spacing w:after="0" w:line="251" w:lineRule="auto"/>
        <w:rPr>
          <w:sz w:val="20"/>
          <w:szCs w:val="20"/>
          <w:color w:val="auto"/>
        </w:rPr>
      </w:pPr>
      <w:r>
        <w:rPr>
          <w:rFonts w:ascii="Arial" w:cs="Arial" w:eastAsia="Arial" w:hAnsi="Arial"/>
          <w:sz w:val="22"/>
          <w:szCs w:val="22"/>
          <w:color w:val="auto"/>
        </w:rPr>
        <w:t>Employee Director serving as a member of the Nominating and Corporate Governance Committee (other than the Chairperson) shall receive an additional annual retainer of $2,000 for such service.</w:t>
      </w:r>
    </w:p>
    <w:p>
      <w:pPr>
        <w:spacing w:after="0" w:line="173" w:lineRule="exact"/>
        <w:rPr>
          <w:sz w:val="20"/>
          <w:szCs w:val="20"/>
          <w:color w:val="auto"/>
        </w:rPr>
      </w:pPr>
    </w:p>
    <w:p>
      <w:pPr>
        <w:jc w:val="both"/>
        <w:ind w:firstLine="1735"/>
        <w:spacing w:after="0" w:line="245" w:lineRule="auto"/>
        <w:tabs>
          <w:tab w:leader="none" w:pos="2615" w:val="left"/>
        </w:tabs>
        <w:numPr>
          <w:ilvl w:val="1"/>
          <w:numId w:val="28"/>
        </w:numPr>
        <w:rPr>
          <w:rFonts w:ascii="Arial" w:cs="Arial" w:eastAsia="Arial" w:hAnsi="Arial"/>
          <w:sz w:val="21"/>
          <w:szCs w:val="21"/>
          <w:color w:val="auto"/>
        </w:rPr>
      </w:pPr>
      <w:r>
        <w:rPr>
          <w:rFonts w:ascii="Arial" w:cs="Arial" w:eastAsia="Arial" w:hAnsi="Arial"/>
          <w:sz w:val="21"/>
          <w:szCs w:val="21"/>
          <w:u w:val="single" w:color="auto"/>
          <w:color w:val="auto"/>
        </w:rPr>
        <w:t>Payment of Retainers</w:t>
      </w:r>
      <w:r>
        <w:rPr>
          <w:rFonts w:ascii="Arial" w:cs="Arial" w:eastAsia="Arial" w:hAnsi="Arial"/>
          <w:sz w:val="21"/>
          <w:szCs w:val="21"/>
          <w:color w:val="auto"/>
        </w:rPr>
        <w:t>. The annual retainers described in Sections 1(a) and 1(b) shall be earned on a quarterly basis based on a calendar quarter and shall be paid by the Company in arrears not later than the fifteenth day following the end of each calendar quarter. In the event a Non-Employee Director does not serve as a Non-Employee Director, or in the applicable positions described in Section 1(b), for an entire calendar quarter, such Non-Employee Director shall receive a prorated portion of the retainer(s) otherwise payable to such Non-Employee Director for such calendar quarter pursuant to Sections 1(a) and 1(b), with such prorated portion determined by multiplying such otherwise payable retainer(s) by a fraction, the numerator of which is the number of days during which the Non-Employee Director serves as a Non-Employee Director or in the applicable positions described in Section 1(b) during the applicable calendar quarter and the denominator of which is the number of days in the applicable calendar quarter.</w:t>
      </w:r>
    </w:p>
    <w:p>
      <w:pPr>
        <w:spacing w:after="0" w:line="184" w:lineRule="exact"/>
        <w:rPr>
          <w:rFonts w:ascii="Arial" w:cs="Arial" w:eastAsia="Arial" w:hAnsi="Arial"/>
          <w:sz w:val="21"/>
          <w:szCs w:val="21"/>
          <w:color w:val="auto"/>
        </w:rPr>
      </w:pPr>
    </w:p>
    <w:p>
      <w:pPr>
        <w:ind w:left="1680" w:hanging="808"/>
        <w:spacing w:after="0"/>
        <w:tabs>
          <w:tab w:leader="none" w:pos="1680"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Equity Compensation.</w:t>
      </w:r>
    </w:p>
    <w:p>
      <w:pPr>
        <w:spacing w:after="0" w:line="206"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9"/>
          <w:szCs w:val="19"/>
          <w:color w:val="auto"/>
        </w:rPr>
        <w:t>Non-Employee Directors shall be granted the equity awards described below. The awards described below shall be granted under and shall be subject to the terms and provisions of the Company’s 2020 Incentive Award Plan or any other applicable Company equity incentive plan then-maintained by the Company (such plan, as may be amended from time to time, the “</w:t>
      </w:r>
      <w:r>
        <w:rPr>
          <w:rFonts w:ascii="Arial" w:cs="Arial" w:eastAsia="Arial" w:hAnsi="Arial"/>
          <w:sz w:val="19"/>
          <w:szCs w:val="19"/>
          <w:b w:val="1"/>
          <w:bCs w:val="1"/>
          <w:i w:val="1"/>
          <w:iCs w:val="1"/>
          <w:color w:val="auto"/>
        </w:rPr>
        <w:t>Equity Plan</w:t>
      </w:r>
      <w:r>
        <w:rPr>
          <w:rFonts w:ascii="Arial" w:cs="Arial" w:eastAsia="Arial" w:hAnsi="Arial"/>
          <w:sz w:val="19"/>
          <w:szCs w:val="19"/>
          <w:color w:val="auto"/>
        </w:rPr>
        <w:t>”) and shall be granted subject to the execution and delivery of award agreements, including attached exhibits, in substantially the forms previously approved by the Board. All applicable terms of the Equity Plan apply to this Policy as if fully set forth herein, and all equity grants hereunder are subject in all respects to the terms of the Equity Plan.</w:t>
      </w:r>
    </w:p>
    <w:p>
      <w:pPr>
        <w:spacing w:after="0" w:line="150" w:lineRule="exact"/>
        <w:rPr>
          <w:sz w:val="20"/>
          <w:szCs w:val="20"/>
          <w:color w:val="auto"/>
        </w:rPr>
      </w:pPr>
    </w:p>
    <w:p>
      <w:pPr>
        <w:jc w:val="both"/>
        <w:ind w:firstLine="1735"/>
        <w:spacing w:after="0" w:line="245" w:lineRule="auto"/>
        <w:tabs>
          <w:tab w:leader="none" w:pos="2615" w:val="left"/>
        </w:tabs>
        <w:numPr>
          <w:ilvl w:val="0"/>
          <w:numId w:val="30"/>
        </w:numPr>
        <w:rPr>
          <w:rFonts w:ascii="Arial" w:cs="Arial" w:eastAsia="Arial" w:hAnsi="Arial"/>
          <w:sz w:val="21"/>
          <w:szCs w:val="21"/>
          <w:color w:val="auto"/>
        </w:rPr>
      </w:pPr>
      <w:r>
        <w:rPr>
          <w:rFonts w:ascii="Arial" w:cs="Arial" w:eastAsia="Arial" w:hAnsi="Arial"/>
          <w:sz w:val="21"/>
          <w:szCs w:val="21"/>
          <w:u w:val="single" w:color="auto"/>
          <w:color w:val="auto"/>
        </w:rPr>
        <w:t>Annual Awards</w:t>
      </w:r>
      <w:r>
        <w:rPr>
          <w:rFonts w:ascii="Arial" w:cs="Arial" w:eastAsia="Arial" w:hAnsi="Arial"/>
          <w:sz w:val="21"/>
          <w:szCs w:val="21"/>
          <w:color w:val="auto"/>
        </w:rPr>
        <w:t>. Each Non-Employee Director who (i) serves on the Board as of the date of any annual meeting of the Company’s stockholders (an “</w:t>
      </w:r>
      <w:r>
        <w:rPr>
          <w:rFonts w:ascii="Arial" w:cs="Arial" w:eastAsia="Arial" w:hAnsi="Arial"/>
          <w:sz w:val="21"/>
          <w:szCs w:val="21"/>
          <w:b w:val="1"/>
          <w:bCs w:val="1"/>
          <w:i w:val="1"/>
          <w:iCs w:val="1"/>
          <w:color w:val="auto"/>
        </w:rPr>
        <w:t>Annual Meeting</w:t>
      </w:r>
      <w:r>
        <w:rPr>
          <w:rFonts w:ascii="Arial" w:cs="Arial" w:eastAsia="Arial" w:hAnsi="Arial"/>
          <w:sz w:val="21"/>
          <w:szCs w:val="21"/>
          <w:color w:val="auto"/>
        </w:rPr>
        <w:t>”) after the IPO and (ii) will continue to serve as a Non-Employee Director immediately following such Annual Meeting shall be automatically granted, on the date of such Annual Meeting, an award of restricted stock units that have an aggregate fair value on the date of such Annual Meeting of $100,000 (as determined based on the average trading price of the shares of common stock for the ten (10) consecutive trading days immediately preceding the date of grant and with the number of shares of common stock underlying such award subject to adjustment as provided in the Equity Plan). The awards described in this Section 2(a) shall be referred to as the “</w:t>
      </w:r>
      <w:r>
        <w:rPr>
          <w:rFonts w:ascii="Arial" w:cs="Arial" w:eastAsia="Arial" w:hAnsi="Arial"/>
          <w:sz w:val="21"/>
          <w:szCs w:val="21"/>
          <w:b w:val="1"/>
          <w:bCs w:val="1"/>
          <w:i w:val="1"/>
          <w:iCs w:val="1"/>
          <w:color w:val="auto"/>
        </w:rPr>
        <w:t>Annual</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Awards</w:t>
      </w:r>
      <w:r>
        <w:rPr>
          <w:rFonts w:ascii="Arial" w:cs="Arial" w:eastAsia="Arial" w:hAnsi="Arial"/>
          <w:sz w:val="21"/>
          <w:szCs w:val="21"/>
          <w:color w:val="auto"/>
        </w:rPr>
        <w:t>.” For the avoidance of doubt, a Non-Employee Director elected for the first time to the Board at an Annual Meeting shall</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receive only an Annual Award in connection with such election, and shall not receive any Partial Year Annual Award (as defined below) on the date of such Annual Meeting as well.</w:t>
      </w:r>
    </w:p>
    <w:p>
      <w:pPr>
        <w:spacing w:after="0" w:line="180" w:lineRule="exact"/>
        <w:rPr>
          <w:rFonts w:ascii="Arial" w:cs="Arial" w:eastAsia="Arial" w:hAnsi="Arial"/>
          <w:sz w:val="21"/>
          <w:szCs w:val="21"/>
          <w:color w:val="auto"/>
        </w:rPr>
      </w:pPr>
    </w:p>
    <w:p>
      <w:pPr>
        <w:jc w:val="both"/>
        <w:ind w:firstLine="1735"/>
        <w:spacing w:after="0" w:line="249" w:lineRule="auto"/>
        <w:tabs>
          <w:tab w:leader="none" w:pos="2627" w:val="left"/>
        </w:tabs>
        <w:numPr>
          <w:ilvl w:val="0"/>
          <w:numId w:val="30"/>
        </w:numPr>
        <w:rPr>
          <w:rFonts w:ascii="Arial" w:cs="Arial" w:eastAsia="Arial" w:hAnsi="Arial"/>
          <w:sz w:val="21"/>
          <w:szCs w:val="21"/>
          <w:color w:val="auto"/>
        </w:rPr>
      </w:pPr>
      <w:r>
        <w:rPr>
          <w:rFonts w:ascii="Arial" w:cs="Arial" w:eastAsia="Arial" w:hAnsi="Arial"/>
          <w:sz w:val="21"/>
          <w:szCs w:val="21"/>
          <w:u w:val="single" w:color="auto"/>
          <w:color w:val="auto"/>
        </w:rPr>
        <w:t>Partial Year Annual Award</w:t>
      </w:r>
      <w:r>
        <w:rPr>
          <w:rFonts w:ascii="Arial" w:cs="Arial" w:eastAsia="Arial" w:hAnsi="Arial"/>
          <w:sz w:val="21"/>
          <w:szCs w:val="21"/>
          <w:color w:val="auto"/>
        </w:rPr>
        <w:t>. Except as otherwise determined by the Board, each Non-Employee Director who is initially elected or appointed to the Board after the IPO on any date other than the date of an Annual Meeting shall be automatically granted, on the date of such Non-Employee Director’s initial election or appointment (such Non-Employee Director’s “</w:t>
      </w:r>
      <w:r>
        <w:rPr>
          <w:rFonts w:ascii="Arial" w:cs="Arial" w:eastAsia="Arial" w:hAnsi="Arial"/>
          <w:sz w:val="21"/>
          <w:szCs w:val="21"/>
          <w:b w:val="1"/>
          <w:bCs w:val="1"/>
          <w:i w:val="1"/>
          <w:iCs w:val="1"/>
          <w:color w:val="auto"/>
        </w:rPr>
        <w:t>Start Date</w:t>
      </w:r>
      <w:r>
        <w:rPr>
          <w:rFonts w:ascii="Arial" w:cs="Arial" w:eastAsia="Arial" w:hAnsi="Arial"/>
          <w:sz w:val="21"/>
          <w:szCs w:val="21"/>
          <w:color w:val="auto"/>
        </w:rPr>
        <w:t>”), an award of restricted stock units that have an aggregate fair value on such Non-Employee Director’s Start Date equal to the product of (i) $100,000 (as determined based on the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202565</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jc w:val="both"/>
        <w:spacing w:after="0" w:line="277" w:lineRule="auto"/>
        <w:rPr>
          <w:sz w:val="20"/>
          <w:szCs w:val="20"/>
          <w:color w:val="auto"/>
        </w:rPr>
      </w:pPr>
      <w:r>
        <w:rPr>
          <w:rFonts w:ascii="Arial" w:cs="Arial" w:eastAsia="Arial" w:hAnsi="Arial"/>
          <w:sz w:val="19"/>
          <w:szCs w:val="19"/>
          <w:color w:val="auto"/>
        </w:rPr>
        <w:t>average trading price of the shares of common stock for the ten (10) consecutive trading days immediately preceding the date of grant) and (ii) a fraction, the numerator of which is (x) 365 minus (y) the number of days in the period beginning on the date of the Annual Meeting immediately preceding such Non-Employee Director’s Start Date (or, if no such Annual Meeting has occurred, the effective date of the Company’s IPO) and ending on such Non-Employee Director’s Start Date and the denominator of which is 365 (with the number of shares of common stock underlying each such award subject to adjustment as provided in the Equity Plan). The awards described in this Section 2(b) shall be referred to as “Partial Year Annual Awards</w:t>
      </w:r>
      <w:r>
        <w:rPr>
          <w:rFonts w:ascii="Arial" w:cs="Arial" w:eastAsia="Arial" w:hAnsi="Arial"/>
          <w:sz w:val="19"/>
          <w:szCs w:val="19"/>
          <w:i w:val="1"/>
          <w:iCs w:val="1"/>
          <w:color w:val="auto"/>
        </w:rPr>
        <w:t>.</w:t>
      </w:r>
      <w:r>
        <w:rPr>
          <w:rFonts w:ascii="Arial" w:cs="Arial" w:eastAsia="Arial" w:hAnsi="Arial"/>
          <w:sz w:val="19"/>
          <w:szCs w:val="19"/>
          <w:color w:val="auto"/>
        </w:rPr>
        <w:t>” For the avoidance of doubt, no Non-Employee Director shall be granted more than one Partial Year Annual Award.</w:t>
      </w:r>
    </w:p>
    <w:p>
      <w:pPr>
        <w:spacing w:after="0" w:line="152" w:lineRule="exact"/>
        <w:rPr>
          <w:sz w:val="20"/>
          <w:szCs w:val="20"/>
          <w:color w:val="auto"/>
        </w:rPr>
      </w:pPr>
    </w:p>
    <w:p>
      <w:pPr>
        <w:jc w:val="both"/>
        <w:ind w:firstLine="1735"/>
        <w:spacing w:after="0" w:line="282" w:lineRule="auto"/>
        <w:tabs>
          <w:tab w:leader="none" w:pos="2615"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Start Date Awards</w:t>
      </w:r>
      <w:r>
        <w:rPr>
          <w:rFonts w:ascii="Arial" w:cs="Arial" w:eastAsia="Arial" w:hAnsi="Arial"/>
          <w:sz w:val="19"/>
          <w:szCs w:val="19"/>
          <w:color w:val="auto"/>
        </w:rPr>
        <w:t>. Except as otherwise determined by the Board, each Non-Employee Director who is initially elected or appointed to the Board on or after the date of this Amended and Restated Policy, shall be automatically granted, on the date of such Non-Employee Director’s Start Date, an award of restricted stock units that have an aggregate fair value on such Non-Employee Director’s Start Date equal to $300,000 (as determined based on the average trading price of the shares of common stock for the ten (10) consecutive trading days immediately preceding the date of grant).</w:t>
      </w:r>
    </w:p>
    <w:p>
      <w:pPr>
        <w:spacing w:after="0" w:line="147" w:lineRule="exact"/>
        <w:rPr>
          <w:rFonts w:ascii="Arial" w:cs="Arial" w:eastAsia="Arial" w:hAnsi="Arial"/>
          <w:sz w:val="19"/>
          <w:szCs w:val="19"/>
          <w:color w:val="auto"/>
        </w:rPr>
      </w:pPr>
    </w:p>
    <w:p>
      <w:pPr>
        <w:jc w:val="both"/>
        <w:ind w:firstLine="1735"/>
        <w:spacing w:after="0" w:line="235" w:lineRule="auto"/>
        <w:tabs>
          <w:tab w:leader="none" w:pos="2627"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 of Employee Directors</w:t>
      </w:r>
      <w:r>
        <w:rPr>
          <w:rFonts w:ascii="Arial" w:cs="Arial" w:eastAsia="Arial" w:hAnsi="Arial"/>
          <w:sz w:val="22"/>
          <w:szCs w:val="22"/>
          <w:color w:val="auto"/>
        </w:rPr>
        <w:t>. Members of the Board who are employees of the Company or any parent or subsidiary of the Company who subsequently terminate their employment with the Company and any parent or subsidiary of the Company and remain on the Board will not receive a Partial Year Annual Award or a Start Date Award pursuant to Section 2(b) or 2(c) above, but to the extent that they are otherwise eligible, will be eligible to receive, after termination from employment with the Company and any parent or subsidiary of the Company, Annual Awards as described in Section 2(a) above.</w:t>
      </w:r>
    </w:p>
    <w:p>
      <w:pPr>
        <w:spacing w:after="0" w:line="187" w:lineRule="exact"/>
        <w:rPr>
          <w:rFonts w:ascii="Arial" w:cs="Arial" w:eastAsia="Arial" w:hAnsi="Arial"/>
          <w:sz w:val="22"/>
          <w:szCs w:val="22"/>
          <w:color w:val="auto"/>
        </w:rPr>
      </w:pPr>
    </w:p>
    <w:p>
      <w:pPr>
        <w:jc w:val="both"/>
        <w:ind w:firstLine="1735"/>
        <w:spacing w:after="0" w:line="244" w:lineRule="auto"/>
        <w:tabs>
          <w:tab w:leader="none" w:pos="2615" w:val="left"/>
        </w:tabs>
        <w:numPr>
          <w:ilvl w:val="0"/>
          <w:numId w:val="31"/>
        </w:numPr>
        <w:rPr>
          <w:rFonts w:ascii="Arial" w:cs="Arial" w:eastAsia="Arial" w:hAnsi="Arial"/>
          <w:sz w:val="21"/>
          <w:szCs w:val="21"/>
          <w:color w:val="auto"/>
        </w:rPr>
      </w:pPr>
      <w:r>
        <w:rPr>
          <w:rFonts w:ascii="Arial" w:cs="Arial" w:eastAsia="Arial" w:hAnsi="Arial"/>
          <w:sz w:val="21"/>
          <w:szCs w:val="21"/>
          <w:u w:val="single" w:color="auto"/>
          <w:color w:val="auto"/>
        </w:rPr>
        <w:t>Vesting of Awards Granted to Non-Employee Directors</w:t>
      </w:r>
      <w:r>
        <w:rPr>
          <w:rFonts w:ascii="Arial" w:cs="Arial" w:eastAsia="Arial" w:hAnsi="Arial"/>
          <w:sz w:val="21"/>
          <w:szCs w:val="21"/>
          <w:color w:val="auto"/>
        </w:rPr>
        <w:t>. Each Annual Award and Partial Year Annual Award shall vest on the earlier of (i) the day immediately preceding the date of the first Annual Meeting following the date of grant and (ii) the first anniversary of the date of grant, and each Start Date Award shall vest in equal installments of 1/3 on each of the first, second and third anniversaries of the date of grant, subject to the Non-Employee Director continuing in service on the Board through the applicable vesting date. No portion of an Annual Award, Partial Year Annual Award or Start Date Award that is unvested at the time of a Non-Employee Director’s termination of service on the Board shall become vested and exercisable thereafter. All of a Non-Employee Director’s Annual Awards, Partial Year Annual Awards and Start Date Awards, shall vest in full immediately prior to the occurrence of a Change in Control (as defined in the Equity Plan), to the extent outstanding at such time. Notwithstanding any provision in this Policy to the contrary, Non-Employee Directors may elect to defer settlement of all or part of any Annual, Partial Year Annual Awards or Start Date Awards by executing a valid deferral election in a manner that is consistent with the requirements of Treas. Reg. 1.409A-2 and in accordance with any deferral plan, policy or arrangement established by Company (which may provide for the issuance of deferred stock or deferred stock units in lieu of any such fees or awards).</w:t>
      </w:r>
    </w:p>
    <w:p>
      <w:pPr>
        <w:spacing w:after="0" w:line="183" w:lineRule="exact"/>
        <w:rPr>
          <w:rFonts w:ascii="Arial" w:cs="Arial" w:eastAsia="Arial" w:hAnsi="Arial"/>
          <w:sz w:val="21"/>
          <w:szCs w:val="21"/>
          <w:color w:val="auto"/>
        </w:rPr>
      </w:pPr>
    </w:p>
    <w:p>
      <w:pPr>
        <w:ind w:left="5240"/>
        <w:spacing w:after="0"/>
        <w:rPr>
          <w:rFonts w:ascii="Arial" w:cs="Arial" w:eastAsia="Arial" w:hAnsi="Arial"/>
          <w:sz w:val="21"/>
          <w:szCs w:val="21"/>
          <w:color w:val="auto"/>
        </w:rPr>
      </w:pPr>
      <w:r>
        <w:rPr>
          <w:rFonts w:ascii="Arial" w:cs="Arial" w:eastAsia="Arial" w:hAnsi="Arial"/>
          <w:sz w:val="22"/>
          <w:szCs w:val="22"/>
          <w:color w:val="auto"/>
        </w:rPr>
        <w:t>* * * * *</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18"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Paul J. Hennessy, certify that:</w:t>
      </w:r>
    </w:p>
    <w:p>
      <w:pPr>
        <w:spacing w:after="0" w:line="225"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Vroom,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00" w:right="640" w:hanging="492"/>
        <w:spacing w:after="0" w:line="277"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Date: May 12, 2021</w:t>
            </w:r>
          </w:p>
        </w:tc>
        <w:tc>
          <w:tcPr>
            <w:tcW w:w="2460" w:type="dxa"/>
            <w:vAlign w:val="bottom"/>
          </w:tcPr>
          <w:p>
            <w:pPr>
              <w:ind w:left="214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Paul J. Hennessy</w:t>
            </w:r>
          </w:p>
        </w:tc>
      </w:tr>
      <w:tr>
        <w:trPr>
          <w:trHeight w:val="222"/>
        </w:trPr>
        <w:tc>
          <w:tcPr>
            <w:tcW w:w="35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87"/>
              </w:rPr>
              <w:t>Paul J. Hennessy</w:t>
            </w:r>
          </w:p>
        </w:tc>
      </w:tr>
      <w:tr>
        <w:trPr>
          <w:trHeight w:val="216"/>
        </w:trPr>
        <w:tc>
          <w:tcPr>
            <w:tcW w:w="35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5"/>
              </w:rPr>
              <w:t>Chief Executive Officer</w:t>
            </w:r>
          </w:p>
        </w:tc>
      </w:tr>
      <w:tr>
        <w:trPr>
          <w:trHeight w:val="230"/>
        </w:trPr>
        <w:tc>
          <w:tcPr>
            <w:tcW w:w="3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bl>
    <w:p>
      <w:pPr>
        <w:sectPr>
          <w:pgSz w:w="11900" w:h="16838" w:orient="portrait"/>
          <w:cols w:equalWidth="0" w:num="1">
            <w:col w:w="11240"/>
          </w:cols>
          <w:pgMar w:left="320" w:top="337"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K. Jones, certify that:</w:t>
      </w:r>
    </w:p>
    <w:p>
      <w:pPr>
        <w:spacing w:after="0" w:line="225" w:lineRule="exact"/>
        <w:rPr>
          <w:sz w:val="20"/>
          <w:szCs w:val="20"/>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Vroom,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00" w:right="640" w:hanging="492"/>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Date: May 12, 2021</w:t>
            </w:r>
          </w:p>
        </w:tc>
        <w:tc>
          <w:tcPr>
            <w:tcW w:w="2460" w:type="dxa"/>
            <w:vAlign w:val="bottom"/>
          </w:tcPr>
          <w:p>
            <w:pPr>
              <w:ind w:left="214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David K. Jones</w:t>
            </w:r>
          </w:p>
        </w:tc>
      </w:tr>
      <w:tr>
        <w:trPr>
          <w:trHeight w:val="222"/>
        </w:trPr>
        <w:tc>
          <w:tcPr>
            <w:tcW w:w="35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0"/>
              </w:rPr>
              <w:t>David K. Jones</w:t>
            </w:r>
          </w:p>
        </w:tc>
      </w:tr>
      <w:tr>
        <w:trPr>
          <w:trHeight w:val="230"/>
        </w:trPr>
        <w:tc>
          <w:tcPr>
            <w:tcW w:w="3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6"/>
              </w:rPr>
              <w:t>Chief Financial Officer(</w:t>
            </w:r>
            <w:r>
              <w:rPr>
                <w:rFonts w:ascii="Arial" w:cs="Arial" w:eastAsia="Arial" w:hAnsi="Arial"/>
                <w:sz w:val="18"/>
                <w:szCs w:val="18"/>
                <w:i w:val="1"/>
                <w:iCs w:val="1"/>
                <w:color w:val="auto"/>
                <w:w w:val="96"/>
              </w:rPr>
              <w:t>principal financial officer</w:t>
            </w:r>
            <w:r>
              <w:rPr>
                <w:rFonts w:ascii="Arial" w:cs="Arial" w:eastAsia="Arial" w:hAnsi="Arial"/>
                <w:sz w:val="18"/>
                <w:szCs w:val="18"/>
                <w:color w:val="auto"/>
                <w:w w:val="96"/>
              </w:rPr>
              <w:t>)</w:t>
            </w:r>
          </w:p>
        </w:tc>
      </w:tr>
    </w:tbl>
    <w:p>
      <w:pPr>
        <w:sectPr>
          <w:pgSz w:w="11900" w:h="16838" w:orient="portrait"/>
          <w:cols w:equalWidth="0" w:num="1">
            <w:col w:w="11240"/>
          </w:cols>
          <w:pgMar w:left="320" w:top="337"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80" w:firstLine="510"/>
        <w:spacing w:after="0" w:line="263" w:lineRule="auto"/>
        <w:rPr>
          <w:sz w:val="20"/>
          <w:szCs w:val="20"/>
          <w:color w:val="auto"/>
        </w:rPr>
      </w:pPr>
      <w:r>
        <w:rPr>
          <w:rFonts w:ascii="Arial" w:cs="Arial" w:eastAsia="Arial" w:hAnsi="Arial"/>
          <w:sz w:val="18"/>
          <w:szCs w:val="18"/>
          <w:color w:val="auto"/>
        </w:rPr>
        <w:t>In connection with the Quarterly Report on Form 10-Q of Vroom, Inc. (the “Company”) for the period ended March 31, 2021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000" w:hanging="493"/>
        <w:spacing w:after="0"/>
        <w:tabs>
          <w:tab w:leader="none" w:pos="10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000" w:right="56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Date: May 12, 2021</w:t>
            </w:r>
          </w:p>
        </w:tc>
        <w:tc>
          <w:tcPr>
            <w:tcW w:w="2460" w:type="dxa"/>
            <w:vAlign w:val="bottom"/>
          </w:tcPr>
          <w:p>
            <w:pPr>
              <w:ind w:left="214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Paul J. Hennessy</w:t>
            </w:r>
          </w:p>
        </w:tc>
      </w:tr>
      <w:tr>
        <w:trPr>
          <w:trHeight w:val="222"/>
        </w:trPr>
        <w:tc>
          <w:tcPr>
            <w:tcW w:w="35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87"/>
              </w:rPr>
              <w:t>Paul J. Hennessy</w:t>
            </w:r>
          </w:p>
        </w:tc>
      </w:tr>
      <w:tr>
        <w:trPr>
          <w:trHeight w:val="216"/>
        </w:trPr>
        <w:tc>
          <w:tcPr>
            <w:tcW w:w="35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5"/>
              </w:rPr>
              <w:t>Chief Executive Officer</w:t>
            </w:r>
          </w:p>
        </w:tc>
      </w:tr>
      <w:tr>
        <w:trPr>
          <w:trHeight w:val="230"/>
        </w:trPr>
        <w:tc>
          <w:tcPr>
            <w:tcW w:w="3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r>
    </w:tbl>
    <w:p>
      <w:pPr>
        <w:sectPr>
          <w:pgSz w:w="11900" w:h="16838" w:orient="portrait"/>
          <w:cols w:equalWidth="0" w:num="1">
            <w:col w:w="11240"/>
          </w:cols>
          <w:pgMar w:left="320" w:top="337"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80" w:firstLine="510"/>
        <w:spacing w:after="0" w:line="263" w:lineRule="auto"/>
        <w:rPr>
          <w:sz w:val="20"/>
          <w:szCs w:val="20"/>
          <w:color w:val="auto"/>
        </w:rPr>
      </w:pPr>
      <w:r>
        <w:rPr>
          <w:rFonts w:ascii="Arial" w:cs="Arial" w:eastAsia="Arial" w:hAnsi="Arial"/>
          <w:sz w:val="18"/>
          <w:szCs w:val="18"/>
          <w:color w:val="auto"/>
        </w:rPr>
        <w:t>In connection with the Quarterly Report on Form 10-Q of Vroom, Inc. (the “Company”) for the period ended March 31, 2021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000" w:hanging="493"/>
        <w:spacing w:after="0"/>
        <w:tabs>
          <w:tab w:leader="none" w:pos="10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000" w:right="560" w:hanging="493"/>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Date: May 12, 2021</w:t>
            </w:r>
          </w:p>
        </w:tc>
        <w:tc>
          <w:tcPr>
            <w:tcW w:w="2460" w:type="dxa"/>
            <w:vAlign w:val="bottom"/>
          </w:tcPr>
          <w:p>
            <w:pPr>
              <w:ind w:left="214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David K. Jones</w:t>
            </w:r>
          </w:p>
        </w:tc>
      </w:tr>
      <w:tr>
        <w:trPr>
          <w:trHeight w:val="222"/>
        </w:trPr>
        <w:tc>
          <w:tcPr>
            <w:tcW w:w="35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0"/>
              </w:rPr>
              <w:t>David K. Jones</w:t>
            </w:r>
          </w:p>
        </w:tc>
      </w:tr>
      <w:tr>
        <w:trPr>
          <w:trHeight w:val="216"/>
        </w:trPr>
        <w:tc>
          <w:tcPr>
            <w:tcW w:w="35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r>
      <w:tr>
        <w:trPr>
          <w:trHeight w:val="230"/>
        </w:trPr>
        <w:tc>
          <w:tcPr>
            <w:tcW w:w="3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i w:val="1"/>
                <w:iCs w:val="1"/>
                <w:color w:val="auto"/>
                <w:w w:val="97"/>
              </w:rPr>
              <w:t>principal financial officer)</w:t>
            </w: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1."/>
      <w:numFmt w:val="decimal"/>
      <w:start w:val="1"/>
    </w:lvl>
  </w:abstractNum>
  <w:abstractNum w:abstractNumId="5">
    <w:nsid w:val="436C6125"/>
    <w:multiLevelType w:val="hybridMultilevel"/>
    <w:lvl w:ilvl="0">
      <w:lvlJc w:val="left"/>
      <w:lvlText w:val="%1."/>
      <w:numFmt w:val="decimal"/>
      <w:start w:val="2"/>
    </w:lvl>
  </w:abstractNum>
  <w:abstractNum w:abstractNumId="6">
    <w:nsid w:val="628C895D"/>
    <w:multiLevelType w:val="hybridMultilevel"/>
    <w:lvl w:ilvl="0">
      <w:lvlJc w:val="left"/>
      <w:lvlText w:val="\endash "/>
      <w:numFmt w:val="bullet"/>
      <w:start w:val="1"/>
    </w:lvl>
  </w:abstractNum>
  <w:abstractNum w:abstractNumId="7">
    <w:nsid w:val="333AB105"/>
    <w:multiLevelType w:val="hybridMultilevel"/>
    <w:lvl w:ilvl="0">
      <w:lvlJc w:val="left"/>
      <w:lvlText w:val="(%1)"/>
      <w:numFmt w:val="decimal"/>
      <w:start w:val="1"/>
    </w:lvl>
  </w:abstractNum>
  <w:abstractNum w:abstractNumId="8">
    <w:nsid w:val="721DA317"/>
    <w:multiLevelType w:val="hybridMultilevel"/>
    <w:lvl w:ilvl="0">
      <w:lvlJc w:val="left"/>
      <w:lvlText w:val="%1."/>
      <w:numFmt w:val="decimal"/>
      <w:start w:val="7"/>
    </w:lvl>
  </w:abstractNum>
  <w:abstractNum w:abstractNumId="9">
    <w:nsid w:val="2443A858"/>
    <w:multiLevelType w:val="hybridMultilevel"/>
    <w:lvl w:ilvl="0">
      <w:lvlJc w:val="left"/>
      <w:lvlText w:val="%1."/>
      <w:numFmt w:val="decimal"/>
      <w:start w:val="10"/>
    </w:lvl>
  </w:abstractNum>
  <w:abstractNum w:abstractNumId="10">
    <w:nsid w:val="2D1D5AE9"/>
    <w:multiLevelType w:val="hybridMultilevel"/>
    <w:lvl w:ilvl="0">
      <w:lvlJc w:val="left"/>
      <w:lvlText w:val="%1."/>
      <w:numFmt w:val="decimal"/>
      <w:start w:val="11"/>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1."/>
      <w:numFmt w:val="decimal"/>
      <w:start w:val="17"/>
    </w:lvl>
  </w:abstractNum>
  <w:abstractNum w:abstractNumId="13">
    <w:nsid w:val="8EDBDAB"/>
    <w:multiLevelType w:val="hybridMultilevel"/>
    <w:lvl w:ilvl="0">
      <w:lvlJc w:val="left"/>
      <w:lvlText w:val="(%1)"/>
      <w:numFmt w:val="lowerRoman"/>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1)"/>
      <w:numFmt w:val="decimal"/>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1)"/>
      <w:numFmt w:val="decimal"/>
      <w:start w:val="1"/>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7">
    <w:nsid w:val="737B8DDC"/>
    <w:multiLevelType w:val="hybridMultilevel"/>
    <w:lvl w:ilvl="0">
      <w:lvlJc w:val="left"/>
      <w:lvlText w:val="%1"/>
      <w:numFmt w:val="decimal"/>
      <w:start w:val="1"/>
    </w:lvl>
    <w:lvl w:ilvl="1">
      <w:lvlJc w:val="left"/>
      <w:lvlText w:val="(%2)"/>
      <w:numFmt w:val="lowerLetter"/>
      <w:start w:val="3"/>
    </w:lvl>
  </w:abstractNum>
  <w:abstractNum w:abstractNumId="28">
    <w:nsid w:val="6CEAF087"/>
    <w:multiLevelType w:val="hybridMultilevel"/>
    <w:lvl w:ilvl="0">
      <w:lvlJc w:val="left"/>
      <w:lvlText w:val="%1."/>
      <w:numFmt w:val="decimal"/>
      <w:start w:val="2"/>
    </w:lvl>
    <w:lvl w:ilvl="1">
      <w:lvlJc w:val="left"/>
      <w:lvlText w:val="%2"/>
      <w:numFmt w:val="lowerLetter"/>
      <w:start w:val="1"/>
    </w:lvl>
  </w:abstractNum>
  <w:abstractNum w:abstractNumId="29">
    <w:nsid w:val="22221A70"/>
    <w:multiLevelType w:val="hybridMultilevel"/>
    <w:lvl w:ilvl="0">
      <w:lvlJc w:val="left"/>
      <w:lvlText w:val="(%1)"/>
      <w:numFmt w:val="lowerLetter"/>
      <w:start w:val="1"/>
    </w:lvl>
  </w:abstractNum>
  <w:abstractNum w:abstractNumId="30">
    <w:nsid w:val="4516DDE9"/>
    <w:multiLevelType w:val="hybridMultilevel"/>
    <w:lvl w:ilvl="0">
      <w:lvlJc w:val="left"/>
      <w:lvlText w:val="(%1)"/>
      <w:numFmt w:val="lowerLetter"/>
      <w:start w:val="3"/>
    </w:lvl>
    <w:lvl w:ilvl="1">
      <w:lvlJc w:val="left"/>
      <w:lvlText w:val="*"/>
      <w:numFmt w:val="bullet"/>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64" Type="http://schemas.openxmlformats.org/officeDocument/2006/relationships/hyperlink" Target="http://www.sec.gov/Archives/edgar/data/1580864/000156459020039778/vrm-ex31_460.htm" TargetMode="External"/><Relationship Id="rId65" Type="http://schemas.openxmlformats.org/officeDocument/2006/relationships/hyperlink" Target="http://www.sec.gov/Archives/edgar/data/1580864/000156459020039778/vrm-ex32_234.htm" TargetMode="External"/><Relationship Id="rId66" Type="http://schemas.openxmlformats.org/officeDocument/2006/relationships/hyperlink" Target="http://www.sec.gov/Archives/edgar/data/1580864/000119312520157158/d801274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2021-05-12T15:58:03Z</dcterms:created>
  <dcterms:modified xsi:type="dcterms:W3CDTF">2021-05-12T15:58:03Z</dcterms:modified>
</cp:coreProperties>
</file>