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79" w:lineRule="exact"/>
        <w:rPr>
          <w:sz w:val="24"/>
          <w:szCs w:val="24"/>
          <w:color w:val="auto"/>
        </w:rPr>
      </w:pPr>
    </w:p>
    <w:p>
      <w:pPr>
        <w:jc w:val="center"/>
        <w:ind w:right="-19"/>
        <w:spacing w:after="0"/>
        <w:rPr>
          <w:sz w:val="20"/>
          <w:szCs w:val="20"/>
          <w:color w:val="auto"/>
        </w:rPr>
      </w:pPr>
      <w:r>
        <w:rPr>
          <w:rFonts w:ascii="Arial" w:cs="Arial" w:eastAsia="Arial" w:hAnsi="Arial"/>
          <w:sz w:val="28"/>
          <w:szCs w:val="28"/>
          <w:b w:val="1"/>
          <w:bCs w:val="1"/>
          <w:color w:val="auto"/>
        </w:rPr>
        <w:t>UNITED STATES</w:t>
      </w:r>
    </w:p>
    <w:p>
      <w:pPr>
        <w:spacing w:after="0" w:line="47" w:lineRule="exact"/>
        <w:rPr>
          <w:sz w:val="24"/>
          <w:szCs w:val="24"/>
          <w:color w:val="auto"/>
        </w:rPr>
      </w:pPr>
    </w:p>
    <w:p>
      <w:pPr>
        <w:jc w:val="center"/>
        <w:ind w:right="-19"/>
        <w:spacing w:after="0"/>
        <w:rPr>
          <w:sz w:val="20"/>
          <w:szCs w:val="20"/>
          <w:color w:val="auto"/>
        </w:rPr>
      </w:pPr>
      <w:r>
        <w:rPr>
          <w:rFonts w:ascii="Arial" w:cs="Arial" w:eastAsia="Arial" w:hAnsi="Arial"/>
          <w:sz w:val="28"/>
          <w:szCs w:val="28"/>
          <w:b w:val="1"/>
          <w:bCs w:val="1"/>
          <w:color w:val="auto"/>
        </w:rPr>
        <w:t>SECURITIES AND EXCHANGE COMMISSION</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80645</wp:posOffset>
            </wp:positionV>
            <wp:extent cx="14198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19860" cy="8255"/>
                    </a:xfrm>
                    <a:prstGeom prst="rect">
                      <a:avLst/>
                    </a:prstGeom>
                    <a:noFill/>
                  </pic:spPr>
                </pic:pic>
              </a:graphicData>
            </a:graphic>
          </wp:anchor>
        </w:drawing>
      </w:r>
    </w:p>
    <w:p>
      <w:pPr>
        <w:spacing w:after="0" w:line="186" w:lineRule="exact"/>
        <w:rPr>
          <w:sz w:val="24"/>
          <w:szCs w:val="24"/>
          <w:color w:val="auto"/>
        </w:rPr>
      </w:pPr>
    </w:p>
    <w:p>
      <w:pPr>
        <w:jc w:val="center"/>
        <w:ind w:right="-19"/>
        <w:spacing w:after="0"/>
        <w:rPr>
          <w:sz w:val="20"/>
          <w:szCs w:val="20"/>
          <w:color w:val="auto"/>
        </w:rPr>
      </w:pPr>
      <w:r>
        <w:rPr>
          <w:rFonts w:ascii="Arial" w:cs="Arial" w:eastAsia="Arial" w:hAnsi="Arial"/>
          <w:sz w:val="28"/>
          <w:szCs w:val="28"/>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125095</wp:posOffset>
            </wp:positionV>
            <wp:extent cx="14198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19860" cy="8255"/>
                    </a:xfrm>
                    <a:prstGeom prst="rect">
                      <a:avLst/>
                    </a:prstGeom>
                    <a:noFill/>
                  </pic:spPr>
                </pic:pic>
              </a:graphicData>
            </a:graphic>
          </wp:anchor>
        </w:drawing>
      </w:r>
    </w:p>
    <w:p>
      <w:pPr>
        <w:spacing w:after="0" w:line="306" w:lineRule="exact"/>
        <w:rPr>
          <w:sz w:val="24"/>
          <w:szCs w:val="24"/>
          <w:color w:val="auto"/>
        </w:rPr>
      </w:pPr>
    </w:p>
    <w:p>
      <w:pPr>
        <w:ind w:left="340" w:hanging="334"/>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112" w:lineRule="exact"/>
        <w:rPr>
          <w:rFonts w:ascii="MS PGothic" w:cs="MS PGothic" w:eastAsia="MS PGothic" w:hAnsi="MS PGothic"/>
          <w:sz w:val="18"/>
          <w:szCs w:val="18"/>
          <w:color w:val="auto"/>
        </w:rPr>
      </w:pPr>
    </w:p>
    <w:p>
      <w:pPr>
        <w:ind w:left="374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For the quarterly period ended June 30, 2021</w:t>
      </w:r>
    </w:p>
    <w:p>
      <w:pPr>
        <w:spacing w:after="0" w:line="9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17" w:lineRule="exact"/>
        <w:rPr>
          <w:sz w:val="24"/>
          <w:szCs w:val="24"/>
          <w:color w:val="auto"/>
        </w:rPr>
      </w:pPr>
    </w:p>
    <w:p>
      <w:pPr>
        <w:ind w:left="340" w:hanging="334"/>
        <w:spacing w:after="0"/>
        <w:tabs>
          <w:tab w:leader="none" w:pos="340" w:val="left"/>
        </w:tabs>
        <w:numPr>
          <w:ilvl w:val="0"/>
          <w:numId w:val="2"/>
        </w:numPr>
        <w:rPr>
          <w:rFonts w:ascii="MS PGothic" w:cs="MS PGothic" w:eastAsia="MS PGothic" w:hAnsi="MS PGothic"/>
          <w:sz w:val="18"/>
          <w:szCs w:val="18"/>
          <w:color w:val="auto"/>
        </w:rPr>
      </w:pPr>
      <w:r>
        <w:rPr>
          <w:rFonts w:ascii="Arial" w:cs="Arial" w:eastAsia="Arial" w:hAnsi="Arial"/>
          <w:sz w:val="16"/>
          <w:szCs w:val="16"/>
          <w:b w:val="1"/>
          <w:bCs w:val="1"/>
          <w:color w:val="auto"/>
        </w:rPr>
        <w:t>TRANSITION REPORT PURSUANT TO SECTION 13 OR 15(d) OF THE SECURITIES EXCHANGE ACT OF 1934</w:t>
      </w:r>
    </w:p>
    <w:p>
      <w:pPr>
        <w:sectPr>
          <w:pgSz w:w="11900" w:h="16838" w:orient="portrait"/>
          <w:cols w:equalWidth="0" w:num="1">
            <w:col w:w="11240"/>
          </w:cols>
          <w:pgMar w:left="320" w:top="245" w:right="339" w:bottom="1440" w:gutter="0" w:footer="0" w:header="0"/>
        </w:sectPr>
      </w:pPr>
    </w:p>
    <w:p>
      <w:pPr>
        <w:spacing w:after="0" w:line="139" w:lineRule="exact"/>
        <w:rPr>
          <w:sz w:val="24"/>
          <w:szCs w:val="24"/>
          <w:color w:val="auto"/>
        </w:rPr>
      </w:pPr>
    </w:p>
    <w:p>
      <w:pPr>
        <w:ind w:left="3800"/>
        <w:spacing w:after="0"/>
        <w:rPr>
          <w:sz w:val="20"/>
          <w:szCs w:val="20"/>
          <w:color w:val="auto"/>
        </w:rPr>
      </w:pPr>
      <w:r>
        <w:rPr>
          <w:rFonts w:ascii="Arial" w:cs="Arial" w:eastAsia="Arial" w:hAnsi="Arial"/>
          <w:sz w:val="17"/>
          <w:szCs w:val="17"/>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11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to</w:t>
      </w:r>
    </w:p>
    <w:p>
      <w:pPr>
        <w:spacing w:after="0" w:line="99" w:lineRule="exact"/>
        <w:rPr>
          <w:sz w:val="24"/>
          <w:szCs w:val="24"/>
          <w:color w:val="auto"/>
        </w:rPr>
      </w:pPr>
    </w:p>
    <w:p>
      <w:pPr>
        <w:sectPr>
          <w:pgSz w:w="11900" w:h="16838" w:orient="portrait"/>
          <w:cols w:equalWidth="0" w:num="2">
            <w:col w:w="6300" w:space="680"/>
            <w:col w:w="4260"/>
          </w:cols>
          <w:pgMar w:left="320" w:top="245" w:right="339" w:bottom="1440" w:gutter="0" w:footer="0" w:header="0"/>
          <w:type w:val="continuous"/>
        </w:sectPr>
      </w:pPr>
    </w:p>
    <w:p>
      <w:pPr>
        <w:jc w:val="center"/>
        <w:ind w:right="-19"/>
        <w:spacing w:after="0"/>
        <w:rPr>
          <w:sz w:val="20"/>
          <w:szCs w:val="20"/>
          <w:color w:val="auto"/>
        </w:rPr>
      </w:pPr>
      <w:r>
        <w:rPr>
          <w:rFonts w:ascii="Arial" w:cs="Arial" w:eastAsia="Arial" w:hAnsi="Arial"/>
          <w:sz w:val="17"/>
          <w:szCs w:val="17"/>
          <w:b w:val="1"/>
          <w:bCs w:val="1"/>
          <w:color w:val="auto"/>
        </w:rPr>
        <w:t>Commission File Number: 001-39315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109855</wp:posOffset>
            </wp:positionV>
            <wp:extent cx="14198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19860" cy="8255"/>
                    </a:xfrm>
                    <a:prstGeom prst="rect">
                      <a:avLst/>
                    </a:prstGeom>
                    <a:noFill/>
                  </pic:spPr>
                </pic:pic>
              </a:graphicData>
            </a:graphic>
          </wp:anchor>
        </w:drawing>
      </w:r>
    </w:p>
    <w:p>
      <w:pPr>
        <w:sectPr>
          <w:pgSz w:w="11900" w:h="16838" w:orient="portrait"/>
          <w:cols w:equalWidth="0" w:num="1">
            <w:col w:w="11240"/>
          </w:cols>
          <w:pgMar w:left="320" w:top="245" w:right="339" w:bottom="1440" w:gutter="0" w:footer="0" w:header="0"/>
          <w:type w:val="continuous"/>
        </w:sectPr>
      </w:pPr>
    </w:p>
    <w:p>
      <w:pPr>
        <w:spacing w:after="0" w:line="248" w:lineRule="exact"/>
        <w:rPr>
          <w:sz w:val="24"/>
          <w:szCs w:val="24"/>
          <w:color w:val="auto"/>
        </w:rPr>
      </w:pPr>
    </w:p>
    <w:tbl>
      <w:tblPr>
        <w:tblLayout w:type="fixed"/>
        <w:tblInd w:w="900" w:type="dxa"/>
        <w:tblCellMar>
          <w:top w:w="0" w:type="dxa"/>
          <w:left w:w="0" w:type="dxa"/>
          <w:bottom w:w="0" w:type="dxa"/>
          <w:right w:w="0" w:type="dxa"/>
        </w:tblCellMar>
      </w:tblPr>
      <w:tr>
        <w:trPr>
          <w:trHeight w:val="445"/>
        </w:trPr>
        <w:tc>
          <w:tcPr>
            <w:tcW w:w="2500" w:type="dxa"/>
            <w:vAlign w:val="bottom"/>
          </w:tcPr>
          <w:p>
            <w:pPr>
              <w:spacing w:after="0"/>
              <w:rPr>
                <w:sz w:val="24"/>
                <w:szCs w:val="24"/>
                <w:color w:val="auto"/>
              </w:rPr>
            </w:pPr>
          </w:p>
        </w:tc>
        <w:tc>
          <w:tcPr>
            <w:tcW w:w="6740" w:type="dxa"/>
            <w:vAlign w:val="bottom"/>
            <w:gridSpan w:val="3"/>
          </w:tcPr>
          <w:p>
            <w:pPr>
              <w:jc w:val="center"/>
              <w:ind w:right="2229"/>
              <w:spacing w:after="0"/>
              <w:rPr>
                <w:sz w:val="20"/>
                <w:szCs w:val="20"/>
                <w:color w:val="auto"/>
              </w:rPr>
            </w:pPr>
            <w:r>
              <w:rPr>
                <w:rFonts w:ascii="Arial" w:cs="Arial" w:eastAsia="Arial" w:hAnsi="Arial"/>
                <w:sz w:val="35"/>
                <w:szCs w:val="35"/>
                <w:b w:val="1"/>
                <w:bCs w:val="1"/>
                <w:color w:val="auto"/>
              </w:rPr>
              <w:t>VROOM, INC.</w:t>
            </w:r>
          </w:p>
        </w:tc>
      </w:tr>
      <w:tr>
        <w:trPr>
          <w:trHeight w:val="188"/>
        </w:trPr>
        <w:tc>
          <w:tcPr>
            <w:tcW w:w="2500" w:type="dxa"/>
            <w:vAlign w:val="bottom"/>
          </w:tcPr>
          <w:p>
            <w:pPr>
              <w:spacing w:after="0"/>
              <w:rPr>
                <w:sz w:val="16"/>
                <w:szCs w:val="16"/>
                <w:color w:val="auto"/>
              </w:rPr>
            </w:pPr>
          </w:p>
        </w:tc>
        <w:tc>
          <w:tcPr>
            <w:tcW w:w="6740" w:type="dxa"/>
            <w:vAlign w:val="bottom"/>
            <w:gridSpan w:val="3"/>
          </w:tcPr>
          <w:p>
            <w:pPr>
              <w:jc w:val="center"/>
              <w:ind w:right="2209"/>
              <w:spacing w:after="0"/>
              <w:rPr>
                <w:sz w:val="20"/>
                <w:szCs w:val="20"/>
                <w:color w:val="auto"/>
              </w:rPr>
            </w:pPr>
            <w:r>
              <w:rPr>
                <w:rFonts w:ascii="Arial" w:cs="Arial" w:eastAsia="Arial" w:hAnsi="Arial"/>
                <w:sz w:val="14"/>
                <w:szCs w:val="14"/>
                <w:b w:val="1"/>
                <w:bCs w:val="1"/>
                <w:color w:val="auto"/>
              </w:rPr>
              <w:t>(Exact name of registrant as specified in its charter)</w:t>
            </w:r>
          </w:p>
        </w:tc>
      </w:tr>
      <w:tr>
        <w:trPr>
          <w:trHeight w:val="118"/>
        </w:trPr>
        <w:tc>
          <w:tcPr>
            <w:tcW w:w="25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240" w:type="dxa"/>
            <w:vAlign w:val="bottom"/>
            <w:tcBorders>
              <w:bottom w:val="single" w:sz="8" w:color="auto"/>
            </w:tcBorders>
          </w:tcPr>
          <w:p>
            <w:pPr>
              <w:spacing w:after="0"/>
              <w:rPr>
                <w:sz w:val="10"/>
                <w:szCs w:val="10"/>
                <w:color w:val="auto"/>
              </w:rPr>
            </w:pPr>
          </w:p>
        </w:tc>
        <w:tc>
          <w:tcPr>
            <w:tcW w:w="3400" w:type="dxa"/>
            <w:vAlign w:val="bottom"/>
          </w:tcPr>
          <w:p>
            <w:pPr>
              <w:spacing w:after="0"/>
              <w:rPr>
                <w:sz w:val="10"/>
                <w:szCs w:val="10"/>
                <w:color w:val="auto"/>
              </w:rPr>
            </w:pPr>
          </w:p>
        </w:tc>
      </w:tr>
      <w:tr>
        <w:trPr>
          <w:trHeight w:val="288"/>
        </w:trPr>
        <w:tc>
          <w:tcPr>
            <w:tcW w:w="2500" w:type="dxa"/>
            <w:vAlign w:val="bottom"/>
          </w:tcPr>
          <w:p>
            <w:pPr>
              <w:jc w:val="center"/>
              <w:ind w:right="409"/>
              <w:spacing w:after="0"/>
              <w:rPr>
                <w:sz w:val="20"/>
                <w:szCs w:val="20"/>
                <w:color w:val="auto"/>
              </w:rPr>
            </w:pPr>
            <w:r>
              <w:rPr>
                <w:rFonts w:ascii="Arial" w:cs="Arial" w:eastAsia="Arial" w:hAnsi="Arial"/>
                <w:sz w:val="14"/>
                <w:szCs w:val="14"/>
                <w:b w:val="1"/>
                <w:bCs w:val="1"/>
                <w:color w:val="auto"/>
              </w:rPr>
              <w:t>Delaware</w:t>
            </w:r>
          </w:p>
        </w:tc>
        <w:tc>
          <w:tcPr>
            <w:tcW w:w="6740" w:type="dxa"/>
            <w:vAlign w:val="bottom"/>
            <w:gridSpan w:val="3"/>
          </w:tcPr>
          <w:p>
            <w:pPr>
              <w:jc w:val="center"/>
              <w:ind w:left="5162"/>
              <w:spacing w:after="0"/>
              <w:rPr>
                <w:sz w:val="20"/>
                <w:szCs w:val="20"/>
                <w:color w:val="auto"/>
              </w:rPr>
            </w:pPr>
            <w:r>
              <w:rPr>
                <w:rFonts w:ascii="Arial" w:cs="Arial" w:eastAsia="Arial" w:hAnsi="Arial"/>
                <w:sz w:val="14"/>
                <w:szCs w:val="14"/>
                <w:b w:val="1"/>
                <w:bCs w:val="1"/>
                <w:color w:val="auto"/>
              </w:rPr>
              <w:t>90-1112566</w:t>
            </w:r>
          </w:p>
        </w:tc>
      </w:tr>
      <w:tr>
        <w:trPr>
          <w:trHeight w:val="171"/>
        </w:trPr>
        <w:tc>
          <w:tcPr>
            <w:tcW w:w="2500" w:type="dxa"/>
            <w:vAlign w:val="bottom"/>
          </w:tcPr>
          <w:p>
            <w:pPr>
              <w:jc w:val="center"/>
              <w:ind w:right="389"/>
              <w:spacing w:after="0"/>
              <w:rPr>
                <w:sz w:val="20"/>
                <w:szCs w:val="20"/>
                <w:color w:val="auto"/>
              </w:rPr>
            </w:pPr>
            <w:r>
              <w:rPr>
                <w:rFonts w:ascii="Arial" w:cs="Arial" w:eastAsia="Arial" w:hAnsi="Arial"/>
                <w:sz w:val="14"/>
                <w:szCs w:val="14"/>
                <w:b w:val="1"/>
                <w:bCs w:val="1"/>
                <w:color w:val="auto"/>
              </w:rPr>
              <w:t>(State or other jurisdiction of</w:t>
            </w:r>
          </w:p>
        </w:tc>
        <w:tc>
          <w:tcPr>
            <w:tcW w:w="11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3400" w:type="dxa"/>
            <w:vAlign w:val="bottom"/>
          </w:tcPr>
          <w:p>
            <w:pPr>
              <w:jc w:val="center"/>
              <w:ind w:left="1829"/>
              <w:spacing w:after="0"/>
              <w:rPr>
                <w:sz w:val="20"/>
                <w:szCs w:val="20"/>
                <w:color w:val="auto"/>
              </w:rPr>
            </w:pPr>
            <w:r>
              <w:rPr>
                <w:rFonts w:ascii="Arial" w:cs="Arial" w:eastAsia="Arial" w:hAnsi="Arial"/>
                <w:sz w:val="14"/>
                <w:szCs w:val="14"/>
                <w:b w:val="1"/>
                <w:bCs w:val="1"/>
                <w:color w:val="auto"/>
              </w:rPr>
              <w:t>(I.R.S. Employer</w:t>
            </w:r>
          </w:p>
        </w:tc>
      </w:tr>
      <w:tr>
        <w:trPr>
          <w:trHeight w:val="188"/>
        </w:trPr>
        <w:tc>
          <w:tcPr>
            <w:tcW w:w="2500" w:type="dxa"/>
            <w:vAlign w:val="bottom"/>
          </w:tcPr>
          <w:p>
            <w:pPr>
              <w:jc w:val="center"/>
              <w:ind w:right="409"/>
              <w:spacing w:after="0"/>
              <w:rPr>
                <w:sz w:val="20"/>
                <w:szCs w:val="20"/>
                <w:color w:val="auto"/>
              </w:rPr>
            </w:pPr>
            <w:r>
              <w:rPr>
                <w:rFonts w:ascii="Arial" w:cs="Arial" w:eastAsia="Arial" w:hAnsi="Arial"/>
                <w:sz w:val="14"/>
                <w:szCs w:val="14"/>
                <w:b w:val="1"/>
                <w:bCs w:val="1"/>
                <w:color w:val="auto"/>
              </w:rPr>
              <w:t>incorporation or organization)</w:t>
            </w:r>
          </w:p>
        </w:tc>
        <w:tc>
          <w:tcPr>
            <w:tcW w:w="110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3400" w:type="dxa"/>
            <w:vAlign w:val="bottom"/>
          </w:tcPr>
          <w:p>
            <w:pPr>
              <w:jc w:val="center"/>
              <w:ind w:left="1829"/>
              <w:spacing w:after="0"/>
              <w:rPr>
                <w:sz w:val="20"/>
                <w:szCs w:val="20"/>
                <w:color w:val="auto"/>
              </w:rPr>
            </w:pPr>
            <w:r>
              <w:rPr>
                <w:rFonts w:ascii="Arial" w:cs="Arial" w:eastAsia="Arial" w:hAnsi="Arial"/>
                <w:sz w:val="14"/>
                <w:szCs w:val="14"/>
                <w:b w:val="1"/>
                <w:bCs w:val="1"/>
                <w:color w:val="auto"/>
              </w:rPr>
              <w:t>Identification Number)</w:t>
            </w:r>
          </w:p>
        </w:tc>
      </w:tr>
      <w:tr>
        <w:trPr>
          <w:trHeight w:val="277"/>
        </w:trPr>
        <w:tc>
          <w:tcPr>
            <w:tcW w:w="25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640" w:type="dxa"/>
            <w:vAlign w:val="bottom"/>
            <w:gridSpan w:val="2"/>
          </w:tcPr>
          <w:p>
            <w:pPr>
              <w:jc w:val="center"/>
              <w:ind w:right="3309"/>
              <w:spacing w:after="0"/>
              <w:rPr>
                <w:sz w:val="20"/>
                <w:szCs w:val="20"/>
                <w:color w:val="auto"/>
              </w:rPr>
            </w:pPr>
            <w:r>
              <w:rPr>
                <w:rFonts w:ascii="Arial" w:cs="Arial" w:eastAsia="Arial" w:hAnsi="Arial"/>
                <w:sz w:val="14"/>
                <w:szCs w:val="14"/>
                <w:b w:val="1"/>
                <w:bCs w:val="1"/>
                <w:color w:val="auto"/>
              </w:rPr>
              <w:t>1375 Broadway, Floor 11</w:t>
            </w:r>
          </w:p>
        </w:tc>
      </w:tr>
      <w:tr>
        <w:trPr>
          <w:trHeight w:val="160"/>
        </w:trPr>
        <w:tc>
          <w:tcPr>
            <w:tcW w:w="25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5640" w:type="dxa"/>
            <w:vAlign w:val="bottom"/>
            <w:gridSpan w:val="2"/>
          </w:tcPr>
          <w:p>
            <w:pPr>
              <w:jc w:val="center"/>
              <w:ind w:right="3309"/>
              <w:spacing w:after="0" w:line="160" w:lineRule="exact"/>
              <w:rPr>
                <w:sz w:val="20"/>
                <w:szCs w:val="20"/>
                <w:color w:val="auto"/>
              </w:rPr>
            </w:pPr>
            <w:r>
              <w:rPr>
                <w:rFonts w:ascii="Arial" w:cs="Arial" w:eastAsia="Arial" w:hAnsi="Arial"/>
                <w:sz w:val="14"/>
                <w:szCs w:val="14"/>
                <w:b w:val="1"/>
                <w:bCs w:val="1"/>
                <w:color w:val="auto"/>
                <w:w w:val="99"/>
              </w:rPr>
              <w:t>New York, New York 10018</w:t>
            </w:r>
          </w:p>
        </w:tc>
      </w:tr>
      <w:tr>
        <w:trPr>
          <w:trHeight w:val="188"/>
        </w:trPr>
        <w:tc>
          <w:tcPr>
            <w:tcW w:w="2500" w:type="dxa"/>
            <w:vAlign w:val="bottom"/>
          </w:tcPr>
          <w:p>
            <w:pPr>
              <w:spacing w:after="0"/>
              <w:rPr>
                <w:sz w:val="16"/>
                <w:szCs w:val="16"/>
                <w:color w:val="auto"/>
              </w:rPr>
            </w:pPr>
          </w:p>
        </w:tc>
        <w:tc>
          <w:tcPr>
            <w:tcW w:w="6740" w:type="dxa"/>
            <w:vAlign w:val="bottom"/>
            <w:gridSpan w:val="3"/>
          </w:tcPr>
          <w:p>
            <w:pPr>
              <w:jc w:val="center"/>
              <w:ind w:right="2229"/>
              <w:spacing w:after="0"/>
              <w:rPr>
                <w:sz w:val="20"/>
                <w:szCs w:val="20"/>
                <w:color w:val="auto"/>
              </w:rPr>
            </w:pPr>
            <w:r>
              <w:rPr>
                <w:rFonts w:ascii="Arial" w:cs="Arial" w:eastAsia="Arial" w:hAnsi="Arial"/>
                <w:sz w:val="14"/>
                <w:szCs w:val="14"/>
                <w:b w:val="1"/>
                <w:bCs w:val="1"/>
                <w:color w:val="auto"/>
              </w:rPr>
              <w:t>(Address of principal executive offices) (Zip code)</w:t>
            </w:r>
          </w:p>
        </w:tc>
      </w:tr>
    </w:tbl>
    <w:p>
      <w:pPr>
        <w:spacing w:after="0" w:line="9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(855) 524-1300</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5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Not Applicable</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80645</wp:posOffset>
            </wp:positionV>
            <wp:extent cx="14198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19860" cy="8255"/>
                    </a:xfrm>
                    <a:prstGeom prst="rect">
                      <a:avLst/>
                    </a:prstGeom>
                    <a:noFill/>
                  </pic:spPr>
                </pic:pic>
              </a:graphicData>
            </a:graphic>
          </wp:anchor>
        </w:drawing>
      </w:r>
    </w:p>
    <w:p>
      <w:pPr>
        <w:spacing w:after="0" w:line="122" w:lineRule="exact"/>
        <w:rPr>
          <w:sz w:val="24"/>
          <w:szCs w:val="24"/>
          <w:color w:val="auto"/>
        </w:rPr>
      </w:pPr>
    </w:p>
    <w:p>
      <w:pPr>
        <w:ind w:left="38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47" w:lineRule="exact"/>
        <w:rPr>
          <w:sz w:val="24"/>
          <w:szCs w:val="24"/>
          <w:color w:val="auto"/>
        </w:rPr>
      </w:pPr>
    </w:p>
    <w:tbl>
      <w:tblPr>
        <w:tblLayout w:type="fixed"/>
        <w:tblInd w:w="0" w:type="dxa"/>
        <w:tblCellMar>
          <w:top w:w="0" w:type="dxa"/>
          <w:left w:w="0" w:type="dxa"/>
          <w:bottom w:w="0" w:type="dxa"/>
          <w:right w:w="0" w:type="dxa"/>
        </w:tblCellMar>
      </w:tblPr>
      <w:tr>
        <w:trPr>
          <w:trHeight w:val="173"/>
        </w:trPr>
        <w:tc>
          <w:tcPr>
            <w:tcW w:w="4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Title of each class</w:t>
            </w:r>
          </w:p>
        </w:tc>
        <w:tc>
          <w:tcPr>
            <w:tcW w:w="120" w:type="dxa"/>
            <w:vAlign w:val="bottom"/>
          </w:tcPr>
          <w:p>
            <w:pPr>
              <w:spacing w:after="0"/>
              <w:rPr>
                <w:sz w:val="15"/>
                <w:szCs w:val="15"/>
                <w:color w:val="auto"/>
              </w:rPr>
            </w:pPr>
          </w:p>
        </w:tc>
        <w:tc>
          <w:tcPr>
            <w:tcW w:w="2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Trading Symbol(s)</w:t>
            </w:r>
          </w:p>
        </w:tc>
        <w:tc>
          <w:tcPr>
            <w:tcW w:w="120" w:type="dxa"/>
            <w:vAlign w:val="bottom"/>
          </w:tcPr>
          <w:p>
            <w:pPr>
              <w:spacing w:after="0"/>
              <w:rPr>
                <w:sz w:val="15"/>
                <w:szCs w:val="15"/>
                <w:color w:val="auto"/>
              </w:rPr>
            </w:pPr>
          </w:p>
        </w:tc>
        <w:tc>
          <w:tcPr>
            <w:tcW w:w="4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188"/>
        </w:trPr>
        <w:tc>
          <w:tcPr>
            <w:tcW w:w="4220" w:type="dxa"/>
            <w:vAlign w:val="bottom"/>
            <w:gridSpan w:val="2"/>
          </w:tcPr>
          <w:p>
            <w:pPr>
              <w:jc w:val="center"/>
              <w:ind w:right="80"/>
              <w:spacing w:after="0"/>
              <w:rPr>
                <w:sz w:val="20"/>
                <w:szCs w:val="20"/>
                <w:color w:val="auto"/>
              </w:rPr>
            </w:pPr>
            <w:r>
              <w:rPr>
                <w:rFonts w:ascii="Arial" w:cs="Arial" w:eastAsia="Arial" w:hAnsi="Arial"/>
                <w:sz w:val="16"/>
                <w:szCs w:val="16"/>
                <w:color w:val="auto"/>
              </w:rPr>
              <w:t>Common Stock, $0.001 par value</w:t>
            </w:r>
          </w:p>
        </w:tc>
        <w:tc>
          <w:tcPr>
            <w:tcW w:w="2940" w:type="dxa"/>
            <w:vAlign w:val="bottom"/>
            <w:gridSpan w:val="2"/>
          </w:tcPr>
          <w:p>
            <w:pPr>
              <w:jc w:val="center"/>
              <w:ind w:right="80"/>
              <w:spacing w:after="0"/>
              <w:rPr>
                <w:sz w:val="20"/>
                <w:szCs w:val="20"/>
                <w:color w:val="auto"/>
              </w:rPr>
            </w:pPr>
            <w:r>
              <w:rPr>
                <w:rFonts w:ascii="Arial" w:cs="Arial" w:eastAsia="Arial" w:hAnsi="Arial"/>
                <w:sz w:val="16"/>
                <w:szCs w:val="16"/>
                <w:color w:val="auto"/>
                <w:w w:val="95"/>
              </w:rPr>
              <w:t>VRM</w:t>
            </w:r>
          </w:p>
        </w:tc>
        <w:tc>
          <w:tcPr>
            <w:tcW w:w="4080" w:type="dxa"/>
            <w:vAlign w:val="bottom"/>
          </w:tcPr>
          <w:p>
            <w:pPr>
              <w:jc w:val="center"/>
              <w:spacing w:after="0"/>
              <w:rPr>
                <w:sz w:val="20"/>
                <w:szCs w:val="20"/>
                <w:color w:val="auto"/>
              </w:rPr>
            </w:pPr>
            <w:r>
              <w:rPr>
                <w:rFonts w:ascii="Arial" w:cs="Arial" w:eastAsia="Arial" w:hAnsi="Arial"/>
                <w:sz w:val="16"/>
                <w:szCs w:val="16"/>
                <w:color w:val="auto"/>
                <w:w w:val="99"/>
              </w:rPr>
              <w:t>Nasdaq Global Select</w:t>
            </w:r>
          </w:p>
        </w:tc>
      </w:tr>
    </w:tbl>
    <w:p>
      <w:pPr>
        <w:spacing w:after="0" w:line="114" w:lineRule="exact"/>
        <w:rPr>
          <w:sz w:val="24"/>
          <w:szCs w:val="24"/>
          <w:color w:val="auto"/>
        </w:rPr>
      </w:pPr>
    </w:p>
    <w:p>
      <w:pPr>
        <w:ind w:right="240" w:firstLine="374"/>
        <w:spacing w:after="0" w:line="194"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10" w:lineRule="exact"/>
        <w:rPr>
          <w:sz w:val="24"/>
          <w:szCs w:val="24"/>
          <w:color w:val="auto"/>
        </w:rPr>
      </w:pPr>
    </w:p>
    <w:p>
      <w:pPr>
        <w:ind w:right="260" w:firstLine="374"/>
        <w:spacing w:after="0" w:line="194"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10" w:lineRule="exact"/>
        <w:rPr>
          <w:sz w:val="24"/>
          <w:szCs w:val="24"/>
          <w:color w:val="auto"/>
        </w:rPr>
      </w:pPr>
    </w:p>
    <w:p>
      <w:pPr>
        <w:jc w:val="both"/>
        <w:ind w:right="140" w:firstLine="374"/>
        <w:spacing w:after="0" w:line="24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7" w:lineRule="exact"/>
        <w:rPr>
          <w:sz w:val="24"/>
          <w:szCs w:val="24"/>
          <w:color w:val="auto"/>
        </w:rPr>
      </w:pPr>
    </w:p>
    <w:tbl>
      <w:tblPr>
        <w:tblLayout w:type="fixed"/>
        <w:tblInd w:w="0" w:type="dxa"/>
        <w:tblCellMar>
          <w:top w:w="0" w:type="dxa"/>
          <w:left w:w="0" w:type="dxa"/>
          <w:bottom w:w="0" w:type="dxa"/>
          <w:right w:w="0" w:type="dxa"/>
        </w:tblCellMar>
      </w:tblPr>
      <w:tr>
        <w:trPr>
          <w:trHeight w:val="200"/>
        </w:trPr>
        <w:tc>
          <w:tcPr>
            <w:tcW w:w="184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600" w:type="dxa"/>
            <w:vAlign w:val="bottom"/>
          </w:tcPr>
          <w:p>
            <w:pPr>
              <w:ind w:left="260"/>
              <w:spacing w:after="0" w:line="161" w:lineRule="exact"/>
              <w:rPr>
                <w:sz w:val="20"/>
                <w:szCs w:val="20"/>
                <w:color w:val="auto"/>
              </w:rPr>
            </w:pPr>
            <w:r>
              <w:rPr>
                <w:rFonts w:ascii="MS PGothic" w:cs="MS PGothic" w:eastAsia="MS PGothic" w:hAnsi="MS PGothic"/>
                <w:sz w:val="16"/>
                <w:szCs w:val="16"/>
                <w:color w:val="auto"/>
              </w:rPr>
              <w:t>☐</w:t>
            </w:r>
          </w:p>
        </w:tc>
        <w:tc>
          <w:tcPr>
            <w:tcW w:w="5300" w:type="dxa"/>
            <w:vAlign w:val="bottom"/>
          </w:tcPr>
          <w:p>
            <w:pPr>
              <w:ind w:left="3200"/>
              <w:spacing w:after="0"/>
              <w:rPr>
                <w:sz w:val="20"/>
                <w:szCs w:val="20"/>
                <w:color w:val="auto"/>
              </w:rPr>
            </w:pPr>
            <w:r>
              <w:rPr>
                <w:rFonts w:ascii="Arial" w:cs="Arial" w:eastAsia="Arial" w:hAnsi="Arial"/>
                <w:sz w:val="16"/>
                <w:szCs w:val="16"/>
                <w:color w:val="auto"/>
              </w:rPr>
              <w:t>Accelerated filer</w:t>
            </w:r>
          </w:p>
        </w:tc>
        <w:tc>
          <w:tcPr>
            <w:tcW w:w="320" w:type="dxa"/>
            <w:vAlign w:val="bottom"/>
          </w:tcPr>
          <w:p>
            <w:pPr>
              <w:ind w:left="16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00"/>
        </w:trPr>
        <w:tc>
          <w:tcPr>
            <w:tcW w:w="1840" w:type="dxa"/>
            <w:vAlign w:val="bottom"/>
          </w:tcPr>
          <w:p>
            <w:pPr>
              <w:spacing w:after="0"/>
              <w:rPr>
                <w:sz w:val="20"/>
                <w:szCs w:val="20"/>
                <w:color w:val="auto"/>
              </w:rPr>
            </w:pPr>
            <w:r>
              <w:rPr>
                <w:rFonts w:ascii="Arial" w:cs="Arial" w:eastAsia="Arial" w:hAnsi="Arial"/>
                <w:sz w:val="16"/>
                <w:szCs w:val="16"/>
                <w:color w:val="auto"/>
              </w:rPr>
              <w:t>Non-accelerated filer</w:t>
            </w:r>
          </w:p>
        </w:tc>
        <w:tc>
          <w:tcPr>
            <w:tcW w:w="3600" w:type="dxa"/>
            <w:vAlign w:val="bottom"/>
          </w:tcPr>
          <w:p>
            <w:pPr>
              <w:ind w:left="260"/>
              <w:spacing w:after="0" w:line="161" w:lineRule="exact"/>
              <w:rPr>
                <w:sz w:val="20"/>
                <w:szCs w:val="20"/>
                <w:color w:val="auto"/>
              </w:rPr>
            </w:pPr>
            <w:r>
              <w:rPr>
                <w:rFonts w:ascii="MS PGothic" w:cs="MS PGothic" w:eastAsia="MS PGothic" w:hAnsi="MS PGothic"/>
                <w:sz w:val="16"/>
                <w:szCs w:val="16"/>
                <w:color w:val="auto"/>
              </w:rPr>
              <w:t>☒</w:t>
            </w:r>
          </w:p>
        </w:tc>
        <w:tc>
          <w:tcPr>
            <w:tcW w:w="5300" w:type="dxa"/>
            <w:vAlign w:val="bottom"/>
          </w:tcPr>
          <w:p>
            <w:pPr>
              <w:ind w:left="3200"/>
              <w:spacing w:after="0"/>
              <w:rPr>
                <w:sz w:val="20"/>
                <w:szCs w:val="20"/>
                <w:color w:val="auto"/>
              </w:rPr>
            </w:pPr>
            <w:r>
              <w:rPr>
                <w:rFonts w:ascii="Arial" w:cs="Arial" w:eastAsia="Arial" w:hAnsi="Arial"/>
                <w:sz w:val="16"/>
                <w:szCs w:val="16"/>
                <w:color w:val="auto"/>
              </w:rPr>
              <w:t>Smaller reporting company</w:t>
            </w:r>
          </w:p>
        </w:tc>
        <w:tc>
          <w:tcPr>
            <w:tcW w:w="320" w:type="dxa"/>
            <w:vAlign w:val="bottom"/>
          </w:tcPr>
          <w:p>
            <w:pPr>
              <w:ind w:left="16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52"/>
        </w:trPr>
        <w:tc>
          <w:tcPr>
            <w:tcW w:w="1840" w:type="dxa"/>
            <w:vAlign w:val="bottom"/>
          </w:tcPr>
          <w:p>
            <w:pPr>
              <w:spacing w:after="0"/>
              <w:rPr>
                <w:sz w:val="21"/>
                <w:szCs w:val="21"/>
                <w:color w:val="auto"/>
              </w:rPr>
            </w:pPr>
          </w:p>
        </w:tc>
        <w:tc>
          <w:tcPr>
            <w:tcW w:w="3600" w:type="dxa"/>
            <w:vAlign w:val="bottom"/>
          </w:tcPr>
          <w:p>
            <w:pPr>
              <w:spacing w:after="0"/>
              <w:rPr>
                <w:sz w:val="21"/>
                <w:szCs w:val="21"/>
                <w:color w:val="auto"/>
              </w:rPr>
            </w:pPr>
          </w:p>
        </w:tc>
        <w:tc>
          <w:tcPr>
            <w:tcW w:w="5300" w:type="dxa"/>
            <w:vAlign w:val="bottom"/>
          </w:tcPr>
          <w:p>
            <w:pPr>
              <w:ind w:left="3200"/>
              <w:spacing w:after="0"/>
              <w:rPr>
                <w:sz w:val="20"/>
                <w:szCs w:val="20"/>
                <w:color w:val="auto"/>
              </w:rPr>
            </w:pPr>
            <w:r>
              <w:rPr>
                <w:rFonts w:ascii="Arial" w:cs="Arial" w:eastAsia="Arial" w:hAnsi="Arial"/>
                <w:sz w:val="16"/>
                <w:szCs w:val="16"/>
                <w:color w:val="auto"/>
              </w:rPr>
              <w:t>Emerging growth company</w:t>
            </w:r>
          </w:p>
        </w:tc>
        <w:tc>
          <w:tcPr>
            <w:tcW w:w="320" w:type="dxa"/>
            <w:vAlign w:val="bottom"/>
          </w:tcPr>
          <w:p>
            <w:pPr>
              <w:ind w:left="160"/>
              <w:spacing w:after="0" w:line="161" w:lineRule="exact"/>
              <w:rPr>
                <w:sz w:val="20"/>
                <w:szCs w:val="20"/>
                <w:color w:val="auto"/>
              </w:rPr>
            </w:pPr>
            <w:r>
              <w:rPr>
                <w:rFonts w:ascii="MS PGothic" w:cs="MS PGothic" w:eastAsia="MS PGothic" w:hAnsi="MS PGothic"/>
                <w:sz w:val="16"/>
                <w:szCs w:val="16"/>
                <w:color w:val="auto"/>
                <w:w w:val="87"/>
              </w:rPr>
              <w:t>☐</w:t>
            </w:r>
          </w:p>
        </w:tc>
      </w:tr>
    </w:tbl>
    <w:p>
      <w:pPr>
        <w:spacing w:after="0" w:line="96" w:lineRule="exact"/>
        <w:rPr>
          <w:sz w:val="24"/>
          <w:szCs w:val="24"/>
          <w:color w:val="auto"/>
        </w:rPr>
      </w:pPr>
    </w:p>
    <w:p>
      <w:pPr>
        <w:ind w:right="100" w:firstLine="374"/>
        <w:spacing w:after="0" w:line="198"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69" w:lineRule="exact"/>
        <w:rPr>
          <w:sz w:val="24"/>
          <w:szCs w:val="24"/>
          <w:color w:val="auto"/>
        </w:rPr>
      </w:pPr>
    </w:p>
    <w:p>
      <w:pPr>
        <w:ind w:left="380" w:right="1900"/>
        <w:spacing w:after="0" w:line="277"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As of August 9, 2021, 136,714,597 shares of the registrants’ common stock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565785</wp:posOffset>
            </wp:positionV>
            <wp:extent cx="715962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245"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520" w:type="dxa"/>
            <w:vAlign w:val="bottom"/>
            <w:gridSpan w:val="5"/>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871"/>
        </w:trPr>
        <w:tc>
          <w:tcPr>
            <w:tcW w:w="4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68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20" w:type="dxa"/>
            <w:vAlign w:val="bottom"/>
            <w:gridSpan w:val="9"/>
          </w:tcPr>
          <w:p>
            <w:pPr>
              <w:jc w:val="center"/>
              <w:ind w:right="3400"/>
              <w:spacing w:after="0"/>
              <w:rPr>
                <w:sz w:val="20"/>
                <w:szCs w:val="20"/>
                <w:color w:val="auto"/>
              </w:rPr>
            </w:pPr>
            <w:r>
              <w:rPr>
                <w:rFonts w:ascii="Arial" w:cs="Arial" w:eastAsia="Arial" w:hAnsi="Arial"/>
                <w:sz w:val="18"/>
                <w:szCs w:val="18"/>
                <w:b w:val="1"/>
                <w:bCs w:val="1"/>
                <w:color w:val="auto"/>
                <w:w w:val="97"/>
              </w:rPr>
              <w:t>TABLE OF CONTENTS</w:t>
            </w:r>
          </w:p>
        </w:tc>
        <w:tc>
          <w:tcPr>
            <w:tcW w:w="700" w:type="dxa"/>
            <w:vAlign w:val="bottom"/>
          </w:tcPr>
          <w:p>
            <w:pPr>
              <w:spacing w:after="0"/>
              <w:rPr>
                <w:sz w:val="24"/>
                <w:szCs w:val="24"/>
                <w:color w:val="auto"/>
              </w:rPr>
            </w:pPr>
          </w:p>
        </w:tc>
      </w:tr>
      <w:tr>
        <w:trPr>
          <w:trHeight w:val="401"/>
        </w:trPr>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b w:val="1"/>
                <w:bCs w:val="1"/>
                <w:color w:val="auto"/>
              </w:rPr>
              <w:t>Page</w:t>
            </w:r>
          </w:p>
        </w:tc>
      </w:tr>
      <w:tr>
        <w:trPr>
          <w:trHeight w:val="366"/>
        </w:trPr>
        <w:tc>
          <w:tcPr>
            <w:tcW w:w="40" w:type="dxa"/>
            <w:vAlign w:val="bottom"/>
          </w:tcPr>
          <w:p>
            <w:pPr>
              <w:spacing w:after="0"/>
              <w:rPr>
                <w:sz w:val="24"/>
                <w:szCs w:val="24"/>
                <w:color w:val="auto"/>
              </w:rPr>
            </w:pPr>
          </w:p>
        </w:tc>
        <w:tc>
          <w:tcPr>
            <w:tcW w:w="10500" w:type="dxa"/>
            <w:vAlign w:val="bottom"/>
            <w:gridSpan w:val="24"/>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Part I - Financial Information</w:t>
              </w:r>
            </w:hyperlink>
          </w:p>
        </w:tc>
        <w:tc>
          <w:tcPr>
            <w:tcW w:w="7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0"/>
        </w:trPr>
        <w:tc>
          <w:tcPr>
            <w:tcW w:w="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80"/>
        </w:trPr>
        <w:tc>
          <w:tcPr>
            <w:tcW w:w="40" w:type="dxa"/>
            <w:vAlign w:val="bottom"/>
          </w:tcPr>
          <w:p>
            <w:pPr>
              <w:spacing w:after="0"/>
              <w:rPr>
                <w:sz w:val="15"/>
                <w:szCs w:val="15"/>
                <w:color w:val="auto"/>
              </w:rPr>
            </w:pPr>
          </w:p>
        </w:tc>
        <w:tc>
          <w:tcPr>
            <w:tcW w:w="540" w:type="dxa"/>
            <w:vAlign w:val="bottom"/>
          </w:tcPr>
          <w:p>
            <w:pPr>
              <w:spacing w:after="0" w:line="180" w:lineRule="exact"/>
              <w:rPr>
                <w:sz w:val="20"/>
                <w:szCs w:val="20"/>
                <w:color w:val="auto"/>
              </w:rPr>
            </w:pPr>
            <w:r>
              <w:rPr>
                <w:rFonts w:ascii="Arial" w:cs="Arial" w:eastAsia="Arial" w:hAnsi="Arial"/>
                <w:sz w:val="18"/>
                <w:szCs w:val="18"/>
                <w:color w:val="auto"/>
                <w:w w:val="94"/>
              </w:rPr>
              <w:t>Item 1.</w:t>
            </w:r>
          </w:p>
        </w:tc>
        <w:tc>
          <w:tcPr>
            <w:tcW w:w="940" w:type="dxa"/>
            <w:vAlign w:val="bottom"/>
            <w:gridSpan w:val="3"/>
          </w:tcPr>
          <w:p>
            <w:pPr>
              <w:spacing w:after="0"/>
              <w:rPr>
                <w:sz w:val="15"/>
                <w:szCs w:val="15"/>
                <w:color w:val="auto"/>
              </w:rPr>
            </w:pPr>
          </w:p>
        </w:tc>
        <w:tc>
          <w:tcPr>
            <w:tcW w:w="9020" w:type="dxa"/>
            <w:vAlign w:val="bottom"/>
            <w:gridSpan w:val="20"/>
          </w:tcPr>
          <w:p>
            <w:pPr>
              <w:spacing w:after="0" w:line="180" w:lineRule="exact"/>
              <w:rPr>
                <w:rFonts w:ascii="Arial" w:cs="Arial" w:eastAsia="Arial" w:hAnsi="Arial"/>
                <w:sz w:val="18"/>
                <w:szCs w:val="18"/>
                <w:color w:val="0000EE"/>
              </w:rPr>
            </w:pPr>
            <w:hyperlink w:anchor="page5">
              <w:r>
                <w:rPr>
                  <w:rFonts w:ascii="Arial" w:cs="Arial" w:eastAsia="Arial" w:hAnsi="Arial"/>
                  <w:sz w:val="18"/>
                  <w:szCs w:val="18"/>
                  <w:color w:val="0000EE"/>
                </w:rPr>
                <w:t>Financial Statements (unaudited)</w:t>
              </w:r>
            </w:hyperlink>
          </w:p>
        </w:tc>
        <w:tc>
          <w:tcPr>
            <w:tcW w:w="700" w:type="dxa"/>
            <w:vAlign w:val="bottom"/>
          </w:tcPr>
          <w:p>
            <w:pPr>
              <w:jc w:val="right"/>
              <w:spacing w:after="0" w:line="180" w:lineRule="exact"/>
              <w:rPr>
                <w:sz w:val="20"/>
                <w:szCs w:val="20"/>
                <w:color w:val="auto"/>
              </w:rPr>
            </w:pPr>
            <w:r>
              <w:rPr>
                <w:rFonts w:ascii="Arial" w:cs="Arial" w:eastAsia="Arial" w:hAnsi="Arial"/>
                <w:sz w:val="18"/>
                <w:szCs w:val="18"/>
                <w:color w:val="auto"/>
              </w:rPr>
              <w:t>5</w:t>
            </w:r>
          </w:p>
        </w:tc>
      </w:tr>
      <w:tr>
        <w:trPr>
          <w:trHeight w:val="20"/>
        </w:trPr>
        <w:tc>
          <w:tcPr>
            <w:tcW w:w="40" w:type="dxa"/>
            <w:vAlign w:val="bottom"/>
          </w:tcPr>
          <w:p>
            <w:pPr>
              <w:spacing w:after="0" w:line="20" w:lineRule="exact"/>
              <w:rPr>
                <w:sz w:val="1"/>
                <w:szCs w:val="1"/>
                <w:color w:val="auto"/>
              </w:rPr>
            </w:pPr>
          </w:p>
        </w:tc>
        <w:tc>
          <w:tcPr>
            <w:tcW w:w="540" w:type="dxa"/>
            <w:vAlign w:val="bottom"/>
            <w:tcBorders>
              <w:bottom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60"/>
        </w:trPr>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0" w:type="dxa"/>
            <w:vAlign w:val="bottom"/>
            <w:tcBorders>
              <w:bottom w:val="single" w:sz="8" w:color="0000EE"/>
            </w:tcBorders>
            <w:gridSpan w:val="16"/>
          </w:tcPr>
          <w:p>
            <w:pPr>
              <w:spacing w:after="0" w:line="160" w:lineRule="exact"/>
              <w:rPr>
                <w:rFonts w:ascii="Arial" w:cs="Arial" w:eastAsia="Arial" w:hAnsi="Arial"/>
                <w:sz w:val="18"/>
                <w:szCs w:val="18"/>
                <w:color w:val="0000EE"/>
                <w:w w:val="98"/>
              </w:rPr>
            </w:pPr>
            <w:hyperlink w:anchor="page5">
              <w:r>
                <w:rPr>
                  <w:rFonts w:ascii="Arial" w:cs="Arial" w:eastAsia="Arial" w:hAnsi="Arial"/>
                  <w:sz w:val="18"/>
                  <w:szCs w:val="18"/>
                  <w:color w:val="0000EE"/>
                  <w:w w:val="98"/>
                </w:rPr>
                <w:t>Condensed Consolidated Balance Sheets as of June 30, 2021 and December 31, 2020 (unaudited)</w:t>
              </w:r>
            </w:hyperlink>
          </w:p>
        </w:tc>
        <w:tc>
          <w:tcPr>
            <w:tcW w:w="1220" w:type="dxa"/>
            <w:vAlign w:val="bottom"/>
            <w:gridSpan w:val="4"/>
          </w:tcPr>
          <w:p>
            <w:pPr>
              <w:spacing w:after="0"/>
              <w:rPr>
                <w:sz w:val="13"/>
                <w:szCs w:val="13"/>
                <w:color w:val="auto"/>
              </w:rPr>
            </w:pPr>
          </w:p>
        </w:tc>
        <w:tc>
          <w:tcPr>
            <w:tcW w:w="700" w:type="dxa"/>
            <w:vAlign w:val="bottom"/>
          </w:tcPr>
          <w:p>
            <w:pPr>
              <w:jc w:val="right"/>
              <w:spacing w:after="0" w:line="160" w:lineRule="exact"/>
              <w:rPr>
                <w:sz w:val="20"/>
                <w:szCs w:val="20"/>
                <w:color w:val="auto"/>
              </w:rPr>
            </w:pPr>
            <w:r>
              <w:rPr>
                <w:rFonts w:ascii="Arial" w:cs="Arial" w:eastAsia="Arial" w:hAnsi="Arial"/>
                <w:sz w:val="18"/>
                <w:szCs w:val="18"/>
                <w:color w:val="auto"/>
              </w:rPr>
              <w:t>5</w:t>
            </w:r>
          </w:p>
        </w:tc>
      </w:tr>
      <w:tr>
        <w:trPr>
          <w:trHeight w:val="180"/>
        </w:trPr>
        <w:tc>
          <w:tcPr>
            <w:tcW w:w="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20" w:type="dxa"/>
            <w:vAlign w:val="bottom"/>
            <w:gridSpan w:val="20"/>
          </w:tcPr>
          <w:p>
            <w:pPr>
              <w:spacing w:after="0" w:line="180" w:lineRule="exact"/>
              <w:rPr>
                <w:rFonts w:ascii="Arial" w:cs="Arial" w:eastAsia="Arial" w:hAnsi="Arial"/>
                <w:sz w:val="18"/>
                <w:szCs w:val="18"/>
                <w:color w:val="0000EE"/>
                <w:w w:val="99"/>
              </w:rPr>
            </w:pPr>
            <w:hyperlink w:anchor="page6">
              <w:r>
                <w:rPr>
                  <w:rFonts w:ascii="Arial" w:cs="Arial" w:eastAsia="Arial" w:hAnsi="Arial"/>
                  <w:sz w:val="18"/>
                  <w:szCs w:val="18"/>
                  <w:color w:val="0000EE"/>
                  <w:w w:val="99"/>
                </w:rPr>
                <w:t>Condensed Consolidated Statements of Operations for the Three and Six Months Ended June 30, 2021 and 2020</w:t>
              </w:r>
            </w:hyperlink>
          </w:p>
        </w:tc>
        <w:tc>
          <w:tcPr>
            <w:tcW w:w="700" w:type="dxa"/>
            <w:vAlign w:val="bottom"/>
          </w:tcPr>
          <w:p>
            <w:pPr>
              <w:spacing w:after="0"/>
              <w:rPr>
                <w:sz w:val="15"/>
                <w:szCs w:val="15"/>
                <w:color w:val="auto"/>
              </w:rPr>
            </w:pPr>
          </w:p>
        </w:tc>
      </w:tr>
      <w:tr>
        <w:trPr>
          <w:trHeight w:val="180"/>
        </w:trPr>
        <w:tc>
          <w:tcPr>
            <w:tcW w:w="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920" w:type="dxa"/>
            <w:vAlign w:val="bottom"/>
            <w:tcBorders>
              <w:top w:val="single" w:sz="8" w:color="0000EE"/>
            </w:tcBorders>
            <w:gridSpan w:val="19"/>
          </w:tcPr>
          <w:p>
            <w:pPr>
              <w:spacing w:after="0" w:line="180" w:lineRule="exact"/>
              <w:rPr>
                <w:rFonts w:ascii="Arial" w:cs="Arial" w:eastAsia="Arial" w:hAnsi="Arial"/>
                <w:sz w:val="18"/>
                <w:szCs w:val="18"/>
                <w:color w:val="0000EE"/>
              </w:rPr>
            </w:pPr>
            <w:hyperlink w:anchor="page6">
              <w:r>
                <w:rPr>
                  <w:rFonts w:ascii="Arial" w:cs="Arial" w:eastAsia="Arial" w:hAnsi="Arial"/>
                  <w:sz w:val="18"/>
                  <w:szCs w:val="18"/>
                  <w:color w:val="0000EE"/>
                </w:rPr>
                <w:t>(unaudited)</w:t>
              </w:r>
            </w:hyperlink>
          </w:p>
        </w:tc>
        <w:tc>
          <w:tcPr>
            <w:tcW w:w="100" w:type="dxa"/>
            <w:vAlign w:val="bottom"/>
          </w:tcPr>
          <w:p>
            <w:pPr>
              <w:spacing w:after="0"/>
              <w:rPr>
                <w:sz w:val="15"/>
                <w:szCs w:val="15"/>
                <w:color w:val="auto"/>
              </w:rPr>
            </w:pPr>
          </w:p>
        </w:tc>
        <w:tc>
          <w:tcPr>
            <w:tcW w:w="700" w:type="dxa"/>
            <w:vAlign w:val="bottom"/>
          </w:tcPr>
          <w:p>
            <w:pPr>
              <w:jc w:val="right"/>
              <w:spacing w:after="0" w:line="180" w:lineRule="exact"/>
              <w:rPr>
                <w:sz w:val="20"/>
                <w:szCs w:val="20"/>
                <w:color w:val="auto"/>
              </w:rPr>
            </w:pPr>
            <w:r>
              <w:rPr>
                <w:rFonts w:ascii="Arial" w:cs="Arial" w:eastAsia="Arial" w:hAnsi="Arial"/>
                <w:sz w:val="18"/>
                <w:szCs w:val="18"/>
                <w:color w:val="auto"/>
              </w:rPr>
              <w:t>6</w:t>
            </w:r>
          </w:p>
        </w:tc>
      </w:tr>
      <w:tr>
        <w:trPr>
          <w:trHeight w:val="20"/>
        </w:trPr>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80"/>
        </w:trPr>
        <w:tc>
          <w:tcPr>
            <w:tcW w:w="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20" w:type="dxa"/>
            <w:vAlign w:val="bottom"/>
            <w:gridSpan w:val="20"/>
          </w:tcPr>
          <w:p>
            <w:pPr>
              <w:spacing w:after="0" w:line="180" w:lineRule="exact"/>
              <w:rPr>
                <w:rFonts w:ascii="Arial" w:cs="Arial" w:eastAsia="Arial" w:hAnsi="Arial"/>
                <w:sz w:val="18"/>
                <w:szCs w:val="18"/>
                <w:color w:val="0000EE"/>
              </w:rPr>
            </w:pPr>
            <w:hyperlink w:anchor="page7">
              <w:r>
                <w:rPr>
                  <w:rFonts w:ascii="Arial" w:cs="Arial" w:eastAsia="Arial" w:hAnsi="Arial"/>
                  <w:sz w:val="18"/>
                  <w:szCs w:val="18"/>
                  <w:color w:val="0000EE"/>
                </w:rPr>
                <w:t>Condensed Consolidated Statements of Changes in Redeemable Convertible Preferred Stock and Stockholders'</w:t>
              </w:r>
            </w:hyperlink>
          </w:p>
        </w:tc>
        <w:tc>
          <w:tcPr>
            <w:tcW w:w="700" w:type="dxa"/>
            <w:vAlign w:val="bottom"/>
          </w:tcPr>
          <w:p>
            <w:pPr>
              <w:spacing w:after="0"/>
              <w:rPr>
                <w:sz w:val="15"/>
                <w:szCs w:val="15"/>
                <w:color w:val="auto"/>
              </w:rPr>
            </w:pPr>
          </w:p>
        </w:tc>
      </w:tr>
      <w:tr>
        <w:trPr>
          <w:trHeight w:val="180"/>
        </w:trPr>
        <w:tc>
          <w:tcPr>
            <w:tcW w:w="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20" w:type="dxa"/>
            <w:vAlign w:val="bottom"/>
            <w:tcBorders>
              <w:top w:val="single" w:sz="8" w:color="0000EE"/>
            </w:tcBorders>
            <w:gridSpan w:val="18"/>
          </w:tcPr>
          <w:p>
            <w:pPr>
              <w:spacing w:after="0" w:line="180" w:lineRule="exact"/>
              <w:rPr>
                <w:rFonts w:ascii="Arial" w:cs="Arial" w:eastAsia="Arial" w:hAnsi="Arial"/>
                <w:sz w:val="18"/>
                <w:szCs w:val="18"/>
                <w:color w:val="0000EE"/>
              </w:rPr>
            </w:pPr>
            <w:hyperlink w:anchor="page7">
              <w:r>
                <w:rPr>
                  <w:rFonts w:ascii="Arial" w:cs="Arial" w:eastAsia="Arial" w:hAnsi="Arial"/>
                  <w:sz w:val="18"/>
                  <w:szCs w:val="18"/>
                  <w:color w:val="0000EE"/>
                </w:rPr>
                <w:t>Equity (Deficit) for the Three and Six Months Ended June 30, 2021 and 2020 (unaudited)</w:t>
              </w:r>
            </w:hyperlink>
          </w:p>
        </w:tc>
        <w:tc>
          <w:tcPr>
            <w:tcW w:w="200" w:type="dxa"/>
            <w:vAlign w:val="bottom"/>
            <w:gridSpan w:val="2"/>
          </w:tcPr>
          <w:p>
            <w:pPr>
              <w:spacing w:after="0"/>
              <w:rPr>
                <w:sz w:val="15"/>
                <w:szCs w:val="15"/>
                <w:color w:val="auto"/>
              </w:rPr>
            </w:pPr>
          </w:p>
        </w:tc>
        <w:tc>
          <w:tcPr>
            <w:tcW w:w="700" w:type="dxa"/>
            <w:vAlign w:val="bottom"/>
          </w:tcPr>
          <w:p>
            <w:pPr>
              <w:jc w:val="right"/>
              <w:spacing w:after="0" w:line="180" w:lineRule="exact"/>
              <w:rPr>
                <w:sz w:val="20"/>
                <w:szCs w:val="20"/>
                <w:color w:val="auto"/>
              </w:rPr>
            </w:pPr>
            <w:r>
              <w:rPr>
                <w:rFonts w:ascii="Arial" w:cs="Arial" w:eastAsia="Arial" w:hAnsi="Arial"/>
                <w:sz w:val="18"/>
                <w:szCs w:val="18"/>
                <w:color w:val="auto"/>
              </w:rPr>
              <w:t>7</w:t>
            </w:r>
          </w:p>
        </w:tc>
      </w:tr>
      <w:tr>
        <w:trPr>
          <w:trHeight w:val="20"/>
        </w:trPr>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20" w:type="dxa"/>
            <w:vAlign w:val="bottom"/>
            <w:tcBorders>
              <w:left w:val="single" w:sz="8" w:color="0000EE"/>
            </w:tcBorders>
            <w:shd w:val="clear" w:color="auto" w:fill="0000EE"/>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80"/>
        </w:trPr>
        <w:tc>
          <w:tcPr>
            <w:tcW w:w="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20" w:type="dxa"/>
            <w:vAlign w:val="bottom"/>
            <w:gridSpan w:val="20"/>
          </w:tcPr>
          <w:p>
            <w:pPr>
              <w:spacing w:after="0" w:line="180" w:lineRule="exact"/>
              <w:rPr>
                <w:rFonts w:ascii="Arial" w:cs="Arial" w:eastAsia="Arial" w:hAnsi="Arial"/>
                <w:sz w:val="18"/>
                <w:szCs w:val="18"/>
                <w:color w:val="0000EE"/>
              </w:rPr>
            </w:pPr>
            <w:hyperlink w:anchor="page8">
              <w:r>
                <w:rPr>
                  <w:rFonts w:ascii="Arial" w:cs="Arial" w:eastAsia="Arial" w:hAnsi="Arial"/>
                  <w:sz w:val="18"/>
                  <w:szCs w:val="18"/>
                  <w:color w:val="0000EE"/>
                </w:rPr>
                <w:t>Condensed Consolidated Statements of Cash Flows for the Six Months Ended June 30, 2021 and 2020</w:t>
              </w:r>
            </w:hyperlink>
          </w:p>
        </w:tc>
        <w:tc>
          <w:tcPr>
            <w:tcW w:w="700" w:type="dxa"/>
            <w:vAlign w:val="bottom"/>
          </w:tcPr>
          <w:p>
            <w:pPr>
              <w:spacing w:after="0"/>
              <w:rPr>
                <w:sz w:val="15"/>
                <w:szCs w:val="15"/>
                <w:color w:val="auto"/>
              </w:rPr>
            </w:pPr>
          </w:p>
        </w:tc>
      </w:tr>
      <w:tr>
        <w:trPr>
          <w:trHeight w:val="180"/>
        </w:trPr>
        <w:tc>
          <w:tcPr>
            <w:tcW w:w="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120" w:type="dxa"/>
            <w:vAlign w:val="bottom"/>
            <w:tcBorders>
              <w:top w:val="single" w:sz="8" w:color="0000EE"/>
            </w:tcBorders>
            <w:gridSpan w:val="17"/>
          </w:tcPr>
          <w:p>
            <w:pPr>
              <w:spacing w:after="0" w:line="180" w:lineRule="exact"/>
              <w:rPr>
                <w:rFonts w:ascii="Arial" w:cs="Arial" w:eastAsia="Arial" w:hAnsi="Arial"/>
                <w:sz w:val="18"/>
                <w:szCs w:val="18"/>
                <w:color w:val="0000EE"/>
              </w:rPr>
            </w:pPr>
            <w:hyperlink w:anchor="page8">
              <w:r>
                <w:rPr>
                  <w:rFonts w:ascii="Arial" w:cs="Arial" w:eastAsia="Arial" w:hAnsi="Arial"/>
                  <w:sz w:val="18"/>
                  <w:szCs w:val="18"/>
                  <w:color w:val="0000EE"/>
                </w:rPr>
                <w:t>(unaudited)</w:t>
              </w:r>
            </w:hyperlink>
          </w:p>
        </w:tc>
        <w:tc>
          <w:tcPr>
            <w:tcW w:w="900" w:type="dxa"/>
            <w:vAlign w:val="bottom"/>
            <w:gridSpan w:val="3"/>
          </w:tcPr>
          <w:p>
            <w:pPr>
              <w:spacing w:after="0"/>
              <w:rPr>
                <w:sz w:val="15"/>
                <w:szCs w:val="15"/>
                <w:color w:val="auto"/>
              </w:rPr>
            </w:pPr>
          </w:p>
        </w:tc>
        <w:tc>
          <w:tcPr>
            <w:tcW w:w="700" w:type="dxa"/>
            <w:vAlign w:val="bottom"/>
          </w:tcPr>
          <w:p>
            <w:pPr>
              <w:jc w:val="right"/>
              <w:spacing w:after="0" w:line="180" w:lineRule="exact"/>
              <w:rPr>
                <w:sz w:val="20"/>
                <w:szCs w:val="20"/>
                <w:color w:val="auto"/>
              </w:rPr>
            </w:pPr>
            <w:r>
              <w:rPr>
                <w:rFonts w:ascii="Arial" w:cs="Arial" w:eastAsia="Arial" w:hAnsi="Arial"/>
                <w:sz w:val="18"/>
                <w:szCs w:val="18"/>
                <w:color w:val="auto"/>
              </w:rPr>
              <w:t>8</w:t>
            </w:r>
          </w:p>
        </w:tc>
      </w:tr>
      <w:tr>
        <w:trPr>
          <w:trHeight w:val="20"/>
        </w:trPr>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60" w:type="dxa"/>
            <w:vAlign w:val="bottom"/>
            <w:gridSpan w:val="5"/>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80"/>
        </w:trPr>
        <w:tc>
          <w:tcPr>
            <w:tcW w:w="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360" w:type="dxa"/>
            <w:vAlign w:val="bottom"/>
            <w:tcBorders>
              <w:bottom w:val="single" w:sz="8" w:color="0000EE"/>
            </w:tcBorders>
            <w:gridSpan w:val="14"/>
          </w:tcPr>
          <w:p>
            <w:pPr>
              <w:spacing w:after="0" w:line="180" w:lineRule="exact"/>
              <w:rPr>
                <w:rFonts w:ascii="Arial" w:cs="Arial" w:eastAsia="Arial" w:hAnsi="Arial"/>
                <w:sz w:val="18"/>
                <w:szCs w:val="18"/>
                <w:color w:val="0000EE"/>
                <w:w w:val="98"/>
              </w:rPr>
            </w:pPr>
            <w:hyperlink w:anchor="page9">
              <w:r>
                <w:rPr>
                  <w:rFonts w:ascii="Arial" w:cs="Arial" w:eastAsia="Arial" w:hAnsi="Arial"/>
                  <w:sz w:val="18"/>
                  <w:szCs w:val="18"/>
                  <w:color w:val="0000EE"/>
                  <w:w w:val="98"/>
                </w:rPr>
                <w:t>Notes to Condensed Consolidated Financial Statements (unaudited)</w:t>
              </w:r>
            </w:hyperlink>
          </w:p>
        </w:tc>
        <w:tc>
          <w:tcPr>
            <w:tcW w:w="3660" w:type="dxa"/>
            <w:vAlign w:val="bottom"/>
            <w:gridSpan w:val="6"/>
          </w:tcPr>
          <w:p>
            <w:pPr>
              <w:spacing w:after="0"/>
              <w:rPr>
                <w:sz w:val="15"/>
                <w:szCs w:val="15"/>
                <w:color w:val="auto"/>
              </w:rPr>
            </w:pPr>
          </w:p>
        </w:tc>
        <w:tc>
          <w:tcPr>
            <w:tcW w:w="700" w:type="dxa"/>
            <w:vAlign w:val="bottom"/>
          </w:tcPr>
          <w:p>
            <w:pPr>
              <w:jc w:val="right"/>
              <w:spacing w:after="0" w:line="180" w:lineRule="exact"/>
              <w:rPr>
                <w:sz w:val="20"/>
                <w:szCs w:val="20"/>
                <w:color w:val="auto"/>
              </w:rPr>
            </w:pPr>
            <w:r>
              <w:rPr>
                <w:rFonts w:ascii="Arial" w:cs="Arial" w:eastAsia="Arial" w:hAnsi="Arial"/>
                <w:sz w:val="18"/>
                <w:szCs w:val="18"/>
                <w:color w:val="auto"/>
              </w:rPr>
              <w:t>9</w:t>
            </w:r>
          </w:p>
        </w:tc>
      </w:tr>
      <w:tr>
        <w:trPr>
          <w:trHeight w:val="180"/>
        </w:trPr>
        <w:tc>
          <w:tcPr>
            <w:tcW w:w="40" w:type="dxa"/>
            <w:vAlign w:val="bottom"/>
          </w:tcPr>
          <w:p>
            <w:pPr>
              <w:spacing w:after="0"/>
              <w:rPr>
                <w:sz w:val="15"/>
                <w:szCs w:val="15"/>
                <w:color w:val="auto"/>
              </w:rPr>
            </w:pPr>
          </w:p>
        </w:tc>
        <w:tc>
          <w:tcPr>
            <w:tcW w:w="540" w:type="dxa"/>
            <w:vAlign w:val="bottom"/>
          </w:tcPr>
          <w:p>
            <w:pPr>
              <w:spacing w:after="0" w:line="180" w:lineRule="exact"/>
              <w:rPr>
                <w:sz w:val="20"/>
                <w:szCs w:val="20"/>
                <w:color w:val="auto"/>
              </w:rPr>
            </w:pPr>
            <w:r>
              <w:rPr>
                <w:rFonts w:ascii="Arial" w:cs="Arial" w:eastAsia="Arial" w:hAnsi="Arial"/>
                <w:sz w:val="18"/>
                <w:szCs w:val="18"/>
                <w:color w:val="auto"/>
                <w:w w:val="94"/>
              </w:rPr>
              <w:t>Item 2.</w:t>
            </w:r>
          </w:p>
        </w:tc>
        <w:tc>
          <w:tcPr>
            <w:tcW w:w="940" w:type="dxa"/>
            <w:vAlign w:val="bottom"/>
            <w:gridSpan w:val="3"/>
          </w:tcPr>
          <w:p>
            <w:pPr>
              <w:spacing w:after="0"/>
              <w:rPr>
                <w:sz w:val="15"/>
                <w:szCs w:val="15"/>
                <w:color w:val="auto"/>
              </w:rPr>
            </w:pPr>
          </w:p>
        </w:tc>
        <w:tc>
          <w:tcPr>
            <w:tcW w:w="9020" w:type="dxa"/>
            <w:vAlign w:val="bottom"/>
            <w:gridSpan w:val="20"/>
          </w:tcPr>
          <w:p>
            <w:pPr>
              <w:spacing w:after="0" w:line="180" w:lineRule="exact"/>
              <w:rPr>
                <w:rFonts w:ascii="Arial" w:cs="Arial" w:eastAsia="Arial" w:hAnsi="Arial"/>
                <w:sz w:val="18"/>
                <w:szCs w:val="18"/>
                <w:color w:val="0000EE"/>
              </w:rPr>
            </w:pPr>
            <w:hyperlink w:anchor="page25">
              <w:r>
                <w:rPr>
                  <w:rFonts w:ascii="Arial" w:cs="Arial" w:eastAsia="Arial" w:hAnsi="Arial"/>
                  <w:sz w:val="18"/>
                  <w:szCs w:val="18"/>
                  <w:color w:val="0000EE"/>
                </w:rPr>
                <w:t>Management's Discussion and Analysis of Financial Condition and Results of Operations</w:t>
              </w:r>
            </w:hyperlink>
          </w:p>
        </w:tc>
        <w:tc>
          <w:tcPr>
            <w:tcW w:w="700" w:type="dxa"/>
            <w:vAlign w:val="bottom"/>
          </w:tcPr>
          <w:p>
            <w:pPr>
              <w:jc w:val="right"/>
              <w:spacing w:after="0" w:line="180" w:lineRule="exact"/>
              <w:rPr>
                <w:sz w:val="20"/>
                <w:szCs w:val="20"/>
                <w:color w:val="auto"/>
              </w:rPr>
            </w:pPr>
            <w:r>
              <w:rPr>
                <w:rFonts w:ascii="Arial" w:cs="Arial" w:eastAsia="Arial" w:hAnsi="Arial"/>
                <w:sz w:val="18"/>
                <w:szCs w:val="18"/>
                <w:color w:val="auto"/>
              </w:rPr>
              <w:t>25</w:t>
            </w:r>
          </w:p>
        </w:tc>
      </w:tr>
      <w:tr>
        <w:trPr>
          <w:trHeight w:val="20"/>
        </w:trPr>
        <w:tc>
          <w:tcPr>
            <w:tcW w:w="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840" w:type="dxa"/>
            <w:vAlign w:val="bottom"/>
            <w:tcBorders>
              <w:left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80"/>
        </w:trPr>
        <w:tc>
          <w:tcPr>
            <w:tcW w:w="40" w:type="dxa"/>
            <w:vAlign w:val="bottom"/>
          </w:tcPr>
          <w:p>
            <w:pPr>
              <w:spacing w:after="0"/>
              <w:rPr>
                <w:sz w:val="15"/>
                <w:szCs w:val="15"/>
                <w:color w:val="auto"/>
              </w:rPr>
            </w:pPr>
          </w:p>
        </w:tc>
        <w:tc>
          <w:tcPr>
            <w:tcW w:w="540" w:type="dxa"/>
            <w:vAlign w:val="bottom"/>
          </w:tcPr>
          <w:p>
            <w:pPr>
              <w:spacing w:after="0" w:line="180" w:lineRule="exact"/>
              <w:rPr>
                <w:sz w:val="20"/>
                <w:szCs w:val="20"/>
                <w:color w:val="auto"/>
              </w:rPr>
            </w:pPr>
            <w:r>
              <w:rPr>
                <w:rFonts w:ascii="Arial" w:cs="Arial" w:eastAsia="Arial" w:hAnsi="Arial"/>
                <w:sz w:val="18"/>
                <w:szCs w:val="18"/>
                <w:color w:val="auto"/>
                <w:w w:val="94"/>
              </w:rPr>
              <w:t>Item 3.</w:t>
            </w:r>
          </w:p>
        </w:tc>
        <w:tc>
          <w:tcPr>
            <w:tcW w:w="940" w:type="dxa"/>
            <w:vAlign w:val="bottom"/>
            <w:gridSpan w:val="3"/>
          </w:tcPr>
          <w:p>
            <w:pPr>
              <w:spacing w:after="0"/>
              <w:rPr>
                <w:sz w:val="15"/>
                <w:szCs w:val="15"/>
                <w:color w:val="auto"/>
              </w:rPr>
            </w:pPr>
          </w:p>
        </w:tc>
        <w:tc>
          <w:tcPr>
            <w:tcW w:w="9020" w:type="dxa"/>
            <w:vAlign w:val="bottom"/>
            <w:gridSpan w:val="20"/>
          </w:tcPr>
          <w:p>
            <w:pPr>
              <w:spacing w:after="0" w:line="180" w:lineRule="exact"/>
              <w:rPr>
                <w:rFonts w:ascii="Arial" w:cs="Arial" w:eastAsia="Arial" w:hAnsi="Arial"/>
                <w:sz w:val="18"/>
                <w:szCs w:val="18"/>
                <w:color w:val="0000EE"/>
              </w:rPr>
            </w:pPr>
            <w:hyperlink w:anchor="page51">
              <w:r>
                <w:rPr>
                  <w:rFonts w:ascii="Arial" w:cs="Arial" w:eastAsia="Arial" w:hAnsi="Arial"/>
                  <w:sz w:val="18"/>
                  <w:szCs w:val="18"/>
                  <w:color w:val="0000EE"/>
                </w:rPr>
                <w:t>Quantitative and Qualitative Disclosures about Market Risk</w:t>
              </w:r>
            </w:hyperlink>
          </w:p>
        </w:tc>
        <w:tc>
          <w:tcPr>
            <w:tcW w:w="700" w:type="dxa"/>
            <w:vAlign w:val="bottom"/>
          </w:tcPr>
          <w:p>
            <w:pPr>
              <w:jc w:val="right"/>
              <w:spacing w:after="0" w:line="180" w:lineRule="exact"/>
              <w:rPr>
                <w:sz w:val="20"/>
                <w:szCs w:val="20"/>
                <w:color w:val="auto"/>
              </w:rPr>
            </w:pPr>
            <w:r>
              <w:rPr>
                <w:rFonts w:ascii="Arial" w:cs="Arial" w:eastAsia="Arial" w:hAnsi="Arial"/>
                <w:sz w:val="18"/>
                <w:szCs w:val="18"/>
                <w:color w:val="auto"/>
              </w:rPr>
              <w:t>51</w:t>
            </w:r>
          </w:p>
        </w:tc>
      </w:tr>
      <w:tr>
        <w:trPr>
          <w:trHeight w:val="20"/>
        </w:trPr>
        <w:tc>
          <w:tcPr>
            <w:tcW w:w="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80"/>
        </w:trPr>
        <w:tc>
          <w:tcPr>
            <w:tcW w:w="40" w:type="dxa"/>
            <w:vAlign w:val="bottom"/>
          </w:tcPr>
          <w:p>
            <w:pPr>
              <w:spacing w:after="0"/>
              <w:rPr>
                <w:sz w:val="15"/>
                <w:szCs w:val="15"/>
                <w:color w:val="auto"/>
              </w:rPr>
            </w:pPr>
          </w:p>
        </w:tc>
        <w:tc>
          <w:tcPr>
            <w:tcW w:w="540" w:type="dxa"/>
            <w:vAlign w:val="bottom"/>
          </w:tcPr>
          <w:p>
            <w:pPr>
              <w:spacing w:after="0" w:line="180" w:lineRule="exact"/>
              <w:rPr>
                <w:sz w:val="20"/>
                <w:szCs w:val="20"/>
                <w:color w:val="auto"/>
              </w:rPr>
            </w:pPr>
            <w:r>
              <w:rPr>
                <w:rFonts w:ascii="Arial" w:cs="Arial" w:eastAsia="Arial" w:hAnsi="Arial"/>
                <w:sz w:val="18"/>
                <w:szCs w:val="18"/>
                <w:color w:val="auto"/>
                <w:w w:val="94"/>
              </w:rPr>
              <w:t>Item 4.</w:t>
            </w:r>
          </w:p>
        </w:tc>
        <w:tc>
          <w:tcPr>
            <w:tcW w:w="940" w:type="dxa"/>
            <w:vAlign w:val="bottom"/>
            <w:gridSpan w:val="3"/>
          </w:tcPr>
          <w:p>
            <w:pPr>
              <w:spacing w:after="0"/>
              <w:rPr>
                <w:sz w:val="15"/>
                <w:szCs w:val="15"/>
                <w:color w:val="auto"/>
              </w:rPr>
            </w:pPr>
          </w:p>
        </w:tc>
        <w:tc>
          <w:tcPr>
            <w:tcW w:w="9020" w:type="dxa"/>
            <w:vAlign w:val="bottom"/>
            <w:gridSpan w:val="20"/>
          </w:tcPr>
          <w:p>
            <w:pPr>
              <w:spacing w:after="0" w:line="180" w:lineRule="exact"/>
              <w:rPr>
                <w:rFonts w:ascii="Arial" w:cs="Arial" w:eastAsia="Arial" w:hAnsi="Arial"/>
                <w:sz w:val="18"/>
                <w:szCs w:val="18"/>
                <w:color w:val="0000EE"/>
              </w:rPr>
            </w:pPr>
            <w:hyperlink w:anchor="page52">
              <w:r>
                <w:rPr>
                  <w:rFonts w:ascii="Arial" w:cs="Arial" w:eastAsia="Arial" w:hAnsi="Arial"/>
                  <w:sz w:val="18"/>
                  <w:szCs w:val="18"/>
                  <w:color w:val="0000EE"/>
                </w:rPr>
                <w:t>Controls and Procedures</w:t>
              </w:r>
            </w:hyperlink>
          </w:p>
        </w:tc>
        <w:tc>
          <w:tcPr>
            <w:tcW w:w="700" w:type="dxa"/>
            <w:vAlign w:val="bottom"/>
          </w:tcPr>
          <w:p>
            <w:pPr>
              <w:jc w:val="right"/>
              <w:spacing w:after="0" w:line="180" w:lineRule="exact"/>
              <w:rPr>
                <w:sz w:val="20"/>
                <w:szCs w:val="20"/>
                <w:color w:val="auto"/>
              </w:rPr>
            </w:pPr>
            <w:r>
              <w:rPr>
                <w:rFonts w:ascii="Arial" w:cs="Arial" w:eastAsia="Arial" w:hAnsi="Arial"/>
                <w:sz w:val="18"/>
                <w:szCs w:val="18"/>
                <w:color w:val="auto"/>
              </w:rPr>
              <w:t>52</w:t>
            </w:r>
          </w:p>
        </w:tc>
      </w:tr>
      <w:tr>
        <w:trPr>
          <w:trHeight w:val="20"/>
        </w:trPr>
        <w:tc>
          <w:tcPr>
            <w:tcW w:w="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20" w:type="dxa"/>
            <w:vAlign w:val="bottom"/>
            <w:tcBorders>
              <w:left w:val="single" w:sz="8" w:color="0000EE"/>
            </w:tcBorders>
          </w:tcPr>
          <w:p>
            <w:pPr>
              <w:spacing w:after="0" w:line="20" w:lineRule="exact"/>
              <w:rPr>
                <w:sz w:val="1"/>
                <w:szCs w:val="1"/>
                <w:color w:val="auto"/>
              </w:rPr>
            </w:pPr>
          </w:p>
        </w:tc>
        <w:tc>
          <w:tcPr>
            <w:tcW w:w="2260" w:type="dxa"/>
            <w:vAlign w:val="bottom"/>
            <w:gridSpan w:val="3"/>
          </w:tcPr>
          <w:p>
            <w:pPr>
              <w:spacing w:after="0" w:line="20" w:lineRule="exact"/>
              <w:rPr>
                <w:sz w:val="1"/>
                <w:szCs w:val="1"/>
                <w:color w:val="auto"/>
              </w:rPr>
            </w:pPr>
          </w:p>
        </w:tc>
        <w:tc>
          <w:tcPr>
            <w:tcW w:w="4240" w:type="dxa"/>
            <w:vAlign w:val="bottom"/>
            <w:gridSpan w:val="7"/>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379"/>
        </w:trPr>
        <w:tc>
          <w:tcPr>
            <w:tcW w:w="40" w:type="dxa"/>
            <w:vAlign w:val="bottom"/>
          </w:tcPr>
          <w:p>
            <w:pPr>
              <w:spacing w:after="0"/>
              <w:rPr>
                <w:sz w:val="24"/>
                <w:szCs w:val="24"/>
                <w:color w:val="auto"/>
              </w:rPr>
            </w:pPr>
          </w:p>
        </w:tc>
        <w:tc>
          <w:tcPr>
            <w:tcW w:w="10500" w:type="dxa"/>
            <w:vAlign w:val="bottom"/>
            <w:gridSpan w:val="24"/>
          </w:tcPr>
          <w:p>
            <w:pPr>
              <w:spacing w:after="0"/>
              <w:rPr>
                <w:rFonts w:ascii="Arial" w:cs="Arial" w:eastAsia="Arial" w:hAnsi="Arial"/>
                <w:sz w:val="18"/>
                <w:szCs w:val="18"/>
                <w:color w:val="0000EE"/>
              </w:rPr>
            </w:pPr>
            <w:hyperlink w:anchor="page54">
              <w:r>
                <w:rPr>
                  <w:rFonts w:ascii="Arial" w:cs="Arial" w:eastAsia="Arial" w:hAnsi="Arial"/>
                  <w:sz w:val="18"/>
                  <w:szCs w:val="18"/>
                  <w:color w:val="0000EE"/>
                </w:rPr>
                <w:t>Part II - Other Information</w:t>
              </w:r>
            </w:hyperlink>
          </w:p>
        </w:tc>
        <w:tc>
          <w:tcPr>
            <w:tcW w:w="70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0"/>
        </w:trPr>
        <w:tc>
          <w:tcPr>
            <w:tcW w:w="4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60" w:type="dxa"/>
            <w:vAlign w:val="bottom"/>
            <w:gridSpan w:val="3"/>
          </w:tcPr>
          <w:p>
            <w:pPr>
              <w:spacing w:after="0" w:line="20" w:lineRule="exact"/>
              <w:rPr>
                <w:sz w:val="1"/>
                <w:szCs w:val="1"/>
                <w:color w:val="auto"/>
              </w:rPr>
            </w:pPr>
          </w:p>
        </w:tc>
        <w:tc>
          <w:tcPr>
            <w:tcW w:w="4240" w:type="dxa"/>
            <w:vAlign w:val="bottom"/>
            <w:gridSpan w:val="7"/>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80"/>
        </w:trPr>
        <w:tc>
          <w:tcPr>
            <w:tcW w:w="40" w:type="dxa"/>
            <w:vAlign w:val="bottom"/>
          </w:tcPr>
          <w:p>
            <w:pPr>
              <w:spacing w:after="0"/>
              <w:rPr>
                <w:sz w:val="15"/>
                <w:szCs w:val="15"/>
                <w:color w:val="auto"/>
              </w:rPr>
            </w:pPr>
          </w:p>
        </w:tc>
        <w:tc>
          <w:tcPr>
            <w:tcW w:w="540" w:type="dxa"/>
            <w:vAlign w:val="bottom"/>
          </w:tcPr>
          <w:p>
            <w:pPr>
              <w:spacing w:after="0" w:line="180" w:lineRule="exact"/>
              <w:rPr>
                <w:sz w:val="20"/>
                <w:szCs w:val="20"/>
                <w:color w:val="auto"/>
              </w:rPr>
            </w:pPr>
            <w:r>
              <w:rPr>
                <w:rFonts w:ascii="Arial" w:cs="Arial" w:eastAsia="Arial" w:hAnsi="Arial"/>
                <w:sz w:val="18"/>
                <w:szCs w:val="18"/>
                <w:color w:val="auto"/>
                <w:w w:val="94"/>
              </w:rPr>
              <w:t>Item 1.</w:t>
            </w:r>
          </w:p>
        </w:tc>
        <w:tc>
          <w:tcPr>
            <w:tcW w:w="940" w:type="dxa"/>
            <w:vAlign w:val="bottom"/>
            <w:gridSpan w:val="3"/>
          </w:tcPr>
          <w:p>
            <w:pPr>
              <w:spacing w:after="0"/>
              <w:rPr>
                <w:sz w:val="15"/>
                <w:szCs w:val="15"/>
                <w:color w:val="auto"/>
              </w:rPr>
            </w:pPr>
          </w:p>
        </w:tc>
        <w:tc>
          <w:tcPr>
            <w:tcW w:w="9020" w:type="dxa"/>
            <w:vAlign w:val="bottom"/>
            <w:gridSpan w:val="20"/>
          </w:tcPr>
          <w:p>
            <w:pPr>
              <w:spacing w:after="0" w:line="180" w:lineRule="exact"/>
              <w:rPr>
                <w:rFonts w:ascii="Arial" w:cs="Arial" w:eastAsia="Arial" w:hAnsi="Arial"/>
                <w:sz w:val="18"/>
                <w:szCs w:val="18"/>
                <w:color w:val="0000EE"/>
              </w:rPr>
            </w:pPr>
            <w:hyperlink w:anchor="page54">
              <w:r>
                <w:rPr>
                  <w:rFonts w:ascii="Arial" w:cs="Arial" w:eastAsia="Arial" w:hAnsi="Arial"/>
                  <w:sz w:val="18"/>
                  <w:szCs w:val="18"/>
                  <w:color w:val="0000EE"/>
                </w:rPr>
                <w:t>Legal Proceedings</w:t>
              </w:r>
            </w:hyperlink>
          </w:p>
        </w:tc>
        <w:tc>
          <w:tcPr>
            <w:tcW w:w="700" w:type="dxa"/>
            <w:vAlign w:val="bottom"/>
          </w:tcPr>
          <w:p>
            <w:pPr>
              <w:jc w:val="right"/>
              <w:spacing w:after="0" w:line="180" w:lineRule="exact"/>
              <w:rPr>
                <w:sz w:val="20"/>
                <w:szCs w:val="20"/>
                <w:color w:val="auto"/>
              </w:rPr>
            </w:pPr>
            <w:r>
              <w:rPr>
                <w:rFonts w:ascii="Arial" w:cs="Arial" w:eastAsia="Arial" w:hAnsi="Arial"/>
                <w:sz w:val="18"/>
                <w:szCs w:val="18"/>
                <w:color w:val="auto"/>
              </w:rPr>
              <w:t>54</w:t>
            </w:r>
          </w:p>
        </w:tc>
      </w:tr>
      <w:tr>
        <w:trPr>
          <w:trHeight w:val="20"/>
        </w:trPr>
        <w:tc>
          <w:tcPr>
            <w:tcW w:w="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8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60" w:type="dxa"/>
            <w:vAlign w:val="bottom"/>
            <w:gridSpan w:val="3"/>
          </w:tcPr>
          <w:p>
            <w:pPr>
              <w:spacing w:after="0" w:line="20" w:lineRule="exact"/>
              <w:rPr>
                <w:sz w:val="1"/>
                <w:szCs w:val="1"/>
                <w:color w:val="auto"/>
              </w:rPr>
            </w:pPr>
          </w:p>
        </w:tc>
        <w:tc>
          <w:tcPr>
            <w:tcW w:w="4240" w:type="dxa"/>
            <w:vAlign w:val="bottom"/>
            <w:gridSpan w:val="7"/>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80"/>
        </w:trPr>
        <w:tc>
          <w:tcPr>
            <w:tcW w:w="40" w:type="dxa"/>
            <w:vAlign w:val="bottom"/>
          </w:tcPr>
          <w:p>
            <w:pPr>
              <w:spacing w:after="0"/>
              <w:rPr>
                <w:sz w:val="15"/>
                <w:szCs w:val="15"/>
                <w:color w:val="auto"/>
              </w:rPr>
            </w:pPr>
          </w:p>
        </w:tc>
        <w:tc>
          <w:tcPr>
            <w:tcW w:w="660" w:type="dxa"/>
            <w:vAlign w:val="bottom"/>
            <w:gridSpan w:val="2"/>
          </w:tcPr>
          <w:p>
            <w:pPr>
              <w:spacing w:after="0" w:line="180" w:lineRule="exact"/>
              <w:rPr>
                <w:sz w:val="20"/>
                <w:szCs w:val="20"/>
                <w:color w:val="auto"/>
              </w:rPr>
            </w:pPr>
            <w:r>
              <w:rPr>
                <w:rFonts w:ascii="Arial" w:cs="Arial" w:eastAsia="Arial" w:hAnsi="Arial"/>
                <w:sz w:val="18"/>
                <w:szCs w:val="18"/>
                <w:color w:val="auto"/>
                <w:w w:val="95"/>
              </w:rPr>
              <w:t>Item 1A.</w:t>
            </w:r>
          </w:p>
        </w:tc>
        <w:tc>
          <w:tcPr>
            <w:tcW w:w="820" w:type="dxa"/>
            <w:vAlign w:val="bottom"/>
            <w:gridSpan w:val="2"/>
          </w:tcPr>
          <w:p>
            <w:pPr>
              <w:spacing w:after="0"/>
              <w:rPr>
                <w:sz w:val="15"/>
                <w:szCs w:val="15"/>
                <w:color w:val="auto"/>
              </w:rPr>
            </w:pPr>
          </w:p>
        </w:tc>
        <w:tc>
          <w:tcPr>
            <w:tcW w:w="9020" w:type="dxa"/>
            <w:vAlign w:val="bottom"/>
            <w:gridSpan w:val="20"/>
          </w:tcPr>
          <w:p>
            <w:pPr>
              <w:spacing w:after="0" w:line="180" w:lineRule="exact"/>
              <w:rPr>
                <w:rFonts w:ascii="Arial" w:cs="Arial" w:eastAsia="Arial" w:hAnsi="Arial"/>
                <w:sz w:val="18"/>
                <w:szCs w:val="18"/>
                <w:color w:val="0000EE"/>
              </w:rPr>
            </w:pPr>
            <w:hyperlink w:anchor="page54">
              <w:r>
                <w:rPr>
                  <w:rFonts w:ascii="Arial" w:cs="Arial" w:eastAsia="Arial" w:hAnsi="Arial"/>
                  <w:sz w:val="18"/>
                  <w:szCs w:val="18"/>
                  <w:color w:val="0000EE"/>
                </w:rPr>
                <w:t>Risk Factors</w:t>
              </w:r>
            </w:hyperlink>
          </w:p>
        </w:tc>
        <w:tc>
          <w:tcPr>
            <w:tcW w:w="700" w:type="dxa"/>
            <w:vAlign w:val="bottom"/>
          </w:tcPr>
          <w:p>
            <w:pPr>
              <w:jc w:val="right"/>
              <w:spacing w:after="0" w:line="180" w:lineRule="exact"/>
              <w:rPr>
                <w:sz w:val="20"/>
                <w:szCs w:val="20"/>
                <w:color w:val="auto"/>
              </w:rPr>
            </w:pPr>
            <w:r>
              <w:rPr>
                <w:rFonts w:ascii="Arial" w:cs="Arial" w:eastAsia="Arial" w:hAnsi="Arial"/>
                <w:sz w:val="18"/>
                <w:szCs w:val="18"/>
                <w:color w:val="auto"/>
              </w:rPr>
              <w:t>54</w:t>
            </w:r>
          </w:p>
        </w:tc>
      </w:tr>
      <w:tr>
        <w:trPr>
          <w:trHeight w:val="20"/>
        </w:trPr>
        <w:tc>
          <w:tcPr>
            <w:tcW w:w="40" w:type="dxa"/>
            <w:vAlign w:val="bottom"/>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8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60" w:type="dxa"/>
            <w:vAlign w:val="bottom"/>
            <w:gridSpan w:val="3"/>
          </w:tcPr>
          <w:p>
            <w:pPr>
              <w:spacing w:after="0" w:line="20" w:lineRule="exact"/>
              <w:rPr>
                <w:sz w:val="1"/>
                <w:szCs w:val="1"/>
                <w:color w:val="auto"/>
              </w:rPr>
            </w:pPr>
          </w:p>
        </w:tc>
        <w:tc>
          <w:tcPr>
            <w:tcW w:w="4240" w:type="dxa"/>
            <w:vAlign w:val="bottom"/>
            <w:gridSpan w:val="7"/>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80"/>
        </w:trPr>
        <w:tc>
          <w:tcPr>
            <w:tcW w:w="40" w:type="dxa"/>
            <w:vAlign w:val="bottom"/>
          </w:tcPr>
          <w:p>
            <w:pPr>
              <w:spacing w:after="0"/>
              <w:rPr>
                <w:sz w:val="15"/>
                <w:szCs w:val="15"/>
                <w:color w:val="auto"/>
              </w:rPr>
            </w:pPr>
          </w:p>
        </w:tc>
        <w:tc>
          <w:tcPr>
            <w:tcW w:w="540" w:type="dxa"/>
            <w:vAlign w:val="bottom"/>
          </w:tcPr>
          <w:p>
            <w:pPr>
              <w:spacing w:after="0" w:line="180" w:lineRule="exact"/>
              <w:rPr>
                <w:sz w:val="20"/>
                <w:szCs w:val="20"/>
                <w:color w:val="auto"/>
              </w:rPr>
            </w:pPr>
            <w:r>
              <w:rPr>
                <w:rFonts w:ascii="Arial" w:cs="Arial" w:eastAsia="Arial" w:hAnsi="Arial"/>
                <w:sz w:val="18"/>
                <w:szCs w:val="18"/>
                <w:color w:val="auto"/>
                <w:w w:val="94"/>
              </w:rPr>
              <w:t>Item 2.</w:t>
            </w:r>
          </w:p>
        </w:tc>
        <w:tc>
          <w:tcPr>
            <w:tcW w:w="120" w:type="dxa"/>
            <w:vAlign w:val="bottom"/>
          </w:tcPr>
          <w:p>
            <w:pPr>
              <w:spacing w:after="0"/>
              <w:rPr>
                <w:sz w:val="15"/>
                <w:szCs w:val="15"/>
                <w:color w:val="auto"/>
              </w:rPr>
            </w:pPr>
          </w:p>
        </w:tc>
        <w:tc>
          <w:tcPr>
            <w:tcW w:w="820" w:type="dxa"/>
            <w:vAlign w:val="bottom"/>
            <w:gridSpan w:val="2"/>
          </w:tcPr>
          <w:p>
            <w:pPr>
              <w:spacing w:after="0"/>
              <w:rPr>
                <w:sz w:val="15"/>
                <w:szCs w:val="15"/>
                <w:color w:val="auto"/>
              </w:rPr>
            </w:pPr>
          </w:p>
        </w:tc>
        <w:tc>
          <w:tcPr>
            <w:tcW w:w="9020" w:type="dxa"/>
            <w:vAlign w:val="bottom"/>
            <w:gridSpan w:val="20"/>
          </w:tcPr>
          <w:p>
            <w:pPr>
              <w:spacing w:after="0" w:line="180" w:lineRule="exact"/>
              <w:rPr>
                <w:rFonts w:ascii="Arial" w:cs="Arial" w:eastAsia="Arial" w:hAnsi="Arial"/>
                <w:sz w:val="18"/>
                <w:szCs w:val="18"/>
                <w:color w:val="0000EE"/>
              </w:rPr>
            </w:pPr>
            <w:hyperlink w:anchor="page57">
              <w:r>
                <w:rPr>
                  <w:rFonts w:ascii="Arial" w:cs="Arial" w:eastAsia="Arial" w:hAnsi="Arial"/>
                  <w:sz w:val="18"/>
                  <w:szCs w:val="18"/>
                  <w:color w:val="0000EE"/>
                </w:rPr>
                <w:t>Unregistered Sales of Equity Securities and Use of Proceeds</w:t>
              </w:r>
            </w:hyperlink>
          </w:p>
        </w:tc>
        <w:tc>
          <w:tcPr>
            <w:tcW w:w="700" w:type="dxa"/>
            <w:vAlign w:val="bottom"/>
          </w:tcPr>
          <w:p>
            <w:pPr>
              <w:jc w:val="right"/>
              <w:spacing w:after="0" w:line="180" w:lineRule="exact"/>
              <w:rPr>
                <w:sz w:val="20"/>
                <w:szCs w:val="20"/>
                <w:color w:val="auto"/>
              </w:rPr>
            </w:pPr>
            <w:r>
              <w:rPr>
                <w:rFonts w:ascii="Arial" w:cs="Arial" w:eastAsia="Arial" w:hAnsi="Arial"/>
                <w:sz w:val="18"/>
                <w:szCs w:val="18"/>
                <w:color w:val="auto"/>
              </w:rPr>
              <w:t>57</w:t>
            </w:r>
          </w:p>
        </w:tc>
      </w:tr>
      <w:tr>
        <w:trPr>
          <w:trHeight w:val="20"/>
        </w:trPr>
        <w:tc>
          <w:tcPr>
            <w:tcW w:w="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80"/>
        </w:trPr>
        <w:tc>
          <w:tcPr>
            <w:tcW w:w="40" w:type="dxa"/>
            <w:vAlign w:val="bottom"/>
          </w:tcPr>
          <w:p>
            <w:pPr>
              <w:spacing w:after="0"/>
              <w:rPr>
                <w:sz w:val="15"/>
                <w:szCs w:val="15"/>
                <w:color w:val="auto"/>
              </w:rPr>
            </w:pPr>
          </w:p>
        </w:tc>
        <w:tc>
          <w:tcPr>
            <w:tcW w:w="540" w:type="dxa"/>
            <w:vAlign w:val="bottom"/>
          </w:tcPr>
          <w:p>
            <w:pPr>
              <w:spacing w:after="0" w:line="180" w:lineRule="exact"/>
              <w:rPr>
                <w:sz w:val="20"/>
                <w:szCs w:val="20"/>
                <w:color w:val="auto"/>
              </w:rPr>
            </w:pPr>
            <w:r>
              <w:rPr>
                <w:rFonts w:ascii="Arial" w:cs="Arial" w:eastAsia="Arial" w:hAnsi="Arial"/>
                <w:sz w:val="18"/>
                <w:szCs w:val="18"/>
                <w:color w:val="auto"/>
                <w:w w:val="94"/>
              </w:rPr>
              <w:t>Item 3.</w:t>
            </w:r>
          </w:p>
        </w:tc>
        <w:tc>
          <w:tcPr>
            <w:tcW w:w="940" w:type="dxa"/>
            <w:vAlign w:val="bottom"/>
            <w:gridSpan w:val="3"/>
          </w:tcPr>
          <w:p>
            <w:pPr>
              <w:spacing w:after="0"/>
              <w:rPr>
                <w:sz w:val="15"/>
                <w:szCs w:val="15"/>
                <w:color w:val="auto"/>
              </w:rPr>
            </w:pPr>
          </w:p>
        </w:tc>
        <w:tc>
          <w:tcPr>
            <w:tcW w:w="9020" w:type="dxa"/>
            <w:vAlign w:val="bottom"/>
            <w:gridSpan w:val="20"/>
          </w:tcPr>
          <w:p>
            <w:pPr>
              <w:spacing w:after="0" w:line="180" w:lineRule="exact"/>
              <w:rPr>
                <w:rFonts w:ascii="Arial" w:cs="Arial" w:eastAsia="Arial" w:hAnsi="Arial"/>
                <w:sz w:val="18"/>
                <w:szCs w:val="18"/>
                <w:color w:val="0000EE"/>
              </w:rPr>
            </w:pPr>
            <w:hyperlink w:anchor="page58">
              <w:r>
                <w:rPr>
                  <w:rFonts w:ascii="Arial" w:cs="Arial" w:eastAsia="Arial" w:hAnsi="Arial"/>
                  <w:sz w:val="18"/>
                  <w:szCs w:val="18"/>
                  <w:color w:val="0000EE"/>
                </w:rPr>
                <w:t>Defaults Upon Senior Securities</w:t>
              </w:r>
            </w:hyperlink>
          </w:p>
        </w:tc>
        <w:tc>
          <w:tcPr>
            <w:tcW w:w="700" w:type="dxa"/>
            <w:vAlign w:val="bottom"/>
          </w:tcPr>
          <w:p>
            <w:pPr>
              <w:jc w:val="right"/>
              <w:spacing w:after="0" w:line="180" w:lineRule="exact"/>
              <w:rPr>
                <w:sz w:val="20"/>
                <w:szCs w:val="20"/>
                <w:color w:val="auto"/>
              </w:rPr>
            </w:pPr>
            <w:r>
              <w:rPr>
                <w:rFonts w:ascii="Arial" w:cs="Arial" w:eastAsia="Arial" w:hAnsi="Arial"/>
                <w:sz w:val="18"/>
                <w:szCs w:val="18"/>
                <w:color w:val="auto"/>
              </w:rPr>
              <w:t>58</w:t>
            </w:r>
          </w:p>
        </w:tc>
      </w:tr>
      <w:tr>
        <w:trPr>
          <w:trHeight w:val="20"/>
        </w:trPr>
        <w:tc>
          <w:tcPr>
            <w:tcW w:w="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80"/>
        </w:trPr>
        <w:tc>
          <w:tcPr>
            <w:tcW w:w="40" w:type="dxa"/>
            <w:vAlign w:val="bottom"/>
          </w:tcPr>
          <w:p>
            <w:pPr>
              <w:spacing w:after="0"/>
              <w:rPr>
                <w:sz w:val="15"/>
                <w:szCs w:val="15"/>
                <w:color w:val="auto"/>
              </w:rPr>
            </w:pPr>
          </w:p>
        </w:tc>
        <w:tc>
          <w:tcPr>
            <w:tcW w:w="540" w:type="dxa"/>
            <w:vAlign w:val="bottom"/>
          </w:tcPr>
          <w:p>
            <w:pPr>
              <w:spacing w:after="0" w:line="180" w:lineRule="exact"/>
              <w:rPr>
                <w:sz w:val="20"/>
                <w:szCs w:val="20"/>
                <w:color w:val="auto"/>
              </w:rPr>
            </w:pPr>
            <w:r>
              <w:rPr>
                <w:rFonts w:ascii="Arial" w:cs="Arial" w:eastAsia="Arial" w:hAnsi="Arial"/>
                <w:sz w:val="18"/>
                <w:szCs w:val="18"/>
                <w:color w:val="auto"/>
                <w:w w:val="94"/>
              </w:rPr>
              <w:t>Item 4.</w:t>
            </w:r>
          </w:p>
        </w:tc>
        <w:tc>
          <w:tcPr>
            <w:tcW w:w="940" w:type="dxa"/>
            <w:vAlign w:val="bottom"/>
            <w:gridSpan w:val="3"/>
          </w:tcPr>
          <w:p>
            <w:pPr>
              <w:spacing w:after="0"/>
              <w:rPr>
                <w:sz w:val="15"/>
                <w:szCs w:val="15"/>
                <w:color w:val="auto"/>
              </w:rPr>
            </w:pPr>
          </w:p>
        </w:tc>
        <w:tc>
          <w:tcPr>
            <w:tcW w:w="9020" w:type="dxa"/>
            <w:vAlign w:val="bottom"/>
            <w:gridSpan w:val="20"/>
          </w:tcPr>
          <w:p>
            <w:pPr>
              <w:spacing w:after="0" w:line="180" w:lineRule="exact"/>
              <w:rPr>
                <w:rFonts w:ascii="Arial" w:cs="Arial" w:eastAsia="Arial" w:hAnsi="Arial"/>
                <w:sz w:val="18"/>
                <w:szCs w:val="18"/>
                <w:color w:val="0000EE"/>
              </w:rPr>
            </w:pPr>
            <w:hyperlink w:anchor="page58">
              <w:r>
                <w:rPr>
                  <w:rFonts w:ascii="Arial" w:cs="Arial" w:eastAsia="Arial" w:hAnsi="Arial"/>
                  <w:sz w:val="18"/>
                  <w:szCs w:val="18"/>
                  <w:color w:val="0000EE"/>
                </w:rPr>
                <w:t>Mine Safety Disclosures</w:t>
              </w:r>
            </w:hyperlink>
          </w:p>
        </w:tc>
        <w:tc>
          <w:tcPr>
            <w:tcW w:w="700" w:type="dxa"/>
            <w:vAlign w:val="bottom"/>
          </w:tcPr>
          <w:p>
            <w:pPr>
              <w:jc w:val="right"/>
              <w:spacing w:after="0" w:line="180" w:lineRule="exact"/>
              <w:rPr>
                <w:sz w:val="20"/>
                <w:szCs w:val="20"/>
                <w:color w:val="auto"/>
              </w:rPr>
            </w:pPr>
            <w:r>
              <w:rPr>
                <w:rFonts w:ascii="Arial" w:cs="Arial" w:eastAsia="Arial" w:hAnsi="Arial"/>
                <w:sz w:val="18"/>
                <w:szCs w:val="18"/>
                <w:color w:val="auto"/>
              </w:rPr>
              <w:t>58</w:t>
            </w:r>
          </w:p>
        </w:tc>
      </w:tr>
      <w:tr>
        <w:trPr>
          <w:trHeight w:val="20"/>
        </w:trPr>
        <w:tc>
          <w:tcPr>
            <w:tcW w:w="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80" w:type="dxa"/>
            <w:vAlign w:val="bottom"/>
            <w:tcBorders>
              <w:right w:val="single" w:sz="8" w:color="0000EE"/>
            </w:tcBorders>
            <w:gridSpan w:val="2"/>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7120" w:type="dxa"/>
            <w:vAlign w:val="bottom"/>
            <w:gridSpan w:val="11"/>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80"/>
        </w:trPr>
        <w:tc>
          <w:tcPr>
            <w:tcW w:w="40" w:type="dxa"/>
            <w:vAlign w:val="bottom"/>
          </w:tcPr>
          <w:p>
            <w:pPr>
              <w:spacing w:after="0"/>
              <w:rPr>
                <w:sz w:val="15"/>
                <w:szCs w:val="15"/>
                <w:color w:val="auto"/>
              </w:rPr>
            </w:pPr>
          </w:p>
        </w:tc>
        <w:tc>
          <w:tcPr>
            <w:tcW w:w="540" w:type="dxa"/>
            <w:vAlign w:val="bottom"/>
          </w:tcPr>
          <w:p>
            <w:pPr>
              <w:spacing w:after="0" w:line="180" w:lineRule="exact"/>
              <w:rPr>
                <w:sz w:val="20"/>
                <w:szCs w:val="20"/>
                <w:color w:val="auto"/>
              </w:rPr>
            </w:pPr>
            <w:r>
              <w:rPr>
                <w:rFonts w:ascii="Arial" w:cs="Arial" w:eastAsia="Arial" w:hAnsi="Arial"/>
                <w:sz w:val="18"/>
                <w:szCs w:val="18"/>
                <w:color w:val="auto"/>
                <w:w w:val="94"/>
              </w:rPr>
              <w:t>Item 5.</w:t>
            </w:r>
          </w:p>
        </w:tc>
        <w:tc>
          <w:tcPr>
            <w:tcW w:w="940" w:type="dxa"/>
            <w:vAlign w:val="bottom"/>
            <w:gridSpan w:val="3"/>
          </w:tcPr>
          <w:p>
            <w:pPr>
              <w:spacing w:after="0"/>
              <w:rPr>
                <w:sz w:val="15"/>
                <w:szCs w:val="15"/>
                <w:color w:val="auto"/>
              </w:rPr>
            </w:pPr>
          </w:p>
        </w:tc>
        <w:tc>
          <w:tcPr>
            <w:tcW w:w="9020" w:type="dxa"/>
            <w:vAlign w:val="bottom"/>
            <w:gridSpan w:val="20"/>
          </w:tcPr>
          <w:p>
            <w:pPr>
              <w:spacing w:after="0" w:line="180" w:lineRule="exact"/>
              <w:rPr>
                <w:rFonts w:ascii="Arial" w:cs="Arial" w:eastAsia="Arial" w:hAnsi="Arial"/>
                <w:sz w:val="18"/>
                <w:szCs w:val="18"/>
                <w:color w:val="0000EE"/>
              </w:rPr>
            </w:pPr>
            <w:hyperlink w:anchor="page58">
              <w:r>
                <w:rPr>
                  <w:rFonts w:ascii="Arial" w:cs="Arial" w:eastAsia="Arial" w:hAnsi="Arial"/>
                  <w:sz w:val="18"/>
                  <w:szCs w:val="18"/>
                  <w:color w:val="0000EE"/>
                </w:rPr>
                <w:t>Other Information</w:t>
              </w:r>
            </w:hyperlink>
          </w:p>
        </w:tc>
        <w:tc>
          <w:tcPr>
            <w:tcW w:w="700" w:type="dxa"/>
            <w:vAlign w:val="bottom"/>
          </w:tcPr>
          <w:p>
            <w:pPr>
              <w:jc w:val="right"/>
              <w:spacing w:after="0" w:line="180" w:lineRule="exact"/>
              <w:rPr>
                <w:sz w:val="20"/>
                <w:szCs w:val="20"/>
                <w:color w:val="auto"/>
              </w:rPr>
            </w:pPr>
            <w:r>
              <w:rPr>
                <w:rFonts w:ascii="Arial" w:cs="Arial" w:eastAsia="Arial" w:hAnsi="Arial"/>
                <w:sz w:val="18"/>
                <w:szCs w:val="18"/>
                <w:color w:val="auto"/>
              </w:rPr>
              <w:t>58</w:t>
            </w:r>
          </w:p>
        </w:tc>
      </w:tr>
      <w:tr>
        <w:trPr>
          <w:trHeight w:val="20"/>
        </w:trPr>
        <w:tc>
          <w:tcPr>
            <w:tcW w:w="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80" w:type="dxa"/>
            <w:vAlign w:val="bottom"/>
            <w:tcBorders>
              <w:right w:val="single" w:sz="8" w:color="0000EE"/>
            </w:tcBorders>
            <w:gridSpan w:val="2"/>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7640" w:type="dxa"/>
            <w:vAlign w:val="bottom"/>
            <w:gridSpan w:val="1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80"/>
        </w:trPr>
        <w:tc>
          <w:tcPr>
            <w:tcW w:w="40" w:type="dxa"/>
            <w:vAlign w:val="bottom"/>
          </w:tcPr>
          <w:p>
            <w:pPr>
              <w:spacing w:after="0"/>
              <w:rPr>
                <w:sz w:val="15"/>
                <w:szCs w:val="15"/>
                <w:color w:val="auto"/>
              </w:rPr>
            </w:pPr>
          </w:p>
        </w:tc>
        <w:tc>
          <w:tcPr>
            <w:tcW w:w="540" w:type="dxa"/>
            <w:vAlign w:val="bottom"/>
          </w:tcPr>
          <w:p>
            <w:pPr>
              <w:spacing w:after="0" w:line="180" w:lineRule="exact"/>
              <w:rPr>
                <w:sz w:val="20"/>
                <w:szCs w:val="20"/>
                <w:color w:val="auto"/>
              </w:rPr>
            </w:pPr>
            <w:r>
              <w:rPr>
                <w:rFonts w:ascii="Arial" w:cs="Arial" w:eastAsia="Arial" w:hAnsi="Arial"/>
                <w:sz w:val="18"/>
                <w:szCs w:val="18"/>
                <w:color w:val="auto"/>
                <w:w w:val="94"/>
              </w:rPr>
              <w:t>Item 6.</w:t>
            </w:r>
          </w:p>
        </w:tc>
        <w:tc>
          <w:tcPr>
            <w:tcW w:w="940" w:type="dxa"/>
            <w:vAlign w:val="bottom"/>
            <w:gridSpan w:val="3"/>
          </w:tcPr>
          <w:p>
            <w:pPr>
              <w:spacing w:after="0"/>
              <w:rPr>
                <w:sz w:val="15"/>
                <w:szCs w:val="15"/>
                <w:color w:val="auto"/>
              </w:rPr>
            </w:pPr>
          </w:p>
        </w:tc>
        <w:tc>
          <w:tcPr>
            <w:tcW w:w="9020" w:type="dxa"/>
            <w:vAlign w:val="bottom"/>
            <w:gridSpan w:val="20"/>
          </w:tcPr>
          <w:p>
            <w:pPr>
              <w:spacing w:after="0" w:line="180" w:lineRule="exact"/>
              <w:rPr>
                <w:rFonts w:ascii="Arial" w:cs="Arial" w:eastAsia="Arial" w:hAnsi="Arial"/>
                <w:sz w:val="18"/>
                <w:szCs w:val="18"/>
                <w:color w:val="0000EE"/>
              </w:rPr>
            </w:pPr>
            <w:hyperlink w:anchor="page59">
              <w:r>
                <w:rPr>
                  <w:rFonts w:ascii="Arial" w:cs="Arial" w:eastAsia="Arial" w:hAnsi="Arial"/>
                  <w:sz w:val="18"/>
                  <w:szCs w:val="18"/>
                  <w:color w:val="0000EE"/>
                </w:rPr>
                <w:t>Exhibits</w:t>
              </w:r>
            </w:hyperlink>
          </w:p>
        </w:tc>
        <w:tc>
          <w:tcPr>
            <w:tcW w:w="700" w:type="dxa"/>
            <w:vAlign w:val="bottom"/>
          </w:tcPr>
          <w:p>
            <w:pPr>
              <w:jc w:val="right"/>
              <w:spacing w:after="0" w:line="180" w:lineRule="exact"/>
              <w:rPr>
                <w:sz w:val="20"/>
                <w:szCs w:val="20"/>
                <w:color w:val="auto"/>
              </w:rPr>
            </w:pPr>
            <w:r>
              <w:rPr>
                <w:rFonts w:ascii="Arial" w:cs="Arial" w:eastAsia="Arial" w:hAnsi="Arial"/>
                <w:sz w:val="18"/>
                <w:szCs w:val="18"/>
                <w:color w:val="auto"/>
              </w:rPr>
              <w:t>59</w:t>
            </w:r>
          </w:p>
        </w:tc>
      </w:tr>
      <w:tr>
        <w:trPr>
          <w:trHeight w:val="20"/>
        </w:trPr>
        <w:tc>
          <w:tcPr>
            <w:tcW w:w="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120" w:type="dxa"/>
            <w:vAlign w:val="bottom"/>
            <w:gridSpan w:val="15"/>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80"/>
        </w:trPr>
        <w:tc>
          <w:tcPr>
            <w:tcW w:w="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20" w:type="dxa"/>
            <w:vAlign w:val="bottom"/>
            <w:gridSpan w:val="20"/>
          </w:tcPr>
          <w:p>
            <w:pPr>
              <w:spacing w:after="0" w:line="180" w:lineRule="exact"/>
              <w:rPr>
                <w:rFonts w:ascii="Arial" w:cs="Arial" w:eastAsia="Arial" w:hAnsi="Arial"/>
                <w:sz w:val="18"/>
                <w:szCs w:val="18"/>
                <w:color w:val="0000EE"/>
              </w:rPr>
            </w:pPr>
            <w:hyperlink w:anchor="page61">
              <w:r>
                <w:rPr>
                  <w:rFonts w:ascii="Arial" w:cs="Arial" w:eastAsia="Arial" w:hAnsi="Arial"/>
                  <w:sz w:val="18"/>
                  <w:szCs w:val="18"/>
                  <w:color w:val="0000EE"/>
                </w:rPr>
                <w:t>Signatures</w:t>
              </w:r>
            </w:hyperlink>
          </w:p>
        </w:tc>
        <w:tc>
          <w:tcPr>
            <w:tcW w:w="700" w:type="dxa"/>
            <w:vAlign w:val="bottom"/>
          </w:tcPr>
          <w:p>
            <w:pPr>
              <w:jc w:val="right"/>
              <w:spacing w:after="0" w:line="180" w:lineRule="exact"/>
              <w:rPr>
                <w:sz w:val="20"/>
                <w:szCs w:val="20"/>
                <w:color w:val="auto"/>
              </w:rPr>
            </w:pPr>
            <w:r>
              <w:rPr>
                <w:rFonts w:ascii="Arial" w:cs="Arial" w:eastAsia="Arial" w:hAnsi="Arial"/>
                <w:sz w:val="18"/>
                <w:szCs w:val="18"/>
                <w:color w:val="auto"/>
              </w:rPr>
              <w:t>61</w:t>
            </w:r>
          </w:p>
        </w:tc>
      </w:tr>
      <w:tr>
        <w:trPr>
          <w:trHeight w:val="671"/>
        </w:trPr>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Borders>
              <w:top w:val="single" w:sz="8" w:color="0000EE"/>
            </w:tcBorders>
            <w:gridSpan w:val="4"/>
          </w:tcPr>
          <w:p>
            <w:pPr>
              <w:spacing w:after="0"/>
              <w:rPr>
                <w:sz w:val="24"/>
                <w:szCs w:val="24"/>
                <w:color w:val="auto"/>
              </w:rPr>
            </w:pPr>
          </w:p>
        </w:tc>
        <w:tc>
          <w:tcPr>
            <w:tcW w:w="3720" w:type="dxa"/>
            <w:vAlign w:val="bottom"/>
            <w:gridSpan w:val="7"/>
          </w:tcPr>
          <w:p>
            <w:pPr>
              <w:jc w:val="right"/>
              <w:ind w:right="371"/>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01"/>
        </w:trPr>
        <w:tc>
          <w:tcPr>
            <w:tcW w:w="40" w:type="dxa"/>
            <w:vAlign w:val="bottom"/>
            <w:tcBorders>
              <w:bottom w:val="single" w:sz="8" w:color="9A9A9A"/>
            </w:tcBorders>
          </w:tcPr>
          <w:p>
            <w:pPr>
              <w:spacing w:after="0"/>
              <w:rPr>
                <w:sz w:val="8"/>
                <w:szCs w:val="8"/>
                <w:color w:val="auto"/>
              </w:rPr>
            </w:pPr>
          </w:p>
        </w:tc>
        <w:tc>
          <w:tcPr>
            <w:tcW w:w="5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68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5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420" w:type="dxa"/>
            <w:vAlign w:val="bottom"/>
            <w:tcBorders>
              <w:bottom w:val="single" w:sz="8" w:color="9A9A9A"/>
            </w:tcBorders>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02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160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7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7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06" w:right="3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8" w:lineRule="exact"/>
        <w:rPr>
          <w:sz w:val="20"/>
          <w:szCs w:val="20"/>
          <w:color w:val="auto"/>
        </w:rPr>
      </w:pPr>
    </w:p>
    <w:p>
      <w:pPr>
        <w:ind w:right="80" w:firstLine="762"/>
        <w:spacing w:after="0" w:line="237" w:lineRule="auto"/>
        <w:rPr>
          <w:sz w:val="20"/>
          <w:szCs w:val="20"/>
          <w:color w:val="auto"/>
        </w:rPr>
      </w:pPr>
      <w:r>
        <w:rPr>
          <w:rFonts w:ascii="Arial" w:cs="Arial" w:eastAsia="Arial" w:hAnsi="Arial"/>
          <w:sz w:val="18"/>
          <w:szCs w:val="18"/>
          <w:color w:val="auto"/>
        </w:rPr>
        <w:t>This Quarterly Report on Form 10-Q contains forward-looking statements within the meaning of Section 27A of the Securities Act of 1933, as amended, (the "Securities Act"), and Section 21E of the Securities Exchange Act of 1934, as amended, (the "Exchange Act"), about us and our industry that involve substantial risks and uncertainties. All statements other than statements of historical facts contained in this Quarterly Report on Form 10-Q, including statements regarding our future results of operations and financial condition, business strategy, and plans and objectives of management for future operations, are forward-looking statements. In some cases, forward-looking statements may be identified by words such as "anticipate," "believe," “contemplate,” "continue," "could," "design," "estimate," "expect," "intend," "may," "plan," "potentially," "predict," "project," "should," “target,” "will," “would,” or the negative of these terms or other similar terms or expressions, although not all forward-looking statements contain these identifying words.</w:t>
      </w:r>
    </w:p>
    <w:p>
      <w:pPr>
        <w:spacing w:after="0" w:line="202" w:lineRule="exact"/>
        <w:rPr>
          <w:sz w:val="20"/>
          <w:szCs w:val="20"/>
          <w:color w:val="auto"/>
        </w:rPr>
      </w:pPr>
    </w:p>
    <w:p>
      <w:pPr>
        <w:ind w:firstLine="762"/>
        <w:spacing w:after="0" w:line="234" w:lineRule="auto"/>
        <w:rPr>
          <w:sz w:val="20"/>
          <w:szCs w:val="20"/>
          <w:color w:val="auto"/>
        </w:rPr>
      </w:pPr>
      <w:r>
        <w:rPr>
          <w:rFonts w:ascii="Arial" w:cs="Arial" w:eastAsia="Arial" w:hAnsi="Arial"/>
          <w:sz w:val="18"/>
          <w:szCs w:val="18"/>
          <w:color w:val="auto"/>
        </w:rPr>
        <w:t>The forward-looking statements in this Quarterly Report on Form 10-Q are only predictions. Forward-looking statements are based on our management’s beliefs and assumptions and on information currently available. These forward-looking statements are subject to a number of known and unknown risks, uncertainties, assumptions, and other important factors that may cause our actual results, performance or achievements to be materially different from any future results, performance or achievements expressed or implied by the forward-looking statements, including risks described in the section titled "Risk Factors" and elsewhere in this Quarterly Report on Form 10-Q, regarding, among other things:</w:t>
      </w:r>
    </w:p>
    <w:p>
      <w:pPr>
        <w:spacing w:after="0" w:line="94" w:lineRule="exact"/>
        <w:rPr>
          <w:sz w:val="20"/>
          <w:szCs w:val="20"/>
          <w:color w:val="auto"/>
        </w:rPr>
      </w:pPr>
    </w:p>
    <w:p>
      <w:pPr>
        <w:ind w:left="1120" w:hanging="368"/>
        <w:spacing w:after="0"/>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the COVID-19 pandemic;</w:t>
      </w:r>
    </w:p>
    <w:p>
      <w:pPr>
        <w:spacing w:after="0" w:line="139" w:lineRule="exact"/>
        <w:rPr>
          <w:rFonts w:ascii="Arial" w:cs="Arial" w:eastAsia="Arial" w:hAnsi="Arial"/>
          <w:sz w:val="18"/>
          <w:szCs w:val="18"/>
          <w:color w:val="auto"/>
        </w:rPr>
      </w:pPr>
    </w:p>
    <w:p>
      <w:pPr>
        <w:ind w:left="1120" w:hanging="368"/>
        <w:spacing w:after="0"/>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have a history of losses and we may not achieve or maintain profitability in the future;</w:t>
      </w:r>
    </w:p>
    <w:p>
      <w:pPr>
        <w:spacing w:after="0" w:line="139" w:lineRule="exact"/>
        <w:rPr>
          <w:rFonts w:ascii="Arial" w:cs="Arial" w:eastAsia="Arial" w:hAnsi="Arial"/>
          <w:sz w:val="18"/>
          <w:szCs w:val="18"/>
          <w:color w:val="auto"/>
        </w:rPr>
      </w:pPr>
    </w:p>
    <w:p>
      <w:pPr>
        <w:ind w:left="1120" w:right="160" w:hanging="368"/>
        <w:spacing w:after="0" w:line="239" w:lineRule="auto"/>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not be able to generate sufficient revenue to generate positive cash flow on a sustained basis, and our revenue growth rate may decline;</w:t>
      </w:r>
    </w:p>
    <w:p>
      <w:pPr>
        <w:spacing w:after="0" w:line="200" w:lineRule="exact"/>
        <w:rPr>
          <w:rFonts w:ascii="Arial" w:cs="Arial" w:eastAsia="Arial" w:hAnsi="Arial"/>
          <w:sz w:val="18"/>
          <w:szCs w:val="18"/>
          <w:color w:val="auto"/>
        </w:rPr>
      </w:pPr>
    </w:p>
    <w:p>
      <w:pPr>
        <w:ind w:left="1120" w:right="440" w:hanging="368"/>
        <w:spacing w:after="0" w:line="266" w:lineRule="auto"/>
        <w:tabs>
          <w:tab w:leader="none" w:pos="11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indebtedness and liabilities could limit the cash flow available for our operations, expose us to risks that could adversely affect our business, financial condition and results of operations and impair our ability to satisfy our debt obligations;</w:t>
      </w:r>
    </w:p>
    <w:p>
      <w:pPr>
        <w:spacing w:after="0" w:line="85" w:lineRule="exact"/>
        <w:rPr>
          <w:rFonts w:ascii="Arial" w:cs="Arial" w:eastAsia="Arial" w:hAnsi="Arial"/>
          <w:sz w:val="17"/>
          <w:szCs w:val="17"/>
          <w:color w:val="auto"/>
        </w:rPr>
      </w:pPr>
    </w:p>
    <w:p>
      <w:pPr>
        <w:ind w:left="1120" w:hanging="368"/>
        <w:spacing w:after="0"/>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have a limited operating history and are still building out our foundational systems;</w:t>
      </w:r>
    </w:p>
    <w:p>
      <w:pPr>
        <w:spacing w:after="0" w:line="139" w:lineRule="exact"/>
        <w:rPr>
          <w:rFonts w:ascii="Arial" w:cs="Arial" w:eastAsia="Arial" w:hAnsi="Arial"/>
          <w:sz w:val="18"/>
          <w:szCs w:val="18"/>
          <w:color w:val="auto"/>
        </w:rPr>
      </w:pPr>
    </w:p>
    <w:p>
      <w:pPr>
        <w:ind w:left="1120" w:hanging="368"/>
        <w:spacing w:after="0"/>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recent, rapid growth may not be indicative of our future growth;</w:t>
      </w:r>
    </w:p>
    <w:p>
      <w:pPr>
        <w:spacing w:after="0" w:line="139" w:lineRule="exact"/>
        <w:rPr>
          <w:rFonts w:ascii="Arial" w:cs="Arial" w:eastAsia="Arial" w:hAnsi="Arial"/>
          <w:sz w:val="18"/>
          <w:szCs w:val="18"/>
          <w:color w:val="auto"/>
        </w:rPr>
      </w:pPr>
    </w:p>
    <w:p>
      <w:pPr>
        <w:ind w:left="1120" w:hanging="368"/>
        <w:spacing w:after="0"/>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we continue to grow rapidly, we may not be able to manage our growth effectively;</w:t>
      </w:r>
    </w:p>
    <w:p>
      <w:pPr>
        <w:spacing w:after="0" w:line="139" w:lineRule="exact"/>
        <w:rPr>
          <w:rFonts w:ascii="Arial" w:cs="Arial" w:eastAsia="Arial" w:hAnsi="Arial"/>
          <w:sz w:val="18"/>
          <w:szCs w:val="18"/>
          <w:color w:val="auto"/>
        </w:rPr>
      </w:pPr>
    </w:p>
    <w:p>
      <w:pPr>
        <w:ind w:left="1120" w:hanging="368"/>
        <w:spacing w:after="0"/>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business is subject to certain risks related to the operation of Texas Direct Auto;</w:t>
      </w:r>
    </w:p>
    <w:p>
      <w:pPr>
        <w:spacing w:after="0" w:line="139" w:lineRule="exact"/>
        <w:rPr>
          <w:rFonts w:ascii="Arial" w:cs="Arial" w:eastAsia="Arial" w:hAnsi="Arial"/>
          <w:sz w:val="18"/>
          <w:szCs w:val="18"/>
          <w:color w:val="auto"/>
        </w:rPr>
      </w:pPr>
    </w:p>
    <w:p>
      <w:pPr>
        <w:ind w:left="1120" w:hanging="368"/>
        <w:spacing w:after="0"/>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rely on third-party vendors for key components of our business, which exposes us to increased risks;</w:t>
      </w:r>
    </w:p>
    <w:p>
      <w:pPr>
        <w:spacing w:after="0" w:line="139" w:lineRule="exact"/>
        <w:rPr>
          <w:rFonts w:ascii="Arial" w:cs="Arial" w:eastAsia="Arial" w:hAnsi="Arial"/>
          <w:sz w:val="18"/>
          <w:szCs w:val="18"/>
          <w:color w:val="auto"/>
        </w:rPr>
      </w:pPr>
    </w:p>
    <w:p>
      <w:pPr>
        <w:ind w:left="1120" w:right="220" w:hanging="368"/>
        <w:spacing w:after="0" w:line="266" w:lineRule="auto"/>
        <w:tabs>
          <w:tab w:leader="none" w:pos="1120" w:val="left"/>
        </w:tabs>
        <w:numPr>
          <w:ilvl w:val="0"/>
          <w:numId w:val="3"/>
        </w:numPr>
        <w:rPr>
          <w:rFonts w:ascii="Arial" w:cs="Arial" w:eastAsia="Arial" w:hAnsi="Arial"/>
          <w:sz w:val="17"/>
          <w:szCs w:val="17"/>
          <w:color w:val="auto"/>
        </w:rPr>
      </w:pPr>
      <w:r>
        <w:rPr>
          <w:rFonts w:ascii="Arial" w:cs="Arial" w:eastAsia="Arial" w:hAnsi="Arial"/>
          <w:sz w:val="17"/>
          <w:szCs w:val="17"/>
          <w:color w:val="auto"/>
        </w:rPr>
        <w:t>we have entered into outsourcing arrangements with third parties related to our customer experience team, and any difficulties experienced in these arrangements could result in an interruption of our ability to sell our vehicles and value-added products;</w:t>
      </w:r>
    </w:p>
    <w:p>
      <w:pPr>
        <w:spacing w:after="0" w:line="85" w:lineRule="exact"/>
        <w:rPr>
          <w:rFonts w:ascii="Arial" w:cs="Arial" w:eastAsia="Arial" w:hAnsi="Arial"/>
          <w:sz w:val="17"/>
          <w:szCs w:val="17"/>
          <w:color w:val="auto"/>
        </w:rPr>
      </w:pPr>
    </w:p>
    <w:p>
      <w:pPr>
        <w:ind w:left="1120" w:right="60" w:hanging="368"/>
        <w:spacing w:after="0" w:line="239" w:lineRule="auto"/>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the quality of our customer experience, our reputation or our brand were negatively affected, our business, sales and results of operations could be materially and adversely affected;</w:t>
      </w:r>
    </w:p>
    <w:p>
      <w:pPr>
        <w:spacing w:after="0" w:line="106" w:lineRule="exact"/>
        <w:rPr>
          <w:rFonts w:ascii="Arial" w:cs="Arial" w:eastAsia="Arial" w:hAnsi="Arial"/>
          <w:sz w:val="18"/>
          <w:szCs w:val="18"/>
          <w:color w:val="auto"/>
        </w:rPr>
      </w:pPr>
    </w:p>
    <w:p>
      <w:pPr>
        <w:ind w:left="1120" w:right="360" w:hanging="368"/>
        <w:spacing w:after="0" w:line="266" w:lineRule="auto"/>
        <w:tabs>
          <w:tab w:leader="none" w:pos="1120" w:val="left"/>
        </w:tabs>
        <w:numPr>
          <w:ilvl w:val="0"/>
          <w:numId w:val="3"/>
        </w:numPr>
        <w:rPr>
          <w:rFonts w:ascii="Arial" w:cs="Arial" w:eastAsia="Arial" w:hAnsi="Arial"/>
          <w:sz w:val="17"/>
          <w:szCs w:val="17"/>
          <w:color w:val="auto"/>
        </w:rPr>
      </w:pPr>
      <w:r>
        <w:rPr>
          <w:rFonts w:ascii="Arial" w:cs="Arial" w:eastAsia="Arial" w:hAnsi="Arial"/>
          <w:sz w:val="17"/>
          <w:szCs w:val="17"/>
          <w:color w:val="auto"/>
        </w:rPr>
        <w:t>we face a variety of risks associated with the operation of our vehicle reconditioning centers by us and our third-party service providers, any of which could materially and adversely affect our business, financial condition and results of operations;</w:t>
      </w:r>
    </w:p>
    <w:p>
      <w:pPr>
        <w:spacing w:after="0" w:line="85" w:lineRule="exact"/>
        <w:rPr>
          <w:rFonts w:ascii="Arial" w:cs="Arial" w:eastAsia="Arial" w:hAnsi="Arial"/>
          <w:sz w:val="17"/>
          <w:szCs w:val="17"/>
          <w:color w:val="auto"/>
        </w:rPr>
      </w:pPr>
    </w:p>
    <w:p>
      <w:pPr>
        <w:ind w:left="1120" w:right="100" w:hanging="368"/>
        <w:spacing w:after="0" w:line="266" w:lineRule="auto"/>
        <w:tabs>
          <w:tab w:leader="none" w:pos="1120" w:val="left"/>
        </w:tabs>
        <w:numPr>
          <w:ilvl w:val="0"/>
          <w:numId w:val="3"/>
        </w:numPr>
        <w:rPr>
          <w:rFonts w:ascii="Arial" w:cs="Arial" w:eastAsia="Arial" w:hAnsi="Arial"/>
          <w:sz w:val="17"/>
          <w:szCs w:val="17"/>
          <w:color w:val="auto"/>
        </w:rPr>
      </w:pPr>
      <w:r>
        <w:rPr>
          <w:rFonts w:ascii="Arial" w:cs="Arial" w:eastAsia="Arial" w:hAnsi="Arial"/>
          <w:sz w:val="17"/>
          <w:szCs w:val="17"/>
          <w:color w:val="auto"/>
        </w:rPr>
        <w:t>we rely primarily on third-party carriers to transport our vehicle inventory throughout the United States. Thus, we are subject to business risks and costs associated with such carriers and with the transportation industry, many of which are out of our control;</w:t>
      </w:r>
    </w:p>
    <w:p>
      <w:pPr>
        <w:spacing w:after="0" w:line="85" w:lineRule="exact"/>
        <w:rPr>
          <w:rFonts w:ascii="Arial" w:cs="Arial" w:eastAsia="Arial" w:hAnsi="Arial"/>
          <w:sz w:val="17"/>
          <w:szCs w:val="17"/>
          <w:color w:val="auto"/>
        </w:rPr>
      </w:pPr>
    </w:p>
    <w:p>
      <w:pPr>
        <w:ind w:left="1120" w:right="60" w:hanging="368"/>
        <w:spacing w:after="0" w:line="236" w:lineRule="auto"/>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are expanding our proprietary logistics operations, including vehicle pick-ups and delivery from our last mile hubs and line haul transportation of vehicles between our last mile hubs, which will further expose us to increased risks related to ownership of infrastructure and the transportation of vehicles;</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50800</wp:posOffset>
            </wp:positionV>
            <wp:extent cx="715962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1120" w:right="100" w:hanging="368"/>
        <w:spacing w:after="0" w:line="236" w:lineRule="auto"/>
        <w:tabs>
          <w:tab w:leader="none" w:pos="11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current geographic concentration where we provide reconditioning services and store inventory creates an exposure to local and regional downturns or severe weather or catastrophic occurrences that may materially and adversely affect our business, financial condition and results of operations;</w:t>
      </w:r>
    </w:p>
    <w:p>
      <w:pPr>
        <w:spacing w:after="0" w:line="108" w:lineRule="exact"/>
        <w:rPr>
          <w:rFonts w:ascii="Arial" w:cs="Arial" w:eastAsia="Arial" w:hAnsi="Arial"/>
          <w:sz w:val="18"/>
          <w:szCs w:val="18"/>
          <w:color w:val="auto"/>
        </w:rPr>
      </w:pPr>
    </w:p>
    <w:p>
      <w:pPr>
        <w:ind w:left="1120" w:right="300" w:hanging="368"/>
        <w:spacing w:after="0" w:line="239" w:lineRule="auto"/>
        <w:tabs>
          <w:tab w:leader="none" w:pos="1120"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we sustain cyber-attacks or other privacy or data security incidents that result in security breaches, we could suffer a loss of sales and increased costs, exposure to significant liability, reputational harm and other negative consequences;</w:t>
      </w:r>
    </w:p>
    <w:p>
      <w:pPr>
        <w:spacing w:after="0" w:line="200" w:lineRule="exact"/>
        <w:rPr>
          <w:rFonts w:ascii="Arial" w:cs="Arial" w:eastAsia="Arial" w:hAnsi="Arial"/>
          <w:sz w:val="18"/>
          <w:szCs w:val="18"/>
          <w:color w:val="auto"/>
        </w:rPr>
      </w:pPr>
    </w:p>
    <w:p>
      <w:pPr>
        <w:ind w:left="1120" w:right="1020" w:hanging="368"/>
        <w:spacing w:after="0" w:line="266" w:lineRule="auto"/>
        <w:tabs>
          <w:tab w:leader="none" w:pos="112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common stock price may be volatile and the value of our common stock may decline regardless of our operating performance, and you may not be able to resell your shares at or above the price which you paid for them;</w:t>
      </w:r>
    </w:p>
    <w:p>
      <w:pPr>
        <w:spacing w:after="0" w:line="167" w:lineRule="exact"/>
        <w:rPr>
          <w:rFonts w:ascii="Arial" w:cs="Arial" w:eastAsia="Arial" w:hAnsi="Arial"/>
          <w:sz w:val="17"/>
          <w:szCs w:val="17"/>
          <w:color w:val="auto"/>
        </w:rPr>
      </w:pPr>
    </w:p>
    <w:p>
      <w:pPr>
        <w:ind w:left="1120" w:right="220"/>
        <w:spacing w:after="0" w:line="249" w:lineRule="auto"/>
        <w:rPr>
          <w:rFonts w:ascii="Arial" w:cs="Arial" w:eastAsia="Arial" w:hAnsi="Arial"/>
          <w:sz w:val="17"/>
          <w:szCs w:val="17"/>
          <w:color w:val="auto"/>
        </w:rPr>
      </w:pPr>
      <w:r>
        <w:rPr>
          <w:rFonts w:ascii="Arial" w:cs="Arial" w:eastAsia="Arial" w:hAnsi="Arial"/>
          <w:sz w:val="18"/>
          <w:szCs w:val="18"/>
          <w:color w:val="auto"/>
        </w:rPr>
        <w:t>•we are, and may in the future be, subject to legal proceedings in the ordinary course of our business. If the outcomes of these proceedings are adverse to us, it could have a material adverse effect on our business, financial condition and results of operations; and</w:t>
      </w:r>
    </w:p>
    <w:p>
      <w:pPr>
        <w:spacing w:after="0" w:line="87" w:lineRule="exact"/>
        <w:rPr>
          <w:rFonts w:ascii="Arial" w:cs="Arial" w:eastAsia="Arial" w:hAnsi="Arial"/>
          <w:sz w:val="17"/>
          <w:szCs w:val="17"/>
          <w:color w:val="auto"/>
        </w:rPr>
      </w:pPr>
    </w:p>
    <w:p>
      <w:pPr>
        <w:ind w:left="1120" w:hanging="368"/>
        <w:spacing w:after="0"/>
        <w:tabs>
          <w:tab w:leader="none" w:pos="11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actual operating results may differ significantly from our guidance.</w:t>
      </w:r>
    </w:p>
    <w:p>
      <w:pPr>
        <w:spacing w:after="0" w:line="231" w:lineRule="exact"/>
        <w:rPr>
          <w:sz w:val="20"/>
          <w:szCs w:val="20"/>
          <w:color w:val="auto"/>
        </w:rPr>
      </w:pPr>
    </w:p>
    <w:p>
      <w:pPr>
        <w:jc w:val="center"/>
        <w:ind w:right="120"/>
        <w:spacing w:after="0" w:line="252" w:lineRule="auto"/>
        <w:rPr>
          <w:sz w:val="20"/>
          <w:szCs w:val="20"/>
          <w:color w:val="auto"/>
        </w:rPr>
      </w:pPr>
      <w:r>
        <w:rPr>
          <w:rFonts w:ascii="Arial" w:cs="Arial" w:eastAsia="Arial" w:hAnsi="Arial"/>
          <w:sz w:val="17"/>
          <w:szCs w:val="17"/>
          <w:color w:val="auto"/>
        </w:rPr>
        <w:t>Other sections of this Quarterly Report on Form 10-Q include additional factors that could harm our business and financial performance. Moreover, we operate in a very competitive and rapidly changing environment. New risk factors emerge from time to time, and it is not possible for our management to predict all risk factors nor can we assess the impact of all factors on our business or the extent to which any factor, or combination of factors, may cause actual results to differ from those contained in, or implied by, any forward-looking statements.</w:t>
      </w:r>
    </w:p>
    <w:p>
      <w:pPr>
        <w:spacing w:after="0" w:line="191" w:lineRule="exact"/>
        <w:rPr>
          <w:sz w:val="20"/>
          <w:szCs w:val="20"/>
          <w:color w:val="auto"/>
        </w:rPr>
      </w:pPr>
    </w:p>
    <w:p>
      <w:pPr>
        <w:ind w:firstLine="762"/>
        <w:spacing w:after="0" w:line="233" w:lineRule="auto"/>
        <w:rPr>
          <w:sz w:val="20"/>
          <w:szCs w:val="20"/>
          <w:color w:val="auto"/>
        </w:rPr>
      </w:pPr>
      <w:r>
        <w:rPr>
          <w:rFonts w:ascii="Arial" w:cs="Arial" w:eastAsia="Arial" w:hAnsi="Arial"/>
          <w:sz w:val="18"/>
          <w:szCs w:val="18"/>
          <w:color w:val="auto"/>
        </w:rPr>
        <w:t>You should not rely upon forward-looking statements as predictions of future events. We cannot assure you that the events and circumstances reflected in the forward-looking statements will be achieved or occur. Although we believe that the expectations reflected in the forward-looking statements are reasonable, we cannot guarantee future results, levels of activity, performance or achievements. These forward-looking statements speak only as of the date of this Quarterly Report on Form 10-Q. Except as required by law, we undertake no obligation to update publicly any forward-looking statements for any reason after the date of this report or to conform these statements to actual results or to changes in our expectations. You should read this Quarterly Report on Form 10-Q and the documents that we reference or incorporate by reference in this Quarterly Report on Form 10-Q and have filed as exhibits to this report with the understanding that our actual future results, levels of activity, performance, and achievements may be materially different from what we expect. We qualify all of our forward-looking statements by these cautionary statements.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50800</wp:posOffset>
            </wp:positionV>
            <wp:extent cx="715962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jc w:val="center"/>
        <w:spacing w:after="0" w:line="231" w:lineRule="auto"/>
        <w:rPr>
          <w:sz w:val="20"/>
          <w:szCs w:val="20"/>
          <w:color w:val="auto"/>
        </w:rPr>
      </w:pPr>
      <w:r>
        <w:rPr>
          <w:rFonts w:ascii="Arial" w:cs="Arial" w:eastAsia="Arial" w:hAnsi="Arial"/>
          <w:sz w:val="18"/>
          <w:szCs w:val="18"/>
          <w:b w:val="1"/>
          <w:bCs w:val="1"/>
          <w:color w:val="auto"/>
        </w:rPr>
        <w:t>VROOM, INC.</w:t>
      </w:r>
    </w:p>
    <w:p>
      <w:pPr>
        <w:jc w:val="center"/>
        <w:spacing w:after="0" w:line="232" w:lineRule="auto"/>
        <w:rPr>
          <w:sz w:val="20"/>
          <w:szCs w:val="20"/>
          <w:color w:val="auto"/>
        </w:rPr>
      </w:pPr>
      <w:r>
        <w:rPr>
          <w:rFonts w:ascii="Arial" w:cs="Arial" w:eastAsia="Arial" w:hAnsi="Arial"/>
          <w:sz w:val="18"/>
          <w:szCs w:val="18"/>
          <w:b w:val="1"/>
          <w:bCs w:val="1"/>
          <w:color w:val="auto"/>
        </w:rPr>
        <w:t>CONDENSED CONSOLIDATED BALANCE SHEETS</w:t>
      </w:r>
    </w:p>
    <w:p>
      <w:pPr>
        <w:jc w:val="center"/>
        <w:spacing w:after="0" w:line="231" w:lineRule="auto"/>
        <w:rPr>
          <w:sz w:val="20"/>
          <w:szCs w:val="20"/>
          <w:color w:val="auto"/>
        </w:rPr>
      </w:pPr>
      <w:r>
        <w:rPr>
          <w:rFonts w:ascii="Arial" w:cs="Arial" w:eastAsia="Arial" w:hAnsi="Arial"/>
          <w:sz w:val="18"/>
          <w:szCs w:val="18"/>
          <w:b w:val="1"/>
          <w:bCs w:val="1"/>
          <w:color w:val="auto"/>
        </w:rPr>
        <w:t>(in thousands, except share and per share amounts)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8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rPr>
              <w:t>As of</w:t>
            </w:r>
          </w:p>
        </w:tc>
        <w:tc>
          <w:tcPr>
            <w:tcW w:w="220" w:type="dxa"/>
            <w:vAlign w:val="bottom"/>
          </w:tcPr>
          <w:p>
            <w:pPr>
              <w:spacing w:after="0"/>
              <w:rPr>
                <w:sz w:val="15"/>
                <w:szCs w:val="15"/>
                <w:color w:val="auto"/>
              </w:rPr>
            </w:pPr>
          </w:p>
        </w:tc>
        <w:tc>
          <w:tcPr>
            <w:tcW w:w="1520" w:type="dxa"/>
            <w:vAlign w:val="bottom"/>
          </w:tcPr>
          <w:p>
            <w:pPr>
              <w:jc w:val="center"/>
              <w:ind w:right="261"/>
              <w:spacing w:after="0"/>
              <w:rPr>
                <w:sz w:val="20"/>
                <w:szCs w:val="20"/>
                <w:color w:val="auto"/>
              </w:rPr>
            </w:pPr>
            <w:r>
              <w:rPr>
                <w:rFonts w:ascii="Arial" w:cs="Arial" w:eastAsia="Arial" w:hAnsi="Arial"/>
                <w:sz w:val="14"/>
                <w:szCs w:val="14"/>
                <w:b w:val="1"/>
                <w:bCs w:val="1"/>
                <w:color w:val="auto"/>
                <w:w w:val="97"/>
              </w:rPr>
              <w:t>As of</w:t>
            </w:r>
          </w:p>
        </w:tc>
      </w:tr>
      <w:tr>
        <w:trPr>
          <w:trHeight w:val="173"/>
        </w:trPr>
        <w:tc>
          <w:tcPr>
            <w:tcW w:w="7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8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9"/>
              </w:rPr>
              <w:t>June 30,</w:t>
            </w:r>
          </w:p>
        </w:tc>
        <w:tc>
          <w:tcPr>
            <w:tcW w:w="220" w:type="dxa"/>
            <w:vAlign w:val="bottom"/>
          </w:tcPr>
          <w:p>
            <w:pPr>
              <w:spacing w:after="0"/>
              <w:rPr>
                <w:sz w:val="15"/>
                <w:szCs w:val="15"/>
                <w:color w:val="auto"/>
              </w:rPr>
            </w:pPr>
          </w:p>
        </w:tc>
        <w:tc>
          <w:tcPr>
            <w:tcW w:w="1520" w:type="dxa"/>
            <w:vAlign w:val="bottom"/>
          </w:tcPr>
          <w:p>
            <w:pPr>
              <w:jc w:val="center"/>
              <w:ind w:right="261"/>
              <w:spacing w:after="0"/>
              <w:rPr>
                <w:sz w:val="20"/>
                <w:szCs w:val="20"/>
                <w:color w:val="auto"/>
              </w:rPr>
            </w:pPr>
            <w:r>
              <w:rPr>
                <w:rFonts w:ascii="Arial" w:cs="Arial" w:eastAsia="Arial" w:hAnsi="Arial"/>
                <w:sz w:val="14"/>
                <w:szCs w:val="14"/>
                <w:b w:val="1"/>
                <w:bCs w:val="1"/>
                <w:color w:val="auto"/>
              </w:rPr>
              <w:t>December 31,</w:t>
            </w:r>
          </w:p>
        </w:tc>
      </w:tr>
      <w:tr>
        <w:trPr>
          <w:trHeight w:val="166"/>
        </w:trPr>
        <w:tc>
          <w:tcPr>
            <w:tcW w:w="752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440" w:type="dxa"/>
            <w:vAlign w:val="bottom"/>
            <w:tcBorders>
              <w:top w:val="single" w:sz="8" w:color="auto"/>
              <w:bottom w:val="single" w:sz="8" w:color="auto"/>
            </w:tcBorders>
          </w:tcPr>
          <w:p>
            <w:pPr>
              <w:jc w:val="center"/>
              <w:ind w:right="361"/>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FF0FC"/>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1520" w:type="dxa"/>
            <w:vAlign w:val="bottom"/>
            <w:tcBorders>
              <w:top w:val="single" w:sz="8" w:color="auto"/>
              <w:bottom w:val="single" w:sz="8" w:color="auto"/>
            </w:tcBorders>
          </w:tcPr>
          <w:p>
            <w:pPr>
              <w:jc w:val="center"/>
              <w:ind w:right="261"/>
              <w:spacing w:after="0"/>
              <w:rPr>
                <w:sz w:val="20"/>
                <w:szCs w:val="20"/>
                <w:color w:val="auto"/>
              </w:rPr>
            </w:pPr>
            <w:r>
              <w:rPr>
                <w:rFonts w:ascii="Arial" w:cs="Arial" w:eastAsia="Arial" w:hAnsi="Arial"/>
                <w:sz w:val="14"/>
                <w:szCs w:val="14"/>
                <w:b w:val="1"/>
                <w:bCs w:val="1"/>
                <w:color w:val="auto"/>
                <w:w w:val="96"/>
              </w:rPr>
              <w:t>2020</w:t>
            </w:r>
          </w:p>
        </w:tc>
      </w:tr>
      <w:tr>
        <w:trPr>
          <w:trHeight w:val="193"/>
        </w:trPr>
        <w:tc>
          <w:tcPr>
            <w:tcW w:w="752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ASSETS</w:t>
            </w:r>
          </w:p>
        </w:tc>
        <w:tc>
          <w:tcPr>
            <w:tcW w:w="8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4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520" w:type="dxa"/>
            <w:vAlign w:val="bottom"/>
            <w:shd w:val="clear" w:color="auto" w:fill="CFF0FC"/>
          </w:tcPr>
          <w:p>
            <w:pPr>
              <w:spacing w:after="0"/>
              <w:rPr>
                <w:sz w:val="16"/>
                <w:szCs w:val="16"/>
                <w:color w:val="auto"/>
              </w:rPr>
            </w:pPr>
          </w:p>
        </w:tc>
      </w:tr>
      <w:tr>
        <w:trPr>
          <w:trHeight w:val="200"/>
        </w:trPr>
        <w:tc>
          <w:tcPr>
            <w:tcW w:w="7520" w:type="dxa"/>
            <w:vAlign w:val="bottom"/>
          </w:tcPr>
          <w:p>
            <w:pPr>
              <w:spacing w:after="0"/>
              <w:rPr>
                <w:sz w:val="20"/>
                <w:szCs w:val="20"/>
                <w:color w:val="auto"/>
              </w:rPr>
            </w:pPr>
            <w:r>
              <w:rPr>
                <w:rFonts w:ascii="Arial" w:cs="Arial" w:eastAsia="Arial" w:hAnsi="Arial"/>
                <w:sz w:val="16"/>
                <w:szCs w:val="16"/>
                <w:color w:val="auto"/>
              </w:rPr>
              <w:t>Current Assets:</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0"/>
        </w:trPr>
        <w:tc>
          <w:tcPr>
            <w:tcW w:w="7520" w:type="dxa"/>
            <w:vAlign w:val="bottom"/>
            <w:shd w:val="clear" w:color="auto" w:fill="CFF0FC"/>
          </w:tcPr>
          <w:p>
            <w:pPr>
              <w:ind w:left="240"/>
              <w:spacing w:after="0"/>
              <w:rPr>
                <w:sz w:val="20"/>
                <w:szCs w:val="20"/>
                <w:color w:val="auto"/>
              </w:rPr>
            </w:pPr>
            <w:r>
              <w:rPr>
                <w:rFonts w:ascii="Arial" w:cs="Arial" w:eastAsia="Arial" w:hAnsi="Arial"/>
                <w:sz w:val="16"/>
                <w:szCs w:val="16"/>
                <w:color w:val="auto"/>
              </w:rPr>
              <w:t>Cash and cash equivalents</w:t>
            </w:r>
          </w:p>
        </w:tc>
        <w:tc>
          <w:tcPr>
            <w:tcW w:w="4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44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1,463,573</w:t>
            </w:r>
          </w:p>
        </w:tc>
        <w:tc>
          <w:tcPr>
            <w:tcW w:w="140" w:type="dxa"/>
            <w:vAlign w:val="bottom"/>
            <w:shd w:val="clear" w:color="auto" w:fill="CFF0FC"/>
          </w:tcPr>
          <w:p>
            <w:pPr>
              <w:spacing w:after="0"/>
              <w:rPr>
                <w:sz w:val="17"/>
                <w:szCs w:val="17"/>
                <w:color w:val="auto"/>
              </w:rPr>
            </w:pPr>
          </w:p>
        </w:tc>
        <w:tc>
          <w:tcPr>
            <w:tcW w:w="220" w:type="dxa"/>
            <w:vAlign w:val="bottom"/>
            <w:shd w:val="clear" w:color="auto" w:fill="CFF0FC"/>
          </w:tcPr>
          <w:p>
            <w:pPr>
              <w:jc w:val="right"/>
              <w:ind w:right="66"/>
              <w:spacing w:after="0"/>
              <w:rPr>
                <w:sz w:val="20"/>
                <w:szCs w:val="20"/>
                <w:color w:val="auto"/>
              </w:rPr>
            </w:pPr>
            <w:r>
              <w:rPr>
                <w:rFonts w:ascii="Arial" w:cs="Arial" w:eastAsia="Arial" w:hAnsi="Arial"/>
                <w:sz w:val="15"/>
                <w:szCs w:val="15"/>
                <w:color w:val="auto"/>
                <w:w w:val="71"/>
              </w:rPr>
              <w:t>$</w:t>
            </w:r>
          </w:p>
        </w:tc>
        <w:tc>
          <w:tcPr>
            <w:tcW w:w="152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1,056,213</w:t>
            </w:r>
          </w:p>
        </w:tc>
      </w:tr>
      <w:tr>
        <w:trPr>
          <w:trHeight w:val="200"/>
        </w:trPr>
        <w:tc>
          <w:tcPr>
            <w:tcW w:w="7520" w:type="dxa"/>
            <w:vAlign w:val="bottom"/>
          </w:tcPr>
          <w:p>
            <w:pPr>
              <w:ind w:left="240"/>
              <w:spacing w:after="0"/>
              <w:rPr>
                <w:sz w:val="20"/>
                <w:szCs w:val="20"/>
                <w:color w:val="auto"/>
              </w:rPr>
            </w:pPr>
            <w:r>
              <w:rPr>
                <w:rFonts w:ascii="Arial" w:cs="Arial" w:eastAsia="Arial" w:hAnsi="Arial"/>
                <w:sz w:val="16"/>
                <w:szCs w:val="16"/>
                <w:color w:val="auto"/>
              </w:rPr>
              <w:t>Restricted cash</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40" w:type="dxa"/>
            <w:vAlign w:val="bottom"/>
          </w:tcPr>
          <w:p>
            <w:pPr>
              <w:jc w:val="right"/>
              <w:ind w:right="41"/>
              <w:spacing w:after="0"/>
              <w:rPr>
                <w:sz w:val="20"/>
                <w:szCs w:val="20"/>
                <w:color w:val="auto"/>
              </w:rPr>
            </w:pPr>
            <w:r>
              <w:rPr>
                <w:rFonts w:ascii="Arial" w:cs="Arial" w:eastAsia="Arial" w:hAnsi="Arial"/>
                <w:sz w:val="16"/>
                <w:szCs w:val="16"/>
                <w:color w:val="auto"/>
              </w:rPr>
              <w:t>37,116</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20" w:type="dxa"/>
            <w:vAlign w:val="bottom"/>
          </w:tcPr>
          <w:p>
            <w:pPr>
              <w:jc w:val="right"/>
              <w:ind w:right="41"/>
              <w:spacing w:after="0"/>
              <w:rPr>
                <w:sz w:val="20"/>
                <w:szCs w:val="20"/>
                <w:color w:val="auto"/>
              </w:rPr>
            </w:pPr>
            <w:r>
              <w:rPr>
                <w:rFonts w:ascii="Arial" w:cs="Arial" w:eastAsia="Arial" w:hAnsi="Arial"/>
                <w:sz w:val="16"/>
                <w:szCs w:val="16"/>
                <w:color w:val="auto"/>
              </w:rPr>
              <w:t>33,826</w:t>
            </w:r>
          </w:p>
        </w:tc>
      </w:tr>
      <w:tr>
        <w:trPr>
          <w:trHeight w:val="200"/>
        </w:trPr>
        <w:tc>
          <w:tcPr>
            <w:tcW w:w="7520" w:type="dxa"/>
            <w:vAlign w:val="bottom"/>
            <w:shd w:val="clear" w:color="auto" w:fill="CFF0FC"/>
          </w:tcPr>
          <w:p>
            <w:pPr>
              <w:ind w:left="240"/>
              <w:spacing w:after="0"/>
              <w:rPr>
                <w:sz w:val="20"/>
                <w:szCs w:val="20"/>
                <w:color w:val="auto"/>
              </w:rPr>
            </w:pPr>
            <w:r>
              <w:rPr>
                <w:rFonts w:ascii="Arial" w:cs="Arial" w:eastAsia="Arial" w:hAnsi="Arial"/>
                <w:sz w:val="16"/>
                <w:szCs w:val="16"/>
                <w:color w:val="auto"/>
              </w:rPr>
              <w:t>Accounts receivable, net of allowance of $3,304 and $2,803, respectively</w:t>
            </w:r>
          </w:p>
        </w:tc>
        <w:tc>
          <w:tcPr>
            <w:tcW w:w="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44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100,491</w:t>
            </w:r>
          </w:p>
        </w:tc>
        <w:tc>
          <w:tcPr>
            <w:tcW w:w="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52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60,576</w:t>
            </w:r>
          </w:p>
        </w:tc>
      </w:tr>
      <w:tr>
        <w:trPr>
          <w:trHeight w:val="200"/>
        </w:trPr>
        <w:tc>
          <w:tcPr>
            <w:tcW w:w="7520" w:type="dxa"/>
            <w:vAlign w:val="bottom"/>
          </w:tcPr>
          <w:p>
            <w:pPr>
              <w:ind w:left="240"/>
              <w:spacing w:after="0"/>
              <w:rPr>
                <w:sz w:val="20"/>
                <w:szCs w:val="20"/>
                <w:color w:val="auto"/>
              </w:rPr>
            </w:pPr>
            <w:r>
              <w:rPr>
                <w:rFonts w:ascii="Arial" w:cs="Arial" w:eastAsia="Arial" w:hAnsi="Arial"/>
                <w:sz w:val="16"/>
                <w:szCs w:val="16"/>
                <w:color w:val="auto"/>
              </w:rPr>
              <w:t>Inventory</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40" w:type="dxa"/>
            <w:vAlign w:val="bottom"/>
          </w:tcPr>
          <w:p>
            <w:pPr>
              <w:jc w:val="right"/>
              <w:ind w:right="41"/>
              <w:spacing w:after="0"/>
              <w:rPr>
                <w:sz w:val="20"/>
                <w:szCs w:val="20"/>
                <w:color w:val="auto"/>
              </w:rPr>
            </w:pPr>
            <w:r>
              <w:rPr>
                <w:rFonts w:ascii="Arial" w:cs="Arial" w:eastAsia="Arial" w:hAnsi="Arial"/>
                <w:sz w:val="16"/>
                <w:szCs w:val="16"/>
                <w:color w:val="auto"/>
              </w:rPr>
              <w:t>519,966</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20" w:type="dxa"/>
            <w:vAlign w:val="bottom"/>
          </w:tcPr>
          <w:p>
            <w:pPr>
              <w:jc w:val="right"/>
              <w:ind w:right="41"/>
              <w:spacing w:after="0"/>
              <w:rPr>
                <w:sz w:val="20"/>
                <w:szCs w:val="20"/>
                <w:color w:val="auto"/>
              </w:rPr>
            </w:pPr>
            <w:r>
              <w:rPr>
                <w:rFonts w:ascii="Arial" w:cs="Arial" w:eastAsia="Arial" w:hAnsi="Arial"/>
                <w:sz w:val="16"/>
                <w:szCs w:val="16"/>
                <w:color w:val="auto"/>
              </w:rPr>
              <w:t>423,647</w:t>
            </w:r>
          </w:p>
        </w:tc>
      </w:tr>
      <w:tr>
        <w:trPr>
          <w:trHeight w:val="200"/>
        </w:trPr>
        <w:tc>
          <w:tcPr>
            <w:tcW w:w="7520" w:type="dxa"/>
            <w:vAlign w:val="bottom"/>
            <w:shd w:val="clear" w:color="auto" w:fill="CFF0FC"/>
          </w:tcPr>
          <w:p>
            <w:pPr>
              <w:ind w:left="240"/>
              <w:spacing w:after="0"/>
              <w:rPr>
                <w:sz w:val="20"/>
                <w:szCs w:val="20"/>
                <w:color w:val="auto"/>
              </w:rPr>
            </w:pPr>
            <w:r>
              <w:rPr>
                <w:rFonts w:ascii="Arial" w:cs="Arial" w:eastAsia="Arial" w:hAnsi="Arial"/>
                <w:sz w:val="16"/>
                <w:szCs w:val="16"/>
                <w:color w:val="auto"/>
              </w:rPr>
              <w:t>Prepaid expenses and other current assets</w:t>
            </w:r>
          </w:p>
        </w:tc>
        <w:tc>
          <w:tcPr>
            <w:tcW w:w="80" w:type="dxa"/>
            <w:vAlign w:val="bottom"/>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440" w:type="dxa"/>
            <w:vAlign w:val="bottom"/>
            <w:tcBorders>
              <w:bottom w:val="single" w:sz="8" w:color="auto"/>
            </w:tcBorders>
            <w:shd w:val="clear" w:color="auto" w:fill="CFF0FC"/>
          </w:tcPr>
          <w:p>
            <w:pPr>
              <w:jc w:val="right"/>
              <w:ind w:right="41"/>
              <w:spacing w:after="0"/>
              <w:rPr>
                <w:sz w:val="20"/>
                <w:szCs w:val="20"/>
                <w:color w:val="auto"/>
              </w:rPr>
            </w:pPr>
            <w:r>
              <w:rPr>
                <w:rFonts w:ascii="Arial" w:cs="Arial" w:eastAsia="Arial" w:hAnsi="Arial"/>
                <w:sz w:val="16"/>
                <w:szCs w:val="16"/>
                <w:color w:val="auto"/>
              </w:rPr>
              <w:t>49,984</w:t>
            </w:r>
          </w:p>
        </w:tc>
        <w:tc>
          <w:tcPr>
            <w:tcW w:w="140" w:type="dxa"/>
            <w:vAlign w:val="bottom"/>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520" w:type="dxa"/>
            <w:vAlign w:val="bottom"/>
            <w:tcBorders>
              <w:bottom w:val="single" w:sz="8" w:color="auto"/>
            </w:tcBorders>
            <w:shd w:val="clear" w:color="auto" w:fill="CFF0FC"/>
          </w:tcPr>
          <w:p>
            <w:pPr>
              <w:jc w:val="right"/>
              <w:ind w:right="41"/>
              <w:spacing w:after="0"/>
              <w:rPr>
                <w:sz w:val="20"/>
                <w:szCs w:val="20"/>
                <w:color w:val="auto"/>
              </w:rPr>
            </w:pPr>
            <w:r>
              <w:rPr>
                <w:rFonts w:ascii="Arial" w:cs="Arial" w:eastAsia="Arial" w:hAnsi="Arial"/>
                <w:sz w:val="16"/>
                <w:szCs w:val="16"/>
                <w:color w:val="auto"/>
              </w:rPr>
              <w:t>23,617</w:t>
            </w:r>
          </w:p>
        </w:tc>
      </w:tr>
      <w:tr>
        <w:trPr>
          <w:trHeight w:val="193"/>
        </w:trPr>
        <w:tc>
          <w:tcPr>
            <w:tcW w:w="7520" w:type="dxa"/>
            <w:vAlign w:val="bottom"/>
          </w:tcPr>
          <w:p>
            <w:pPr>
              <w:ind w:left="500"/>
              <w:spacing w:after="0"/>
              <w:rPr>
                <w:sz w:val="20"/>
                <w:szCs w:val="20"/>
                <w:color w:val="auto"/>
              </w:rPr>
            </w:pPr>
            <w:r>
              <w:rPr>
                <w:rFonts w:ascii="Arial" w:cs="Arial" w:eastAsia="Arial" w:hAnsi="Arial"/>
                <w:sz w:val="16"/>
                <w:szCs w:val="16"/>
                <w:color w:val="auto"/>
              </w:rPr>
              <w:t>Total current assets</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40" w:type="dxa"/>
            <w:vAlign w:val="bottom"/>
          </w:tcPr>
          <w:p>
            <w:pPr>
              <w:jc w:val="right"/>
              <w:ind w:right="41"/>
              <w:spacing w:after="0"/>
              <w:rPr>
                <w:sz w:val="20"/>
                <w:szCs w:val="20"/>
                <w:color w:val="auto"/>
              </w:rPr>
            </w:pPr>
            <w:r>
              <w:rPr>
                <w:rFonts w:ascii="Arial" w:cs="Arial" w:eastAsia="Arial" w:hAnsi="Arial"/>
                <w:sz w:val="16"/>
                <w:szCs w:val="16"/>
                <w:color w:val="auto"/>
              </w:rPr>
              <w:t>2,171,130</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20" w:type="dxa"/>
            <w:vAlign w:val="bottom"/>
          </w:tcPr>
          <w:p>
            <w:pPr>
              <w:jc w:val="right"/>
              <w:ind w:right="41"/>
              <w:spacing w:after="0"/>
              <w:rPr>
                <w:sz w:val="20"/>
                <w:szCs w:val="20"/>
                <w:color w:val="auto"/>
              </w:rPr>
            </w:pPr>
            <w:r>
              <w:rPr>
                <w:rFonts w:ascii="Arial" w:cs="Arial" w:eastAsia="Arial" w:hAnsi="Arial"/>
                <w:sz w:val="16"/>
                <w:szCs w:val="16"/>
                <w:color w:val="auto"/>
              </w:rPr>
              <w:t>1,597,879</w:t>
            </w:r>
          </w:p>
        </w:tc>
      </w:tr>
      <w:tr>
        <w:trPr>
          <w:trHeight w:val="200"/>
        </w:trPr>
        <w:tc>
          <w:tcPr>
            <w:tcW w:w="7520" w:type="dxa"/>
            <w:vAlign w:val="bottom"/>
            <w:shd w:val="clear" w:color="auto" w:fill="CFF0FC"/>
          </w:tcPr>
          <w:p>
            <w:pPr>
              <w:spacing w:after="0"/>
              <w:rPr>
                <w:sz w:val="20"/>
                <w:szCs w:val="20"/>
                <w:color w:val="auto"/>
              </w:rPr>
            </w:pPr>
            <w:r>
              <w:rPr>
                <w:rFonts w:ascii="Arial" w:cs="Arial" w:eastAsia="Arial" w:hAnsi="Arial"/>
                <w:sz w:val="16"/>
                <w:szCs w:val="16"/>
                <w:color w:val="auto"/>
              </w:rPr>
              <w:t>Property and equipment, net</w:t>
            </w:r>
          </w:p>
        </w:tc>
        <w:tc>
          <w:tcPr>
            <w:tcW w:w="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44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21,397</w:t>
            </w:r>
          </w:p>
        </w:tc>
        <w:tc>
          <w:tcPr>
            <w:tcW w:w="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52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15,092</w:t>
            </w:r>
          </w:p>
        </w:tc>
      </w:tr>
      <w:tr>
        <w:trPr>
          <w:trHeight w:val="200"/>
        </w:trPr>
        <w:tc>
          <w:tcPr>
            <w:tcW w:w="7520" w:type="dxa"/>
            <w:vAlign w:val="bottom"/>
          </w:tcPr>
          <w:p>
            <w:pPr>
              <w:spacing w:after="0"/>
              <w:rPr>
                <w:sz w:val="20"/>
                <w:szCs w:val="20"/>
                <w:color w:val="auto"/>
              </w:rPr>
            </w:pPr>
            <w:r>
              <w:rPr>
                <w:rFonts w:ascii="Arial" w:cs="Arial" w:eastAsia="Arial" w:hAnsi="Arial"/>
                <w:sz w:val="16"/>
                <w:szCs w:val="16"/>
                <w:color w:val="auto"/>
              </w:rPr>
              <w:t>Intangible assets, net</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40" w:type="dxa"/>
            <w:vAlign w:val="bottom"/>
          </w:tcPr>
          <w:p>
            <w:pPr>
              <w:jc w:val="right"/>
              <w:ind w:right="41"/>
              <w:spacing w:after="0"/>
              <w:rPr>
                <w:sz w:val="20"/>
                <w:szCs w:val="20"/>
                <w:color w:val="auto"/>
              </w:rPr>
            </w:pPr>
            <w:r>
              <w:rPr>
                <w:rFonts w:ascii="Arial" w:cs="Arial" w:eastAsia="Arial" w:hAnsi="Arial"/>
                <w:sz w:val="16"/>
                <w:szCs w:val="16"/>
                <w:color w:val="auto"/>
              </w:rPr>
              <w:t>31,318</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20" w:type="dxa"/>
            <w:vAlign w:val="bottom"/>
          </w:tcPr>
          <w:p>
            <w:pPr>
              <w:jc w:val="right"/>
              <w:ind w:right="41"/>
              <w:spacing w:after="0"/>
              <w:rPr>
                <w:sz w:val="20"/>
                <w:szCs w:val="20"/>
                <w:color w:val="auto"/>
              </w:rPr>
            </w:pPr>
            <w:r>
              <w:rPr>
                <w:rFonts w:ascii="Arial" w:cs="Arial" w:eastAsia="Arial" w:hAnsi="Arial"/>
                <w:sz w:val="16"/>
                <w:szCs w:val="16"/>
                <w:color w:val="auto"/>
              </w:rPr>
              <w:t>34</w:t>
            </w:r>
          </w:p>
        </w:tc>
      </w:tr>
      <w:tr>
        <w:trPr>
          <w:trHeight w:val="200"/>
        </w:trPr>
        <w:tc>
          <w:tcPr>
            <w:tcW w:w="7520" w:type="dxa"/>
            <w:vAlign w:val="bottom"/>
            <w:shd w:val="clear" w:color="auto" w:fill="CFF0FC"/>
          </w:tcPr>
          <w:p>
            <w:pPr>
              <w:spacing w:after="0"/>
              <w:rPr>
                <w:sz w:val="20"/>
                <w:szCs w:val="20"/>
                <w:color w:val="auto"/>
              </w:rPr>
            </w:pPr>
            <w:r>
              <w:rPr>
                <w:rFonts w:ascii="Arial" w:cs="Arial" w:eastAsia="Arial" w:hAnsi="Arial"/>
                <w:sz w:val="16"/>
                <w:szCs w:val="16"/>
                <w:color w:val="auto"/>
              </w:rPr>
              <w:t>Goodwill</w:t>
            </w:r>
          </w:p>
        </w:tc>
        <w:tc>
          <w:tcPr>
            <w:tcW w:w="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44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159,306</w:t>
            </w:r>
          </w:p>
        </w:tc>
        <w:tc>
          <w:tcPr>
            <w:tcW w:w="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52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78,172</w:t>
            </w:r>
          </w:p>
        </w:tc>
      </w:tr>
      <w:tr>
        <w:trPr>
          <w:trHeight w:val="200"/>
        </w:trPr>
        <w:tc>
          <w:tcPr>
            <w:tcW w:w="7520" w:type="dxa"/>
            <w:vAlign w:val="bottom"/>
          </w:tcPr>
          <w:p>
            <w:pPr>
              <w:spacing w:after="0"/>
              <w:rPr>
                <w:sz w:val="20"/>
                <w:szCs w:val="20"/>
                <w:color w:val="auto"/>
              </w:rPr>
            </w:pPr>
            <w:r>
              <w:rPr>
                <w:rFonts w:ascii="Arial" w:cs="Arial" w:eastAsia="Arial" w:hAnsi="Arial"/>
                <w:sz w:val="16"/>
                <w:szCs w:val="16"/>
                <w:color w:val="auto"/>
              </w:rPr>
              <w:t>Operating lease right-of-use assets</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40" w:type="dxa"/>
            <w:vAlign w:val="bottom"/>
          </w:tcPr>
          <w:p>
            <w:pPr>
              <w:jc w:val="right"/>
              <w:ind w:right="41"/>
              <w:spacing w:after="0"/>
              <w:rPr>
                <w:sz w:val="20"/>
                <w:szCs w:val="20"/>
                <w:color w:val="auto"/>
              </w:rPr>
            </w:pPr>
            <w:r>
              <w:rPr>
                <w:rFonts w:ascii="Arial" w:cs="Arial" w:eastAsia="Arial" w:hAnsi="Arial"/>
                <w:sz w:val="16"/>
                <w:szCs w:val="16"/>
                <w:color w:val="auto"/>
              </w:rPr>
              <w:t>17,679</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20" w:type="dxa"/>
            <w:vAlign w:val="bottom"/>
          </w:tcPr>
          <w:p>
            <w:pPr>
              <w:jc w:val="right"/>
              <w:ind w:right="41"/>
              <w:spacing w:after="0"/>
              <w:rPr>
                <w:sz w:val="20"/>
                <w:szCs w:val="20"/>
                <w:color w:val="auto"/>
              </w:rPr>
            </w:pPr>
            <w:r>
              <w:rPr>
                <w:rFonts w:ascii="Arial" w:cs="Arial" w:eastAsia="Arial" w:hAnsi="Arial"/>
                <w:sz w:val="16"/>
                <w:szCs w:val="16"/>
                <w:color w:val="auto"/>
              </w:rPr>
              <w:t>17,137</w:t>
            </w:r>
          </w:p>
        </w:tc>
      </w:tr>
      <w:tr>
        <w:trPr>
          <w:trHeight w:val="200"/>
        </w:trPr>
        <w:tc>
          <w:tcPr>
            <w:tcW w:w="7520" w:type="dxa"/>
            <w:vAlign w:val="bottom"/>
            <w:shd w:val="clear" w:color="auto" w:fill="CFF0FC"/>
          </w:tcPr>
          <w:p>
            <w:pPr>
              <w:spacing w:after="0"/>
              <w:rPr>
                <w:sz w:val="20"/>
                <w:szCs w:val="20"/>
                <w:color w:val="auto"/>
              </w:rPr>
            </w:pPr>
            <w:r>
              <w:rPr>
                <w:rFonts w:ascii="Arial" w:cs="Arial" w:eastAsia="Arial" w:hAnsi="Arial"/>
                <w:sz w:val="16"/>
                <w:szCs w:val="16"/>
                <w:color w:val="auto"/>
              </w:rPr>
              <w:t>Other assets</w:t>
            </w:r>
          </w:p>
        </w:tc>
        <w:tc>
          <w:tcPr>
            <w:tcW w:w="80" w:type="dxa"/>
            <w:vAlign w:val="bottom"/>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440" w:type="dxa"/>
            <w:vAlign w:val="bottom"/>
            <w:tcBorders>
              <w:bottom w:val="single" w:sz="8" w:color="auto"/>
            </w:tcBorders>
            <w:shd w:val="clear" w:color="auto" w:fill="CFF0FC"/>
          </w:tcPr>
          <w:p>
            <w:pPr>
              <w:jc w:val="right"/>
              <w:ind w:right="41"/>
              <w:spacing w:after="0"/>
              <w:rPr>
                <w:sz w:val="20"/>
                <w:szCs w:val="20"/>
                <w:color w:val="auto"/>
              </w:rPr>
            </w:pPr>
            <w:r>
              <w:rPr>
                <w:rFonts w:ascii="Arial" w:cs="Arial" w:eastAsia="Arial" w:hAnsi="Arial"/>
                <w:sz w:val="16"/>
                <w:szCs w:val="16"/>
                <w:color w:val="auto"/>
              </w:rPr>
              <w:t>19,809</w:t>
            </w:r>
          </w:p>
        </w:tc>
        <w:tc>
          <w:tcPr>
            <w:tcW w:w="140" w:type="dxa"/>
            <w:vAlign w:val="bottom"/>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520" w:type="dxa"/>
            <w:vAlign w:val="bottom"/>
            <w:tcBorders>
              <w:bottom w:val="single" w:sz="8" w:color="auto"/>
            </w:tcBorders>
            <w:shd w:val="clear" w:color="auto" w:fill="CFF0FC"/>
          </w:tcPr>
          <w:p>
            <w:pPr>
              <w:jc w:val="right"/>
              <w:ind w:right="41"/>
              <w:spacing w:after="0"/>
              <w:rPr>
                <w:sz w:val="20"/>
                <w:szCs w:val="20"/>
                <w:color w:val="auto"/>
              </w:rPr>
            </w:pPr>
            <w:r>
              <w:rPr>
                <w:rFonts w:ascii="Arial" w:cs="Arial" w:eastAsia="Arial" w:hAnsi="Arial"/>
                <w:sz w:val="16"/>
                <w:szCs w:val="16"/>
                <w:color w:val="auto"/>
              </w:rPr>
              <w:t>15,742</w:t>
            </w:r>
          </w:p>
        </w:tc>
      </w:tr>
      <w:tr>
        <w:trPr>
          <w:trHeight w:val="233"/>
        </w:trPr>
        <w:tc>
          <w:tcPr>
            <w:tcW w:w="7520" w:type="dxa"/>
            <w:vAlign w:val="bottom"/>
          </w:tcPr>
          <w:p>
            <w:pPr>
              <w:ind w:left="500"/>
              <w:spacing w:after="0"/>
              <w:rPr>
                <w:sz w:val="20"/>
                <w:szCs w:val="20"/>
                <w:color w:val="auto"/>
              </w:rPr>
            </w:pPr>
            <w:r>
              <w:rPr>
                <w:rFonts w:ascii="Arial" w:cs="Arial" w:eastAsia="Arial" w:hAnsi="Arial"/>
                <w:sz w:val="16"/>
                <w:szCs w:val="16"/>
                <w:color w:val="auto"/>
              </w:rPr>
              <w:t>Total assets</w:t>
            </w:r>
          </w:p>
        </w:tc>
        <w:tc>
          <w:tcPr>
            <w:tcW w:w="4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41"/>
              <w:spacing w:after="0"/>
              <w:rPr>
                <w:sz w:val="20"/>
                <w:szCs w:val="20"/>
                <w:color w:val="auto"/>
              </w:rPr>
            </w:pPr>
            <w:r>
              <w:rPr>
                <w:rFonts w:ascii="Arial" w:cs="Arial" w:eastAsia="Arial" w:hAnsi="Arial"/>
                <w:sz w:val="16"/>
                <w:szCs w:val="16"/>
                <w:color w:val="auto"/>
              </w:rPr>
              <w:t>2,420,639</w:t>
            </w:r>
          </w:p>
        </w:tc>
        <w:tc>
          <w:tcPr>
            <w:tcW w:w="140" w:type="dxa"/>
            <w:vAlign w:val="bottom"/>
          </w:tcPr>
          <w:p>
            <w:pPr>
              <w:spacing w:after="0"/>
              <w:rPr>
                <w:sz w:val="20"/>
                <w:szCs w:val="20"/>
                <w:color w:val="auto"/>
              </w:rPr>
            </w:pPr>
          </w:p>
        </w:tc>
        <w:tc>
          <w:tcPr>
            <w:tcW w:w="220" w:type="dxa"/>
            <w:vAlign w:val="bottom"/>
          </w:tcPr>
          <w:p>
            <w:pPr>
              <w:jc w:val="right"/>
              <w:ind w:right="66"/>
              <w:spacing w:after="0"/>
              <w:rPr>
                <w:sz w:val="20"/>
                <w:szCs w:val="20"/>
                <w:color w:val="auto"/>
              </w:rPr>
            </w:pPr>
            <w:r>
              <w:rPr>
                <w:rFonts w:ascii="Arial" w:cs="Arial" w:eastAsia="Arial" w:hAnsi="Arial"/>
                <w:sz w:val="15"/>
                <w:szCs w:val="15"/>
                <w:color w:val="auto"/>
                <w:w w:val="71"/>
              </w:rPr>
              <w:t>$</w:t>
            </w:r>
          </w:p>
        </w:tc>
        <w:tc>
          <w:tcPr>
            <w:tcW w:w="1520" w:type="dxa"/>
            <w:vAlign w:val="bottom"/>
          </w:tcPr>
          <w:p>
            <w:pPr>
              <w:jc w:val="right"/>
              <w:ind w:right="41"/>
              <w:spacing w:after="0"/>
              <w:rPr>
                <w:sz w:val="20"/>
                <w:szCs w:val="20"/>
                <w:color w:val="auto"/>
              </w:rPr>
            </w:pPr>
            <w:r>
              <w:rPr>
                <w:rFonts w:ascii="Arial" w:cs="Arial" w:eastAsia="Arial" w:hAnsi="Arial"/>
                <w:sz w:val="16"/>
                <w:szCs w:val="16"/>
                <w:color w:val="auto"/>
              </w:rPr>
              <w:t>1,724,056</w:t>
            </w:r>
          </w:p>
        </w:tc>
      </w:tr>
      <w:tr>
        <w:trPr>
          <w:trHeight w:val="180"/>
        </w:trPr>
        <w:tc>
          <w:tcPr>
            <w:tcW w:w="7520" w:type="dxa"/>
            <w:vAlign w:val="bottom"/>
            <w:tcBorders>
              <w:top w:val="single" w:sz="8" w:color="CFF0FC"/>
            </w:tcBorders>
            <w:shd w:val="clear" w:color="auto" w:fill="CFF0FC"/>
          </w:tcPr>
          <w:p>
            <w:pPr>
              <w:spacing w:after="0" w:line="180" w:lineRule="exact"/>
              <w:rPr>
                <w:sz w:val="20"/>
                <w:szCs w:val="20"/>
                <w:color w:val="auto"/>
              </w:rPr>
            </w:pPr>
            <w:r>
              <w:rPr>
                <w:rFonts w:ascii="Arial" w:cs="Arial" w:eastAsia="Arial" w:hAnsi="Arial"/>
                <w:sz w:val="16"/>
                <w:szCs w:val="16"/>
                <w:b w:val="1"/>
                <w:bCs w:val="1"/>
                <w:color w:val="auto"/>
              </w:rPr>
              <w:t>LIABILITIES AND STOCKHOLDERS’ EQUITY</w:t>
            </w:r>
          </w:p>
        </w:tc>
        <w:tc>
          <w:tcPr>
            <w:tcW w:w="80" w:type="dxa"/>
            <w:vAlign w:val="bottom"/>
            <w:tcBorders>
              <w:top w:val="single" w:sz="8" w:color="CFF0FC"/>
            </w:tcBorders>
            <w:shd w:val="clear" w:color="auto" w:fill="CFF0FC"/>
          </w:tcPr>
          <w:p>
            <w:pPr>
              <w:spacing w:after="0"/>
              <w:rPr>
                <w:sz w:val="15"/>
                <w:szCs w:val="15"/>
                <w:color w:val="auto"/>
              </w:rPr>
            </w:pPr>
          </w:p>
        </w:tc>
        <w:tc>
          <w:tcPr>
            <w:tcW w:w="320" w:type="dxa"/>
            <w:vAlign w:val="bottom"/>
            <w:tcBorders>
              <w:top w:val="single" w:sz="8" w:color="auto"/>
            </w:tcBorders>
            <w:shd w:val="clear" w:color="auto" w:fill="CFF0FC"/>
          </w:tcPr>
          <w:p>
            <w:pPr>
              <w:spacing w:after="0"/>
              <w:rPr>
                <w:sz w:val="15"/>
                <w:szCs w:val="15"/>
                <w:color w:val="auto"/>
              </w:rPr>
            </w:pPr>
          </w:p>
        </w:tc>
        <w:tc>
          <w:tcPr>
            <w:tcW w:w="1440" w:type="dxa"/>
            <w:vAlign w:val="bottom"/>
            <w:tcBorders>
              <w:top w:val="single" w:sz="8" w:color="auto"/>
            </w:tcBorders>
            <w:shd w:val="clear" w:color="auto" w:fill="CFF0FC"/>
          </w:tcPr>
          <w:p>
            <w:pPr>
              <w:spacing w:after="0"/>
              <w:rPr>
                <w:sz w:val="15"/>
                <w:szCs w:val="15"/>
                <w:color w:val="auto"/>
              </w:rPr>
            </w:pPr>
          </w:p>
        </w:tc>
        <w:tc>
          <w:tcPr>
            <w:tcW w:w="140" w:type="dxa"/>
            <w:vAlign w:val="bottom"/>
            <w:tcBorders>
              <w:top w:val="single" w:sz="8" w:color="CFF0FC"/>
            </w:tcBorders>
            <w:shd w:val="clear" w:color="auto" w:fill="CFF0FC"/>
          </w:tcPr>
          <w:p>
            <w:pPr>
              <w:spacing w:after="0"/>
              <w:rPr>
                <w:sz w:val="15"/>
                <w:szCs w:val="15"/>
                <w:color w:val="auto"/>
              </w:rPr>
            </w:pPr>
          </w:p>
        </w:tc>
        <w:tc>
          <w:tcPr>
            <w:tcW w:w="220" w:type="dxa"/>
            <w:vAlign w:val="bottom"/>
            <w:tcBorders>
              <w:top w:val="single" w:sz="8" w:color="auto"/>
            </w:tcBorders>
            <w:shd w:val="clear" w:color="auto" w:fill="CFF0FC"/>
          </w:tcPr>
          <w:p>
            <w:pPr>
              <w:spacing w:after="0"/>
              <w:rPr>
                <w:sz w:val="15"/>
                <w:szCs w:val="15"/>
                <w:color w:val="auto"/>
              </w:rPr>
            </w:pPr>
          </w:p>
        </w:tc>
        <w:tc>
          <w:tcPr>
            <w:tcW w:w="1520" w:type="dxa"/>
            <w:vAlign w:val="bottom"/>
            <w:tcBorders>
              <w:top w:val="single" w:sz="8" w:color="auto"/>
            </w:tcBorders>
            <w:shd w:val="clear" w:color="auto" w:fill="CFF0FC"/>
          </w:tcPr>
          <w:p>
            <w:pPr>
              <w:spacing w:after="0"/>
              <w:rPr>
                <w:sz w:val="15"/>
                <w:szCs w:val="15"/>
                <w:color w:val="auto"/>
              </w:rPr>
            </w:pPr>
          </w:p>
        </w:tc>
      </w:tr>
      <w:tr>
        <w:trPr>
          <w:trHeight w:val="200"/>
        </w:trPr>
        <w:tc>
          <w:tcPr>
            <w:tcW w:w="7520" w:type="dxa"/>
            <w:vAlign w:val="bottom"/>
          </w:tcPr>
          <w:p>
            <w:pPr>
              <w:spacing w:after="0"/>
              <w:rPr>
                <w:sz w:val="20"/>
                <w:szCs w:val="20"/>
                <w:color w:val="auto"/>
              </w:rPr>
            </w:pPr>
            <w:r>
              <w:rPr>
                <w:rFonts w:ascii="Arial" w:cs="Arial" w:eastAsia="Arial" w:hAnsi="Arial"/>
                <w:sz w:val="16"/>
                <w:szCs w:val="16"/>
                <w:color w:val="auto"/>
              </w:rPr>
              <w:t>Current Liabilities:</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0"/>
        </w:trPr>
        <w:tc>
          <w:tcPr>
            <w:tcW w:w="7520" w:type="dxa"/>
            <w:vAlign w:val="bottom"/>
            <w:shd w:val="clear" w:color="auto" w:fill="CFF0FC"/>
          </w:tcPr>
          <w:p>
            <w:pPr>
              <w:ind w:left="240"/>
              <w:spacing w:after="0"/>
              <w:rPr>
                <w:sz w:val="20"/>
                <w:szCs w:val="20"/>
                <w:color w:val="auto"/>
              </w:rPr>
            </w:pPr>
            <w:r>
              <w:rPr>
                <w:rFonts w:ascii="Arial" w:cs="Arial" w:eastAsia="Arial" w:hAnsi="Arial"/>
                <w:sz w:val="16"/>
                <w:szCs w:val="16"/>
                <w:color w:val="auto"/>
              </w:rPr>
              <w:t>Accounts payable</w:t>
            </w:r>
          </w:p>
        </w:tc>
        <w:tc>
          <w:tcPr>
            <w:tcW w:w="4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44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69,813</w:t>
            </w:r>
          </w:p>
        </w:tc>
        <w:tc>
          <w:tcPr>
            <w:tcW w:w="140" w:type="dxa"/>
            <w:vAlign w:val="bottom"/>
            <w:shd w:val="clear" w:color="auto" w:fill="CFF0FC"/>
          </w:tcPr>
          <w:p>
            <w:pPr>
              <w:spacing w:after="0"/>
              <w:rPr>
                <w:sz w:val="17"/>
                <w:szCs w:val="17"/>
                <w:color w:val="auto"/>
              </w:rPr>
            </w:pPr>
          </w:p>
        </w:tc>
        <w:tc>
          <w:tcPr>
            <w:tcW w:w="220" w:type="dxa"/>
            <w:vAlign w:val="bottom"/>
            <w:shd w:val="clear" w:color="auto" w:fill="CFF0FC"/>
          </w:tcPr>
          <w:p>
            <w:pPr>
              <w:jc w:val="right"/>
              <w:ind w:right="66"/>
              <w:spacing w:after="0"/>
              <w:rPr>
                <w:sz w:val="20"/>
                <w:szCs w:val="20"/>
                <w:color w:val="auto"/>
              </w:rPr>
            </w:pPr>
            <w:r>
              <w:rPr>
                <w:rFonts w:ascii="Arial" w:cs="Arial" w:eastAsia="Arial" w:hAnsi="Arial"/>
                <w:sz w:val="15"/>
                <w:szCs w:val="15"/>
                <w:color w:val="auto"/>
                <w:w w:val="71"/>
              </w:rPr>
              <w:t>$</w:t>
            </w:r>
          </w:p>
        </w:tc>
        <w:tc>
          <w:tcPr>
            <w:tcW w:w="152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32,925</w:t>
            </w:r>
          </w:p>
        </w:tc>
      </w:tr>
      <w:tr>
        <w:trPr>
          <w:trHeight w:val="200"/>
        </w:trPr>
        <w:tc>
          <w:tcPr>
            <w:tcW w:w="7520" w:type="dxa"/>
            <w:vAlign w:val="bottom"/>
          </w:tcPr>
          <w:p>
            <w:pPr>
              <w:ind w:left="240"/>
              <w:spacing w:after="0"/>
              <w:rPr>
                <w:sz w:val="20"/>
                <w:szCs w:val="20"/>
                <w:color w:val="auto"/>
              </w:rPr>
            </w:pPr>
            <w:r>
              <w:rPr>
                <w:rFonts w:ascii="Arial" w:cs="Arial" w:eastAsia="Arial" w:hAnsi="Arial"/>
                <w:sz w:val="16"/>
                <w:szCs w:val="16"/>
                <w:color w:val="auto"/>
              </w:rPr>
              <w:t>Accrued expenses</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40" w:type="dxa"/>
            <w:vAlign w:val="bottom"/>
          </w:tcPr>
          <w:p>
            <w:pPr>
              <w:jc w:val="right"/>
              <w:ind w:right="41"/>
              <w:spacing w:after="0"/>
              <w:rPr>
                <w:sz w:val="20"/>
                <w:szCs w:val="20"/>
                <w:color w:val="auto"/>
              </w:rPr>
            </w:pPr>
            <w:r>
              <w:rPr>
                <w:rFonts w:ascii="Arial" w:cs="Arial" w:eastAsia="Arial" w:hAnsi="Arial"/>
                <w:sz w:val="16"/>
                <w:szCs w:val="16"/>
                <w:color w:val="auto"/>
              </w:rPr>
              <w:t>86,328</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20" w:type="dxa"/>
            <w:vAlign w:val="bottom"/>
          </w:tcPr>
          <w:p>
            <w:pPr>
              <w:jc w:val="right"/>
              <w:ind w:right="41"/>
              <w:spacing w:after="0"/>
              <w:rPr>
                <w:sz w:val="20"/>
                <w:szCs w:val="20"/>
                <w:color w:val="auto"/>
              </w:rPr>
            </w:pPr>
            <w:r>
              <w:rPr>
                <w:rFonts w:ascii="Arial" w:cs="Arial" w:eastAsia="Arial" w:hAnsi="Arial"/>
                <w:sz w:val="16"/>
                <w:szCs w:val="16"/>
                <w:color w:val="auto"/>
              </w:rPr>
              <w:t>59,405</w:t>
            </w:r>
          </w:p>
        </w:tc>
      </w:tr>
      <w:tr>
        <w:trPr>
          <w:trHeight w:val="200"/>
        </w:trPr>
        <w:tc>
          <w:tcPr>
            <w:tcW w:w="7520" w:type="dxa"/>
            <w:vAlign w:val="bottom"/>
            <w:shd w:val="clear" w:color="auto" w:fill="CFF0FC"/>
          </w:tcPr>
          <w:p>
            <w:pPr>
              <w:ind w:left="240"/>
              <w:spacing w:after="0"/>
              <w:rPr>
                <w:sz w:val="20"/>
                <w:szCs w:val="20"/>
                <w:color w:val="auto"/>
              </w:rPr>
            </w:pPr>
            <w:r>
              <w:rPr>
                <w:rFonts w:ascii="Arial" w:cs="Arial" w:eastAsia="Arial" w:hAnsi="Arial"/>
                <w:sz w:val="16"/>
                <w:szCs w:val="16"/>
                <w:color w:val="auto"/>
              </w:rPr>
              <w:t>Vehicle floorplan</w:t>
            </w:r>
          </w:p>
        </w:tc>
        <w:tc>
          <w:tcPr>
            <w:tcW w:w="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44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363,614</w:t>
            </w:r>
          </w:p>
        </w:tc>
        <w:tc>
          <w:tcPr>
            <w:tcW w:w="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52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329,231</w:t>
            </w:r>
          </w:p>
        </w:tc>
      </w:tr>
      <w:tr>
        <w:trPr>
          <w:trHeight w:val="200"/>
        </w:trPr>
        <w:tc>
          <w:tcPr>
            <w:tcW w:w="7520" w:type="dxa"/>
            <w:vAlign w:val="bottom"/>
          </w:tcPr>
          <w:p>
            <w:pPr>
              <w:ind w:left="240"/>
              <w:spacing w:after="0"/>
              <w:rPr>
                <w:sz w:val="20"/>
                <w:szCs w:val="20"/>
                <w:color w:val="auto"/>
              </w:rPr>
            </w:pPr>
            <w:r>
              <w:rPr>
                <w:rFonts w:ascii="Arial" w:cs="Arial" w:eastAsia="Arial" w:hAnsi="Arial"/>
                <w:sz w:val="16"/>
                <w:szCs w:val="16"/>
                <w:color w:val="auto"/>
              </w:rPr>
              <w:t>Deferred revenue</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40" w:type="dxa"/>
            <w:vAlign w:val="bottom"/>
          </w:tcPr>
          <w:p>
            <w:pPr>
              <w:jc w:val="right"/>
              <w:ind w:right="41"/>
              <w:spacing w:after="0"/>
              <w:rPr>
                <w:sz w:val="20"/>
                <w:szCs w:val="20"/>
                <w:color w:val="auto"/>
              </w:rPr>
            </w:pPr>
            <w:r>
              <w:rPr>
                <w:rFonts w:ascii="Arial" w:cs="Arial" w:eastAsia="Arial" w:hAnsi="Arial"/>
                <w:sz w:val="16"/>
                <w:szCs w:val="16"/>
                <w:color w:val="auto"/>
              </w:rPr>
              <w:t>41,648</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20" w:type="dxa"/>
            <w:vAlign w:val="bottom"/>
          </w:tcPr>
          <w:p>
            <w:pPr>
              <w:jc w:val="right"/>
              <w:ind w:right="41"/>
              <w:spacing w:after="0"/>
              <w:rPr>
                <w:sz w:val="20"/>
                <w:szCs w:val="20"/>
                <w:color w:val="auto"/>
              </w:rPr>
            </w:pPr>
            <w:r>
              <w:rPr>
                <w:rFonts w:ascii="Arial" w:cs="Arial" w:eastAsia="Arial" w:hAnsi="Arial"/>
                <w:sz w:val="16"/>
                <w:szCs w:val="16"/>
                <w:color w:val="auto"/>
              </w:rPr>
              <w:t>24,822</w:t>
            </w:r>
          </w:p>
        </w:tc>
      </w:tr>
      <w:tr>
        <w:trPr>
          <w:trHeight w:val="200"/>
        </w:trPr>
        <w:tc>
          <w:tcPr>
            <w:tcW w:w="7520" w:type="dxa"/>
            <w:vAlign w:val="bottom"/>
            <w:shd w:val="clear" w:color="auto" w:fill="CFF0FC"/>
          </w:tcPr>
          <w:p>
            <w:pPr>
              <w:ind w:left="240"/>
              <w:spacing w:after="0"/>
              <w:rPr>
                <w:sz w:val="20"/>
                <w:szCs w:val="20"/>
                <w:color w:val="auto"/>
              </w:rPr>
            </w:pPr>
            <w:r>
              <w:rPr>
                <w:rFonts w:ascii="Arial" w:cs="Arial" w:eastAsia="Arial" w:hAnsi="Arial"/>
                <w:sz w:val="16"/>
                <w:szCs w:val="16"/>
                <w:color w:val="auto"/>
              </w:rPr>
              <w:t>Operating lease liabilities, current</w:t>
            </w:r>
          </w:p>
        </w:tc>
        <w:tc>
          <w:tcPr>
            <w:tcW w:w="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44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6,612</w:t>
            </w:r>
          </w:p>
        </w:tc>
        <w:tc>
          <w:tcPr>
            <w:tcW w:w="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52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6,052</w:t>
            </w:r>
          </w:p>
        </w:tc>
      </w:tr>
      <w:tr>
        <w:trPr>
          <w:trHeight w:val="200"/>
        </w:trPr>
        <w:tc>
          <w:tcPr>
            <w:tcW w:w="7520" w:type="dxa"/>
            <w:vAlign w:val="bottom"/>
            <w:tcBorders>
              <w:bottom w:val="single" w:sz="8" w:color="CFF0FC"/>
            </w:tcBorders>
          </w:tcPr>
          <w:p>
            <w:pPr>
              <w:ind w:left="240"/>
              <w:spacing w:after="0"/>
              <w:rPr>
                <w:sz w:val="20"/>
                <w:szCs w:val="20"/>
                <w:color w:val="auto"/>
              </w:rPr>
            </w:pPr>
            <w:r>
              <w:rPr>
                <w:rFonts w:ascii="Arial" w:cs="Arial" w:eastAsia="Arial" w:hAnsi="Arial"/>
                <w:sz w:val="16"/>
                <w:szCs w:val="16"/>
                <w:color w:val="auto"/>
              </w:rPr>
              <w:t>Other current liabilities</w:t>
            </w:r>
          </w:p>
        </w:tc>
        <w:tc>
          <w:tcPr>
            <w:tcW w:w="80" w:type="dxa"/>
            <w:vAlign w:val="bottom"/>
            <w:tcBorders>
              <w:bottom w:val="single" w:sz="8" w:color="CFF0FC"/>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90,986</w:t>
            </w:r>
          </w:p>
        </w:tc>
        <w:tc>
          <w:tcPr>
            <w:tcW w:w="14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30,275</w:t>
            </w:r>
          </w:p>
        </w:tc>
      </w:tr>
      <w:tr>
        <w:trPr>
          <w:trHeight w:val="193"/>
        </w:trPr>
        <w:tc>
          <w:tcPr>
            <w:tcW w:w="7520" w:type="dxa"/>
            <w:vAlign w:val="bottom"/>
            <w:shd w:val="clear" w:color="auto" w:fill="CFF0FC"/>
          </w:tcPr>
          <w:p>
            <w:pPr>
              <w:ind w:left="500"/>
              <w:spacing w:after="0"/>
              <w:rPr>
                <w:sz w:val="20"/>
                <w:szCs w:val="20"/>
                <w:color w:val="auto"/>
              </w:rPr>
            </w:pPr>
            <w:r>
              <w:rPr>
                <w:rFonts w:ascii="Arial" w:cs="Arial" w:eastAsia="Arial" w:hAnsi="Arial"/>
                <w:sz w:val="16"/>
                <w:szCs w:val="16"/>
                <w:color w:val="auto"/>
              </w:rPr>
              <w:t>Total current liabilities</w:t>
            </w:r>
          </w:p>
        </w:tc>
        <w:tc>
          <w:tcPr>
            <w:tcW w:w="8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44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659,001</w:t>
            </w:r>
          </w:p>
        </w:tc>
        <w:tc>
          <w:tcPr>
            <w:tcW w:w="1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52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482,710</w:t>
            </w:r>
          </w:p>
        </w:tc>
      </w:tr>
      <w:tr>
        <w:trPr>
          <w:trHeight w:val="200"/>
        </w:trPr>
        <w:tc>
          <w:tcPr>
            <w:tcW w:w="7520" w:type="dxa"/>
            <w:vAlign w:val="bottom"/>
          </w:tcPr>
          <w:p>
            <w:pPr>
              <w:spacing w:after="0"/>
              <w:rPr>
                <w:sz w:val="20"/>
                <w:szCs w:val="20"/>
                <w:color w:val="auto"/>
              </w:rPr>
            </w:pPr>
            <w:r>
              <w:rPr>
                <w:rFonts w:ascii="Arial" w:cs="Arial" w:eastAsia="Arial" w:hAnsi="Arial"/>
                <w:sz w:val="16"/>
                <w:szCs w:val="16"/>
                <w:color w:val="auto"/>
              </w:rPr>
              <w:t>Convertible senior notes</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40" w:type="dxa"/>
            <w:vAlign w:val="bottom"/>
          </w:tcPr>
          <w:p>
            <w:pPr>
              <w:jc w:val="right"/>
              <w:ind w:right="41"/>
              <w:spacing w:after="0"/>
              <w:rPr>
                <w:sz w:val="20"/>
                <w:szCs w:val="20"/>
                <w:color w:val="auto"/>
              </w:rPr>
            </w:pPr>
            <w:r>
              <w:rPr>
                <w:rFonts w:ascii="Arial" w:cs="Arial" w:eastAsia="Arial" w:hAnsi="Arial"/>
                <w:sz w:val="16"/>
                <w:szCs w:val="16"/>
                <w:color w:val="auto"/>
              </w:rPr>
              <w:t>608,960</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20" w:type="dxa"/>
            <w:vAlign w:val="bottom"/>
          </w:tcPr>
          <w:p>
            <w:pPr>
              <w:jc w:val="right"/>
              <w:ind w:right="41"/>
              <w:spacing w:after="0"/>
              <w:rPr>
                <w:sz w:val="20"/>
                <w:szCs w:val="20"/>
                <w:color w:val="auto"/>
              </w:rPr>
            </w:pPr>
            <w:r>
              <w:rPr>
                <w:rFonts w:ascii="Arial" w:cs="Arial" w:eastAsia="Arial" w:hAnsi="Arial"/>
                <w:sz w:val="16"/>
                <w:szCs w:val="16"/>
                <w:color w:val="auto"/>
              </w:rPr>
              <w:t>—</w:t>
            </w:r>
          </w:p>
        </w:tc>
      </w:tr>
      <w:tr>
        <w:trPr>
          <w:trHeight w:val="200"/>
        </w:trPr>
        <w:tc>
          <w:tcPr>
            <w:tcW w:w="7520" w:type="dxa"/>
            <w:vAlign w:val="bottom"/>
            <w:shd w:val="clear" w:color="auto" w:fill="CFF0FC"/>
          </w:tcPr>
          <w:p>
            <w:pPr>
              <w:spacing w:after="0"/>
              <w:rPr>
                <w:sz w:val="20"/>
                <w:szCs w:val="20"/>
                <w:color w:val="auto"/>
              </w:rPr>
            </w:pPr>
            <w:r>
              <w:rPr>
                <w:rFonts w:ascii="Arial" w:cs="Arial" w:eastAsia="Arial" w:hAnsi="Arial"/>
                <w:sz w:val="16"/>
                <w:szCs w:val="16"/>
                <w:color w:val="auto"/>
              </w:rPr>
              <w:t>Operating lease liabilities, excluding current portion</w:t>
            </w:r>
          </w:p>
        </w:tc>
        <w:tc>
          <w:tcPr>
            <w:tcW w:w="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44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12,348</w:t>
            </w:r>
          </w:p>
        </w:tc>
        <w:tc>
          <w:tcPr>
            <w:tcW w:w="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52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12,093</w:t>
            </w:r>
          </w:p>
        </w:tc>
      </w:tr>
      <w:tr>
        <w:trPr>
          <w:trHeight w:val="200"/>
        </w:trPr>
        <w:tc>
          <w:tcPr>
            <w:tcW w:w="75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Other long-term liabilities</w:t>
            </w:r>
          </w:p>
        </w:tc>
        <w:tc>
          <w:tcPr>
            <w:tcW w:w="80" w:type="dxa"/>
            <w:vAlign w:val="bottom"/>
            <w:tcBorders>
              <w:bottom w:val="single" w:sz="8" w:color="CFF0FC"/>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3,584</w:t>
            </w:r>
          </w:p>
        </w:tc>
        <w:tc>
          <w:tcPr>
            <w:tcW w:w="14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2,151</w:t>
            </w:r>
          </w:p>
        </w:tc>
      </w:tr>
      <w:tr>
        <w:trPr>
          <w:trHeight w:val="193"/>
        </w:trPr>
        <w:tc>
          <w:tcPr>
            <w:tcW w:w="7520" w:type="dxa"/>
            <w:vAlign w:val="bottom"/>
            <w:shd w:val="clear" w:color="auto" w:fill="CFF0FC"/>
          </w:tcPr>
          <w:p>
            <w:pPr>
              <w:ind w:left="500"/>
              <w:spacing w:after="0"/>
              <w:rPr>
                <w:sz w:val="20"/>
                <w:szCs w:val="20"/>
                <w:color w:val="auto"/>
              </w:rPr>
            </w:pPr>
            <w:r>
              <w:rPr>
                <w:rFonts w:ascii="Arial" w:cs="Arial" w:eastAsia="Arial" w:hAnsi="Arial"/>
                <w:sz w:val="16"/>
                <w:szCs w:val="16"/>
                <w:color w:val="auto"/>
              </w:rPr>
              <w:t>Total liabilities</w:t>
            </w:r>
          </w:p>
        </w:tc>
        <w:tc>
          <w:tcPr>
            <w:tcW w:w="80" w:type="dxa"/>
            <w:vAlign w:val="bottom"/>
            <w:shd w:val="clear" w:color="auto" w:fill="CFF0FC"/>
          </w:tcPr>
          <w:p>
            <w:pPr>
              <w:spacing w:after="0"/>
              <w:rPr>
                <w:sz w:val="16"/>
                <w:szCs w:val="16"/>
                <w:color w:val="auto"/>
              </w:rPr>
            </w:pPr>
          </w:p>
        </w:tc>
        <w:tc>
          <w:tcPr>
            <w:tcW w:w="320" w:type="dxa"/>
            <w:vAlign w:val="bottom"/>
            <w:tcBorders>
              <w:bottom w:val="single" w:sz="8" w:color="auto"/>
            </w:tcBorders>
            <w:shd w:val="clear" w:color="auto" w:fill="CFF0FC"/>
          </w:tcPr>
          <w:p>
            <w:pPr>
              <w:spacing w:after="0"/>
              <w:rPr>
                <w:sz w:val="16"/>
                <w:szCs w:val="16"/>
                <w:color w:val="auto"/>
              </w:rPr>
            </w:pPr>
          </w:p>
        </w:tc>
        <w:tc>
          <w:tcPr>
            <w:tcW w:w="1440" w:type="dxa"/>
            <w:vAlign w:val="bottom"/>
            <w:tcBorders>
              <w:bottom w:val="single" w:sz="8" w:color="auto"/>
            </w:tcBorders>
            <w:shd w:val="clear" w:color="auto" w:fill="CFF0FC"/>
          </w:tcPr>
          <w:p>
            <w:pPr>
              <w:jc w:val="right"/>
              <w:ind w:right="41"/>
              <w:spacing w:after="0"/>
              <w:rPr>
                <w:sz w:val="20"/>
                <w:szCs w:val="20"/>
                <w:color w:val="auto"/>
              </w:rPr>
            </w:pPr>
            <w:r>
              <w:rPr>
                <w:rFonts w:ascii="Arial" w:cs="Arial" w:eastAsia="Arial" w:hAnsi="Arial"/>
                <w:sz w:val="16"/>
                <w:szCs w:val="16"/>
                <w:color w:val="auto"/>
              </w:rPr>
              <w:t>1,283,893</w:t>
            </w:r>
          </w:p>
        </w:tc>
        <w:tc>
          <w:tcPr>
            <w:tcW w:w="140" w:type="dxa"/>
            <w:vAlign w:val="bottom"/>
            <w:shd w:val="clear" w:color="auto" w:fill="CFF0FC"/>
          </w:tcPr>
          <w:p>
            <w:pPr>
              <w:spacing w:after="0"/>
              <w:rPr>
                <w:sz w:val="16"/>
                <w:szCs w:val="16"/>
                <w:color w:val="auto"/>
              </w:rPr>
            </w:pPr>
          </w:p>
        </w:tc>
        <w:tc>
          <w:tcPr>
            <w:tcW w:w="220" w:type="dxa"/>
            <w:vAlign w:val="bottom"/>
            <w:tcBorders>
              <w:bottom w:val="single" w:sz="8" w:color="auto"/>
            </w:tcBorders>
            <w:shd w:val="clear" w:color="auto" w:fill="CFF0FC"/>
          </w:tcPr>
          <w:p>
            <w:pPr>
              <w:spacing w:after="0"/>
              <w:rPr>
                <w:sz w:val="16"/>
                <w:szCs w:val="16"/>
                <w:color w:val="auto"/>
              </w:rPr>
            </w:pPr>
          </w:p>
        </w:tc>
        <w:tc>
          <w:tcPr>
            <w:tcW w:w="1520" w:type="dxa"/>
            <w:vAlign w:val="bottom"/>
            <w:tcBorders>
              <w:bottom w:val="single" w:sz="8" w:color="auto"/>
            </w:tcBorders>
            <w:shd w:val="clear" w:color="auto" w:fill="CFF0FC"/>
          </w:tcPr>
          <w:p>
            <w:pPr>
              <w:jc w:val="right"/>
              <w:ind w:right="41"/>
              <w:spacing w:after="0"/>
              <w:rPr>
                <w:sz w:val="20"/>
                <w:szCs w:val="20"/>
                <w:color w:val="auto"/>
              </w:rPr>
            </w:pPr>
            <w:r>
              <w:rPr>
                <w:rFonts w:ascii="Arial" w:cs="Arial" w:eastAsia="Arial" w:hAnsi="Arial"/>
                <w:sz w:val="16"/>
                <w:szCs w:val="16"/>
                <w:color w:val="auto"/>
              </w:rPr>
              <w:t>496,954</w:t>
            </w:r>
          </w:p>
        </w:tc>
      </w:tr>
      <w:tr>
        <w:trPr>
          <w:trHeight w:val="193"/>
        </w:trPr>
        <w:tc>
          <w:tcPr>
            <w:tcW w:w="7520" w:type="dxa"/>
            <w:vAlign w:val="bottom"/>
          </w:tcPr>
          <w:p>
            <w:pPr>
              <w:spacing w:after="0"/>
              <w:rPr>
                <w:sz w:val="20"/>
                <w:szCs w:val="20"/>
                <w:color w:val="auto"/>
              </w:rPr>
            </w:pPr>
            <w:r>
              <w:rPr>
                <w:rFonts w:ascii="Arial" w:cs="Arial" w:eastAsia="Arial" w:hAnsi="Arial"/>
                <w:sz w:val="16"/>
                <w:szCs w:val="16"/>
                <w:color w:val="auto"/>
              </w:rPr>
              <w:t>Commitments and contingencies (Note 10)</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20" w:type="dxa"/>
            <w:vAlign w:val="bottom"/>
          </w:tcPr>
          <w:p>
            <w:pPr>
              <w:spacing w:after="0"/>
              <w:rPr>
                <w:sz w:val="16"/>
                <w:szCs w:val="16"/>
                <w:color w:val="auto"/>
              </w:rPr>
            </w:pPr>
          </w:p>
        </w:tc>
      </w:tr>
      <w:tr>
        <w:trPr>
          <w:trHeight w:val="200"/>
        </w:trPr>
        <w:tc>
          <w:tcPr>
            <w:tcW w:w="7520" w:type="dxa"/>
            <w:vAlign w:val="bottom"/>
            <w:shd w:val="clear" w:color="auto" w:fill="CFF0FC"/>
          </w:tcPr>
          <w:p>
            <w:pPr>
              <w:spacing w:after="0"/>
              <w:rPr>
                <w:sz w:val="20"/>
                <w:szCs w:val="20"/>
                <w:color w:val="auto"/>
              </w:rPr>
            </w:pPr>
            <w:r>
              <w:rPr>
                <w:rFonts w:ascii="Arial" w:cs="Arial" w:eastAsia="Arial" w:hAnsi="Arial"/>
                <w:sz w:val="16"/>
                <w:szCs w:val="16"/>
                <w:color w:val="auto"/>
              </w:rPr>
              <w:t>Stockholders’ equity:</w:t>
            </w:r>
          </w:p>
        </w:tc>
        <w:tc>
          <w:tcPr>
            <w:tcW w:w="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520" w:type="dxa"/>
            <w:vAlign w:val="bottom"/>
            <w:shd w:val="clear" w:color="auto" w:fill="CFF0FC"/>
          </w:tcPr>
          <w:p>
            <w:pPr>
              <w:spacing w:after="0"/>
              <w:rPr>
                <w:sz w:val="17"/>
                <w:szCs w:val="17"/>
                <w:color w:val="auto"/>
              </w:rPr>
            </w:pPr>
          </w:p>
        </w:tc>
      </w:tr>
      <w:tr>
        <w:trPr>
          <w:trHeight w:val="202"/>
        </w:trPr>
        <w:tc>
          <w:tcPr>
            <w:tcW w:w="7520" w:type="dxa"/>
            <w:vAlign w:val="bottom"/>
          </w:tcPr>
          <w:p>
            <w:pPr>
              <w:ind w:left="240"/>
              <w:spacing w:after="0"/>
              <w:rPr>
                <w:sz w:val="20"/>
                <w:szCs w:val="20"/>
                <w:color w:val="auto"/>
              </w:rPr>
            </w:pPr>
            <w:r>
              <w:rPr>
                <w:rFonts w:ascii="Arial" w:cs="Arial" w:eastAsia="Arial" w:hAnsi="Arial"/>
                <w:sz w:val="16"/>
                <w:szCs w:val="16"/>
                <w:color w:val="auto"/>
              </w:rPr>
              <w:t>Common stock, $0.001 par value; 500,000,000 shares authorized as of June 30, 2021 and December</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186"/>
        </w:trPr>
        <w:tc>
          <w:tcPr>
            <w:tcW w:w="7520" w:type="dxa"/>
            <w:vAlign w:val="bottom"/>
          </w:tcPr>
          <w:p>
            <w:pPr>
              <w:ind w:left="240"/>
              <w:spacing w:after="0"/>
              <w:rPr>
                <w:sz w:val="20"/>
                <w:szCs w:val="20"/>
                <w:color w:val="auto"/>
              </w:rPr>
            </w:pPr>
            <w:r>
              <w:rPr>
                <w:rFonts w:ascii="Arial" w:cs="Arial" w:eastAsia="Arial" w:hAnsi="Arial"/>
                <w:sz w:val="16"/>
                <w:szCs w:val="16"/>
                <w:color w:val="auto"/>
              </w:rPr>
              <w:t>31, 2020; 136,717,347 and 134,043,969 shares issued and outstanding as of June 30, 2021 and</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20" w:type="dxa"/>
            <w:vAlign w:val="bottom"/>
          </w:tcPr>
          <w:p>
            <w:pPr>
              <w:spacing w:after="0"/>
              <w:rPr>
                <w:sz w:val="16"/>
                <w:szCs w:val="16"/>
                <w:color w:val="auto"/>
              </w:rPr>
            </w:pPr>
          </w:p>
        </w:tc>
      </w:tr>
      <w:tr>
        <w:trPr>
          <w:trHeight w:val="184"/>
        </w:trPr>
        <w:tc>
          <w:tcPr>
            <w:tcW w:w="7520" w:type="dxa"/>
            <w:vAlign w:val="bottom"/>
          </w:tcPr>
          <w:p>
            <w:pPr>
              <w:ind w:left="240"/>
              <w:spacing w:after="0"/>
              <w:rPr>
                <w:sz w:val="20"/>
                <w:szCs w:val="20"/>
                <w:color w:val="auto"/>
              </w:rPr>
            </w:pPr>
            <w:r>
              <w:rPr>
                <w:rFonts w:ascii="Arial" w:cs="Arial" w:eastAsia="Arial" w:hAnsi="Arial"/>
                <w:sz w:val="16"/>
                <w:szCs w:val="16"/>
                <w:color w:val="auto"/>
              </w:rPr>
              <w:t>December 31, 2020, respectively</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40" w:type="dxa"/>
            <w:vAlign w:val="bottom"/>
          </w:tcPr>
          <w:p>
            <w:pPr>
              <w:jc w:val="right"/>
              <w:ind w:right="41"/>
              <w:spacing w:after="0"/>
              <w:rPr>
                <w:sz w:val="20"/>
                <w:szCs w:val="20"/>
                <w:color w:val="auto"/>
              </w:rPr>
            </w:pPr>
            <w:r>
              <w:rPr>
                <w:rFonts w:ascii="Arial" w:cs="Arial" w:eastAsia="Arial" w:hAnsi="Arial"/>
                <w:sz w:val="16"/>
                <w:szCs w:val="16"/>
                <w:color w:val="auto"/>
              </w:rPr>
              <w:t>134</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20" w:type="dxa"/>
            <w:vAlign w:val="bottom"/>
          </w:tcPr>
          <w:p>
            <w:pPr>
              <w:jc w:val="right"/>
              <w:ind w:right="41"/>
              <w:spacing w:after="0"/>
              <w:rPr>
                <w:sz w:val="20"/>
                <w:szCs w:val="20"/>
                <w:color w:val="auto"/>
              </w:rPr>
            </w:pPr>
            <w:r>
              <w:rPr>
                <w:rFonts w:ascii="Arial" w:cs="Arial" w:eastAsia="Arial" w:hAnsi="Arial"/>
                <w:sz w:val="16"/>
                <w:szCs w:val="16"/>
                <w:color w:val="auto"/>
              </w:rPr>
              <w:t>132</w:t>
            </w:r>
          </w:p>
        </w:tc>
      </w:tr>
      <w:tr>
        <w:trPr>
          <w:trHeight w:val="200"/>
        </w:trPr>
        <w:tc>
          <w:tcPr>
            <w:tcW w:w="7520" w:type="dxa"/>
            <w:vAlign w:val="bottom"/>
            <w:shd w:val="clear" w:color="auto" w:fill="CFF0FC"/>
          </w:tcPr>
          <w:p>
            <w:pPr>
              <w:ind w:left="240"/>
              <w:spacing w:after="0"/>
              <w:rPr>
                <w:sz w:val="20"/>
                <w:szCs w:val="20"/>
                <w:color w:val="auto"/>
              </w:rPr>
            </w:pPr>
            <w:r>
              <w:rPr>
                <w:rFonts w:ascii="Arial" w:cs="Arial" w:eastAsia="Arial" w:hAnsi="Arial"/>
                <w:sz w:val="16"/>
                <w:szCs w:val="16"/>
                <w:color w:val="auto"/>
              </w:rPr>
              <w:t>Additional paid-in-capital</w:t>
            </w:r>
          </w:p>
        </w:tc>
        <w:tc>
          <w:tcPr>
            <w:tcW w:w="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44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2,057,479</w:t>
            </w:r>
          </w:p>
        </w:tc>
        <w:tc>
          <w:tcPr>
            <w:tcW w:w="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52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2,004,841</w:t>
            </w:r>
          </w:p>
        </w:tc>
      </w:tr>
      <w:tr>
        <w:trPr>
          <w:trHeight w:val="200"/>
        </w:trPr>
        <w:tc>
          <w:tcPr>
            <w:tcW w:w="7520" w:type="dxa"/>
            <w:vAlign w:val="bottom"/>
            <w:tcBorders>
              <w:bottom w:val="single" w:sz="8" w:color="CFF0FC"/>
            </w:tcBorders>
          </w:tcPr>
          <w:p>
            <w:pPr>
              <w:ind w:left="240"/>
              <w:spacing w:after="0"/>
              <w:rPr>
                <w:sz w:val="20"/>
                <w:szCs w:val="20"/>
                <w:color w:val="auto"/>
              </w:rPr>
            </w:pPr>
            <w:r>
              <w:rPr>
                <w:rFonts w:ascii="Arial" w:cs="Arial" w:eastAsia="Arial" w:hAnsi="Arial"/>
                <w:sz w:val="16"/>
                <w:szCs w:val="16"/>
                <w:color w:val="auto"/>
              </w:rPr>
              <w:t>Accumulated deficit</w:t>
            </w:r>
          </w:p>
        </w:tc>
        <w:tc>
          <w:tcPr>
            <w:tcW w:w="80" w:type="dxa"/>
            <w:vAlign w:val="bottom"/>
            <w:tcBorders>
              <w:bottom w:val="single" w:sz="8" w:color="CFF0FC"/>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(920,867)</w:t>
            </w:r>
          </w:p>
        </w:tc>
        <w:tc>
          <w:tcPr>
            <w:tcW w:w="14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(777,871)</w:t>
            </w:r>
          </w:p>
        </w:tc>
      </w:tr>
      <w:tr>
        <w:trPr>
          <w:trHeight w:val="193"/>
        </w:trPr>
        <w:tc>
          <w:tcPr>
            <w:tcW w:w="7520" w:type="dxa"/>
            <w:vAlign w:val="bottom"/>
            <w:shd w:val="clear" w:color="auto" w:fill="CFF0FC"/>
          </w:tcPr>
          <w:p>
            <w:pPr>
              <w:ind w:left="500"/>
              <w:spacing w:after="0"/>
              <w:rPr>
                <w:sz w:val="20"/>
                <w:szCs w:val="20"/>
                <w:color w:val="auto"/>
              </w:rPr>
            </w:pPr>
            <w:r>
              <w:rPr>
                <w:rFonts w:ascii="Arial" w:cs="Arial" w:eastAsia="Arial" w:hAnsi="Arial"/>
                <w:sz w:val="16"/>
                <w:szCs w:val="16"/>
                <w:color w:val="auto"/>
              </w:rPr>
              <w:t>Total stockholders’ equity</w:t>
            </w:r>
          </w:p>
        </w:tc>
        <w:tc>
          <w:tcPr>
            <w:tcW w:w="80" w:type="dxa"/>
            <w:vAlign w:val="bottom"/>
            <w:shd w:val="clear" w:color="auto" w:fill="CFF0FC"/>
          </w:tcPr>
          <w:p>
            <w:pPr>
              <w:spacing w:after="0"/>
              <w:rPr>
                <w:sz w:val="16"/>
                <w:szCs w:val="16"/>
                <w:color w:val="auto"/>
              </w:rPr>
            </w:pPr>
          </w:p>
        </w:tc>
        <w:tc>
          <w:tcPr>
            <w:tcW w:w="320" w:type="dxa"/>
            <w:vAlign w:val="bottom"/>
            <w:tcBorders>
              <w:bottom w:val="single" w:sz="8" w:color="auto"/>
            </w:tcBorders>
            <w:shd w:val="clear" w:color="auto" w:fill="CFF0FC"/>
          </w:tcPr>
          <w:p>
            <w:pPr>
              <w:spacing w:after="0"/>
              <w:rPr>
                <w:sz w:val="16"/>
                <w:szCs w:val="16"/>
                <w:color w:val="auto"/>
              </w:rPr>
            </w:pPr>
          </w:p>
        </w:tc>
        <w:tc>
          <w:tcPr>
            <w:tcW w:w="1440" w:type="dxa"/>
            <w:vAlign w:val="bottom"/>
            <w:tcBorders>
              <w:bottom w:val="single" w:sz="8" w:color="auto"/>
            </w:tcBorders>
            <w:shd w:val="clear" w:color="auto" w:fill="CFF0FC"/>
          </w:tcPr>
          <w:p>
            <w:pPr>
              <w:jc w:val="right"/>
              <w:ind w:right="41"/>
              <w:spacing w:after="0"/>
              <w:rPr>
                <w:sz w:val="20"/>
                <w:szCs w:val="20"/>
                <w:color w:val="auto"/>
              </w:rPr>
            </w:pPr>
            <w:r>
              <w:rPr>
                <w:rFonts w:ascii="Arial" w:cs="Arial" w:eastAsia="Arial" w:hAnsi="Arial"/>
                <w:sz w:val="16"/>
                <w:szCs w:val="16"/>
                <w:color w:val="auto"/>
              </w:rPr>
              <w:t>1,136,746</w:t>
            </w:r>
          </w:p>
        </w:tc>
        <w:tc>
          <w:tcPr>
            <w:tcW w:w="140" w:type="dxa"/>
            <w:vAlign w:val="bottom"/>
            <w:shd w:val="clear" w:color="auto" w:fill="CFF0FC"/>
          </w:tcPr>
          <w:p>
            <w:pPr>
              <w:spacing w:after="0"/>
              <w:rPr>
                <w:sz w:val="16"/>
                <w:szCs w:val="16"/>
                <w:color w:val="auto"/>
              </w:rPr>
            </w:pPr>
          </w:p>
        </w:tc>
        <w:tc>
          <w:tcPr>
            <w:tcW w:w="220" w:type="dxa"/>
            <w:vAlign w:val="bottom"/>
            <w:tcBorders>
              <w:bottom w:val="single" w:sz="8" w:color="auto"/>
            </w:tcBorders>
            <w:shd w:val="clear" w:color="auto" w:fill="CFF0FC"/>
          </w:tcPr>
          <w:p>
            <w:pPr>
              <w:spacing w:after="0"/>
              <w:rPr>
                <w:sz w:val="16"/>
                <w:szCs w:val="16"/>
                <w:color w:val="auto"/>
              </w:rPr>
            </w:pPr>
          </w:p>
        </w:tc>
        <w:tc>
          <w:tcPr>
            <w:tcW w:w="1520" w:type="dxa"/>
            <w:vAlign w:val="bottom"/>
            <w:tcBorders>
              <w:bottom w:val="single" w:sz="8" w:color="auto"/>
            </w:tcBorders>
            <w:shd w:val="clear" w:color="auto" w:fill="CFF0FC"/>
          </w:tcPr>
          <w:p>
            <w:pPr>
              <w:jc w:val="right"/>
              <w:ind w:right="41"/>
              <w:spacing w:after="0"/>
              <w:rPr>
                <w:sz w:val="20"/>
                <w:szCs w:val="20"/>
                <w:color w:val="auto"/>
              </w:rPr>
            </w:pPr>
            <w:r>
              <w:rPr>
                <w:rFonts w:ascii="Arial" w:cs="Arial" w:eastAsia="Arial" w:hAnsi="Arial"/>
                <w:sz w:val="16"/>
                <w:szCs w:val="16"/>
                <w:color w:val="auto"/>
              </w:rPr>
              <w:t>1,227,102</w:t>
            </w:r>
          </w:p>
        </w:tc>
      </w:tr>
      <w:tr>
        <w:trPr>
          <w:trHeight w:val="193"/>
        </w:trPr>
        <w:tc>
          <w:tcPr>
            <w:tcW w:w="7520" w:type="dxa"/>
            <w:vAlign w:val="bottom"/>
          </w:tcPr>
          <w:p>
            <w:pPr>
              <w:spacing w:after="0"/>
              <w:rPr>
                <w:sz w:val="20"/>
                <w:szCs w:val="20"/>
                <w:color w:val="auto"/>
              </w:rPr>
            </w:pPr>
            <w:r>
              <w:rPr>
                <w:rFonts w:ascii="Arial" w:cs="Arial" w:eastAsia="Arial" w:hAnsi="Arial"/>
                <w:sz w:val="16"/>
                <w:szCs w:val="16"/>
                <w:color w:val="auto"/>
              </w:rPr>
              <w:t>Total liabilities and stockholders’ equity</w:t>
            </w:r>
          </w:p>
        </w:tc>
        <w:tc>
          <w:tcPr>
            <w:tcW w:w="4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41"/>
              <w:spacing w:after="0"/>
              <w:rPr>
                <w:sz w:val="20"/>
                <w:szCs w:val="20"/>
                <w:color w:val="auto"/>
              </w:rPr>
            </w:pPr>
            <w:r>
              <w:rPr>
                <w:rFonts w:ascii="Arial" w:cs="Arial" w:eastAsia="Arial" w:hAnsi="Arial"/>
                <w:sz w:val="16"/>
                <w:szCs w:val="16"/>
                <w:color w:val="auto"/>
              </w:rPr>
              <w:t>2,420,639</w:t>
            </w:r>
          </w:p>
        </w:tc>
        <w:tc>
          <w:tcPr>
            <w:tcW w:w="140" w:type="dxa"/>
            <w:vAlign w:val="bottom"/>
          </w:tcPr>
          <w:p>
            <w:pPr>
              <w:spacing w:after="0"/>
              <w:rPr>
                <w:sz w:val="16"/>
                <w:szCs w:val="16"/>
                <w:color w:val="auto"/>
              </w:rPr>
            </w:pPr>
          </w:p>
        </w:tc>
        <w:tc>
          <w:tcPr>
            <w:tcW w:w="220" w:type="dxa"/>
            <w:vAlign w:val="bottom"/>
          </w:tcPr>
          <w:p>
            <w:pPr>
              <w:jc w:val="right"/>
              <w:ind w:right="66"/>
              <w:spacing w:after="0"/>
              <w:rPr>
                <w:sz w:val="20"/>
                <w:szCs w:val="20"/>
                <w:color w:val="auto"/>
              </w:rPr>
            </w:pPr>
            <w:r>
              <w:rPr>
                <w:rFonts w:ascii="Arial" w:cs="Arial" w:eastAsia="Arial" w:hAnsi="Arial"/>
                <w:sz w:val="15"/>
                <w:szCs w:val="15"/>
                <w:color w:val="auto"/>
                <w:w w:val="71"/>
              </w:rPr>
              <w:t>$</w:t>
            </w:r>
          </w:p>
        </w:tc>
        <w:tc>
          <w:tcPr>
            <w:tcW w:w="1520" w:type="dxa"/>
            <w:vAlign w:val="bottom"/>
          </w:tcPr>
          <w:p>
            <w:pPr>
              <w:jc w:val="right"/>
              <w:ind w:right="41"/>
              <w:spacing w:after="0"/>
              <w:rPr>
                <w:sz w:val="20"/>
                <w:szCs w:val="20"/>
                <w:color w:val="auto"/>
              </w:rPr>
            </w:pPr>
            <w:r>
              <w:rPr>
                <w:rFonts w:ascii="Arial" w:cs="Arial" w:eastAsia="Arial" w:hAnsi="Arial"/>
                <w:sz w:val="16"/>
                <w:szCs w:val="16"/>
                <w:color w:val="auto"/>
              </w:rPr>
              <w:t>1,724,056</w:t>
            </w:r>
          </w:p>
        </w:tc>
      </w:tr>
      <w:tr>
        <w:trPr>
          <w:trHeight w:val="20"/>
        </w:trPr>
        <w:tc>
          <w:tcPr>
            <w:tcW w:w="7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these unaudited condensed consolidated financial statements</w:t>
      </w:r>
      <w:r>
        <w:rPr>
          <w:rFonts w:ascii="Arial" w:cs="Arial" w:eastAsia="Arial" w:hAnsi="Arial"/>
          <w:sz w:val="18"/>
          <w:szCs w:val="18"/>
          <w:color w:val="auto"/>
        </w:rPr>
        <w:t>.</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50800</wp:posOffset>
            </wp:positionV>
            <wp:extent cx="715962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VROOM, INC.</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jc w:val="center"/>
        <w:spacing w:after="0" w:line="231" w:lineRule="auto"/>
        <w:rPr>
          <w:sz w:val="20"/>
          <w:szCs w:val="20"/>
          <w:color w:val="auto"/>
        </w:rPr>
      </w:pPr>
      <w:r>
        <w:rPr>
          <w:rFonts w:ascii="Arial" w:cs="Arial" w:eastAsia="Arial" w:hAnsi="Arial"/>
          <w:sz w:val="18"/>
          <w:szCs w:val="18"/>
          <w:b w:val="1"/>
          <w:bCs w:val="1"/>
          <w:color w:val="auto"/>
        </w:rPr>
        <w:t>(in thousands, except share and per share amounts)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760" w:type="dxa"/>
            <w:vAlign w:val="bottom"/>
            <w:gridSpan w:val="5"/>
          </w:tcPr>
          <w:p>
            <w:pPr>
              <w:ind w:left="44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4"/>
                <w:szCs w:val="14"/>
                <w:color w:val="auto"/>
              </w:rPr>
            </w:pPr>
          </w:p>
        </w:tc>
        <w:tc>
          <w:tcPr>
            <w:tcW w:w="2640" w:type="dxa"/>
            <w:vAlign w:val="bottom"/>
            <w:gridSpan w:val="4"/>
          </w:tcPr>
          <w:p>
            <w:pPr>
              <w:jc w:val="right"/>
              <w:ind w:right="801"/>
              <w:spacing w:after="0"/>
              <w:rPr>
                <w:sz w:val="20"/>
                <w:szCs w:val="20"/>
                <w:color w:val="auto"/>
              </w:rPr>
            </w:pPr>
            <w:r>
              <w:rPr>
                <w:rFonts w:ascii="Arial" w:cs="Arial" w:eastAsia="Arial" w:hAnsi="Arial"/>
                <w:sz w:val="14"/>
                <w:szCs w:val="14"/>
                <w:b w:val="1"/>
                <w:bCs w:val="1"/>
                <w:color w:val="auto"/>
              </w:rPr>
              <w:t>Six Months Ended</w:t>
            </w:r>
          </w:p>
        </w:tc>
      </w:tr>
      <w:tr>
        <w:trPr>
          <w:trHeight w:val="173"/>
        </w:trPr>
        <w:tc>
          <w:tcPr>
            <w:tcW w:w="54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rPr>
              <w:t>June 30,</w:t>
            </w:r>
          </w:p>
        </w:tc>
        <w:tc>
          <w:tcPr>
            <w:tcW w:w="10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rPr>
              <w:t>June 30,</w:t>
            </w:r>
          </w:p>
        </w:tc>
        <w:tc>
          <w:tcPr>
            <w:tcW w:w="1060" w:type="dxa"/>
            <w:vAlign w:val="bottom"/>
            <w:tcBorders>
              <w:bottom w:val="single" w:sz="8" w:color="auto"/>
            </w:tcBorders>
          </w:tcPr>
          <w:p>
            <w:pPr>
              <w:spacing w:after="0"/>
              <w:rPr>
                <w:sz w:val="15"/>
                <w:szCs w:val="15"/>
                <w:color w:val="auto"/>
              </w:rPr>
            </w:pPr>
          </w:p>
        </w:tc>
      </w:tr>
      <w:tr>
        <w:trPr>
          <w:trHeight w:val="166"/>
        </w:trPr>
        <w:tc>
          <w:tcPr>
            <w:tcW w:w="540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FF0FC"/>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2020</w:t>
            </w:r>
          </w:p>
        </w:tc>
      </w:tr>
      <w:tr>
        <w:trPr>
          <w:trHeight w:val="193"/>
        </w:trPr>
        <w:tc>
          <w:tcPr>
            <w:tcW w:w="5400" w:type="dxa"/>
            <w:vAlign w:val="bottom"/>
            <w:shd w:val="clear" w:color="auto" w:fill="CFF0FC"/>
          </w:tcPr>
          <w:p>
            <w:pPr>
              <w:spacing w:after="0"/>
              <w:rPr>
                <w:sz w:val="20"/>
                <w:szCs w:val="20"/>
                <w:color w:val="auto"/>
              </w:rPr>
            </w:pPr>
            <w:r>
              <w:rPr>
                <w:rFonts w:ascii="Arial" w:cs="Arial" w:eastAsia="Arial" w:hAnsi="Arial"/>
                <w:sz w:val="16"/>
                <w:szCs w:val="16"/>
                <w:color w:val="auto"/>
              </w:rPr>
              <w:t>Revenue:</w:t>
            </w:r>
          </w:p>
        </w:tc>
        <w:tc>
          <w:tcPr>
            <w:tcW w:w="22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r>
      <w:tr>
        <w:trPr>
          <w:trHeight w:val="200"/>
        </w:trPr>
        <w:tc>
          <w:tcPr>
            <w:tcW w:w="5400" w:type="dxa"/>
            <w:vAlign w:val="bottom"/>
          </w:tcPr>
          <w:p>
            <w:pPr>
              <w:ind w:left="240"/>
              <w:spacing w:after="0"/>
              <w:rPr>
                <w:sz w:val="20"/>
                <w:szCs w:val="20"/>
                <w:color w:val="auto"/>
              </w:rPr>
            </w:pPr>
            <w:r>
              <w:rPr>
                <w:rFonts w:ascii="Arial" w:cs="Arial" w:eastAsia="Arial" w:hAnsi="Arial"/>
                <w:sz w:val="16"/>
                <w:szCs w:val="16"/>
                <w:color w:val="auto"/>
              </w:rPr>
              <w:t>Retail vehicle, net</w:t>
            </w:r>
          </w:p>
        </w:tc>
        <w:tc>
          <w:tcPr>
            <w:tcW w:w="220" w:type="dxa"/>
            <w:vAlign w:val="bottom"/>
          </w:tcPr>
          <w:p>
            <w:pPr>
              <w:jc w:val="right"/>
              <w:ind w:right="66"/>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608,116</w:t>
            </w:r>
          </w:p>
        </w:tc>
        <w:tc>
          <w:tcPr>
            <w:tcW w:w="4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41"/>
              <w:spacing w:after="0"/>
              <w:rPr>
                <w:sz w:val="20"/>
                <w:szCs w:val="20"/>
                <w:color w:val="auto"/>
              </w:rPr>
            </w:pPr>
            <w:r>
              <w:rPr>
                <w:rFonts w:ascii="Arial" w:cs="Arial" w:eastAsia="Arial" w:hAnsi="Arial"/>
                <w:sz w:val="16"/>
                <w:szCs w:val="16"/>
                <w:color w:val="auto"/>
              </w:rPr>
              <w:t>196,150</w:t>
            </w:r>
          </w:p>
        </w:tc>
        <w:tc>
          <w:tcPr>
            <w:tcW w:w="120" w:type="dxa"/>
            <w:vAlign w:val="bottom"/>
          </w:tcPr>
          <w:p>
            <w:pPr>
              <w:spacing w:after="0"/>
              <w:rPr>
                <w:sz w:val="17"/>
                <w:szCs w:val="17"/>
                <w:color w:val="auto"/>
              </w:rPr>
            </w:pPr>
          </w:p>
        </w:tc>
        <w:tc>
          <w:tcPr>
            <w:tcW w:w="220" w:type="dxa"/>
            <w:vAlign w:val="bottom"/>
          </w:tcPr>
          <w:p>
            <w:pPr>
              <w:jc w:val="right"/>
              <w:ind w:right="66"/>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ind w:right="41"/>
              <w:spacing w:after="0"/>
              <w:rPr>
                <w:sz w:val="20"/>
                <w:szCs w:val="20"/>
                <w:color w:val="auto"/>
              </w:rPr>
            </w:pPr>
            <w:r>
              <w:rPr>
                <w:rFonts w:ascii="Arial" w:cs="Arial" w:eastAsia="Arial" w:hAnsi="Arial"/>
                <w:sz w:val="16"/>
                <w:szCs w:val="16"/>
                <w:color w:val="auto"/>
              </w:rPr>
              <w:t>1,062,439</w:t>
            </w:r>
          </w:p>
        </w:tc>
        <w:tc>
          <w:tcPr>
            <w:tcW w:w="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41"/>
              <w:spacing w:after="0"/>
              <w:rPr>
                <w:sz w:val="20"/>
                <w:szCs w:val="20"/>
                <w:color w:val="auto"/>
              </w:rPr>
            </w:pPr>
            <w:r>
              <w:rPr>
                <w:rFonts w:ascii="Arial" w:cs="Arial" w:eastAsia="Arial" w:hAnsi="Arial"/>
                <w:sz w:val="16"/>
                <w:szCs w:val="16"/>
                <w:color w:val="auto"/>
              </w:rPr>
              <w:t>504,862</w:t>
            </w:r>
          </w:p>
        </w:tc>
      </w:tr>
      <w:tr>
        <w:trPr>
          <w:trHeight w:val="200"/>
        </w:trPr>
        <w:tc>
          <w:tcPr>
            <w:tcW w:w="5400" w:type="dxa"/>
            <w:vAlign w:val="bottom"/>
            <w:shd w:val="clear" w:color="auto" w:fill="CFF0FC"/>
          </w:tcPr>
          <w:p>
            <w:pPr>
              <w:ind w:left="240"/>
              <w:spacing w:after="0"/>
              <w:rPr>
                <w:sz w:val="20"/>
                <w:szCs w:val="20"/>
                <w:color w:val="auto"/>
              </w:rPr>
            </w:pPr>
            <w:r>
              <w:rPr>
                <w:rFonts w:ascii="Arial" w:cs="Arial" w:eastAsia="Arial" w:hAnsi="Arial"/>
                <w:sz w:val="16"/>
                <w:szCs w:val="16"/>
                <w:color w:val="auto"/>
              </w:rPr>
              <w:t>Wholesale vehicle</w:t>
            </w:r>
          </w:p>
        </w:tc>
        <w:tc>
          <w:tcPr>
            <w:tcW w:w="22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128,108</w:t>
            </w:r>
          </w:p>
        </w:tc>
        <w:tc>
          <w:tcPr>
            <w:tcW w:w="1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50,921</w:t>
            </w: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6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246,132</w:t>
            </w:r>
          </w:p>
        </w:tc>
        <w:tc>
          <w:tcPr>
            <w:tcW w:w="1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106,497</w:t>
            </w:r>
          </w:p>
        </w:tc>
      </w:tr>
      <w:tr>
        <w:trPr>
          <w:trHeight w:val="200"/>
        </w:trPr>
        <w:tc>
          <w:tcPr>
            <w:tcW w:w="5400" w:type="dxa"/>
            <w:vAlign w:val="bottom"/>
          </w:tcPr>
          <w:p>
            <w:pPr>
              <w:ind w:left="240"/>
              <w:spacing w:after="0"/>
              <w:rPr>
                <w:sz w:val="20"/>
                <w:szCs w:val="20"/>
                <w:color w:val="auto"/>
              </w:rPr>
            </w:pPr>
            <w:r>
              <w:rPr>
                <w:rFonts w:ascii="Arial" w:cs="Arial" w:eastAsia="Arial" w:hAnsi="Arial"/>
                <w:sz w:val="16"/>
                <w:szCs w:val="16"/>
                <w:color w:val="auto"/>
              </w:rPr>
              <w:t>Product, net</w:t>
            </w:r>
          </w:p>
        </w:tc>
        <w:tc>
          <w:tcPr>
            <w:tcW w:w="220" w:type="dxa"/>
            <w:vAlign w:val="bottom"/>
          </w:tcPr>
          <w:p>
            <w:pPr>
              <w:spacing w:after="0"/>
              <w:rPr>
                <w:sz w:val="17"/>
                <w:szCs w:val="17"/>
                <w:color w:val="auto"/>
              </w:rPr>
            </w:pP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22,306</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ind w:right="41"/>
              <w:spacing w:after="0"/>
              <w:rPr>
                <w:sz w:val="20"/>
                <w:szCs w:val="20"/>
                <w:color w:val="auto"/>
              </w:rPr>
            </w:pPr>
            <w:r>
              <w:rPr>
                <w:rFonts w:ascii="Arial" w:cs="Arial" w:eastAsia="Arial" w:hAnsi="Arial"/>
                <w:sz w:val="16"/>
                <w:szCs w:val="16"/>
                <w:color w:val="auto"/>
              </w:rPr>
              <w:t>5,736</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jc w:val="right"/>
              <w:ind w:right="41"/>
              <w:spacing w:after="0"/>
              <w:rPr>
                <w:sz w:val="20"/>
                <w:szCs w:val="20"/>
                <w:color w:val="auto"/>
              </w:rPr>
            </w:pPr>
            <w:r>
              <w:rPr>
                <w:rFonts w:ascii="Arial" w:cs="Arial" w:eastAsia="Arial" w:hAnsi="Arial"/>
                <w:sz w:val="16"/>
                <w:szCs w:val="16"/>
                <w:color w:val="auto"/>
              </w:rPr>
              <w:t>37,878</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ind w:right="41"/>
              <w:spacing w:after="0"/>
              <w:rPr>
                <w:sz w:val="20"/>
                <w:szCs w:val="20"/>
                <w:color w:val="auto"/>
              </w:rPr>
            </w:pPr>
            <w:r>
              <w:rPr>
                <w:rFonts w:ascii="Arial" w:cs="Arial" w:eastAsia="Arial" w:hAnsi="Arial"/>
                <w:sz w:val="16"/>
                <w:szCs w:val="16"/>
                <w:color w:val="auto"/>
              </w:rPr>
              <w:t>16,780</w:t>
            </w:r>
          </w:p>
        </w:tc>
      </w:tr>
      <w:tr>
        <w:trPr>
          <w:trHeight w:val="200"/>
        </w:trPr>
        <w:tc>
          <w:tcPr>
            <w:tcW w:w="5400" w:type="dxa"/>
            <w:vAlign w:val="bottom"/>
            <w:shd w:val="clear" w:color="auto" w:fill="CFF0FC"/>
          </w:tcPr>
          <w:p>
            <w:pPr>
              <w:ind w:left="240"/>
              <w:spacing w:after="0"/>
              <w:rPr>
                <w:sz w:val="20"/>
                <w:szCs w:val="20"/>
                <w:color w:val="auto"/>
              </w:rPr>
            </w:pPr>
            <w:r>
              <w:rPr>
                <w:rFonts w:ascii="Arial" w:cs="Arial" w:eastAsia="Arial" w:hAnsi="Arial"/>
                <w:sz w:val="16"/>
                <w:szCs w:val="16"/>
                <w:color w:val="auto"/>
              </w:rPr>
              <w:t>Other</w:t>
            </w:r>
          </w:p>
        </w:tc>
        <w:tc>
          <w:tcPr>
            <w:tcW w:w="22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ind w:right="41"/>
              <w:spacing w:after="0"/>
              <w:rPr>
                <w:sz w:val="20"/>
                <w:szCs w:val="20"/>
                <w:color w:val="auto"/>
              </w:rPr>
            </w:pPr>
            <w:r>
              <w:rPr>
                <w:rFonts w:ascii="Arial" w:cs="Arial" w:eastAsia="Arial" w:hAnsi="Arial"/>
                <w:sz w:val="16"/>
                <w:szCs w:val="16"/>
                <w:color w:val="auto"/>
              </w:rPr>
              <w:t>3,360</w:t>
            </w:r>
          </w:p>
        </w:tc>
        <w:tc>
          <w:tcPr>
            <w:tcW w:w="120" w:type="dxa"/>
            <w:vAlign w:val="bottom"/>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ind w:right="41"/>
              <w:spacing w:after="0"/>
              <w:rPr>
                <w:sz w:val="20"/>
                <w:szCs w:val="20"/>
                <w:color w:val="auto"/>
              </w:rPr>
            </w:pPr>
            <w:r>
              <w:rPr>
                <w:rFonts w:ascii="Arial" w:cs="Arial" w:eastAsia="Arial" w:hAnsi="Arial"/>
                <w:sz w:val="16"/>
                <w:szCs w:val="16"/>
                <w:color w:val="auto"/>
              </w:rPr>
              <w:t>286</w:t>
            </w:r>
          </w:p>
        </w:tc>
        <w:tc>
          <w:tcPr>
            <w:tcW w:w="120" w:type="dxa"/>
            <w:vAlign w:val="bottom"/>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160" w:type="dxa"/>
            <w:vAlign w:val="bottom"/>
            <w:tcBorders>
              <w:bottom w:val="single" w:sz="8" w:color="auto"/>
            </w:tcBorders>
            <w:shd w:val="clear" w:color="auto" w:fill="CFF0FC"/>
          </w:tcPr>
          <w:p>
            <w:pPr>
              <w:jc w:val="right"/>
              <w:ind w:right="41"/>
              <w:spacing w:after="0"/>
              <w:rPr>
                <w:sz w:val="20"/>
                <w:szCs w:val="20"/>
                <w:color w:val="auto"/>
              </w:rPr>
            </w:pPr>
            <w:r>
              <w:rPr>
                <w:rFonts w:ascii="Arial" w:cs="Arial" w:eastAsia="Arial" w:hAnsi="Arial"/>
                <w:sz w:val="16"/>
                <w:szCs w:val="16"/>
                <w:color w:val="auto"/>
              </w:rPr>
              <w:t>6,559</w:t>
            </w:r>
          </w:p>
        </w:tc>
        <w:tc>
          <w:tcPr>
            <w:tcW w:w="120" w:type="dxa"/>
            <w:vAlign w:val="bottom"/>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ind w:right="41"/>
              <w:spacing w:after="0"/>
              <w:rPr>
                <w:sz w:val="20"/>
                <w:szCs w:val="20"/>
                <w:color w:val="auto"/>
              </w:rPr>
            </w:pPr>
            <w:r>
              <w:rPr>
                <w:rFonts w:ascii="Arial" w:cs="Arial" w:eastAsia="Arial" w:hAnsi="Arial"/>
                <w:sz w:val="16"/>
                <w:szCs w:val="16"/>
                <w:color w:val="auto"/>
              </w:rPr>
              <w:t>726</w:t>
            </w:r>
          </w:p>
        </w:tc>
      </w:tr>
      <w:tr>
        <w:trPr>
          <w:trHeight w:val="193"/>
        </w:trPr>
        <w:tc>
          <w:tcPr>
            <w:tcW w:w="5400" w:type="dxa"/>
            <w:vAlign w:val="bottom"/>
          </w:tcPr>
          <w:p>
            <w:pPr>
              <w:spacing w:after="0"/>
              <w:rPr>
                <w:sz w:val="20"/>
                <w:szCs w:val="20"/>
                <w:color w:val="auto"/>
              </w:rPr>
            </w:pPr>
            <w:r>
              <w:rPr>
                <w:rFonts w:ascii="Arial" w:cs="Arial" w:eastAsia="Arial" w:hAnsi="Arial"/>
                <w:sz w:val="16"/>
                <w:szCs w:val="16"/>
                <w:color w:val="auto"/>
              </w:rPr>
              <w:t>Total revenue</w:t>
            </w:r>
          </w:p>
        </w:tc>
        <w:tc>
          <w:tcPr>
            <w:tcW w:w="220" w:type="dxa"/>
            <w:vAlign w:val="bottom"/>
          </w:tcPr>
          <w:p>
            <w:pPr>
              <w:spacing w:after="0"/>
              <w:rPr>
                <w:sz w:val="16"/>
                <w:szCs w:val="16"/>
                <w:color w:val="auto"/>
              </w:rPr>
            </w:pP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761,890</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ind w:right="41"/>
              <w:spacing w:after="0"/>
              <w:rPr>
                <w:sz w:val="20"/>
                <w:szCs w:val="20"/>
                <w:color w:val="auto"/>
              </w:rPr>
            </w:pPr>
            <w:r>
              <w:rPr>
                <w:rFonts w:ascii="Arial" w:cs="Arial" w:eastAsia="Arial" w:hAnsi="Arial"/>
                <w:sz w:val="16"/>
                <w:szCs w:val="16"/>
                <w:color w:val="auto"/>
              </w:rPr>
              <w:t>253,093</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jc w:val="right"/>
              <w:ind w:right="41"/>
              <w:spacing w:after="0"/>
              <w:rPr>
                <w:sz w:val="20"/>
                <w:szCs w:val="20"/>
                <w:color w:val="auto"/>
              </w:rPr>
            </w:pPr>
            <w:r>
              <w:rPr>
                <w:rFonts w:ascii="Arial" w:cs="Arial" w:eastAsia="Arial" w:hAnsi="Arial"/>
                <w:sz w:val="16"/>
                <w:szCs w:val="16"/>
                <w:color w:val="auto"/>
              </w:rPr>
              <w:t>1,353,008</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ind w:right="41"/>
              <w:spacing w:after="0"/>
              <w:rPr>
                <w:sz w:val="20"/>
                <w:szCs w:val="20"/>
                <w:color w:val="auto"/>
              </w:rPr>
            </w:pPr>
            <w:r>
              <w:rPr>
                <w:rFonts w:ascii="Arial" w:cs="Arial" w:eastAsia="Arial" w:hAnsi="Arial"/>
                <w:sz w:val="16"/>
                <w:szCs w:val="16"/>
                <w:color w:val="auto"/>
              </w:rPr>
              <w:t>628,865</w:t>
            </w:r>
          </w:p>
        </w:tc>
      </w:tr>
      <w:tr>
        <w:trPr>
          <w:trHeight w:val="200"/>
        </w:trPr>
        <w:tc>
          <w:tcPr>
            <w:tcW w:w="5400" w:type="dxa"/>
            <w:vAlign w:val="bottom"/>
            <w:shd w:val="clear" w:color="auto" w:fill="CFF0FC"/>
          </w:tcPr>
          <w:p>
            <w:pPr>
              <w:spacing w:after="0"/>
              <w:rPr>
                <w:sz w:val="20"/>
                <w:szCs w:val="20"/>
                <w:color w:val="auto"/>
              </w:rPr>
            </w:pPr>
            <w:r>
              <w:rPr>
                <w:rFonts w:ascii="Arial" w:cs="Arial" w:eastAsia="Arial" w:hAnsi="Arial"/>
                <w:sz w:val="16"/>
                <w:szCs w:val="16"/>
                <w:color w:val="auto"/>
              </w:rPr>
              <w:t>Cost of sales</w:t>
            </w:r>
          </w:p>
        </w:tc>
        <w:tc>
          <w:tcPr>
            <w:tcW w:w="22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ind w:right="41"/>
              <w:spacing w:after="0"/>
              <w:rPr>
                <w:sz w:val="20"/>
                <w:szCs w:val="20"/>
                <w:color w:val="auto"/>
              </w:rPr>
            </w:pPr>
            <w:r>
              <w:rPr>
                <w:rFonts w:ascii="Arial" w:cs="Arial" w:eastAsia="Arial" w:hAnsi="Arial"/>
                <w:sz w:val="16"/>
                <w:szCs w:val="16"/>
                <w:color w:val="auto"/>
              </w:rPr>
              <w:t>698,762</w:t>
            </w:r>
          </w:p>
        </w:tc>
        <w:tc>
          <w:tcPr>
            <w:tcW w:w="120" w:type="dxa"/>
            <w:vAlign w:val="bottom"/>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ind w:right="41"/>
              <w:spacing w:after="0"/>
              <w:rPr>
                <w:sz w:val="20"/>
                <w:szCs w:val="20"/>
                <w:color w:val="auto"/>
              </w:rPr>
            </w:pPr>
            <w:r>
              <w:rPr>
                <w:rFonts w:ascii="Arial" w:cs="Arial" w:eastAsia="Arial" w:hAnsi="Arial"/>
                <w:sz w:val="16"/>
                <w:szCs w:val="16"/>
                <w:color w:val="auto"/>
              </w:rPr>
              <w:t>245,486</w:t>
            </w:r>
          </w:p>
        </w:tc>
        <w:tc>
          <w:tcPr>
            <w:tcW w:w="120" w:type="dxa"/>
            <w:vAlign w:val="bottom"/>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160" w:type="dxa"/>
            <w:vAlign w:val="bottom"/>
            <w:tcBorders>
              <w:bottom w:val="single" w:sz="8" w:color="auto"/>
            </w:tcBorders>
            <w:shd w:val="clear" w:color="auto" w:fill="CFF0FC"/>
          </w:tcPr>
          <w:p>
            <w:pPr>
              <w:jc w:val="right"/>
              <w:ind w:right="41"/>
              <w:spacing w:after="0"/>
              <w:rPr>
                <w:sz w:val="20"/>
                <w:szCs w:val="20"/>
                <w:color w:val="auto"/>
              </w:rPr>
            </w:pPr>
            <w:r>
              <w:rPr>
                <w:rFonts w:ascii="Arial" w:cs="Arial" w:eastAsia="Arial" w:hAnsi="Arial"/>
                <w:sz w:val="16"/>
                <w:szCs w:val="16"/>
                <w:color w:val="auto"/>
              </w:rPr>
              <w:t>1,253,704</w:t>
            </w:r>
          </w:p>
        </w:tc>
        <w:tc>
          <w:tcPr>
            <w:tcW w:w="120" w:type="dxa"/>
            <w:vAlign w:val="bottom"/>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ind w:right="41"/>
              <w:spacing w:after="0"/>
              <w:rPr>
                <w:sz w:val="20"/>
                <w:szCs w:val="20"/>
                <w:color w:val="auto"/>
              </w:rPr>
            </w:pPr>
            <w:r>
              <w:rPr>
                <w:rFonts w:ascii="Arial" w:cs="Arial" w:eastAsia="Arial" w:hAnsi="Arial"/>
                <w:sz w:val="16"/>
                <w:szCs w:val="16"/>
                <w:color w:val="auto"/>
              </w:rPr>
              <w:t>602,871</w:t>
            </w:r>
          </w:p>
        </w:tc>
      </w:tr>
      <w:tr>
        <w:trPr>
          <w:trHeight w:val="193"/>
        </w:trPr>
        <w:tc>
          <w:tcPr>
            <w:tcW w:w="5400" w:type="dxa"/>
            <w:vAlign w:val="bottom"/>
          </w:tcPr>
          <w:p>
            <w:pPr>
              <w:spacing w:after="0"/>
              <w:rPr>
                <w:sz w:val="20"/>
                <w:szCs w:val="20"/>
                <w:color w:val="auto"/>
              </w:rPr>
            </w:pPr>
            <w:r>
              <w:rPr>
                <w:rFonts w:ascii="Arial" w:cs="Arial" w:eastAsia="Arial" w:hAnsi="Arial"/>
                <w:sz w:val="16"/>
                <w:szCs w:val="16"/>
                <w:color w:val="auto"/>
              </w:rPr>
              <w:t>Total gross profit</w:t>
            </w:r>
          </w:p>
        </w:tc>
        <w:tc>
          <w:tcPr>
            <w:tcW w:w="220" w:type="dxa"/>
            <w:vAlign w:val="bottom"/>
          </w:tcPr>
          <w:p>
            <w:pPr>
              <w:spacing w:after="0"/>
              <w:rPr>
                <w:sz w:val="16"/>
                <w:szCs w:val="16"/>
                <w:color w:val="auto"/>
              </w:rPr>
            </w:pP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63,128</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ind w:right="41"/>
              <w:spacing w:after="0"/>
              <w:rPr>
                <w:sz w:val="20"/>
                <w:szCs w:val="20"/>
                <w:color w:val="auto"/>
              </w:rPr>
            </w:pPr>
            <w:r>
              <w:rPr>
                <w:rFonts w:ascii="Arial" w:cs="Arial" w:eastAsia="Arial" w:hAnsi="Arial"/>
                <w:sz w:val="16"/>
                <w:szCs w:val="16"/>
                <w:color w:val="auto"/>
              </w:rPr>
              <w:t>7,607</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jc w:val="right"/>
              <w:ind w:right="41"/>
              <w:spacing w:after="0"/>
              <w:rPr>
                <w:sz w:val="20"/>
                <w:szCs w:val="20"/>
                <w:color w:val="auto"/>
              </w:rPr>
            </w:pPr>
            <w:r>
              <w:rPr>
                <w:rFonts w:ascii="Arial" w:cs="Arial" w:eastAsia="Arial" w:hAnsi="Arial"/>
                <w:sz w:val="16"/>
                <w:szCs w:val="16"/>
                <w:color w:val="auto"/>
              </w:rPr>
              <w:t>99,304</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ind w:right="41"/>
              <w:spacing w:after="0"/>
              <w:rPr>
                <w:sz w:val="20"/>
                <w:szCs w:val="20"/>
                <w:color w:val="auto"/>
              </w:rPr>
            </w:pPr>
            <w:r>
              <w:rPr>
                <w:rFonts w:ascii="Arial" w:cs="Arial" w:eastAsia="Arial" w:hAnsi="Arial"/>
                <w:sz w:val="16"/>
                <w:szCs w:val="16"/>
                <w:color w:val="auto"/>
              </w:rPr>
              <w:t>25,994</w:t>
            </w:r>
          </w:p>
        </w:tc>
      </w:tr>
      <w:tr>
        <w:trPr>
          <w:trHeight w:val="200"/>
        </w:trPr>
        <w:tc>
          <w:tcPr>
            <w:tcW w:w="5400" w:type="dxa"/>
            <w:vAlign w:val="bottom"/>
            <w:shd w:val="clear" w:color="auto" w:fill="CFF0FC"/>
          </w:tcPr>
          <w:p>
            <w:pPr>
              <w:spacing w:after="0"/>
              <w:rPr>
                <w:sz w:val="20"/>
                <w:szCs w:val="20"/>
                <w:color w:val="auto"/>
              </w:rPr>
            </w:pPr>
            <w:r>
              <w:rPr>
                <w:rFonts w:ascii="Arial" w:cs="Arial" w:eastAsia="Arial" w:hAnsi="Arial"/>
                <w:sz w:val="16"/>
                <w:szCs w:val="16"/>
                <w:color w:val="auto"/>
              </w:rPr>
              <w:t>Selling, general and administrative expenses</w:t>
            </w:r>
          </w:p>
        </w:tc>
        <w:tc>
          <w:tcPr>
            <w:tcW w:w="22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123,898</w:t>
            </w:r>
          </w:p>
        </w:tc>
        <w:tc>
          <w:tcPr>
            <w:tcW w:w="1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47,911</w:t>
            </w: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6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232,764</w:t>
            </w:r>
          </w:p>
        </w:tc>
        <w:tc>
          <w:tcPr>
            <w:tcW w:w="1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106,291</w:t>
            </w:r>
          </w:p>
        </w:tc>
      </w:tr>
      <w:tr>
        <w:trPr>
          <w:trHeight w:val="200"/>
        </w:trPr>
        <w:tc>
          <w:tcPr>
            <w:tcW w:w="540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Depreciation and amortization</w:t>
            </w:r>
          </w:p>
        </w:tc>
        <w:tc>
          <w:tcPr>
            <w:tcW w:w="2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3,058</w:t>
            </w:r>
          </w:p>
        </w:tc>
        <w:tc>
          <w:tcPr>
            <w:tcW w:w="120" w:type="dxa"/>
            <w:vAlign w:val="bottom"/>
            <w:tcBorders>
              <w:bottom w:val="single" w:sz="8" w:color="CFF0FC"/>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1,083</w:t>
            </w:r>
          </w:p>
        </w:tc>
        <w:tc>
          <w:tcPr>
            <w:tcW w:w="12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5,900</w:t>
            </w:r>
          </w:p>
        </w:tc>
        <w:tc>
          <w:tcPr>
            <w:tcW w:w="120" w:type="dxa"/>
            <w:vAlign w:val="bottom"/>
            <w:tcBorders>
              <w:bottom w:val="single" w:sz="8" w:color="CFF0FC"/>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2,049</w:t>
            </w:r>
          </w:p>
        </w:tc>
      </w:tr>
      <w:tr>
        <w:trPr>
          <w:trHeight w:val="193"/>
        </w:trPr>
        <w:tc>
          <w:tcPr>
            <w:tcW w:w="5400" w:type="dxa"/>
            <w:vAlign w:val="bottom"/>
            <w:shd w:val="clear" w:color="auto" w:fill="CFF0FC"/>
          </w:tcPr>
          <w:p>
            <w:pPr>
              <w:spacing w:after="0"/>
              <w:rPr>
                <w:sz w:val="20"/>
                <w:szCs w:val="20"/>
                <w:color w:val="auto"/>
              </w:rPr>
            </w:pPr>
            <w:r>
              <w:rPr>
                <w:rFonts w:ascii="Arial" w:cs="Arial" w:eastAsia="Arial" w:hAnsi="Arial"/>
                <w:sz w:val="16"/>
                <w:szCs w:val="16"/>
                <w:color w:val="auto"/>
              </w:rPr>
              <w:t>Loss from operations</w:t>
            </w:r>
          </w:p>
        </w:tc>
        <w:tc>
          <w:tcPr>
            <w:tcW w:w="220" w:type="dxa"/>
            <w:vAlign w:val="bottom"/>
            <w:shd w:val="clear" w:color="auto" w:fill="CFF0FC"/>
          </w:tcPr>
          <w:p>
            <w:pPr>
              <w:spacing w:after="0"/>
              <w:rPr>
                <w:sz w:val="16"/>
                <w:szCs w:val="16"/>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(63,828)</w:t>
            </w:r>
          </w:p>
        </w:tc>
        <w:tc>
          <w:tcPr>
            <w:tcW w:w="12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(41,387)</w:t>
            </w:r>
          </w:p>
        </w:tc>
        <w:tc>
          <w:tcPr>
            <w:tcW w:w="1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(139,360)</w:t>
            </w:r>
          </w:p>
        </w:tc>
        <w:tc>
          <w:tcPr>
            <w:tcW w:w="12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(82,346)</w:t>
            </w:r>
          </w:p>
        </w:tc>
      </w:tr>
      <w:tr>
        <w:trPr>
          <w:trHeight w:val="200"/>
        </w:trPr>
        <w:tc>
          <w:tcPr>
            <w:tcW w:w="5400" w:type="dxa"/>
            <w:vAlign w:val="bottom"/>
          </w:tcPr>
          <w:p>
            <w:pPr>
              <w:spacing w:after="0"/>
              <w:rPr>
                <w:sz w:val="20"/>
                <w:szCs w:val="20"/>
                <w:color w:val="auto"/>
              </w:rPr>
            </w:pPr>
            <w:r>
              <w:rPr>
                <w:rFonts w:ascii="Arial" w:cs="Arial" w:eastAsia="Arial" w:hAnsi="Arial"/>
                <w:sz w:val="16"/>
                <w:szCs w:val="16"/>
                <w:color w:val="auto"/>
              </w:rPr>
              <w:t>Interest expense</w:t>
            </w:r>
          </w:p>
        </w:tc>
        <w:tc>
          <w:tcPr>
            <w:tcW w:w="220" w:type="dxa"/>
            <w:vAlign w:val="bottom"/>
          </w:tcPr>
          <w:p>
            <w:pPr>
              <w:spacing w:after="0"/>
              <w:rPr>
                <w:sz w:val="17"/>
                <w:szCs w:val="17"/>
                <w:color w:val="auto"/>
              </w:rPr>
            </w:pP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3,880</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ind w:right="41"/>
              <w:spacing w:after="0"/>
              <w:rPr>
                <w:sz w:val="20"/>
                <w:szCs w:val="20"/>
                <w:color w:val="auto"/>
              </w:rPr>
            </w:pPr>
            <w:r>
              <w:rPr>
                <w:rFonts w:ascii="Arial" w:cs="Arial" w:eastAsia="Arial" w:hAnsi="Arial"/>
                <w:sz w:val="16"/>
                <w:szCs w:val="16"/>
                <w:color w:val="auto"/>
              </w:rPr>
              <w:t>1,297</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jc w:val="right"/>
              <w:ind w:right="41"/>
              <w:spacing w:after="0"/>
              <w:rPr>
                <w:sz w:val="20"/>
                <w:szCs w:val="20"/>
                <w:color w:val="auto"/>
              </w:rPr>
            </w:pPr>
            <w:r>
              <w:rPr>
                <w:rFonts w:ascii="Arial" w:cs="Arial" w:eastAsia="Arial" w:hAnsi="Arial"/>
                <w:sz w:val="16"/>
                <w:szCs w:val="16"/>
                <w:color w:val="auto"/>
              </w:rPr>
              <w:t>7,692</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ind w:right="41"/>
              <w:spacing w:after="0"/>
              <w:rPr>
                <w:sz w:val="20"/>
                <w:szCs w:val="20"/>
                <w:color w:val="auto"/>
              </w:rPr>
            </w:pPr>
            <w:r>
              <w:rPr>
                <w:rFonts w:ascii="Arial" w:cs="Arial" w:eastAsia="Arial" w:hAnsi="Arial"/>
                <w:sz w:val="16"/>
                <w:szCs w:val="16"/>
                <w:color w:val="auto"/>
              </w:rPr>
              <w:t>4,123</w:t>
            </w:r>
          </w:p>
        </w:tc>
      </w:tr>
      <w:tr>
        <w:trPr>
          <w:trHeight w:val="200"/>
        </w:trPr>
        <w:tc>
          <w:tcPr>
            <w:tcW w:w="5400" w:type="dxa"/>
            <w:vAlign w:val="bottom"/>
            <w:shd w:val="clear" w:color="auto" w:fill="CFF0FC"/>
          </w:tcPr>
          <w:p>
            <w:pPr>
              <w:spacing w:after="0"/>
              <w:rPr>
                <w:sz w:val="20"/>
                <w:szCs w:val="20"/>
                <w:color w:val="auto"/>
              </w:rPr>
            </w:pPr>
            <w:r>
              <w:rPr>
                <w:rFonts w:ascii="Arial" w:cs="Arial" w:eastAsia="Arial" w:hAnsi="Arial"/>
                <w:sz w:val="16"/>
                <w:szCs w:val="16"/>
                <w:color w:val="auto"/>
              </w:rPr>
              <w:t>Interest income</w:t>
            </w:r>
          </w:p>
        </w:tc>
        <w:tc>
          <w:tcPr>
            <w:tcW w:w="22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(2,062)</w:t>
            </w:r>
          </w:p>
        </w:tc>
        <w:tc>
          <w:tcPr>
            <w:tcW w:w="1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(715)</w:t>
            </w: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(4,358)</w:t>
            </w:r>
          </w:p>
        </w:tc>
        <w:tc>
          <w:tcPr>
            <w:tcW w:w="1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(2,671)</w:t>
            </w:r>
          </w:p>
        </w:tc>
      </w:tr>
      <w:tr>
        <w:trPr>
          <w:trHeight w:val="200"/>
        </w:trPr>
        <w:tc>
          <w:tcPr>
            <w:tcW w:w="5400" w:type="dxa"/>
            <w:vAlign w:val="bottom"/>
          </w:tcPr>
          <w:p>
            <w:pPr>
              <w:spacing w:after="0"/>
              <w:rPr>
                <w:sz w:val="20"/>
                <w:szCs w:val="20"/>
                <w:color w:val="auto"/>
              </w:rPr>
            </w:pPr>
            <w:r>
              <w:rPr>
                <w:rFonts w:ascii="Arial" w:cs="Arial" w:eastAsia="Arial" w:hAnsi="Arial"/>
                <w:sz w:val="16"/>
                <w:szCs w:val="16"/>
                <w:color w:val="auto"/>
              </w:rPr>
              <w:t>Revaluation of preferred stock warrant</w:t>
            </w:r>
          </w:p>
        </w:tc>
        <w:tc>
          <w:tcPr>
            <w:tcW w:w="220" w:type="dxa"/>
            <w:vAlign w:val="bottom"/>
          </w:tcPr>
          <w:p>
            <w:pPr>
              <w:spacing w:after="0"/>
              <w:rPr>
                <w:sz w:val="17"/>
                <w:szCs w:val="17"/>
                <w:color w:val="auto"/>
              </w:rPr>
            </w:pP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ind w:right="41"/>
              <w:spacing w:after="0"/>
              <w:rPr>
                <w:sz w:val="20"/>
                <w:szCs w:val="20"/>
                <w:color w:val="auto"/>
              </w:rPr>
            </w:pPr>
            <w:r>
              <w:rPr>
                <w:rFonts w:ascii="Arial" w:cs="Arial" w:eastAsia="Arial" w:hAnsi="Arial"/>
                <w:sz w:val="16"/>
                <w:szCs w:val="16"/>
                <w:color w:val="auto"/>
              </w:rPr>
              <w:t>21,260</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ind w:right="41"/>
              <w:spacing w:after="0"/>
              <w:rPr>
                <w:sz w:val="20"/>
                <w:szCs w:val="20"/>
                <w:color w:val="auto"/>
              </w:rPr>
            </w:pPr>
            <w:r>
              <w:rPr>
                <w:rFonts w:ascii="Arial" w:cs="Arial" w:eastAsia="Arial" w:hAnsi="Arial"/>
                <w:sz w:val="16"/>
                <w:szCs w:val="16"/>
                <w:color w:val="auto"/>
              </w:rPr>
              <w:t>20,470</w:t>
            </w:r>
          </w:p>
        </w:tc>
      </w:tr>
      <w:tr>
        <w:trPr>
          <w:trHeight w:val="200"/>
        </w:trPr>
        <w:tc>
          <w:tcPr>
            <w:tcW w:w="5400" w:type="dxa"/>
            <w:vAlign w:val="bottom"/>
            <w:shd w:val="clear" w:color="auto" w:fill="CFF0FC"/>
          </w:tcPr>
          <w:p>
            <w:pPr>
              <w:spacing w:after="0"/>
              <w:rPr>
                <w:sz w:val="20"/>
                <w:szCs w:val="20"/>
                <w:color w:val="auto"/>
              </w:rPr>
            </w:pPr>
            <w:r>
              <w:rPr>
                <w:rFonts w:ascii="Arial" w:cs="Arial" w:eastAsia="Arial" w:hAnsi="Arial"/>
                <w:sz w:val="16"/>
                <w:szCs w:val="16"/>
                <w:color w:val="auto"/>
              </w:rPr>
              <w:t>Other income, net</w:t>
            </w:r>
          </w:p>
        </w:tc>
        <w:tc>
          <w:tcPr>
            <w:tcW w:w="22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(33)</w:t>
            </w:r>
          </w:p>
        </w:tc>
        <w:tc>
          <w:tcPr>
            <w:tcW w:w="120" w:type="dxa"/>
            <w:vAlign w:val="bottom"/>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(53)</w:t>
            </w:r>
          </w:p>
        </w:tc>
        <w:tc>
          <w:tcPr>
            <w:tcW w:w="120" w:type="dxa"/>
            <w:vAlign w:val="bottom"/>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(48)</w:t>
            </w:r>
          </w:p>
        </w:tc>
        <w:tc>
          <w:tcPr>
            <w:tcW w:w="120" w:type="dxa"/>
            <w:vAlign w:val="bottom"/>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(86)</w:t>
            </w:r>
          </w:p>
        </w:tc>
      </w:tr>
      <w:tr>
        <w:trPr>
          <w:trHeight w:val="193"/>
        </w:trPr>
        <w:tc>
          <w:tcPr>
            <w:tcW w:w="5400" w:type="dxa"/>
            <w:vAlign w:val="bottom"/>
          </w:tcPr>
          <w:p>
            <w:pPr>
              <w:spacing w:after="0"/>
              <w:rPr>
                <w:sz w:val="20"/>
                <w:szCs w:val="20"/>
                <w:color w:val="auto"/>
              </w:rPr>
            </w:pPr>
            <w:r>
              <w:rPr>
                <w:rFonts w:ascii="Arial" w:cs="Arial" w:eastAsia="Arial" w:hAnsi="Arial"/>
                <w:sz w:val="16"/>
                <w:szCs w:val="16"/>
                <w:color w:val="auto"/>
              </w:rPr>
              <w:t>Loss before provision for income taxes</w:t>
            </w:r>
          </w:p>
        </w:tc>
        <w:tc>
          <w:tcPr>
            <w:tcW w:w="2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(65,613)</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(63,176)</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(142,646)</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(104,182)</w:t>
            </w:r>
          </w:p>
        </w:tc>
      </w:tr>
      <w:tr>
        <w:trPr>
          <w:trHeight w:val="200"/>
        </w:trPr>
        <w:tc>
          <w:tcPr>
            <w:tcW w:w="5400" w:type="dxa"/>
            <w:vAlign w:val="bottom"/>
            <w:shd w:val="clear" w:color="auto" w:fill="CFF0FC"/>
          </w:tcPr>
          <w:p>
            <w:pPr>
              <w:spacing w:after="0"/>
              <w:rPr>
                <w:sz w:val="20"/>
                <w:szCs w:val="20"/>
                <w:color w:val="auto"/>
              </w:rPr>
            </w:pPr>
            <w:r>
              <w:rPr>
                <w:rFonts w:ascii="Arial" w:cs="Arial" w:eastAsia="Arial" w:hAnsi="Arial"/>
                <w:sz w:val="16"/>
                <w:szCs w:val="16"/>
                <w:color w:val="auto"/>
              </w:rPr>
              <w:t>Provision for income taxes</w:t>
            </w:r>
          </w:p>
        </w:tc>
        <w:tc>
          <w:tcPr>
            <w:tcW w:w="22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ind w:right="41"/>
              <w:spacing w:after="0"/>
              <w:rPr>
                <w:sz w:val="20"/>
                <w:szCs w:val="20"/>
                <w:color w:val="auto"/>
              </w:rPr>
            </w:pPr>
            <w:r>
              <w:rPr>
                <w:rFonts w:ascii="Arial" w:cs="Arial" w:eastAsia="Arial" w:hAnsi="Arial"/>
                <w:sz w:val="16"/>
                <w:szCs w:val="16"/>
                <w:color w:val="auto"/>
              </w:rPr>
              <w:t>194</w:t>
            </w:r>
          </w:p>
        </w:tc>
        <w:tc>
          <w:tcPr>
            <w:tcW w:w="120" w:type="dxa"/>
            <w:vAlign w:val="bottom"/>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ind w:right="41"/>
              <w:spacing w:after="0"/>
              <w:rPr>
                <w:sz w:val="20"/>
                <w:szCs w:val="20"/>
                <w:color w:val="auto"/>
              </w:rPr>
            </w:pPr>
            <w:r>
              <w:rPr>
                <w:rFonts w:ascii="Arial" w:cs="Arial" w:eastAsia="Arial" w:hAnsi="Arial"/>
                <w:sz w:val="16"/>
                <w:szCs w:val="16"/>
                <w:color w:val="auto"/>
              </w:rPr>
              <w:t>52</w:t>
            </w:r>
          </w:p>
        </w:tc>
        <w:tc>
          <w:tcPr>
            <w:tcW w:w="120" w:type="dxa"/>
            <w:vAlign w:val="bottom"/>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160" w:type="dxa"/>
            <w:vAlign w:val="bottom"/>
            <w:tcBorders>
              <w:bottom w:val="single" w:sz="8" w:color="auto"/>
            </w:tcBorders>
            <w:shd w:val="clear" w:color="auto" w:fill="CFF0FC"/>
          </w:tcPr>
          <w:p>
            <w:pPr>
              <w:jc w:val="right"/>
              <w:ind w:right="41"/>
              <w:spacing w:after="0"/>
              <w:rPr>
                <w:sz w:val="20"/>
                <w:szCs w:val="20"/>
                <w:color w:val="auto"/>
              </w:rPr>
            </w:pPr>
            <w:r>
              <w:rPr>
                <w:rFonts w:ascii="Arial" w:cs="Arial" w:eastAsia="Arial" w:hAnsi="Arial"/>
                <w:sz w:val="16"/>
                <w:szCs w:val="16"/>
                <w:color w:val="auto"/>
              </w:rPr>
              <w:t>350</w:t>
            </w:r>
          </w:p>
        </w:tc>
        <w:tc>
          <w:tcPr>
            <w:tcW w:w="120" w:type="dxa"/>
            <w:vAlign w:val="bottom"/>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ind w:right="41"/>
              <w:spacing w:after="0"/>
              <w:rPr>
                <w:sz w:val="20"/>
                <w:szCs w:val="20"/>
                <w:color w:val="auto"/>
              </w:rPr>
            </w:pPr>
            <w:r>
              <w:rPr>
                <w:rFonts w:ascii="Arial" w:cs="Arial" w:eastAsia="Arial" w:hAnsi="Arial"/>
                <w:sz w:val="16"/>
                <w:szCs w:val="16"/>
                <w:color w:val="auto"/>
              </w:rPr>
              <w:t>105</w:t>
            </w:r>
          </w:p>
        </w:tc>
      </w:tr>
      <w:tr>
        <w:trPr>
          <w:trHeight w:val="233"/>
        </w:trPr>
        <w:tc>
          <w:tcPr>
            <w:tcW w:w="5400" w:type="dxa"/>
            <w:vAlign w:val="bottom"/>
          </w:tcPr>
          <w:p>
            <w:pPr>
              <w:spacing w:after="0"/>
              <w:rPr>
                <w:sz w:val="20"/>
                <w:szCs w:val="20"/>
                <w:color w:val="auto"/>
              </w:rPr>
            </w:pPr>
            <w:r>
              <w:rPr>
                <w:rFonts w:ascii="Arial" w:cs="Arial" w:eastAsia="Arial" w:hAnsi="Arial"/>
                <w:sz w:val="16"/>
                <w:szCs w:val="16"/>
                <w:color w:val="auto"/>
              </w:rPr>
              <w:t>Net loss</w:t>
            </w:r>
          </w:p>
        </w:tc>
        <w:tc>
          <w:tcPr>
            <w:tcW w:w="220" w:type="dxa"/>
            <w:vAlign w:val="bottom"/>
          </w:tcPr>
          <w:p>
            <w:pPr>
              <w:jc w:val="right"/>
              <w:ind w:right="66"/>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(65,807)</w:t>
            </w:r>
          </w:p>
        </w:tc>
        <w:tc>
          <w:tcPr>
            <w:tcW w:w="4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(63,228)</w:t>
            </w:r>
          </w:p>
        </w:tc>
        <w:tc>
          <w:tcPr>
            <w:tcW w:w="120" w:type="dxa"/>
            <w:vAlign w:val="bottom"/>
          </w:tcPr>
          <w:p>
            <w:pPr>
              <w:spacing w:after="0"/>
              <w:rPr>
                <w:sz w:val="20"/>
                <w:szCs w:val="20"/>
                <w:color w:val="auto"/>
              </w:rPr>
            </w:pPr>
          </w:p>
        </w:tc>
        <w:tc>
          <w:tcPr>
            <w:tcW w:w="220" w:type="dxa"/>
            <w:vAlign w:val="bottom"/>
          </w:tcPr>
          <w:p>
            <w:pPr>
              <w:jc w:val="right"/>
              <w:ind w:right="66"/>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(142,996)</w:t>
            </w:r>
          </w:p>
        </w:tc>
        <w:tc>
          <w:tcPr>
            <w:tcW w:w="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(104,287)</w:t>
            </w:r>
          </w:p>
        </w:tc>
      </w:tr>
      <w:tr>
        <w:trPr>
          <w:trHeight w:val="181"/>
        </w:trPr>
        <w:tc>
          <w:tcPr>
            <w:tcW w:w="5400" w:type="dxa"/>
            <w:vAlign w:val="bottom"/>
            <w:tcBorders>
              <w:top w:val="single" w:sz="8" w:color="CFF0FC"/>
            </w:tcBorders>
            <w:shd w:val="clear" w:color="auto" w:fill="CFF0FC"/>
          </w:tcPr>
          <w:p>
            <w:pPr>
              <w:spacing w:after="0" w:line="181" w:lineRule="exact"/>
              <w:rPr>
                <w:sz w:val="20"/>
                <w:szCs w:val="20"/>
                <w:color w:val="auto"/>
              </w:rPr>
            </w:pPr>
            <w:r>
              <w:rPr>
                <w:rFonts w:ascii="Arial" w:cs="Arial" w:eastAsia="Arial" w:hAnsi="Arial"/>
                <w:sz w:val="16"/>
                <w:szCs w:val="16"/>
                <w:color w:val="auto"/>
              </w:rPr>
              <w:t>Net loss per share attributable to common stockholders, basic and</w:t>
            </w:r>
          </w:p>
        </w:tc>
        <w:tc>
          <w:tcPr>
            <w:tcW w:w="220" w:type="dxa"/>
            <w:vAlign w:val="bottom"/>
            <w:tcBorders>
              <w:top w:val="single" w:sz="8" w:color="auto"/>
            </w:tcBorders>
            <w:shd w:val="clear" w:color="auto" w:fill="CFF0FC"/>
          </w:tcPr>
          <w:p>
            <w:pPr>
              <w:spacing w:after="0"/>
              <w:rPr>
                <w:sz w:val="15"/>
                <w:szCs w:val="15"/>
                <w:color w:val="auto"/>
              </w:rPr>
            </w:pPr>
          </w:p>
        </w:tc>
        <w:tc>
          <w:tcPr>
            <w:tcW w:w="1140" w:type="dxa"/>
            <w:vAlign w:val="bottom"/>
            <w:tcBorders>
              <w:top w:val="single" w:sz="8" w:color="auto"/>
            </w:tcBorders>
            <w:shd w:val="clear" w:color="auto" w:fill="CFF0FC"/>
          </w:tcPr>
          <w:p>
            <w:pPr>
              <w:spacing w:after="0"/>
              <w:rPr>
                <w:sz w:val="15"/>
                <w:szCs w:val="15"/>
                <w:color w:val="auto"/>
              </w:rPr>
            </w:pPr>
          </w:p>
        </w:tc>
        <w:tc>
          <w:tcPr>
            <w:tcW w:w="120" w:type="dxa"/>
            <w:vAlign w:val="bottom"/>
            <w:tcBorders>
              <w:top w:val="single" w:sz="8" w:color="CFF0FC"/>
            </w:tcBorders>
            <w:shd w:val="clear" w:color="auto" w:fill="CFF0FC"/>
          </w:tcPr>
          <w:p>
            <w:pPr>
              <w:spacing w:after="0"/>
              <w:rPr>
                <w:sz w:val="15"/>
                <w:szCs w:val="15"/>
                <w:color w:val="auto"/>
              </w:rPr>
            </w:pPr>
          </w:p>
        </w:tc>
        <w:tc>
          <w:tcPr>
            <w:tcW w:w="320" w:type="dxa"/>
            <w:vAlign w:val="bottom"/>
            <w:tcBorders>
              <w:top w:val="single" w:sz="8" w:color="auto"/>
            </w:tcBorders>
            <w:shd w:val="clear" w:color="auto" w:fill="CFF0FC"/>
          </w:tcPr>
          <w:p>
            <w:pPr>
              <w:spacing w:after="0"/>
              <w:rPr>
                <w:sz w:val="15"/>
                <w:szCs w:val="15"/>
                <w:color w:val="auto"/>
              </w:rPr>
            </w:pPr>
          </w:p>
        </w:tc>
        <w:tc>
          <w:tcPr>
            <w:tcW w:w="1060" w:type="dxa"/>
            <w:vAlign w:val="bottom"/>
            <w:tcBorders>
              <w:top w:val="single" w:sz="8" w:color="auto"/>
            </w:tcBorders>
            <w:shd w:val="clear" w:color="auto" w:fill="CFF0FC"/>
          </w:tcPr>
          <w:p>
            <w:pPr>
              <w:spacing w:after="0"/>
              <w:rPr>
                <w:sz w:val="15"/>
                <w:szCs w:val="15"/>
                <w:color w:val="auto"/>
              </w:rPr>
            </w:pPr>
          </w:p>
        </w:tc>
        <w:tc>
          <w:tcPr>
            <w:tcW w:w="120" w:type="dxa"/>
            <w:vAlign w:val="bottom"/>
            <w:tcBorders>
              <w:top w:val="single" w:sz="8" w:color="CFF0FC"/>
            </w:tcBorders>
            <w:shd w:val="clear" w:color="auto" w:fill="CFF0FC"/>
          </w:tcPr>
          <w:p>
            <w:pPr>
              <w:spacing w:after="0"/>
              <w:rPr>
                <w:sz w:val="15"/>
                <w:szCs w:val="15"/>
                <w:color w:val="auto"/>
              </w:rPr>
            </w:pPr>
          </w:p>
        </w:tc>
        <w:tc>
          <w:tcPr>
            <w:tcW w:w="220" w:type="dxa"/>
            <w:vAlign w:val="bottom"/>
            <w:tcBorders>
              <w:top w:val="single" w:sz="8" w:color="auto"/>
            </w:tcBorders>
            <w:shd w:val="clear" w:color="auto" w:fill="CFF0FC"/>
          </w:tcPr>
          <w:p>
            <w:pPr>
              <w:spacing w:after="0"/>
              <w:rPr>
                <w:sz w:val="15"/>
                <w:szCs w:val="15"/>
                <w:color w:val="auto"/>
              </w:rPr>
            </w:pPr>
          </w:p>
        </w:tc>
        <w:tc>
          <w:tcPr>
            <w:tcW w:w="1160" w:type="dxa"/>
            <w:vAlign w:val="bottom"/>
            <w:tcBorders>
              <w:top w:val="single" w:sz="8" w:color="auto"/>
            </w:tcBorders>
            <w:shd w:val="clear" w:color="auto" w:fill="CFF0FC"/>
          </w:tcPr>
          <w:p>
            <w:pPr>
              <w:spacing w:after="0"/>
              <w:rPr>
                <w:sz w:val="15"/>
                <w:szCs w:val="15"/>
                <w:color w:val="auto"/>
              </w:rPr>
            </w:pPr>
          </w:p>
        </w:tc>
        <w:tc>
          <w:tcPr>
            <w:tcW w:w="120" w:type="dxa"/>
            <w:vAlign w:val="bottom"/>
            <w:tcBorders>
              <w:top w:val="single" w:sz="8" w:color="CFF0FC"/>
            </w:tcBorders>
            <w:shd w:val="clear" w:color="auto" w:fill="CFF0FC"/>
          </w:tcPr>
          <w:p>
            <w:pPr>
              <w:spacing w:after="0"/>
              <w:rPr>
                <w:sz w:val="15"/>
                <w:szCs w:val="15"/>
                <w:color w:val="auto"/>
              </w:rPr>
            </w:pPr>
          </w:p>
        </w:tc>
        <w:tc>
          <w:tcPr>
            <w:tcW w:w="300" w:type="dxa"/>
            <w:vAlign w:val="bottom"/>
            <w:tcBorders>
              <w:top w:val="single" w:sz="8" w:color="auto"/>
            </w:tcBorders>
            <w:shd w:val="clear" w:color="auto" w:fill="CFF0FC"/>
          </w:tcPr>
          <w:p>
            <w:pPr>
              <w:spacing w:after="0"/>
              <w:rPr>
                <w:sz w:val="15"/>
                <w:szCs w:val="15"/>
                <w:color w:val="auto"/>
              </w:rPr>
            </w:pPr>
          </w:p>
        </w:tc>
        <w:tc>
          <w:tcPr>
            <w:tcW w:w="1060" w:type="dxa"/>
            <w:vAlign w:val="bottom"/>
            <w:tcBorders>
              <w:top w:val="single" w:sz="8" w:color="auto"/>
            </w:tcBorders>
            <w:shd w:val="clear" w:color="auto" w:fill="CFF0FC"/>
          </w:tcPr>
          <w:p>
            <w:pPr>
              <w:spacing w:after="0"/>
              <w:rPr>
                <w:sz w:val="15"/>
                <w:szCs w:val="15"/>
                <w:color w:val="auto"/>
              </w:rPr>
            </w:pPr>
          </w:p>
        </w:tc>
      </w:tr>
      <w:tr>
        <w:trPr>
          <w:trHeight w:val="184"/>
        </w:trPr>
        <w:tc>
          <w:tcPr>
            <w:tcW w:w="5400" w:type="dxa"/>
            <w:vAlign w:val="bottom"/>
            <w:shd w:val="clear" w:color="auto" w:fill="CFF0FC"/>
          </w:tcPr>
          <w:p>
            <w:pPr>
              <w:spacing w:after="0"/>
              <w:rPr>
                <w:sz w:val="20"/>
                <w:szCs w:val="20"/>
                <w:color w:val="auto"/>
              </w:rPr>
            </w:pPr>
            <w:r>
              <w:rPr>
                <w:rFonts w:ascii="Arial" w:cs="Arial" w:eastAsia="Arial" w:hAnsi="Arial"/>
                <w:sz w:val="16"/>
                <w:szCs w:val="16"/>
                <w:color w:val="auto"/>
              </w:rPr>
              <w:t>diluted</w:t>
            </w:r>
          </w:p>
        </w:tc>
        <w:tc>
          <w:tcPr>
            <w:tcW w:w="220" w:type="dxa"/>
            <w:vAlign w:val="bottom"/>
            <w:shd w:val="clear" w:color="auto" w:fill="CFF0FC"/>
          </w:tcPr>
          <w:p>
            <w:pPr>
              <w:jc w:val="right"/>
              <w:ind w:right="66"/>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(0.48)</w:t>
            </w:r>
          </w:p>
        </w:tc>
        <w:tc>
          <w:tcPr>
            <w:tcW w:w="4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(2.00)</w:t>
            </w:r>
          </w:p>
        </w:tc>
        <w:tc>
          <w:tcPr>
            <w:tcW w:w="120" w:type="dxa"/>
            <w:vAlign w:val="bottom"/>
            <w:shd w:val="clear" w:color="auto" w:fill="CFF0FC"/>
          </w:tcPr>
          <w:p>
            <w:pPr>
              <w:spacing w:after="0"/>
              <w:rPr>
                <w:sz w:val="16"/>
                <w:szCs w:val="16"/>
                <w:color w:val="auto"/>
              </w:rPr>
            </w:pPr>
          </w:p>
        </w:tc>
        <w:tc>
          <w:tcPr>
            <w:tcW w:w="220" w:type="dxa"/>
            <w:vAlign w:val="bottom"/>
            <w:shd w:val="clear" w:color="auto" w:fill="CFF0FC"/>
          </w:tcPr>
          <w:p>
            <w:pPr>
              <w:jc w:val="right"/>
              <w:ind w:right="66"/>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(1.05)</w:t>
            </w:r>
          </w:p>
        </w:tc>
        <w:tc>
          <w:tcPr>
            <w:tcW w:w="4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(5.21)</w:t>
            </w:r>
          </w:p>
        </w:tc>
      </w:tr>
      <w:tr>
        <w:trPr>
          <w:trHeight w:val="195"/>
        </w:trPr>
        <w:tc>
          <w:tcPr>
            <w:tcW w:w="5400" w:type="dxa"/>
            <w:vAlign w:val="bottom"/>
          </w:tcPr>
          <w:p>
            <w:pPr>
              <w:spacing w:after="0"/>
              <w:rPr>
                <w:sz w:val="20"/>
                <w:szCs w:val="20"/>
                <w:color w:val="auto"/>
              </w:rPr>
            </w:pPr>
            <w:r>
              <w:rPr>
                <w:rFonts w:ascii="Arial" w:cs="Arial" w:eastAsia="Arial" w:hAnsi="Arial"/>
                <w:sz w:val="16"/>
                <w:szCs w:val="16"/>
                <w:color w:val="auto"/>
              </w:rPr>
              <w:t>Weighted-average number of shares outstanding used to compute net</w:t>
            </w:r>
          </w:p>
        </w:tc>
        <w:tc>
          <w:tcPr>
            <w:tcW w:w="2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r>
      <w:tr>
        <w:trPr>
          <w:trHeight w:val="184"/>
        </w:trPr>
        <w:tc>
          <w:tcPr>
            <w:tcW w:w="5400" w:type="dxa"/>
            <w:vAlign w:val="bottom"/>
          </w:tcPr>
          <w:p>
            <w:pPr>
              <w:spacing w:after="0"/>
              <w:rPr>
                <w:sz w:val="20"/>
                <w:szCs w:val="20"/>
                <w:color w:val="auto"/>
              </w:rPr>
            </w:pPr>
            <w:r>
              <w:rPr>
                <w:rFonts w:ascii="Arial" w:cs="Arial" w:eastAsia="Arial" w:hAnsi="Arial"/>
                <w:sz w:val="16"/>
                <w:szCs w:val="16"/>
                <w:color w:val="auto"/>
              </w:rPr>
              <w:t>loss per share attributable to common stockholders, basic and diluted</w:t>
            </w: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136,507,177</w:t>
            </w: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31,599,497</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136,002,344</w:t>
            </w: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20,035,476</w:t>
            </w:r>
          </w:p>
        </w:tc>
      </w:tr>
      <w:tr>
        <w:trPr>
          <w:trHeight w:val="20"/>
        </w:trPr>
        <w:tc>
          <w:tcPr>
            <w:tcW w:w="54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these unaudited condensed consolidated financial statements.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50800</wp:posOffset>
            </wp:positionV>
            <wp:extent cx="715962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VROOM, INC.</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 REDEEMABLE CONVERTIBLE</w:t>
      </w:r>
    </w:p>
    <w:p>
      <w:pPr>
        <w:jc w:val="center"/>
        <w:spacing w:after="0" w:line="231" w:lineRule="auto"/>
        <w:rPr>
          <w:sz w:val="20"/>
          <w:szCs w:val="20"/>
          <w:color w:val="auto"/>
        </w:rPr>
      </w:pPr>
      <w:r>
        <w:rPr>
          <w:rFonts w:ascii="Arial" w:cs="Arial" w:eastAsia="Arial" w:hAnsi="Arial"/>
          <w:sz w:val="18"/>
          <w:szCs w:val="18"/>
          <w:b w:val="1"/>
          <w:bCs w:val="1"/>
          <w:color w:val="auto"/>
        </w:rPr>
        <w:t>PREFERRED STOCK AND STOCKHOLDERS’ EQUITY (DEFICIT)</w:t>
      </w:r>
    </w:p>
    <w:p>
      <w:pPr>
        <w:jc w:val="center"/>
        <w:spacing w:after="0" w:line="232" w:lineRule="auto"/>
        <w:rPr>
          <w:sz w:val="20"/>
          <w:szCs w:val="20"/>
          <w:color w:val="auto"/>
        </w:rPr>
      </w:pPr>
      <w:r>
        <w:rPr>
          <w:rFonts w:ascii="Arial" w:cs="Arial" w:eastAsia="Arial" w:hAnsi="Arial"/>
          <w:sz w:val="18"/>
          <w:szCs w:val="18"/>
          <w:b w:val="1"/>
          <w:bCs w:val="1"/>
          <w:color w:val="auto"/>
        </w:rPr>
        <w:t>(in thousands, except share amounts)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980" w:type="dxa"/>
            <w:vAlign w:val="bottom"/>
          </w:tcPr>
          <w:p>
            <w:pPr>
              <w:spacing w:after="0"/>
              <w:rPr>
                <w:sz w:val="13"/>
                <w:szCs w:val="13"/>
                <w:color w:val="auto"/>
              </w:rPr>
            </w:pPr>
          </w:p>
        </w:tc>
        <w:tc>
          <w:tcPr>
            <w:tcW w:w="2340" w:type="dxa"/>
            <w:vAlign w:val="bottom"/>
            <w:tcBorders>
              <w:right w:val="single" w:sz="8" w:color="auto"/>
            </w:tcBorders>
            <w:gridSpan w:val="4"/>
          </w:tcPr>
          <w:p>
            <w:pPr>
              <w:jc w:val="right"/>
              <w:ind w:right="433"/>
              <w:spacing w:after="0"/>
              <w:rPr>
                <w:sz w:val="20"/>
                <w:szCs w:val="20"/>
                <w:color w:val="auto"/>
              </w:rPr>
            </w:pPr>
            <w:r>
              <w:rPr>
                <w:rFonts w:ascii="Arial" w:cs="Arial" w:eastAsia="Arial" w:hAnsi="Arial"/>
                <w:sz w:val="13"/>
                <w:szCs w:val="13"/>
                <w:b w:val="1"/>
                <w:bCs w:val="1"/>
                <w:color w:val="auto"/>
              </w:rPr>
              <w:t>Redeemable Convertible</w:t>
            </w:r>
          </w:p>
        </w:tc>
        <w:tc>
          <w:tcPr>
            <w:tcW w:w="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jc w:val="right"/>
              <w:ind w:right="213"/>
              <w:spacing w:after="0"/>
              <w:rPr>
                <w:sz w:val="20"/>
                <w:szCs w:val="20"/>
                <w:color w:val="auto"/>
              </w:rPr>
            </w:pPr>
            <w:r>
              <w:rPr>
                <w:rFonts w:ascii="Arial" w:cs="Arial" w:eastAsia="Arial" w:hAnsi="Arial"/>
                <w:sz w:val="13"/>
                <w:szCs w:val="13"/>
                <w:b w:val="1"/>
                <w:bCs w:val="1"/>
                <w:color w:val="auto"/>
              </w:rPr>
              <w:t>Additional</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jc w:val="center"/>
              <w:ind w:right="253"/>
              <w:spacing w:after="0"/>
              <w:rPr>
                <w:sz w:val="20"/>
                <w:szCs w:val="20"/>
                <w:color w:val="auto"/>
              </w:rPr>
            </w:pPr>
            <w:r>
              <w:rPr>
                <w:rFonts w:ascii="Arial" w:cs="Arial" w:eastAsia="Arial" w:hAnsi="Arial"/>
                <w:sz w:val="13"/>
                <w:szCs w:val="13"/>
                <w:b w:val="1"/>
                <w:bCs w:val="1"/>
                <w:color w:val="auto"/>
                <w:w w:val="96"/>
              </w:rPr>
              <w:t>Total</w:t>
            </w:r>
          </w:p>
        </w:tc>
      </w:tr>
      <w:tr>
        <w:trPr>
          <w:trHeight w:val="163"/>
        </w:trPr>
        <w:tc>
          <w:tcPr>
            <w:tcW w:w="2980" w:type="dxa"/>
            <w:vAlign w:val="bottom"/>
          </w:tcPr>
          <w:p>
            <w:pPr>
              <w:spacing w:after="0"/>
              <w:rPr>
                <w:sz w:val="14"/>
                <w:szCs w:val="14"/>
                <w:color w:val="auto"/>
              </w:rPr>
            </w:pPr>
          </w:p>
        </w:tc>
        <w:tc>
          <w:tcPr>
            <w:tcW w:w="2340" w:type="dxa"/>
            <w:vAlign w:val="bottom"/>
            <w:tcBorders>
              <w:right w:val="single" w:sz="8" w:color="auto"/>
            </w:tcBorders>
            <w:gridSpan w:val="4"/>
          </w:tcPr>
          <w:p>
            <w:pPr>
              <w:jc w:val="right"/>
              <w:ind w:right="713"/>
              <w:spacing w:after="0"/>
              <w:rPr>
                <w:sz w:val="20"/>
                <w:szCs w:val="20"/>
                <w:color w:val="auto"/>
              </w:rPr>
            </w:pPr>
            <w:r>
              <w:rPr>
                <w:rFonts w:ascii="Arial" w:cs="Arial" w:eastAsia="Arial" w:hAnsi="Arial"/>
                <w:sz w:val="13"/>
                <w:szCs w:val="13"/>
                <w:b w:val="1"/>
                <w:bCs w:val="1"/>
                <w:color w:val="auto"/>
              </w:rPr>
              <w:t>Preferred Stock</w:t>
            </w:r>
          </w:p>
        </w:tc>
        <w:tc>
          <w:tcPr>
            <w:tcW w:w="40" w:type="dxa"/>
            <w:vAlign w:val="bottom"/>
          </w:tcPr>
          <w:p>
            <w:pPr>
              <w:spacing w:after="0"/>
              <w:rPr>
                <w:sz w:val="14"/>
                <w:szCs w:val="14"/>
                <w:color w:val="auto"/>
              </w:rPr>
            </w:pPr>
          </w:p>
        </w:tc>
        <w:tc>
          <w:tcPr>
            <w:tcW w:w="1920" w:type="dxa"/>
            <w:vAlign w:val="bottom"/>
            <w:gridSpan w:val="3"/>
          </w:tcPr>
          <w:p>
            <w:pPr>
              <w:jc w:val="right"/>
              <w:ind w:right="293"/>
              <w:spacing w:after="0"/>
              <w:rPr>
                <w:sz w:val="20"/>
                <w:szCs w:val="20"/>
                <w:color w:val="auto"/>
              </w:rPr>
            </w:pPr>
            <w:r>
              <w:rPr>
                <w:rFonts w:ascii="Arial" w:cs="Arial" w:eastAsia="Arial" w:hAnsi="Arial"/>
                <w:sz w:val="13"/>
                <w:szCs w:val="13"/>
                <w:b w:val="1"/>
                <w:bCs w:val="1"/>
                <w:color w:val="auto"/>
              </w:rPr>
              <w:t>Common Stock</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right"/>
              <w:ind w:right="313"/>
              <w:spacing w:after="0"/>
              <w:rPr>
                <w:sz w:val="20"/>
                <w:szCs w:val="20"/>
                <w:color w:val="auto"/>
              </w:rPr>
            </w:pPr>
            <w:r>
              <w:rPr>
                <w:rFonts w:ascii="Arial" w:cs="Arial" w:eastAsia="Arial" w:hAnsi="Arial"/>
                <w:sz w:val="13"/>
                <w:szCs w:val="13"/>
                <w:b w:val="1"/>
                <w:bCs w:val="1"/>
                <w:color w:val="auto"/>
              </w:rPr>
              <w:t>Paid-in</w:t>
            </w:r>
          </w:p>
        </w:tc>
        <w:tc>
          <w:tcPr>
            <w:tcW w:w="100" w:type="dxa"/>
            <w:vAlign w:val="bottom"/>
          </w:tcPr>
          <w:p>
            <w:pPr>
              <w:spacing w:after="0"/>
              <w:rPr>
                <w:sz w:val="14"/>
                <w:szCs w:val="14"/>
                <w:color w:val="auto"/>
              </w:rPr>
            </w:pPr>
          </w:p>
        </w:tc>
        <w:tc>
          <w:tcPr>
            <w:tcW w:w="1200" w:type="dxa"/>
            <w:vAlign w:val="bottom"/>
            <w:gridSpan w:val="3"/>
          </w:tcPr>
          <w:p>
            <w:pPr>
              <w:ind w:left="80"/>
              <w:spacing w:after="0"/>
              <w:rPr>
                <w:sz w:val="20"/>
                <w:szCs w:val="20"/>
                <w:color w:val="auto"/>
              </w:rPr>
            </w:pPr>
            <w:r>
              <w:rPr>
                <w:rFonts w:ascii="Arial" w:cs="Arial" w:eastAsia="Arial" w:hAnsi="Arial"/>
                <w:sz w:val="13"/>
                <w:szCs w:val="13"/>
                <w:b w:val="1"/>
                <w:bCs w:val="1"/>
                <w:color w:val="auto"/>
              </w:rPr>
              <w:t>Accumulated</w:t>
            </w:r>
          </w:p>
        </w:tc>
        <w:tc>
          <w:tcPr>
            <w:tcW w:w="1120" w:type="dxa"/>
            <w:vAlign w:val="bottom"/>
            <w:gridSpan w:val="2"/>
          </w:tcPr>
          <w:p>
            <w:pPr>
              <w:jc w:val="center"/>
              <w:ind w:right="53"/>
              <w:spacing w:after="0"/>
              <w:rPr>
                <w:sz w:val="20"/>
                <w:szCs w:val="20"/>
                <w:color w:val="auto"/>
              </w:rPr>
            </w:pPr>
            <w:r>
              <w:rPr>
                <w:rFonts w:ascii="Arial" w:cs="Arial" w:eastAsia="Arial" w:hAnsi="Arial"/>
                <w:sz w:val="13"/>
                <w:szCs w:val="13"/>
                <w:b w:val="1"/>
                <w:bCs w:val="1"/>
                <w:color w:val="auto"/>
              </w:rPr>
              <w:t>Stockholders’</w:t>
            </w:r>
          </w:p>
        </w:tc>
      </w:tr>
      <w:tr>
        <w:trPr>
          <w:trHeight w:val="153"/>
        </w:trPr>
        <w:tc>
          <w:tcPr>
            <w:tcW w:w="2980" w:type="dxa"/>
            <w:vAlign w:val="bottom"/>
            <w:tcBorders>
              <w:bottom w:val="single" w:sz="8" w:color="CFF0FC"/>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313"/>
              <w:spacing w:after="0"/>
              <w:rPr>
                <w:sz w:val="20"/>
                <w:szCs w:val="20"/>
                <w:color w:val="auto"/>
              </w:rPr>
            </w:pPr>
            <w:r>
              <w:rPr>
                <w:rFonts w:ascii="Arial" w:cs="Arial" w:eastAsia="Arial" w:hAnsi="Arial"/>
                <w:sz w:val="13"/>
                <w:szCs w:val="13"/>
                <w:b w:val="1"/>
                <w:bCs w:val="1"/>
                <w:color w:val="auto"/>
              </w:rPr>
              <w:t>Shares</w:t>
            </w:r>
          </w:p>
        </w:tc>
        <w:tc>
          <w:tcPr>
            <w:tcW w:w="100" w:type="dxa"/>
            <w:vAlign w:val="bottom"/>
            <w:tcBorders>
              <w:top w:val="single" w:sz="8" w:color="auto"/>
              <w:bottom w:val="single" w:sz="8" w:color="CFF0FC"/>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right w:val="single" w:sz="8" w:color="auto"/>
            </w:tcBorders>
          </w:tcPr>
          <w:p>
            <w:pPr>
              <w:jc w:val="right"/>
              <w:ind w:right="353"/>
              <w:spacing w:after="0"/>
              <w:rPr>
                <w:sz w:val="20"/>
                <w:szCs w:val="20"/>
                <w:color w:val="auto"/>
              </w:rPr>
            </w:pPr>
            <w:r>
              <w:rPr>
                <w:rFonts w:ascii="Arial" w:cs="Arial" w:eastAsia="Arial" w:hAnsi="Arial"/>
                <w:sz w:val="13"/>
                <w:szCs w:val="13"/>
                <w:b w:val="1"/>
                <w:bCs w:val="1"/>
                <w:color w:val="auto"/>
              </w:rPr>
              <w:t>Amount</w:t>
            </w:r>
          </w:p>
        </w:tc>
        <w:tc>
          <w:tcPr>
            <w:tcW w:w="40" w:type="dxa"/>
            <w:vAlign w:val="bottom"/>
            <w:tcBorders>
              <w:bottom w:val="single" w:sz="8" w:color="CFF0FC"/>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313"/>
              <w:spacing w:after="0"/>
              <w:rPr>
                <w:sz w:val="20"/>
                <w:szCs w:val="20"/>
                <w:color w:val="auto"/>
              </w:rPr>
            </w:pPr>
            <w:r>
              <w:rPr>
                <w:rFonts w:ascii="Arial" w:cs="Arial" w:eastAsia="Arial" w:hAnsi="Arial"/>
                <w:sz w:val="13"/>
                <w:szCs w:val="13"/>
                <w:b w:val="1"/>
                <w:bCs w:val="1"/>
                <w:color w:val="auto"/>
              </w:rPr>
              <w:t>Shares</w:t>
            </w:r>
          </w:p>
        </w:tc>
        <w:tc>
          <w:tcPr>
            <w:tcW w:w="100" w:type="dxa"/>
            <w:vAlign w:val="bottom"/>
            <w:tcBorders>
              <w:top w:val="single" w:sz="8" w:color="auto"/>
              <w:bottom w:val="single" w:sz="8" w:color="CFF0FC"/>
            </w:tcBorders>
          </w:tcPr>
          <w:p>
            <w:pPr>
              <w:spacing w:after="0"/>
              <w:rPr>
                <w:sz w:val="13"/>
                <w:szCs w:val="13"/>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Amount</w:t>
            </w:r>
          </w:p>
        </w:tc>
        <w:tc>
          <w:tcPr>
            <w:tcW w:w="340" w:type="dxa"/>
            <w:vAlign w:val="bottom"/>
            <w:tcBorders>
              <w:top w:val="single" w:sz="8" w:color="auto"/>
              <w:bottom w:val="single" w:sz="8" w:color="auto"/>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313"/>
              <w:spacing w:after="0"/>
              <w:rPr>
                <w:sz w:val="20"/>
                <w:szCs w:val="20"/>
                <w:color w:val="auto"/>
              </w:rPr>
            </w:pPr>
            <w:r>
              <w:rPr>
                <w:rFonts w:ascii="Arial" w:cs="Arial" w:eastAsia="Arial" w:hAnsi="Arial"/>
                <w:sz w:val="13"/>
                <w:szCs w:val="13"/>
                <w:b w:val="1"/>
                <w:bCs w:val="1"/>
                <w:color w:val="auto"/>
              </w:rPr>
              <w:t>Capital</w:t>
            </w:r>
          </w:p>
        </w:tc>
        <w:tc>
          <w:tcPr>
            <w:tcW w:w="10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33"/>
              <w:spacing w:after="0"/>
              <w:rPr>
                <w:sz w:val="20"/>
                <w:szCs w:val="20"/>
                <w:color w:val="auto"/>
              </w:rPr>
            </w:pPr>
            <w:r>
              <w:rPr>
                <w:rFonts w:ascii="Arial" w:cs="Arial" w:eastAsia="Arial" w:hAnsi="Arial"/>
                <w:sz w:val="13"/>
                <w:szCs w:val="13"/>
                <w:b w:val="1"/>
                <w:bCs w:val="1"/>
                <w:color w:val="auto"/>
              </w:rPr>
              <w:t>Deficit</w:t>
            </w:r>
          </w:p>
        </w:tc>
        <w:tc>
          <w:tcPr>
            <w:tcW w:w="10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center"/>
              <w:ind w:right="233"/>
              <w:spacing w:after="0"/>
              <w:rPr>
                <w:sz w:val="20"/>
                <w:szCs w:val="20"/>
                <w:color w:val="auto"/>
              </w:rPr>
            </w:pPr>
            <w:r>
              <w:rPr>
                <w:rFonts w:ascii="Arial" w:cs="Arial" w:eastAsia="Arial" w:hAnsi="Arial"/>
                <w:sz w:val="13"/>
                <w:szCs w:val="13"/>
                <w:b w:val="1"/>
                <w:bCs w:val="1"/>
                <w:color w:val="auto"/>
              </w:rPr>
              <w:t>Deficit</w:t>
            </w:r>
          </w:p>
        </w:tc>
      </w:tr>
      <w:tr>
        <w:trPr>
          <w:trHeight w:val="153"/>
        </w:trPr>
        <w:tc>
          <w:tcPr>
            <w:tcW w:w="29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3"/>
                <w:szCs w:val="13"/>
                <w:color w:val="auto"/>
              </w:rPr>
              <w:t>Balance at December 31, 2019</w:t>
            </w:r>
          </w:p>
        </w:tc>
        <w:tc>
          <w:tcPr>
            <w:tcW w:w="1080" w:type="dxa"/>
            <w:vAlign w:val="bottom"/>
            <w:tcBorders>
              <w:bottom w:val="single" w:sz="8" w:color="auto"/>
            </w:tcBorders>
            <w:shd w:val="clear" w:color="auto" w:fill="CFF0FC"/>
          </w:tcPr>
          <w:p>
            <w:pPr>
              <w:jc w:val="right"/>
              <w:ind w:right="53"/>
              <w:spacing w:after="0"/>
              <w:rPr>
                <w:sz w:val="20"/>
                <w:szCs w:val="20"/>
                <w:color w:val="auto"/>
              </w:rPr>
            </w:pPr>
            <w:r>
              <w:rPr>
                <w:rFonts w:ascii="Arial" w:cs="Arial" w:eastAsia="Arial" w:hAnsi="Arial"/>
                <w:sz w:val="13"/>
                <w:szCs w:val="13"/>
                <w:color w:val="auto"/>
              </w:rPr>
              <w:t>83,568,628</w:t>
            </w:r>
          </w:p>
        </w:tc>
        <w:tc>
          <w:tcPr>
            <w:tcW w:w="100" w:type="dxa"/>
            <w:vAlign w:val="bottom"/>
            <w:tcBorders>
              <w:bottom w:val="single" w:sz="8" w:color="CFF0FC"/>
            </w:tcBorders>
            <w:shd w:val="clear" w:color="auto" w:fill="CFF0FC"/>
          </w:tcPr>
          <w:p>
            <w:pPr>
              <w:spacing w:after="0"/>
              <w:rPr>
                <w:sz w:val="13"/>
                <w:szCs w:val="13"/>
                <w:color w:val="auto"/>
              </w:rPr>
            </w:pPr>
          </w:p>
        </w:tc>
        <w:tc>
          <w:tcPr>
            <w:tcW w:w="160" w:type="dxa"/>
            <w:vAlign w:val="bottom"/>
            <w:tcBorders>
              <w:bottom w:val="single" w:sz="8" w:color="auto"/>
            </w:tcBorders>
            <w:shd w:val="clear" w:color="auto" w:fill="CFF0FC"/>
          </w:tcPr>
          <w:p>
            <w:pPr>
              <w:jc w:val="right"/>
              <w:ind w:right="13"/>
              <w:spacing w:after="0"/>
              <w:rPr>
                <w:sz w:val="20"/>
                <w:szCs w:val="20"/>
                <w:color w:val="auto"/>
              </w:rPr>
            </w:pPr>
            <w:r>
              <w:rPr>
                <w:rFonts w:ascii="Arial" w:cs="Arial" w:eastAsia="Arial" w:hAnsi="Arial"/>
                <w:sz w:val="13"/>
                <w:szCs w:val="13"/>
                <w:color w:val="auto"/>
                <w:w w:val="82"/>
              </w:rPr>
              <w:t>$</w:t>
            </w:r>
          </w:p>
        </w:tc>
        <w:tc>
          <w:tcPr>
            <w:tcW w:w="1000" w:type="dxa"/>
            <w:vAlign w:val="bottom"/>
            <w:tcBorders>
              <w:bottom w:val="single" w:sz="8" w:color="auto"/>
              <w:right w:val="single" w:sz="8" w:color="auto"/>
            </w:tcBorders>
            <w:shd w:val="clear" w:color="auto" w:fill="CFF0FC"/>
          </w:tcPr>
          <w:p>
            <w:pPr>
              <w:jc w:val="right"/>
              <w:ind w:right="133"/>
              <w:spacing w:after="0"/>
              <w:rPr>
                <w:sz w:val="20"/>
                <w:szCs w:val="20"/>
                <w:color w:val="auto"/>
              </w:rPr>
            </w:pPr>
            <w:r>
              <w:rPr>
                <w:rFonts w:ascii="Arial" w:cs="Arial" w:eastAsia="Arial" w:hAnsi="Arial"/>
                <w:sz w:val="13"/>
                <w:szCs w:val="13"/>
                <w:color w:val="auto"/>
              </w:rPr>
              <w:t>874,332</w:t>
            </w:r>
          </w:p>
        </w:tc>
        <w:tc>
          <w:tcPr>
            <w:tcW w:w="40" w:type="dxa"/>
            <w:vAlign w:val="bottom"/>
            <w:tcBorders>
              <w:bottom w:val="single" w:sz="8" w:color="CFF0FC"/>
            </w:tcBorders>
            <w:shd w:val="clear" w:color="auto" w:fill="CFF0FC"/>
          </w:tcPr>
          <w:p>
            <w:pPr>
              <w:spacing w:after="0"/>
              <w:rPr>
                <w:sz w:val="13"/>
                <w:szCs w:val="13"/>
                <w:color w:val="auto"/>
              </w:rPr>
            </w:pPr>
          </w:p>
        </w:tc>
        <w:tc>
          <w:tcPr>
            <w:tcW w:w="1080" w:type="dxa"/>
            <w:vAlign w:val="bottom"/>
            <w:tcBorders>
              <w:bottom w:val="single" w:sz="8" w:color="auto"/>
            </w:tcBorders>
            <w:shd w:val="clear" w:color="auto" w:fill="CFF0FC"/>
          </w:tcPr>
          <w:p>
            <w:pPr>
              <w:jc w:val="right"/>
              <w:ind w:right="53"/>
              <w:spacing w:after="0"/>
              <w:rPr>
                <w:sz w:val="20"/>
                <w:szCs w:val="20"/>
                <w:color w:val="auto"/>
              </w:rPr>
            </w:pPr>
            <w:r>
              <w:rPr>
                <w:rFonts w:ascii="Arial" w:cs="Arial" w:eastAsia="Arial" w:hAnsi="Arial"/>
                <w:sz w:val="13"/>
                <w:szCs w:val="13"/>
                <w:color w:val="auto"/>
              </w:rPr>
              <w:t>8,650,922</w:t>
            </w:r>
          </w:p>
        </w:tc>
        <w:tc>
          <w:tcPr>
            <w:tcW w:w="100" w:type="dxa"/>
            <w:vAlign w:val="bottom"/>
            <w:tcBorders>
              <w:bottom w:val="single" w:sz="8" w:color="CFF0FC"/>
            </w:tcBorders>
            <w:shd w:val="clear" w:color="auto" w:fill="CFF0FC"/>
          </w:tcPr>
          <w:p>
            <w:pPr>
              <w:spacing w:after="0"/>
              <w:rPr>
                <w:sz w:val="13"/>
                <w:szCs w:val="13"/>
                <w:color w:val="auto"/>
              </w:rPr>
            </w:pPr>
          </w:p>
        </w:tc>
        <w:tc>
          <w:tcPr>
            <w:tcW w:w="740" w:type="dxa"/>
            <w:vAlign w:val="bottom"/>
            <w:tcBorders>
              <w:bottom w:val="single" w:sz="8" w:color="auto"/>
            </w:tcBorders>
            <w:shd w:val="clear" w:color="auto" w:fill="CFF0FC"/>
          </w:tcPr>
          <w:p>
            <w:pPr>
              <w:jc w:val="right"/>
              <w:ind w:right="593"/>
              <w:spacing w:after="0"/>
              <w:rPr>
                <w:sz w:val="20"/>
                <w:szCs w:val="20"/>
                <w:color w:val="auto"/>
              </w:rPr>
            </w:pPr>
            <w:r>
              <w:rPr>
                <w:rFonts w:ascii="Arial" w:cs="Arial" w:eastAsia="Arial" w:hAnsi="Arial"/>
                <w:sz w:val="13"/>
                <w:szCs w:val="13"/>
                <w:color w:val="auto"/>
                <w:w w:val="82"/>
              </w:rPr>
              <w:t>$</w:t>
            </w:r>
          </w:p>
        </w:tc>
        <w:tc>
          <w:tcPr>
            <w:tcW w:w="340" w:type="dxa"/>
            <w:vAlign w:val="bottom"/>
            <w:tcBorders>
              <w:bottom w:val="single" w:sz="8" w:color="auto"/>
            </w:tcBorders>
            <w:shd w:val="clear" w:color="auto" w:fill="CFF0FC"/>
          </w:tcPr>
          <w:p>
            <w:pPr>
              <w:jc w:val="right"/>
              <w:ind w:right="53"/>
              <w:spacing w:after="0"/>
              <w:rPr>
                <w:sz w:val="20"/>
                <w:szCs w:val="20"/>
                <w:color w:val="auto"/>
              </w:rPr>
            </w:pPr>
            <w:r>
              <w:rPr>
                <w:rFonts w:ascii="Arial" w:cs="Arial" w:eastAsia="Arial" w:hAnsi="Arial"/>
                <w:sz w:val="13"/>
                <w:szCs w:val="13"/>
                <w:color w:val="auto"/>
              </w:rPr>
              <w:t>8</w:t>
            </w:r>
          </w:p>
        </w:tc>
        <w:tc>
          <w:tcPr>
            <w:tcW w:w="10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Borders>
              <w:bottom w:val="single" w:sz="8" w:color="auto"/>
            </w:tcBorders>
            <w:shd w:val="clear" w:color="auto" w:fill="CFF0FC"/>
          </w:tcPr>
          <w:p>
            <w:pPr>
              <w:jc w:val="right"/>
              <w:ind w:right="53"/>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FF0FC"/>
            </w:tcBorders>
            <w:shd w:val="clear" w:color="auto" w:fill="CFF0FC"/>
          </w:tcPr>
          <w:p>
            <w:pPr>
              <w:spacing w:after="0"/>
              <w:rPr>
                <w:sz w:val="13"/>
                <w:szCs w:val="13"/>
                <w:color w:val="auto"/>
              </w:rPr>
            </w:pPr>
          </w:p>
        </w:tc>
        <w:tc>
          <w:tcPr>
            <w:tcW w:w="18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3"/>
                <w:szCs w:val="13"/>
                <w:color w:val="auto"/>
                <w:w w:val="82"/>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(573,860)</w:t>
            </w:r>
          </w:p>
        </w:tc>
        <w:tc>
          <w:tcPr>
            <w:tcW w:w="100" w:type="dxa"/>
            <w:vAlign w:val="bottom"/>
            <w:tcBorders>
              <w:bottom w:val="single" w:sz="8" w:color="CFF0FC"/>
            </w:tcBorders>
            <w:shd w:val="clear" w:color="auto" w:fill="CFF0FC"/>
          </w:tcPr>
          <w:p>
            <w:pPr>
              <w:spacing w:after="0"/>
              <w:rPr>
                <w:sz w:val="13"/>
                <w:szCs w:val="13"/>
                <w:color w:val="auto"/>
              </w:rPr>
            </w:pPr>
          </w:p>
        </w:tc>
        <w:tc>
          <w:tcPr>
            <w:tcW w:w="18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3"/>
                <w:szCs w:val="13"/>
                <w:color w:val="auto"/>
                <w:w w:val="82"/>
              </w:rPr>
              <w:t>$</w:t>
            </w:r>
          </w:p>
        </w:tc>
        <w:tc>
          <w:tcPr>
            <w:tcW w:w="940" w:type="dxa"/>
            <w:vAlign w:val="bottom"/>
            <w:tcBorders>
              <w:bottom w:val="single" w:sz="8" w:color="auto"/>
            </w:tcBorders>
            <w:shd w:val="clear" w:color="auto" w:fill="CFF0FC"/>
          </w:tcPr>
          <w:p>
            <w:pPr>
              <w:jc w:val="right"/>
              <w:ind w:right="13"/>
              <w:spacing w:after="0"/>
              <w:rPr>
                <w:sz w:val="20"/>
                <w:szCs w:val="20"/>
                <w:color w:val="auto"/>
              </w:rPr>
            </w:pPr>
            <w:r>
              <w:rPr>
                <w:rFonts w:ascii="Arial" w:cs="Arial" w:eastAsia="Arial" w:hAnsi="Arial"/>
                <w:sz w:val="13"/>
                <w:szCs w:val="13"/>
                <w:color w:val="auto"/>
              </w:rPr>
              <w:t>(573,852)</w:t>
            </w:r>
          </w:p>
        </w:tc>
      </w:tr>
      <w:tr>
        <w:trPr>
          <w:trHeight w:val="20"/>
        </w:trPr>
        <w:tc>
          <w:tcPr>
            <w:tcW w:w="29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40"/>
        </w:trPr>
        <w:tc>
          <w:tcPr>
            <w:tcW w:w="2980" w:type="dxa"/>
            <w:vAlign w:val="bottom"/>
          </w:tcPr>
          <w:p>
            <w:pPr>
              <w:ind w:left="240"/>
              <w:spacing w:after="0" w:line="140" w:lineRule="exact"/>
              <w:rPr>
                <w:sz w:val="20"/>
                <w:szCs w:val="20"/>
                <w:color w:val="auto"/>
              </w:rPr>
            </w:pPr>
            <w:r>
              <w:rPr>
                <w:rFonts w:ascii="Arial" w:cs="Arial" w:eastAsia="Arial" w:hAnsi="Arial"/>
                <w:sz w:val="13"/>
                <w:szCs w:val="13"/>
                <w:color w:val="auto"/>
              </w:rPr>
              <w:t>Stock-based compensation</w:t>
            </w:r>
          </w:p>
        </w:tc>
        <w:tc>
          <w:tcPr>
            <w:tcW w:w="1180" w:type="dxa"/>
            <w:vAlign w:val="bottom"/>
            <w:gridSpan w:val="2"/>
          </w:tcPr>
          <w:p>
            <w:pPr>
              <w:jc w:val="right"/>
              <w:ind w:right="220"/>
              <w:spacing w:after="0" w:line="140" w:lineRule="exact"/>
              <w:rPr>
                <w:sz w:val="20"/>
                <w:szCs w:val="20"/>
                <w:color w:val="auto"/>
              </w:rPr>
            </w:pPr>
            <w:r>
              <w:rPr>
                <w:rFonts w:ascii="Arial" w:cs="Arial" w:eastAsia="Arial" w:hAnsi="Arial"/>
                <w:sz w:val="13"/>
                <w:szCs w:val="13"/>
                <w:color w:val="auto"/>
              </w:rPr>
              <w:t>—</w:t>
            </w:r>
          </w:p>
        </w:tc>
        <w:tc>
          <w:tcPr>
            <w:tcW w:w="160" w:type="dxa"/>
            <w:vAlign w:val="bottom"/>
          </w:tcPr>
          <w:p>
            <w:pPr>
              <w:jc w:val="right"/>
              <w:ind w:right="13"/>
              <w:spacing w:after="0" w:line="140" w:lineRule="exact"/>
              <w:rPr>
                <w:sz w:val="20"/>
                <w:szCs w:val="20"/>
                <w:color w:val="auto"/>
              </w:rPr>
            </w:pPr>
            <w:r>
              <w:rPr>
                <w:rFonts w:ascii="Arial" w:cs="Arial" w:eastAsia="Arial" w:hAnsi="Arial"/>
                <w:sz w:val="13"/>
                <w:szCs w:val="13"/>
                <w:color w:val="auto"/>
                <w:w w:val="82"/>
              </w:rPr>
              <w:t>$</w:t>
            </w:r>
          </w:p>
        </w:tc>
        <w:tc>
          <w:tcPr>
            <w:tcW w:w="1000" w:type="dxa"/>
            <w:vAlign w:val="bottom"/>
            <w:tcBorders>
              <w:right w:val="single" w:sz="8" w:color="auto"/>
            </w:tcBorders>
          </w:tcPr>
          <w:p>
            <w:pPr>
              <w:jc w:val="right"/>
              <w:ind w:right="133"/>
              <w:spacing w:after="0" w:line="140"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1180" w:type="dxa"/>
            <w:vAlign w:val="bottom"/>
            <w:gridSpan w:val="2"/>
          </w:tcPr>
          <w:p>
            <w:pPr>
              <w:jc w:val="right"/>
              <w:ind w:right="220"/>
              <w:spacing w:after="0" w:line="140" w:lineRule="exact"/>
              <w:rPr>
                <w:sz w:val="20"/>
                <w:szCs w:val="20"/>
                <w:color w:val="auto"/>
              </w:rPr>
            </w:pPr>
            <w:r>
              <w:rPr>
                <w:rFonts w:ascii="Arial" w:cs="Arial" w:eastAsia="Arial" w:hAnsi="Arial"/>
                <w:sz w:val="13"/>
                <w:szCs w:val="13"/>
                <w:color w:val="auto"/>
              </w:rPr>
              <w:t>—</w:t>
            </w:r>
          </w:p>
        </w:tc>
        <w:tc>
          <w:tcPr>
            <w:tcW w:w="740" w:type="dxa"/>
            <w:vAlign w:val="bottom"/>
          </w:tcPr>
          <w:p>
            <w:pPr>
              <w:jc w:val="right"/>
              <w:ind w:right="593"/>
              <w:spacing w:after="0" w:line="140" w:lineRule="exact"/>
              <w:rPr>
                <w:sz w:val="20"/>
                <w:szCs w:val="20"/>
                <w:color w:val="auto"/>
              </w:rPr>
            </w:pPr>
            <w:r>
              <w:rPr>
                <w:rFonts w:ascii="Arial" w:cs="Arial" w:eastAsia="Arial" w:hAnsi="Arial"/>
                <w:sz w:val="13"/>
                <w:szCs w:val="13"/>
                <w:color w:val="auto"/>
                <w:w w:val="82"/>
              </w:rPr>
              <w:t>$</w:t>
            </w:r>
          </w:p>
        </w:tc>
        <w:tc>
          <w:tcPr>
            <w:tcW w:w="340" w:type="dxa"/>
            <w:vAlign w:val="bottom"/>
          </w:tcPr>
          <w:p>
            <w:pPr>
              <w:jc w:val="right"/>
              <w:ind w:right="53"/>
              <w:spacing w:after="0" w:line="140" w:lineRule="exact"/>
              <w:rPr>
                <w:sz w:val="20"/>
                <w:szCs w:val="20"/>
                <w:color w:val="auto"/>
              </w:rPr>
            </w:pPr>
            <w:r>
              <w:rPr>
                <w:rFonts w:ascii="Arial" w:cs="Arial" w:eastAsia="Arial" w:hAnsi="Arial"/>
                <w:sz w:val="13"/>
                <w:szCs w:val="13"/>
                <w:color w:val="auto"/>
              </w:rPr>
              <w:t>—</w:t>
            </w:r>
          </w:p>
        </w:tc>
        <w:tc>
          <w:tcPr>
            <w:tcW w:w="220" w:type="dxa"/>
            <w:vAlign w:val="bottom"/>
            <w:gridSpan w:val="2"/>
          </w:tcPr>
          <w:p>
            <w:pPr>
              <w:jc w:val="right"/>
              <w:spacing w:after="0" w:line="140" w:lineRule="exact"/>
              <w:rPr>
                <w:sz w:val="20"/>
                <w:szCs w:val="20"/>
                <w:color w:val="auto"/>
              </w:rPr>
            </w:pPr>
            <w:r>
              <w:rPr>
                <w:rFonts w:ascii="Arial" w:cs="Arial" w:eastAsia="Arial" w:hAnsi="Arial"/>
                <w:sz w:val="13"/>
                <w:szCs w:val="13"/>
                <w:color w:val="auto"/>
              </w:rPr>
              <w:t>$</w:t>
            </w:r>
          </w:p>
        </w:tc>
        <w:tc>
          <w:tcPr>
            <w:tcW w:w="980" w:type="dxa"/>
            <w:vAlign w:val="bottom"/>
          </w:tcPr>
          <w:p>
            <w:pPr>
              <w:jc w:val="right"/>
              <w:ind w:right="53"/>
              <w:spacing w:after="0" w:line="140" w:lineRule="exact"/>
              <w:rPr>
                <w:sz w:val="20"/>
                <w:szCs w:val="20"/>
                <w:color w:val="auto"/>
              </w:rPr>
            </w:pPr>
            <w:r>
              <w:rPr>
                <w:rFonts w:ascii="Arial" w:cs="Arial" w:eastAsia="Arial" w:hAnsi="Arial"/>
                <w:sz w:val="13"/>
                <w:szCs w:val="13"/>
                <w:color w:val="auto"/>
              </w:rPr>
              <w:t>600</w:t>
            </w:r>
          </w:p>
        </w:tc>
        <w:tc>
          <w:tcPr>
            <w:tcW w:w="280" w:type="dxa"/>
            <w:vAlign w:val="bottom"/>
            <w:gridSpan w:val="2"/>
          </w:tcPr>
          <w:p>
            <w:pPr>
              <w:jc w:val="right"/>
              <w:ind w:right="33"/>
              <w:spacing w:after="0" w:line="140" w:lineRule="exact"/>
              <w:rPr>
                <w:sz w:val="20"/>
                <w:szCs w:val="20"/>
                <w:color w:val="auto"/>
              </w:rPr>
            </w:pPr>
            <w:r>
              <w:rPr>
                <w:rFonts w:ascii="Arial" w:cs="Arial" w:eastAsia="Arial" w:hAnsi="Arial"/>
                <w:sz w:val="13"/>
                <w:szCs w:val="13"/>
                <w:color w:val="auto"/>
              </w:rPr>
              <w:t>$</w:t>
            </w:r>
          </w:p>
        </w:tc>
        <w:tc>
          <w:tcPr>
            <w:tcW w:w="1020" w:type="dxa"/>
            <w:vAlign w:val="bottom"/>
            <w:gridSpan w:val="2"/>
          </w:tcPr>
          <w:p>
            <w:pPr>
              <w:jc w:val="right"/>
              <w:ind w:right="220"/>
              <w:spacing w:after="0" w:line="140" w:lineRule="exact"/>
              <w:rPr>
                <w:sz w:val="20"/>
                <w:szCs w:val="20"/>
                <w:color w:val="auto"/>
              </w:rPr>
            </w:pPr>
            <w:r>
              <w:rPr>
                <w:rFonts w:ascii="Arial" w:cs="Arial" w:eastAsia="Arial" w:hAnsi="Arial"/>
                <w:sz w:val="13"/>
                <w:szCs w:val="13"/>
                <w:color w:val="auto"/>
              </w:rPr>
              <w:t>—</w:t>
            </w:r>
          </w:p>
        </w:tc>
        <w:tc>
          <w:tcPr>
            <w:tcW w:w="180" w:type="dxa"/>
            <w:vAlign w:val="bottom"/>
          </w:tcPr>
          <w:p>
            <w:pPr>
              <w:jc w:val="right"/>
              <w:ind w:right="33"/>
              <w:spacing w:after="0" w:line="140" w:lineRule="exact"/>
              <w:rPr>
                <w:sz w:val="20"/>
                <w:szCs w:val="20"/>
                <w:color w:val="auto"/>
              </w:rPr>
            </w:pPr>
            <w:r>
              <w:rPr>
                <w:rFonts w:ascii="Arial" w:cs="Arial" w:eastAsia="Arial" w:hAnsi="Arial"/>
                <w:sz w:val="13"/>
                <w:szCs w:val="13"/>
                <w:color w:val="auto"/>
                <w:w w:val="82"/>
              </w:rPr>
              <w:t>$</w:t>
            </w:r>
          </w:p>
        </w:tc>
        <w:tc>
          <w:tcPr>
            <w:tcW w:w="940" w:type="dxa"/>
            <w:vAlign w:val="bottom"/>
          </w:tcPr>
          <w:p>
            <w:pPr>
              <w:jc w:val="right"/>
              <w:ind w:right="73"/>
              <w:spacing w:after="0" w:line="140" w:lineRule="exact"/>
              <w:rPr>
                <w:sz w:val="20"/>
                <w:szCs w:val="20"/>
                <w:color w:val="auto"/>
              </w:rPr>
            </w:pPr>
            <w:r>
              <w:rPr>
                <w:rFonts w:ascii="Arial" w:cs="Arial" w:eastAsia="Arial" w:hAnsi="Arial"/>
                <w:sz w:val="13"/>
                <w:szCs w:val="13"/>
                <w:color w:val="auto"/>
              </w:rPr>
              <w:t>600</w:t>
            </w:r>
          </w:p>
        </w:tc>
      </w:tr>
      <w:tr>
        <w:trPr>
          <w:trHeight w:val="160"/>
        </w:trPr>
        <w:tc>
          <w:tcPr>
            <w:tcW w:w="2980" w:type="dxa"/>
            <w:vAlign w:val="bottom"/>
            <w:shd w:val="clear" w:color="auto" w:fill="CFF0FC"/>
          </w:tcPr>
          <w:p>
            <w:pPr>
              <w:ind w:left="240"/>
              <w:spacing w:after="0"/>
              <w:rPr>
                <w:sz w:val="20"/>
                <w:szCs w:val="20"/>
                <w:color w:val="auto"/>
              </w:rPr>
            </w:pPr>
            <w:r>
              <w:rPr>
                <w:rFonts w:ascii="Arial" w:cs="Arial" w:eastAsia="Arial" w:hAnsi="Arial"/>
                <w:sz w:val="13"/>
                <w:szCs w:val="13"/>
                <w:color w:val="auto"/>
              </w:rPr>
              <w:t>Exercise of stock options</w:t>
            </w:r>
          </w:p>
        </w:tc>
        <w:tc>
          <w:tcPr>
            <w:tcW w:w="118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3"/>
                <w:szCs w:val="13"/>
                <w:color w:val="auto"/>
              </w:rPr>
            </w:pPr>
          </w:p>
        </w:tc>
        <w:tc>
          <w:tcPr>
            <w:tcW w:w="1000" w:type="dxa"/>
            <w:vAlign w:val="bottom"/>
            <w:tcBorders>
              <w:right w:val="single" w:sz="8" w:color="auto"/>
            </w:tcBorders>
            <w:shd w:val="clear" w:color="auto" w:fill="CFF0FC"/>
          </w:tcPr>
          <w:p>
            <w:pPr>
              <w:jc w:val="right"/>
              <w:ind w:right="133"/>
              <w:spacing w:after="0"/>
              <w:rPr>
                <w:sz w:val="20"/>
                <w:szCs w:val="20"/>
                <w:color w:val="auto"/>
              </w:rPr>
            </w:pPr>
            <w:r>
              <w:rPr>
                <w:rFonts w:ascii="Arial" w:cs="Arial" w:eastAsia="Arial" w:hAnsi="Arial"/>
                <w:sz w:val="13"/>
                <w:szCs w:val="13"/>
                <w:color w:val="auto"/>
              </w:rPr>
              <w:t>—</w:t>
            </w:r>
          </w:p>
        </w:tc>
        <w:tc>
          <w:tcPr>
            <w:tcW w:w="40" w:type="dxa"/>
            <w:vAlign w:val="bottom"/>
            <w:shd w:val="clear" w:color="auto" w:fill="CFF0FC"/>
          </w:tcPr>
          <w:p>
            <w:pPr>
              <w:spacing w:after="0"/>
              <w:rPr>
                <w:sz w:val="13"/>
                <w:szCs w:val="13"/>
                <w:color w:val="auto"/>
              </w:rPr>
            </w:pPr>
          </w:p>
        </w:tc>
        <w:tc>
          <w:tcPr>
            <w:tcW w:w="108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rPr>
              <w:t>2,774</w:t>
            </w:r>
          </w:p>
        </w:tc>
        <w:tc>
          <w:tcPr>
            <w:tcW w:w="10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34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8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rPr>
              <w:t>6</w:t>
            </w:r>
          </w:p>
        </w:tc>
        <w:tc>
          <w:tcPr>
            <w:tcW w:w="1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02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3"/>
                <w:szCs w:val="13"/>
                <w:color w:val="auto"/>
              </w:rPr>
            </w:pPr>
          </w:p>
        </w:tc>
        <w:tc>
          <w:tcPr>
            <w:tcW w:w="940" w:type="dxa"/>
            <w:vAlign w:val="bottom"/>
            <w:shd w:val="clear" w:color="auto" w:fill="CFF0FC"/>
          </w:tcPr>
          <w:p>
            <w:pPr>
              <w:jc w:val="right"/>
              <w:ind w:right="73"/>
              <w:spacing w:after="0"/>
              <w:rPr>
                <w:sz w:val="20"/>
                <w:szCs w:val="20"/>
                <w:color w:val="auto"/>
              </w:rPr>
            </w:pPr>
            <w:r>
              <w:rPr>
                <w:rFonts w:ascii="Arial" w:cs="Arial" w:eastAsia="Arial" w:hAnsi="Arial"/>
                <w:sz w:val="13"/>
                <w:szCs w:val="13"/>
                <w:color w:val="auto"/>
              </w:rPr>
              <w:t>6</w:t>
            </w:r>
          </w:p>
        </w:tc>
      </w:tr>
      <w:tr>
        <w:trPr>
          <w:trHeight w:val="160"/>
        </w:trPr>
        <w:tc>
          <w:tcPr>
            <w:tcW w:w="2980" w:type="dxa"/>
            <w:vAlign w:val="bottom"/>
          </w:tcPr>
          <w:p>
            <w:pPr>
              <w:ind w:left="240"/>
              <w:spacing w:after="0"/>
              <w:rPr>
                <w:sz w:val="20"/>
                <w:szCs w:val="20"/>
                <w:color w:val="auto"/>
              </w:rPr>
            </w:pPr>
            <w:r>
              <w:rPr>
                <w:rFonts w:ascii="Arial" w:cs="Arial" w:eastAsia="Arial" w:hAnsi="Arial"/>
                <w:sz w:val="13"/>
                <w:szCs w:val="13"/>
                <w:color w:val="auto"/>
              </w:rPr>
              <w:t>Repurchase of common stock</w:t>
            </w:r>
          </w:p>
        </w:tc>
        <w:tc>
          <w:tcPr>
            <w:tcW w:w="11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1000" w:type="dxa"/>
            <w:vAlign w:val="bottom"/>
            <w:tcBorders>
              <w:right w:val="single" w:sz="8" w:color="auto"/>
            </w:tcBorders>
          </w:tcPr>
          <w:p>
            <w:pPr>
              <w:jc w:val="right"/>
              <w:ind w:right="133"/>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(200,000)</w:t>
            </w: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4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(606)</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(1,212)</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jc w:val="right"/>
              <w:ind w:right="13"/>
              <w:spacing w:after="0"/>
              <w:rPr>
                <w:sz w:val="20"/>
                <w:szCs w:val="20"/>
                <w:color w:val="auto"/>
              </w:rPr>
            </w:pPr>
            <w:r>
              <w:rPr>
                <w:rFonts w:ascii="Arial" w:cs="Arial" w:eastAsia="Arial" w:hAnsi="Arial"/>
                <w:sz w:val="13"/>
                <w:szCs w:val="13"/>
                <w:color w:val="auto"/>
              </w:rPr>
              <w:t>(1,818)</w:t>
            </w:r>
          </w:p>
        </w:tc>
      </w:tr>
      <w:tr>
        <w:trPr>
          <w:trHeight w:val="159"/>
        </w:trPr>
        <w:tc>
          <w:tcPr>
            <w:tcW w:w="2980" w:type="dxa"/>
            <w:vAlign w:val="bottom"/>
            <w:shd w:val="clear" w:color="auto" w:fill="CFF0FC"/>
          </w:tcPr>
          <w:p>
            <w:pPr>
              <w:ind w:left="240"/>
              <w:spacing w:after="0"/>
              <w:rPr>
                <w:sz w:val="20"/>
                <w:szCs w:val="20"/>
                <w:color w:val="auto"/>
              </w:rPr>
            </w:pPr>
            <w:r>
              <w:rPr>
                <w:rFonts w:ascii="Arial" w:cs="Arial" w:eastAsia="Arial" w:hAnsi="Arial"/>
                <w:sz w:val="13"/>
                <w:szCs w:val="13"/>
                <w:color w:val="auto"/>
              </w:rPr>
              <w:t>Issuance of Series H redeemable</w:t>
            </w:r>
          </w:p>
        </w:tc>
        <w:tc>
          <w:tcPr>
            <w:tcW w:w="10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0" w:type="dxa"/>
            <w:vAlign w:val="bottom"/>
            <w:tcBorders>
              <w:right w:val="single" w:sz="8" w:color="auto"/>
            </w:tcBorders>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r>
      <w:tr>
        <w:trPr>
          <w:trHeight w:val="146"/>
        </w:trPr>
        <w:tc>
          <w:tcPr>
            <w:tcW w:w="2980" w:type="dxa"/>
            <w:vAlign w:val="bottom"/>
            <w:shd w:val="clear" w:color="auto" w:fill="CFF0FC"/>
          </w:tcPr>
          <w:p>
            <w:pPr>
              <w:ind w:left="240"/>
              <w:spacing w:after="0" w:line="147" w:lineRule="exact"/>
              <w:rPr>
                <w:sz w:val="20"/>
                <w:szCs w:val="20"/>
                <w:color w:val="auto"/>
              </w:rPr>
            </w:pPr>
            <w:r>
              <w:rPr>
                <w:rFonts w:ascii="Arial" w:cs="Arial" w:eastAsia="Arial" w:hAnsi="Arial"/>
                <w:sz w:val="13"/>
                <w:szCs w:val="13"/>
                <w:color w:val="auto"/>
              </w:rPr>
              <w:t>convertible preferred stock, net of issuance</w:t>
            </w:r>
          </w:p>
        </w:tc>
        <w:tc>
          <w:tcPr>
            <w:tcW w:w="10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0" w:type="dxa"/>
            <w:vAlign w:val="bottom"/>
            <w:tcBorders>
              <w:right w:val="single" w:sz="8" w:color="auto"/>
            </w:tcBorders>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r>
      <w:tr>
        <w:trPr>
          <w:trHeight w:val="147"/>
        </w:trPr>
        <w:tc>
          <w:tcPr>
            <w:tcW w:w="2980" w:type="dxa"/>
            <w:vAlign w:val="bottom"/>
            <w:shd w:val="clear" w:color="auto" w:fill="CFF0FC"/>
          </w:tcPr>
          <w:p>
            <w:pPr>
              <w:ind w:left="240"/>
              <w:spacing w:after="0" w:line="148" w:lineRule="exact"/>
              <w:rPr>
                <w:sz w:val="20"/>
                <w:szCs w:val="20"/>
                <w:color w:val="auto"/>
              </w:rPr>
            </w:pPr>
            <w:r>
              <w:rPr>
                <w:rFonts w:ascii="Arial" w:cs="Arial" w:eastAsia="Arial" w:hAnsi="Arial"/>
                <w:sz w:val="13"/>
                <w:szCs w:val="13"/>
                <w:color w:val="auto"/>
              </w:rPr>
              <w:t>costs</w:t>
            </w:r>
          </w:p>
        </w:tc>
        <w:tc>
          <w:tcPr>
            <w:tcW w:w="1080" w:type="dxa"/>
            <w:vAlign w:val="bottom"/>
            <w:shd w:val="clear" w:color="auto" w:fill="CFF0FC"/>
          </w:tcPr>
          <w:p>
            <w:pPr>
              <w:jc w:val="right"/>
              <w:ind w:right="53"/>
              <w:spacing w:after="0" w:line="148" w:lineRule="exact"/>
              <w:rPr>
                <w:sz w:val="20"/>
                <w:szCs w:val="20"/>
                <w:color w:val="auto"/>
              </w:rPr>
            </w:pPr>
            <w:r>
              <w:rPr>
                <w:rFonts w:ascii="Arial" w:cs="Arial" w:eastAsia="Arial" w:hAnsi="Arial"/>
                <w:sz w:val="13"/>
                <w:szCs w:val="13"/>
                <w:color w:val="auto"/>
              </w:rPr>
              <w:t>1,964,766</w:t>
            </w: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0" w:type="dxa"/>
            <w:vAlign w:val="bottom"/>
            <w:tcBorders>
              <w:right w:val="single" w:sz="8" w:color="auto"/>
            </w:tcBorders>
            <w:shd w:val="clear" w:color="auto" w:fill="CFF0FC"/>
          </w:tcPr>
          <w:p>
            <w:pPr>
              <w:jc w:val="right"/>
              <w:ind w:right="133"/>
              <w:spacing w:after="0" w:line="148" w:lineRule="exact"/>
              <w:rPr>
                <w:sz w:val="20"/>
                <w:szCs w:val="20"/>
                <w:color w:val="auto"/>
              </w:rPr>
            </w:pPr>
            <w:r>
              <w:rPr>
                <w:rFonts w:ascii="Arial" w:cs="Arial" w:eastAsia="Arial" w:hAnsi="Arial"/>
                <w:sz w:val="13"/>
                <w:szCs w:val="13"/>
                <w:color w:val="auto"/>
              </w:rPr>
              <w:t>26,714</w:t>
            </w:r>
          </w:p>
        </w:tc>
        <w:tc>
          <w:tcPr>
            <w:tcW w:w="40" w:type="dxa"/>
            <w:vAlign w:val="bottom"/>
            <w:shd w:val="clear" w:color="auto" w:fill="CFF0FC"/>
          </w:tcPr>
          <w:p>
            <w:pPr>
              <w:spacing w:after="0"/>
              <w:rPr>
                <w:sz w:val="12"/>
                <w:szCs w:val="12"/>
                <w:color w:val="auto"/>
              </w:rPr>
            </w:pPr>
          </w:p>
        </w:tc>
        <w:tc>
          <w:tcPr>
            <w:tcW w:w="1180" w:type="dxa"/>
            <w:vAlign w:val="bottom"/>
            <w:gridSpan w:val="2"/>
            <w:shd w:val="clear" w:color="auto" w:fill="CFF0FC"/>
          </w:tcPr>
          <w:p>
            <w:pPr>
              <w:jc w:val="right"/>
              <w:ind w:right="220"/>
              <w:spacing w:after="0" w:line="148" w:lineRule="exact"/>
              <w:rPr>
                <w:sz w:val="20"/>
                <w:szCs w:val="20"/>
                <w:color w:val="auto"/>
              </w:rPr>
            </w:pPr>
            <w:r>
              <w:rPr>
                <w:rFonts w:ascii="Arial" w:cs="Arial" w:eastAsia="Arial" w:hAnsi="Arial"/>
                <w:sz w:val="13"/>
                <w:szCs w:val="13"/>
                <w:color w:val="auto"/>
              </w:rPr>
              <w:t>—</w:t>
            </w:r>
          </w:p>
        </w:tc>
        <w:tc>
          <w:tcPr>
            <w:tcW w:w="740" w:type="dxa"/>
            <w:vAlign w:val="bottom"/>
            <w:shd w:val="clear" w:color="auto" w:fill="CFF0FC"/>
          </w:tcPr>
          <w:p>
            <w:pPr>
              <w:spacing w:after="0"/>
              <w:rPr>
                <w:sz w:val="12"/>
                <w:szCs w:val="12"/>
                <w:color w:val="auto"/>
              </w:rPr>
            </w:pPr>
          </w:p>
        </w:tc>
        <w:tc>
          <w:tcPr>
            <w:tcW w:w="340" w:type="dxa"/>
            <w:vAlign w:val="bottom"/>
            <w:shd w:val="clear" w:color="auto" w:fill="CFF0FC"/>
          </w:tcPr>
          <w:p>
            <w:pPr>
              <w:jc w:val="right"/>
              <w:ind w:right="53"/>
              <w:spacing w:after="0" w:line="148" w:lineRule="exact"/>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80" w:type="dxa"/>
            <w:vAlign w:val="bottom"/>
            <w:shd w:val="clear" w:color="auto" w:fill="CFF0FC"/>
          </w:tcPr>
          <w:p>
            <w:pPr>
              <w:jc w:val="right"/>
              <w:ind w:right="53"/>
              <w:spacing w:after="0" w:line="148" w:lineRule="exact"/>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20" w:type="dxa"/>
            <w:vAlign w:val="bottom"/>
            <w:gridSpan w:val="2"/>
            <w:shd w:val="clear" w:color="auto" w:fill="CFF0FC"/>
          </w:tcPr>
          <w:p>
            <w:pPr>
              <w:jc w:val="right"/>
              <w:ind w:right="220"/>
              <w:spacing w:after="0" w:line="148" w:lineRule="exact"/>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2"/>
                <w:szCs w:val="12"/>
                <w:color w:val="auto"/>
              </w:rPr>
            </w:pPr>
          </w:p>
        </w:tc>
        <w:tc>
          <w:tcPr>
            <w:tcW w:w="940" w:type="dxa"/>
            <w:vAlign w:val="bottom"/>
            <w:shd w:val="clear" w:color="auto" w:fill="CFF0FC"/>
          </w:tcPr>
          <w:p>
            <w:pPr>
              <w:jc w:val="right"/>
              <w:ind w:right="73"/>
              <w:spacing w:after="0" w:line="148" w:lineRule="exact"/>
              <w:rPr>
                <w:sz w:val="20"/>
                <w:szCs w:val="20"/>
                <w:color w:val="auto"/>
              </w:rPr>
            </w:pPr>
            <w:r>
              <w:rPr>
                <w:rFonts w:ascii="Arial" w:cs="Arial" w:eastAsia="Arial" w:hAnsi="Arial"/>
                <w:sz w:val="13"/>
                <w:szCs w:val="13"/>
                <w:color w:val="auto"/>
              </w:rPr>
              <w:t>—</w:t>
            </w:r>
          </w:p>
        </w:tc>
      </w:tr>
      <w:tr>
        <w:trPr>
          <w:trHeight w:val="160"/>
        </w:trPr>
        <w:tc>
          <w:tcPr>
            <w:tcW w:w="2980" w:type="dxa"/>
            <w:vAlign w:val="bottom"/>
            <w:tcBorders>
              <w:bottom w:val="single" w:sz="8" w:color="CFF0FC"/>
            </w:tcBorders>
          </w:tcPr>
          <w:p>
            <w:pPr>
              <w:ind w:left="240"/>
              <w:spacing w:after="0"/>
              <w:rPr>
                <w:sz w:val="20"/>
                <w:szCs w:val="20"/>
                <w:color w:val="auto"/>
              </w:rPr>
            </w:pPr>
            <w:r>
              <w:rPr>
                <w:rFonts w:ascii="Arial" w:cs="Arial" w:eastAsia="Arial" w:hAnsi="Arial"/>
                <w:sz w:val="13"/>
                <w:szCs w:val="13"/>
                <w:color w:val="auto"/>
              </w:rPr>
              <w:t>Net loss</w:t>
            </w:r>
          </w:p>
        </w:tc>
        <w:tc>
          <w:tcPr>
            <w:tcW w:w="108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00" w:type="dxa"/>
            <w:vAlign w:val="bottom"/>
            <w:tcBorders>
              <w:bottom w:val="single" w:sz="8" w:color="auto"/>
              <w:right w:val="single" w:sz="8" w:color="auto"/>
            </w:tcBorders>
          </w:tcPr>
          <w:p>
            <w:pPr>
              <w:jc w:val="right"/>
              <w:ind w:right="133"/>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CFF0FC"/>
            </w:tcBorders>
          </w:tcPr>
          <w:p>
            <w:pPr>
              <w:spacing w:after="0"/>
              <w:rPr>
                <w:sz w:val="13"/>
                <w:szCs w:val="13"/>
                <w:color w:val="auto"/>
              </w:rPr>
            </w:pPr>
          </w:p>
        </w:tc>
        <w:tc>
          <w:tcPr>
            <w:tcW w:w="108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FF0FC"/>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(41,059)</w:t>
            </w:r>
          </w:p>
        </w:tc>
        <w:tc>
          <w:tcPr>
            <w:tcW w:w="10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(41,059)</w:t>
            </w:r>
          </w:p>
        </w:tc>
      </w:tr>
      <w:tr>
        <w:trPr>
          <w:trHeight w:val="153"/>
        </w:trPr>
        <w:tc>
          <w:tcPr>
            <w:tcW w:w="29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3"/>
                <w:szCs w:val="13"/>
                <w:color w:val="auto"/>
              </w:rPr>
              <w:t>Balance at March 31, 2020</w:t>
            </w:r>
          </w:p>
        </w:tc>
        <w:tc>
          <w:tcPr>
            <w:tcW w:w="1080" w:type="dxa"/>
            <w:vAlign w:val="bottom"/>
            <w:tcBorders>
              <w:bottom w:val="single" w:sz="8" w:color="auto"/>
            </w:tcBorders>
            <w:shd w:val="clear" w:color="auto" w:fill="CFF0FC"/>
          </w:tcPr>
          <w:p>
            <w:pPr>
              <w:jc w:val="right"/>
              <w:ind w:right="53"/>
              <w:spacing w:after="0"/>
              <w:rPr>
                <w:sz w:val="20"/>
                <w:szCs w:val="20"/>
                <w:color w:val="auto"/>
              </w:rPr>
            </w:pPr>
            <w:r>
              <w:rPr>
                <w:rFonts w:ascii="Arial" w:cs="Arial" w:eastAsia="Arial" w:hAnsi="Arial"/>
                <w:sz w:val="13"/>
                <w:szCs w:val="13"/>
                <w:color w:val="auto"/>
              </w:rPr>
              <w:t>85,533,394</w:t>
            </w:r>
          </w:p>
        </w:tc>
        <w:tc>
          <w:tcPr>
            <w:tcW w:w="100" w:type="dxa"/>
            <w:vAlign w:val="bottom"/>
            <w:tcBorders>
              <w:bottom w:val="single" w:sz="8" w:color="CFF0FC"/>
            </w:tcBorders>
            <w:shd w:val="clear" w:color="auto" w:fill="CFF0FC"/>
          </w:tcPr>
          <w:p>
            <w:pPr>
              <w:spacing w:after="0"/>
              <w:rPr>
                <w:sz w:val="13"/>
                <w:szCs w:val="13"/>
                <w:color w:val="auto"/>
              </w:rPr>
            </w:pPr>
          </w:p>
        </w:tc>
        <w:tc>
          <w:tcPr>
            <w:tcW w:w="160" w:type="dxa"/>
            <w:vAlign w:val="bottom"/>
            <w:tcBorders>
              <w:bottom w:val="single" w:sz="8" w:color="auto"/>
            </w:tcBorders>
            <w:shd w:val="clear" w:color="auto" w:fill="CFF0FC"/>
          </w:tcPr>
          <w:p>
            <w:pPr>
              <w:jc w:val="right"/>
              <w:ind w:right="13"/>
              <w:spacing w:after="0"/>
              <w:rPr>
                <w:sz w:val="20"/>
                <w:szCs w:val="20"/>
                <w:color w:val="auto"/>
              </w:rPr>
            </w:pPr>
            <w:r>
              <w:rPr>
                <w:rFonts w:ascii="Arial" w:cs="Arial" w:eastAsia="Arial" w:hAnsi="Arial"/>
                <w:sz w:val="13"/>
                <w:szCs w:val="13"/>
                <w:color w:val="auto"/>
                <w:w w:val="82"/>
              </w:rPr>
              <w:t>$</w:t>
            </w:r>
          </w:p>
        </w:tc>
        <w:tc>
          <w:tcPr>
            <w:tcW w:w="1000" w:type="dxa"/>
            <w:vAlign w:val="bottom"/>
            <w:tcBorders>
              <w:bottom w:val="single" w:sz="8" w:color="auto"/>
              <w:right w:val="single" w:sz="8" w:color="auto"/>
            </w:tcBorders>
            <w:shd w:val="clear" w:color="auto" w:fill="CFF0FC"/>
          </w:tcPr>
          <w:p>
            <w:pPr>
              <w:jc w:val="right"/>
              <w:ind w:right="133"/>
              <w:spacing w:after="0"/>
              <w:rPr>
                <w:sz w:val="20"/>
                <w:szCs w:val="20"/>
                <w:color w:val="auto"/>
              </w:rPr>
            </w:pPr>
            <w:r>
              <w:rPr>
                <w:rFonts w:ascii="Arial" w:cs="Arial" w:eastAsia="Arial" w:hAnsi="Arial"/>
                <w:sz w:val="13"/>
                <w:szCs w:val="13"/>
                <w:color w:val="auto"/>
              </w:rPr>
              <w:t>901,046</w:t>
            </w:r>
          </w:p>
        </w:tc>
        <w:tc>
          <w:tcPr>
            <w:tcW w:w="40" w:type="dxa"/>
            <w:vAlign w:val="bottom"/>
            <w:tcBorders>
              <w:bottom w:val="single" w:sz="8" w:color="CFF0FC"/>
            </w:tcBorders>
            <w:shd w:val="clear" w:color="auto" w:fill="CFF0FC"/>
          </w:tcPr>
          <w:p>
            <w:pPr>
              <w:spacing w:after="0"/>
              <w:rPr>
                <w:sz w:val="13"/>
                <w:szCs w:val="13"/>
                <w:color w:val="auto"/>
              </w:rPr>
            </w:pPr>
          </w:p>
        </w:tc>
        <w:tc>
          <w:tcPr>
            <w:tcW w:w="1080" w:type="dxa"/>
            <w:vAlign w:val="bottom"/>
            <w:tcBorders>
              <w:bottom w:val="single" w:sz="8" w:color="auto"/>
            </w:tcBorders>
            <w:shd w:val="clear" w:color="auto" w:fill="CFF0FC"/>
          </w:tcPr>
          <w:p>
            <w:pPr>
              <w:jc w:val="right"/>
              <w:ind w:right="53"/>
              <w:spacing w:after="0"/>
              <w:rPr>
                <w:sz w:val="20"/>
                <w:szCs w:val="20"/>
                <w:color w:val="auto"/>
              </w:rPr>
            </w:pPr>
            <w:r>
              <w:rPr>
                <w:rFonts w:ascii="Arial" w:cs="Arial" w:eastAsia="Arial" w:hAnsi="Arial"/>
                <w:sz w:val="13"/>
                <w:szCs w:val="13"/>
                <w:color w:val="auto"/>
              </w:rPr>
              <w:t>8,453,696</w:t>
            </w:r>
          </w:p>
        </w:tc>
        <w:tc>
          <w:tcPr>
            <w:tcW w:w="100" w:type="dxa"/>
            <w:vAlign w:val="bottom"/>
            <w:tcBorders>
              <w:bottom w:val="single" w:sz="8" w:color="CFF0FC"/>
            </w:tcBorders>
            <w:shd w:val="clear" w:color="auto" w:fill="CFF0FC"/>
          </w:tcPr>
          <w:p>
            <w:pPr>
              <w:spacing w:after="0"/>
              <w:rPr>
                <w:sz w:val="13"/>
                <w:szCs w:val="13"/>
                <w:color w:val="auto"/>
              </w:rPr>
            </w:pPr>
          </w:p>
        </w:tc>
        <w:tc>
          <w:tcPr>
            <w:tcW w:w="740" w:type="dxa"/>
            <w:vAlign w:val="bottom"/>
            <w:tcBorders>
              <w:bottom w:val="single" w:sz="8" w:color="auto"/>
            </w:tcBorders>
            <w:shd w:val="clear" w:color="auto" w:fill="CFF0FC"/>
          </w:tcPr>
          <w:p>
            <w:pPr>
              <w:jc w:val="right"/>
              <w:ind w:right="593"/>
              <w:spacing w:after="0"/>
              <w:rPr>
                <w:sz w:val="20"/>
                <w:szCs w:val="20"/>
                <w:color w:val="auto"/>
              </w:rPr>
            </w:pPr>
            <w:r>
              <w:rPr>
                <w:rFonts w:ascii="Arial" w:cs="Arial" w:eastAsia="Arial" w:hAnsi="Arial"/>
                <w:sz w:val="13"/>
                <w:szCs w:val="13"/>
                <w:color w:val="auto"/>
                <w:w w:val="82"/>
              </w:rPr>
              <w:t>$</w:t>
            </w:r>
          </w:p>
        </w:tc>
        <w:tc>
          <w:tcPr>
            <w:tcW w:w="340" w:type="dxa"/>
            <w:vAlign w:val="bottom"/>
            <w:tcBorders>
              <w:bottom w:val="single" w:sz="8" w:color="auto"/>
            </w:tcBorders>
            <w:shd w:val="clear" w:color="auto" w:fill="CFF0FC"/>
          </w:tcPr>
          <w:p>
            <w:pPr>
              <w:jc w:val="right"/>
              <w:ind w:right="53"/>
              <w:spacing w:after="0"/>
              <w:rPr>
                <w:sz w:val="20"/>
                <w:szCs w:val="20"/>
                <w:color w:val="auto"/>
              </w:rPr>
            </w:pPr>
            <w:r>
              <w:rPr>
                <w:rFonts w:ascii="Arial" w:cs="Arial" w:eastAsia="Arial" w:hAnsi="Arial"/>
                <w:sz w:val="13"/>
                <w:szCs w:val="13"/>
                <w:color w:val="auto"/>
              </w:rPr>
              <w:t>8</w:t>
            </w:r>
          </w:p>
        </w:tc>
        <w:tc>
          <w:tcPr>
            <w:tcW w:w="10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Borders>
              <w:bottom w:val="single" w:sz="8" w:color="auto"/>
            </w:tcBorders>
            <w:shd w:val="clear" w:color="auto" w:fill="CFF0FC"/>
          </w:tcPr>
          <w:p>
            <w:pPr>
              <w:jc w:val="right"/>
              <w:ind w:right="53"/>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FF0FC"/>
            </w:tcBorders>
            <w:shd w:val="clear" w:color="auto" w:fill="CFF0FC"/>
          </w:tcPr>
          <w:p>
            <w:pPr>
              <w:spacing w:after="0"/>
              <w:rPr>
                <w:sz w:val="13"/>
                <w:szCs w:val="13"/>
                <w:color w:val="auto"/>
              </w:rPr>
            </w:pPr>
          </w:p>
        </w:tc>
        <w:tc>
          <w:tcPr>
            <w:tcW w:w="18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3"/>
                <w:szCs w:val="13"/>
                <w:color w:val="auto"/>
                <w:w w:val="82"/>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(616,131)</w:t>
            </w:r>
          </w:p>
        </w:tc>
        <w:tc>
          <w:tcPr>
            <w:tcW w:w="100" w:type="dxa"/>
            <w:vAlign w:val="bottom"/>
            <w:tcBorders>
              <w:bottom w:val="single" w:sz="8" w:color="CFF0FC"/>
            </w:tcBorders>
            <w:shd w:val="clear" w:color="auto" w:fill="CFF0FC"/>
          </w:tcPr>
          <w:p>
            <w:pPr>
              <w:spacing w:after="0"/>
              <w:rPr>
                <w:sz w:val="13"/>
                <w:szCs w:val="13"/>
                <w:color w:val="auto"/>
              </w:rPr>
            </w:pPr>
          </w:p>
        </w:tc>
        <w:tc>
          <w:tcPr>
            <w:tcW w:w="18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3"/>
                <w:szCs w:val="13"/>
                <w:color w:val="auto"/>
                <w:w w:val="82"/>
              </w:rPr>
              <w:t>$</w:t>
            </w:r>
          </w:p>
        </w:tc>
        <w:tc>
          <w:tcPr>
            <w:tcW w:w="940" w:type="dxa"/>
            <w:vAlign w:val="bottom"/>
            <w:tcBorders>
              <w:bottom w:val="single" w:sz="8" w:color="auto"/>
            </w:tcBorders>
            <w:shd w:val="clear" w:color="auto" w:fill="CFF0FC"/>
          </w:tcPr>
          <w:p>
            <w:pPr>
              <w:jc w:val="right"/>
              <w:ind w:right="13"/>
              <w:spacing w:after="0"/>
              <w:rPr>
                <w:sz w:val="20"/>
                <w:szCs w:val="20"/>
                <w:color w:val="auto"/>
              </w:rPr>
            </w:pPr>
            <w:r>
              <w:rPr>
                <w:rFonts w:ascii="Arial" w:cs="Arial" w:eastAsia="Arial" w:hAnsi="Arial"/>
                <w:sz w:val="13"/>
                <w:szCs w:val="13"/>
                <w:color w:val="auto"/>
              </w:rPr>
              <w:t>(616,123)</w:t>
            </w:r>
          </w:p>
        </w:tc>
      </w:tr>
      <w:tr>
        <w:trPr>
          <w:trHeight w:val="20"/>
        </w:trPr>
        <w:tc>
          <w:tcPr>
            <w:tcW w:w="29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40"/>
        </w:trPr>
        <w:tc>
          <w:tcPr>
            <w:tcW w:w="2980" w:type="dxa"/>
            <w:vAlign w:val="bottom"/>
          </w:tcPr>
          <w:p>
            <w:pPr>
              <w:spacing w:after="0" w:line="140" w:lineRule="exact"/>
              <w:rPr>
                <w:sz w:val="20"/>
                <w:szCs w:val="20"/>
                <w:color w:val="auto"/>
              </w:rPr>
            </w:pPr>
            <w:r>
              <w:rPr>
                <w:rFonts w:ascii="Arial" w:cs="Arial" w:eastAsia="Arial" w:hAnsi="Arial"/>
                <w:sz w:val="13"/>
                <w:szCs w:val="13"/>
                <w:color w:val="auto"/>
              </w:rPr>
              <w:t>Issuance of common stock</w:t>
            </w:r>
          </w:p>
        </w:tc>
        <w:tc>
          <w:tcPr>
            <w:tcW w:w="1180" w:type="dxa"/>
            <w:vAlign w:val="bottom"/>
            <w:gridSpan w:val="2"/>
          </w:tcPr>
          <w:p>
            <w:pPr>
              <w:jc w:val="right"/>
              <w:ind w:right="220"/>
              <w:spacing w:after="0" w:line="140" w:lineRule="exact"/>
              <w:rPr>
                <w:sz w:val="20"/>
                <w:szCs w:val="20"/>
                <w:color w:val="auto"/>
              </w:rPr>
            </w:pPr>
            <w:r>
              <w:rPr>
                <w:rFonts w:ascii="Arial" w:cs="Arial" w:eastAsia="Arial" w:hAnsi="Arial"/>
                <w:sz w:val="13"/>
                <w:szCs w:val="13"/>
                <w:color w:val="auto"/>
              </w:rPr>
              <w:t>—</w:t>
            </w:r>
          </w:p>
        </w:tc>
        <w:tc>
          <w:tcPr>
            <w:tcW w:w="160" w:type="dxa"/>
            <w:vAlign w:val="bottom"/>
          </w:tcPr>
          <w:p>
            <w:pPr>
              <w:jc w:val="right"/>
              <w:ind w:right="13"/>
              <w:spacing w:after="0" w:line="140" w:lineRule="exact"/>
              <w:rPr>
                <w:sz w:val="20"/>
                <w:szCs w:val="20"/>
                <w:color w:val="auto"/>
              </w:rPr>
            </w:pPr>
            <w:r>
              <w:rPr>
                <w:rFonts w:ascii="Arial" w:cs="Arial" w:eastAsia="Arial" w:hAnsi="Arial"/>
                <w:sz w:val="13"/>
                <w:szCs w:val="13"/>
                <w:color w:val="auto"/>
                <w:w w:val="82"/>
              </w:rPr>
              <w:t>$</w:t>
            </w:r>
          </w:p>
        </w:tc>
        <w:tc>
          <w:tcPr>
            <w:tcW w:w="1000" w:type="dxa"/>
            <w:vAlign w:val="bottom"/>
            <w:tcBorders>
              <w:right w:val="single" w:sz="8" w:color="auto"/>
            </w:tcBorders>
          </w:tcPr>
          <w:p>
            <w:pPr>
              <w:jc w:val="right"/>
              <w:ind w:right="133"/>
              <w:spacing w:after="0" w:line="140"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1080" w:type="dxa"/>
            <w:vAlign w:val="bottom"/>
          </w:tcPr>
          <w:p>
            <w:pPr>
              <w:jc w:val="right"/>
              <w:ind w:right="53"/>
              <w:spacing w:after="0" w:line="140" w:lineRule="exact"/>
              <w:rPr>
                <w:sz w:val="20"/>
                <w:szCs w:val="20"/>
                <w:color w:val="auto"/>
              </w:rPr>
            </w:pPr>
            <w:r>
              <w:rPr>
                <w:rFonts w:ascii="Arial" w:cs="Arial" w:eastAsia="Arial" w:hAnsi="Arial"/>
                <w:sz w:val="13"/>
                <w:szCs w:val="13"/>
                <w:color w:val="auto"/>
              </w:rPr>
              <w:t>183,870</w:t>
            </w:r>
          </w:p>
        </w:tc>
        <w:tc>
          <w:tcPr>
            <w:tcW w:w="100" w:type="dxa"/>
            <w:vAlign w:val="bottom"/>
          </w:tcPr>
          <w:p>
            <w:pPr>
              <w:spacing w:after="0"/>
              <w:rPr>
                <w:sz w:val="12"/>
                <w:szCs w:val="12"/>
                <w:color w:val="auto"/>
              </w:rPr>
            </w:pPr>
          </w:p>
        </w:tc>
        <w:tc>
          <w:tcPr>
            <w:tcW w:w="740" w:type="dxa"/>
            <w:vAlign w:val="bottom"/>
          </w:tcPr>
          <w:p>
            <w:pPr>
              <w:jc w:val="right"/>
              <w:ind w:right="593"/>
              <w:spacing w:after="0" w:line="140" w:lineRule="exact"/>
              <w:rPr>
                <w:sz w:val="20"/>
                <w:szCs w:val="20"/>
                <w:color w:val="auto"/>
              </w:rPr>
            </w:pPr>
            <w:r>
              <w:rPr>
                <w:rFonts w:ascii="Arial" w:cs="Arial" w:eastAsia="Arial" w:hAnsi="Arial"/>
                <w:sz w:val="13"/>
                <w:szCs w:val="13"/>
                <w:color w:val="auto"/>
                <w:w w:val="82"/>
              </w:rPr>
              <w:t>$</w:t>
            </w:r>
          </w:p>
        </w:tc>
        <w:tc>
          <w:tcPr>
            <w:tcW w:w="340" w:type="dxa"/>
            <w:vAlign w:val="bottom"/>
          </w:tcPr>
          <w:p>
            <w:pPr>
              <w:jc w:val="right"/>
              <w:ind w:right="53"/>
              <w:spacing w:after="0" w:line="140" w:lineRule="exact"/>
              <w:rPr>
                <w:sz w:val="20"/>
                <w:szCs w:val="20"/>
                <w:color w:val="auto"/>
              </w:rPr>
            </w:pPr>
            <w:r>
              <w:rPr>
                <w:rFonts w:ascii="Arial" w:cs="Arial" w:eastAsia="Arial" w:hAnsi="Arial"/>
                <w:sz w:val="13"/>
                <w:szCs w:val="13"/>
                <w:color w:val="auto"/>
              </w:rPr>
              <w:t>—</w:t>
            </w:r>
          </w:p>
        </w:tc>
        <w:tc>
          <w:tcPr>
            <w:tcW w:w="220" w:type="dxa"/>
            <w:vAlign w:val="bottom"/>
            <w:gridSpan w:val="2"/>
          </w:tcPr>
          <w:p>
            <w:pPr>
              <w:jc w:val="right"/>
              <w:spacing w:after="0" w:line="140" w:lineRule="exact"/>
              <w:rPr>
                <w:sz w:val="20"/>
                <w:szCs w:val="20"/>
                <w:color w:val="auto"/>
              </w:rPr>
            </w:pPr>
            <w:r>
              <w:rPr>
                <w:rFonts w:ascii="Arial" w:cs="Arial" w:eastAsia="Arial" w:hAnsi="Arial"/>
                <w:sz w:val="13"/>
                <w:szCs w:val="13"/>
                <w:color w:val="auto"/>
              </w:rPr>
              <w:t>$</w:t>
            </w:r>
          </w:p>
        </w:tc>
        <w:tc>
          <w:tcPr>
            <w:tcW w:w="980" w:type="dxa"/>
            <w:vAlign w:val="bottom"/>
          </w:tcPr>
          <w:p>
            <w:pPr>
              <w:jc w:val="right"/>
              <w:ind w:right="53"/>
              <w:spacing w:after="0" w:line="140" w:lineRule="exact"/>
              <w:rPr>
                <w:sz w:val="20"/>
                <w:szCs w:val="20"/>
                <w:color w:val="auto"/>
              </w:rPr>
            </w:pPr>
            <w:r>
              <w:rPr>
                <w:rFonts w:ascii="Arial" w:cs="Arial" w:eastAsia="Arial" w:hAnsi="Arial"/>
                <w:sz w:val="13"/>
                <w:szCs w:val="13"/>
                <w:color w:val="auto"/>
              </w:rPr>
              <w:t>2,127</w:t>
            </w:r>
          </w:p>
        </w:tc>
        <w:tc>
          <w:tcPr>
            <w:tcW w:w="280" w:type="dxa"/>
            <w:vAlign w:val="bottom"/>
            <w:gridSpan w:val="2"/>
          </w:tcPr>
          <w:p>
            <w:pPr>
              <w:jc w:val="right"/>
              <w:ind w:right="33"/>
              <w:spacing w:after="0" w:line="140" w:lineRule="exact"/>
              <w:rPr>
                <w:sz w:val="20"/>
                <w:szCs w:val="20"/>
                <w:color w:val="auto"/>
              </w:rPr>
            </w:pPr>
            <w:r>
              <w:rPr>
                <w:rFonts w:ascii="Arial" w:cs="Arial" w:eastAsia="Arial" w:hAnsi="Arial"/>
                <w:sz w:val="13"/>
                <w:szCs w:val="13"/>
                <w:color w:val="auto"/>
              </w:rPr>
              <w:t>$</w:t>
            </w:r>
          </w:p>
        </w:tc>
        <w:tc>
          <w:tcPr>
            <w:tcW w:w="1020" w:type="dxa"/>
            <w:vAlign w:val="bottom"/>
            <w:gridSpan w:val="2"/>
          </w:tcPr>
          <w:p>
            <w:pPr>
              <w:jc w:val="right"/>
              <w:ind w:right="220"/>
              <w:spacing w:after="0" w:line="140" w:lineRule="exact"/>
              <w:rPr>
                <w:sz w:val="20"/>
                <w:szCs w:val="20"/>
                <w:color w:val="auto"/>
              </w:rPr>
            </w:pPr>
            <w:r>
              <w:rPr>
                <w:rFonts w:ascii="Arial" w:cs="Arial" w:eastAsia="Arial" w:hAnsi="Arial"/>
                <w:sz w:val="13"/>
                <w:szCs w:val="13"/>
                <w:color w:val="auto"/>
              </w:rPr>
              <w:t>—</w:t>
            </w:r>
          </w:p>
        </w:tc>
        <w:tc>
          <w:tcPr>
            <w:tcW w:w="180" w:type="dxa"/>
            <w:vAlign w:val="bottom"/>
          </w:tcPr>
          <w:p>
            <w:pPr>
              <w:jc w:val="right"/>
              <w:ind w:right="33"/>
              <w:spacing w:after="0" w:line="140" w:lineRule="exact"/>
              <w:rPr>
                <w:sz w:val="20"/>
                <w:szCs w:val="20"/>
                <w:color w:val="auto"/>
              </w:rPr>
            </w:pPr>
            <w:r>
              <w:rPr>
                <w:rFonts w:ascii="Arial" w:cs="Arial" w:eastAsia="Arial" w:hAnsi="Arial"/>
                <w:sz w:val="13"/>
                <w:szCs w:val="13"/>
                <w:color w:val="auto"/>
                <w:w w:val="82"/>
              </w:rPr>
              <w:t>$</w:t>
            </w:r>
          </w:p>
        </w:tc>
        <w:tc>
          <w:tcPr>
            <w:tcW w:w="940" w:type="dxa"/>
            <w:vAlign w:val="bottom"/>
          </w:tcPr>
          <w:p>
            <w:pPr>
              <w:jc w:val="right"/>
              <w:ind w:right="73"/>
              <w:spacing w:after="0" w:line="140" w:lineRule="exact"/>
              <w:rPr>
                <w:sz w:val="20"/>
                <w:szCs w:val="20"/>
                <w:color w:val="auto"/>
              </w:rPr>
            </w:pPr>
            <w:r>
              <w:rPr>
                <w:rFonts w:ascii="Arial" w:cs="Arial" w:eastAsia="Arial" w:hAnsi="Arial"/>
                <w:sz w:val="13"/>
                <w:szCs w:val="13"/>
                <w:color w:val="auto"/>
              </w:rPr>
              <w:t>2,127</w:t>
            </w:r>
          </w:p>
        </w:tc>
      </w:tr>
      <w:tr>
        <w:trPr>
          <w:trHeight w:val="159"/>
        </w:trPr>
        <w:tc>
          <w:tcPr>
            <w:tcW w:w="2980" w:type="dxa"/>
            <w:vAlign w:val="bottom"/>
            <w:shd w:val="clear" w:color="auto" w:fill="CFF0FC"/>
          </w:tcPr>
          <w:p>
            <w:pPr>
              <w:spacing w:after="0"/>
              <w:rPr>
                <w:sz w:val="20"/>
                <w:szCs w:val="20"/>
                <w:color w:val="auto"/>
              </w:rPr>
            </w:pPr>
            <w:r>
              <w:rPr>
                <w:rFonts w:ascii="Arial" w:cs="Arial" w:eastAsia="Arial" w:hAnsi="Arial"/>
                <w:sz w:val="13"/>
                <w:szCs w:val="13"/>
                <w:color w:val="auto"/>
              </w:rPr>
              <w:t>Conversion of redeemable convertible preferred</w:t>
            </w:r>
          </w:p>
        </w:tc>
        <w:tc>
          <w:tcPr>
            <w:tcW w:w="10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0" w:type="dxa"/>
            <w:vAlign w:val="bottom"/>
            <w:tcBorders>
              <w:right w:val="single" w:sz="8" w:color="auto"/>
            </w:tcBorders>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r>
      <w:tr>
        <w:trPr>
          <w:trHeight w:val="147"/>
        </w:trPr>
        <w:tc>
          <w:tcPr>
            <w:tcW w:w="2980" w:type="dxa"/>
            <w:vAlign w:val="bottom"/>
            <w:shd w:val="clear" w:color="auto" w:fill="CFF0FC"/>
          </w:tcPr>
          <w:p>
            <w:pPr>
              <w:spacing w:after="0" w:line="148" w:lineRule="exact"/>
              <w:rPr>
                <w:sz w:val="20"/>
                <w:szCs w:val="20"/>
                <w:color w:val="auto"/>
              </w:rPr>
            </w:pPr>
            <w:r>
              <w:rPr>
                <w:rFonts w:ascii="Arial" w:cs="Arial" w:eastAsia="Arial" w:hAnsi="Arial"/>
                <w:sz w:val="13"/>
                <w:szCs w:val="13"/>
                <w:color w:val="auto"/>
              </w:rPr>
              <w:t>stock to common stock</w:t>
            </w:r>
          </w:p>
        </w:tc>
        <w:tc>
          <w:tcPr>
            <w:tcW w:w="108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(85,533,394)</w:t>
            </w: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0" w:type="dxa"/>
            <w:vAlign w:val="bottom"/>
            <w:tcBorders>
              <w:right w:val="single" w:sz="8" w:color="auto"/>
            </w:tcBorders>
            <w:shd w:val="clear" w:color="auto" w:fill="CFF0FC"/>
          </w:tcPr>
          <w:p>
            <w:pPr>
              <w:jc w:val="right"/>
              <w:ind w:right="73"/>
              <w:spacing w:after="0" w:line="148" w:lineRule="exact"/>
              <w:rPr>
                <w:sz w:val="20"/>
                <w:szCs w:val="20"/>
                <w:color w:val="auto"/>
              </w:rPr>
            </w:pPr>
            <w:r>
              <w:rPr>
                <w:rFonts w:ascii="Arial" w:cs="Arial" w:eastAsia="Arial" w:hAnsi="Arial"/>
                <w:sz w:val="13"/>
                <w:szCs w:val="13"/>
                <w:color w:val="auto"/>
              </w:rPr>
              <w:t>(901,046)</w:t>
            </w:r>
          </w:p>
        </w:tc>
        <w:tc>
          <w:tcPr>
            <w:tcW w:w="40" w:type="dxa"/>
            <w:vAlign w:val="bottom"/>
            <w:shd w:val="clear" w:color="auto" w:fill="CFF0FC"/>
          </w:tcPr>
          <w:p>
            <w:pPr>
              <w:spacing w:after="0"/>
              <w:rPr>
                <w:sz w:val="12"/>
                <w:szCs w:val="12"/>
                <w:color w:val="auto"/>
              </w:rPr>
            </w:pPr>
          </w:p>
        </w:tc>
        <w:tc>
          <w:tcPr>
            <w:tcW w:w="1080" w:type="dxa"/>
            <w:vAlign w:val="bottom"/>
            <w:shd w:val="clear" w:color="auto" w:fill="CFF0FC"/>
          </w:tcPr>
          <w:p>
            <w:pPr>
              <w:jc w:val="right"/>
              <w:ind w:right="53"/>
              <w:spacing w:after="0" w:line="148" w:lineRule="exact"/>
              <w:rPr>
                <w:sz w:val="20"/>
                <w:szCs w:val="20"/>
                <w:color w:val="auto"/>
              </w:rPr>
            </w:pPr>
            <w:r>
              <w:rPr>
                <w:rFonts w:ascii="Arial" w:cs="Arial" w:eastAsia="Arial" w:hAnsi="Arial"/>
                <w:sz w:val="13"/>
                <w:szCs w:val="13"/>
                <w:color w:val="auto"/>
              </w:rPr>
              <w:t>85,533,394</w:t>
            </w: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340" w:type="dxa"/>
            <w:vAlign w:val="bottom"/>
            <w:shd w:val="clear" w:color="auto" w:fill="CFF0FC"/>
          </w:tcPr>
          <w:p>
            <w:pPr>
              <w:jc w:val="right"/>
              <w:ind w:right="53"/>
              <w:spacing w:after="0" w:line="148" w:lineRule="exact"/>
              <w:rPr>
                <w:sz w:val="20"/>
                <w:szCs w:val="20"/>
                <w:color w:val="auto"/>
              </w:rPr>
            </w:pPr>
            <w:r>
              <w:rPr>
                <w:rFonts w:ascii="Arial" w:cs="Arial" w:eastAsia="Arial" w:hAnsi="Arial"/>
                <w:sz w:val="13"/>
                <w:szCs w:val="13"/>
                <w:color w:val="auto"/>
              </w:rPr>
              <w:t>86</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80" w:type="dxa"/>
            <w:vAlign w:val="bottom"/>
            <w:shd w:val="clear" w:color="auto" w:fill="CFF0FC"/>
          </w:tcPr>
          <w:p>
            <w:pPr>
              <w:jc w:val="right"/>
              <w:ind w:right="53"/>
              <w:spacing w:after="0" w:line="148" w:lineRule="exact"/>
              <w:rPr>
                <w:sz w:val="20"/>
                <w:szCs w:val="20"/>
                <w:color w:val="auto"/>
              </w:rPr>
            </w:pPr>
            <w:r>
              <w:rPr>
                <w:rFonts w:ascii="Arial" w:cs="Arial" w:eastAsia="Arial" w:hAnsi="Arial"/>
                <w:sz w:val="13"/>
                <w:szCs w:val="13"/>
                <w:color w:val="auto"/>
              </w:rPr>
              <w:t>900,960</w:t>
            </w: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20" w:type="dxa"/>
            <w:vAlign w:val="bottom"/>
            <w:gridSpan w:val="2"/>
            <w:shd w:val="clear" w:color="auto" w:fill="CFF0FC"/>
          </w:tcPr>
          <w:p>
            <w:pPr>
              <w:jc w:val="right"/>
              <w:ind w:right="220"/>
              <w:spacing w:after="0" w:line="148" w:lineRule="exact"/>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2"/>
                <w:szCs w:val="12"/>
                <w:color w:val="auto"/>
              </w:rPr>
            </w:pPr>
          </w:p>
        </w:tc>
        <w:tc>
          <w:tcPr>
            <w:tcW w:w="940" w:type="dxa"/>
            <w:vAlign w:val="bottom"/>
            <w:shd w:val="clear" w:color="auto" w:fill="CFF0FC"/>
          </w:tcPr>
          <w:p>
            <w:pPr>
              <w:jc w:val="right"/>
              <w:ind w:right="73"/>
              <w:spacing w:after="0" w:line="148" w:lineRule="exact"/>
              <w:rPr>
                <w:sz w:val="20"/>
                <w:szCs w:val="20"/>
                <w:color w:val="auto"/>
              </w:rPr>
            </w:pPr>
            <w:r>
              <w:rPr>
                <w:rFonts w:ascii="Arial" w:cs="Arial" w:eastAsia="Arial" w:hAnsi="Arial"/>
                <w:sz w:val="13"/>
                <w:szCs w:val="13"/>
                <w:color w:val="auto"/>
              </w:rPr>
              <w:t>901,046</w:t>
            </w:r>
          </w:p>
        </w:tc>
      </w:tr>
      <w:tr>
        <w:trPr>
          <w:trHeight w:val="159"/>
        </w:trPr>
        <w:tc>
          <w:tcPr>
            <w:tcW w:w="2980" w:type="dxa"/>
            <w:vAlign w:val="bottom"/>
          </w:tcPr>
          <w:p>
            <w:pPr>
              <w:spacing w:after="0"/>
              <w:rPr>
                <w:sz w:val="20"/>
                <w:szCs w:val="20"/>
                <w:color w:val="auto"/>
              </w:rPr>
            </w:pPr>
            <w:r>
              <w:rPr>
                <w:rFonts w:ascii="Arial" w:cs="Arial" w:eastAsia="Arial" w:hAnsi="Arial"/>
                <w:sz w:val="13"/>
                <w:szCs w:val="13"/>
                <w:color w:val="auto"/>
              </w:rPr>
              <w:t>Conversion of redeemable convertible preferred</w:t>
            </w: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147"/>
        </w:trPr>
        <w:tc>
          <w:tcPr>
            <w:tcW w:w="2980" w:type="dxa"/>
            <w:vAlign w:val="bottom"/>
          </w:tcPr>
          <w:p>
            <w:pPr>
              <w:spacing w:after="0" w:line="148" w:lineRule="exact"/>
              <w:rPr>
                <w:sz w:val="20"/>
                <w:szCs w:val="20"/>
                <w:color w:val="auto"/>
              </w:rPr>
            </w:pPr>
            <w:r>
              <w:rPr>
                <w:rFonts w:ascii="Arial" w:cs="Arial" w:eastAsia="Arial" w:hAnsi="Arial"/>
                <w:sz w:val="13"/>
                <w:szCs w:val="13"/>
                <w:color w:val="auto"/>
              </w:rPr>
              <w:t>stock warrant to common stock warrant</w:t>
            </w:r>
          </w:p>
        </w:tc>
        <w:tc>
          <w:tcPr>
            <w:tcW w:w="1180" w:type="dxa"/>
            <w:vAlign w:val="bottom"/>
            <w:gridSpan w:val="2"/>
          </w:tcPr>
          <w:p>
            <w:pPr>
              <w:jc w:val="right"/>
              <w:ind w:right="220"/>
              <w:spacing w:after="0" w:line="148"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1000" w:type="dxa"/>
            <w:vAlign w:val="bottom"/>
            <w:tcBorders>
              <w:right w:val="single" w:sz="8" w:color="auto"/>
            </w:tcBorders>
          </w:tcPr>
          <w:p>
            <w:pPr>
              <w:jc w:val="right"/>
              <w:ind w:right="133"/>
              <w:spacing w:after="0" w:line="148"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1180" w:type="dxa"/>
            <w:vAlign w:val="bottom"/>
            <w:gridSpan w:val="2"/>
          </w:tcPr>
          <w:p>
            <w:pPr>
              <w:jc w:val="right"/>
              <w:ind w:right="220"/>
              <w:spacing w:after="0" w:line="148" w:lineRule="exact"/>
              <w:rPr>
                <w:sz w:val="20"/>
                <w:szCs w:val="20"/>
                <w:color w:val="auto"/>
              </w:rPr>
            </w:pPr>
            <w:r>
              <w:rPr>
                <w:rFonts w:ascii="Arial" w:cs="Arial" w:eastAsia="Arial" w:hAnsi="Arial"/>
                <w:sz w:val="13"/>
                <w:szCs w:val="13"/>
                <w:color w:val="auto"/>
              </w:rPr>
              <w:t>—</w:t>
            </w:r>
          </w:p>
        </w:tc>
        <w:tc>
          <w:tcPr>
            <w:tcW w:w="740" w:type="dxa"/>
            <w:vAlign w:val="bottom"/>
          </w:tcPr>
          <w:p>
            <w:pPr>
              <w:spacing w:after="0"/>
              <w:rPr>
                <w:sz w:val="12"/>
                <w:szCs w:val="12"/>
                <w:color w:val="auto"/>
              </w:rPr>
            </w:pPr>
          </w:p>
        </w:tc>
        <w:tc>
          <w:tcPr>
            <w:tcW w:w="340" w:type="dxa"/>
            <w:vAlign w:val="bottom"/>
          </w:tcPr>
          <w:p>
            <w:pPr>
              <w:jc w:val="right"/>
              <w:ind w:right="53"/>
              <w:spacing w:after="0" w:line="148"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jc w:val="right"/>
              <w:ind w:right="53"/>
              <w:spacing w:after="0" w:line="148" w:lineRule="exact"/>
              <w:rPr>
                <w:sz w:val="20"/>
                <w:szCs w:val="20"/>
                <w:color w:val="auto"/>
              </w:rPr>
            </w:pPr>
            <w:r>
              <w:rPr>
                <w:rFonts w:ascii="Arial" w:cs="Arial" w:eastAsia="Arial" w:hAnsi="Arial"/>
                <w:sz w:val="13"/>
                <w:szCs w:val="13"/>
                <w:color w:val="auto"/>
              </w:rPr>
              <w:t>21,873</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gridSpan w:val="2"/>
          </w:tcPr>
          <w:p>
            <w:pPr>
              <w:jc w:val="right"/>
              <w:ind w:right="220"/>
              <w:spacing w:after="0" w:line="148"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940" w:type="dxa"/>
            <w:vAlign w:val="bottom"/>
          </w:tcPr>
          <w:p>
            <w:pPr>
              <w:jc w:val="right"/>
              <w:ind w:right="73"/>
              <w:spacing w:after="0" w:line="148" w:lineRule="exact"/>
              <w:rPr>
                <w:sz w:val="20"/>
                <w:szCs w:val="20"/>
                <w:color w:val="auto"/>
              </w:rPr>
            </w:pPr>
            <w:r>
              <w:rPr>
                <w:rFonts w:ascii="Arial" w:cs="Arial" w:eastAsia="Arial" w:hAnsi="Arial"/>
                <w:sz w:val="13"/>
                <w:szCs w:val="13"/>
                <w:color w:val="auto"/>
              </w:rPr>
              <w:t>21,873</w:t>
            </w:r>
          </w:p>
        </w:tc>
      </w:tr>
      <w:tr>
        <w:trPr>
          <w:trHeight w:val="159"/>
        </w:trPr>
        <w:tc>
          <w:tcPr>
            <w:tcW w:w="2980" w:type="dxa"/>
            <w:vAlign w:val="bottom"/>
            <w:shd w:val="clear" w:color="auto" w:fill="CFF0FC"/>
          </w:tcPr>
          <w:p>
            <w:pPr>
              <w:spacing w:after="0"/>
              <w:rPr>
                <w:sz w:val="20"/>
                <w:szCs w:val="20"/>
                <w:color w:val="auto"/>
              </w:rPr>
            </w:pPr>
            <w:r>
              <w:rPr>
                <w:rFonts w:ascii="Arial" w:cs="Arial" w:eastAsia="Arial" w:hAnsi="Arial"/>
                <w:sz w:val="13"/>
                <w:szCs w:val="13"/>
                <w:color w:val="auto"/>
              </w:rPr>
              <w:t>Issuance of common stock in IPO, net of</w:t>
            </w:r>
          </w:p>
        </w:tc>
        <w:tc>
          <w:tcPr>
            <w:tcW w:w="10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0" w:type="dxa"/>
            <w:vAlign w:val="bottom"/>
            <w:tcBorders>
              <w:right w:val="single" w:sz="8" w:color="auto"/>
            </w:tcBorders>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r>
      <w:tr>
        <w:trPr>
          <w:trHeight w:val="147"/>
        </w:trPr>
        <w:tc>
          <w:tcPr>
            <w:tcW w:w="2980" w:type="dxa"/>
            <w:vAlign w:val="bottom"/>
            <w:shd w:val="clear" w:color="auto" w:fill="CFF0FC"/>
          </w:tcPr>
          <w:p>
            <w:pPr>
              <w:spacing w:after="0" w:line="148" w:lineRule="exact"/>
              <w:rPr>
                <w:sz w:val="20"/>
                <w:szCs w:val="20"/>
                <w:color w:val="auto"/>
              </w:rPr>
            </w:pPr>
            <w:r>
              <w:rPr>
                <w:rFonts w:ascii="Arial" w:cs="Arial" w:eastAsia="Arial" w:hAnsi="Arial"/>
                <w:sz w:val="13"/>
                <w:szCs w:val="13"/>
                <w:color w:val="auto"/>
              </w:rPr>
              <w:t>offering costs</w:t>
            </w:r>
          </w:p>
        </w:tc>
        <w:tc>
          <w:tcPr>
            <w:tcW w:w="1180" w:type="dxa"/>
            <w:vAlign w:val="bottom"/>
            <w:gridSpan w:val="2"/>
            <w:shd w:val="clear" w:color="auto" w:fill="CFF0FC"/>
          </w:tcPr>
          <w:p>
            <w:pPr>
              <w:jc w:val="right"/>
              <w:ind w:right="220"/>
              <w:spacing w:after="0" w:line="148" w:lineRule="exact"/>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2"/>
                <w:szCs w:val="12"/>
                <w:color w:val="auto"/>
              </w:rPr>
            </w:pPr>
          </w:p>
        </w:tc>
        <w:tc>
          <w:tcPr>
            <w:tcW w:w="1000" w:type="dxa"/>
            <w:vAlign w:val="bottom"/>
            <w:tcBorders>
              <w:right w:val="single" w:sz="8" w:color="auto"/>
            </w:tcBorders>
            <w:shd w:val="clear" w:color="auto" w:fill="CFF0FC"/>
          </w:tcPr>
          <w:p>
            <w:pPr>
              <w:jc w:val="right"/>
              <w:ind w:right="133"/>
              <w:spacing w:after="0" w:line="148" w:lineRule="exact"/>
              <w:rPr>
                <w:sz w:val="20"/>
                <w:szCs w:val="20"/>
                <w:color w:val="auto"/>
              </w:rPr>
            </w:pPr>
            <w:r>
              <w:rPr>
                <w:rFonts w:ascii="Arial" w:cs="Arial" w:eastAsia="Arial" w:hAnsi="Arial"/>
                <w:sz w:val="13"/>
                <w:szCs w:val="13"/>
                <w:color w:val="auto"/>
              </w:rPr>
              <w:t>—</w:t>
            </w:r>
          </w:p>
        </w:tc>
        <w:tc>
          <w:tcPr>
            <w:tcW w:w="40" w:type="dxa"/>
            <w:vAlign w:val="bottom"/>
            <w:shd w:val="clear" w:color="auto" w:fill="CFF0FC"/>
          </w:tcPr>
          <w:p>
            <w:pPr>
              <w:spacing w:after="0"/>
              <w:rPr>
                <w:sz w:val="12"/>
                <w:szCs w:val="12"/>
                <w:color w:val="auto"/>
              </w:rPr>
            </w:pPr>
          </w:p>
        </w:tc>
        <w:tc>
          <w:tcPr>
            <w:tcW w:w="1080" w:type="dxa"/>
            <w:vAlign w:val="bottom"/>
            <w:shd w:val="clear" w:color="auto" w:fill="CFF0FC"/>
          </w:tcPr>
          <w:p>
            <w:pPr>
              <w:jc w:val="right"/>
              <w:ind w:right="53"/>
              <w:spacing w:after="0" w:line="148" w:lineRule="exact"/>
              <w:rPr>
                <w:sz w:val="20"/>
                <w:szCs w:val="20"/>
                <w:color w:val="auto"/>
              </w:rPr>
            </w:pPr>
            <w:r>
              <w:rPr>
                <w:rFonts w:ascii="Arial" w:cs="Arial" w:eastAsia="Arial" w:hAnsi="Arial"/>
                <w:sz w:val="13"/>
                <w:szCs w:val="13"/>
                <w:color w:val="auto"/>
              </w:rPr>
              <w:t>24,437,500</w:t>
            </w: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340" w:type="dxa"/>
            <w:vAlign w:val="bottom"/>
            <w:shd w:val="clear" w:color="auto" w:fill="CFF0FC"/>
          </w:tcPr>
          <w:p>
            <w:pPr>
              <w:jc w:val="right"/>
              <w:ind w:right="53"/>
              <w:spacing w:after="0" w:line="148" w:lineRule="exact"/>
              <w:rPr>
                <w:sz w:val="20"/>
                <w:szCs w:val="20"/>
                <w:color w:val="auto"/>
              </w:rPr>
            </w:pPr>
            <w:r>
              <w:rPr>
                <w:rFonts w:ascii="Arial" w:cs="Arial" w:eastAsia="Arial" w:hAnsi="Arial"/>
                <w:sz w:val="13"/>
                <w:szCs w:val="13"/>
                <w:color w:val="auto"/>
              </w:rPr>
              <w:t>24</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80" w:type="dxa"/>
            <w:vAlign w:val="bottom"/>
            <w:shd w:val="clear" w:color="auto" w:fill="CFF0FC"/>
          </w:tcPr>
          <w:p>
            <w:pPr>
              <w:jc w:val="right"/>
              <w:ind w:right="53"/>
              <w:spacing w:after="0" w:line="148" w:lineRule="exact"/>
              <w:rPr>
                <w:sz w:val="20"/>
                <w:szCs w:val="20"/>
                <w:color w:val="auto"/>
              </w:rPr>
            </w:pPr>
            <w:r>
              <w:rPr>
                <w:rFonts w:ascii="Arial" w:cs="Arial" w:eastAsia="Arial" w:hAnsi="Arial"/>
                <w:sz w:val="13"/>
                <w:szCs w:val="13"/>
                <w:color w:val="auto"/>
              </w:rPr>
              <w:t>496,486</w:t>
            </w: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20" w:type="dxa"/>
            <w:vAlign w:val="bottom"/>
            <w:gridSpan w:val="2"/>
            <w:shd w:val="clear" w:color="auto" w:fill="CFF0FC"/>
          </w:tcPr>
          <w:p>
            <w:pPr>
              <w:jc w:val="right"/>
              <w:ind w:right="220"/>
              <w:spacing w:after="0" w:line="148" w:lineRule="exact"/>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2"/>
                <w:szCs w:val="12"/>
                <w:color w:val="auto"/>
              </w:rPr>
            </w:pPr>
          </w:p>
        </w:tc>
        <w:tc>
          <w:tcPr>
            <w:tcW w:w="940" w:type="dxa"/>
            <w:vAlign w:val="bottom"/>
            <w:shd w:val="clear" w:color="auto" w:fill="CFF0FC"/>
          </w:tcPr>
          <w:p>
            <w:pPr>
              <w:jc w:val="right"/>
              <w:ind w:right="73"/>
              <w:spacing w:after="0" w:line="148" w:lineRule="exact"/>
              <w:rPr>
                <w:sz w:val="20"/>
                <w:szCs w:val="20"/>
                <w:color w:val="auto"/>
              </w:rPr>
            </w:pPr>
            <w:r>
              <w:rPr>
                <w:rFonts w:ascii="Arial" w:cs="Arial" w:eastAsia="Arial" w:hAnsi="Arial"/>
                <w:sz w:val="13"/>
                <w:szCs w:val="13"/>
                <w:color w:val="auto"/>
              </w:rPr>
              <w:t>496,510</w:t>
            </w:r>
          </w:p>
        </w:tc>
      </w:tr>
      <w:tr>
        <w:trPr>
          <w:trHeight w:val="160"/>
        </w:trPr>
        <w:tc>
          <w:tcPr>
            <w:tcW w:w="2980" w:type="dxa"/>
            <w:vAlign w:val="bottom"/>
          </w:tcPr>
          <w:p>
            <w:pPr>
              <w:spacing w:after="0"/>
              <w:rPr>
                <w:sz w:val="20"/>
                <w:szCs w:val="20"/>
                <w:color w:val="auto"/>
              </w:rPr>
            </w:pPr>
            <w:r>
              <w:rPr>
                <w:rFonts w:ascii="Arial" w:cs="Arial" w:eastAsia="Arial" w:hAnsi="Arial"/>
                <w:sz w:val="13"/>
                <w:szCs w:val="13"/>
                <w:color w:val="auto"/>
              </w:rPr>
              <w:t>Stock-based compensation</w:t>
            </w:r>
          </w:p>
        </w:tc>
        <w:tc>
          <w:tcPr>
            <w:tcW w:w="11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1000" w:type="dxa"/>
            <w:vAlign w:val="bottom"/>
            <w:tcBorders>
              <w:right w:val="single" w:sz="8" w:color="auto"/>
            </w:tcBorders>
          </w:tcPr>
          <w:p>
            <w:pPr>
              <w:jc w:val="right"/>
              <w:ind w:right="133"/>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40" w:type="dxa"/>
            <w:vAlign w:val="bottom"/>
          </w:tcPr>
          <w:p>
            <w:pPr>
              <w:spacing w:after="0"/>
              <w:rPr>
                <w:sz w:val="13"/>
                <w:szCs w:val="13"/>
                <w:color w:val="auto"/>
              </w:rPr>
            </w:pPr>
          </w:p>
        </w:tc>
        <w:tc>
          <w:tcPr>
            <w:tcW w:w="34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jc w:val="right"/>
              <w:ind w:right="53"/>
              <w:spacing w:after="0"/>
              <w:rPr>
                <w:sz w:val="20"/>
                <w:szCs w:val="20"/>
                <w:color w:val="auto"/>
              </w:rPr>
            </w:pPr>
            <w:r>
              <w:rPr>
                <w:rFonts w:ascii="Arial" w:cs="Arial" w:eastAsia="Arial" w:hAnsi="Arial"/>
                <w:sz w:val="13"/>
                <w:szCs w:val="13"/>
                <w:color w:val="auto"/>
              </w:rPr>
              <w:t>4,100</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3"/>
                <w:szCs w:val="13"/>
                <w:color w:val="auto"/>
              </w:rPr>
            </w:pPr>
          </w:p>
        </w:tc>
        <w:tc>
          <w:tcPr>
            <w:tcW w:w="940" w:type="dxa"/>
            <w:vAlign w:val="bottom"/>
          </w:tcPr>
          <w:p>
            <w:pPr>
              <w:jc w:val="right"/>
              <w:ind w:right="73"/>
              <w:spacing w:after="0"/>
              <w:rPr>
                <w:sz w:val="20"/>
                <w:szCs w:val="20"/>
                <w:color w:val="auto"/>
              </w:rPr>
            </w:pPr>
            <w:r>
              <w:rPr>
                <w:rFonts w:ascii="Arial" w:cs="Arial" w:eastAsia="Arial" w:hAnsi="Arial"/>
                <w:sz w:val="13"/>
                <w:szCs w:val="13"/>
                <w:color w:val="auto"/>
              </w:rPr>
              <w:t>4,100</w:t>
            </w:r>
          </w:p>
        </w:tc>
      </w:tr>
      <w:tr>
        <w:trPr>
          <w:trHeight w:val="160"/>
        </w:trPr>
        <w:tc>
          <w:tcPr>
            <w:tcW w:w="2980" w:type="dxa"/>
            <w:vAlign w:val="bottom"/>
            <w:shd w:val="clear" w:color="auto" w:fill="CFF0FC"/>
          </w:tcPr>
          <w:p>
            <w:pPr>
              <w:spacing w:after="0"/>
              <w:rPr>
                <w:sz w:val="20"/>
                <w:szCs w:val="20"/>
                <w:color w:val="auto"/>
              </w:rPr>
            </w:pPr>
            <w:r>
              <w:rPr>
                <w:rFonts w:ascii="Arial" w:cs="Arial" w:eastAsia="Arial" w:hAnsi="Arial"/>
                <w:sz w:val="13"/>
                <w:szCs w:val="13"/>
                <w:color w:val="auto"/>
              </w:rPr>
              <w:t>Exercise of stock options</w:t>
            </w:r>
          </w:p>
        </w:tc>
        <w:tc>
          <w:tcPr>
            <w:tcW w:w="118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3"/>
                <w:szCs w:val="13"/>
                <w:color w:val="auto"/>
              </w:rPr>
            </w:pPr>
          </w:p>
        </w:tc>
        <w:tc>
          <w:tcPr>
            <w:tcW w:w="1000" w:type="dxa"/>
            <w:vAlign w:val="bottom"/>
            <w:tcBorders>
              <w:right w:val="single" w:sz="8" w:color="auto"/>
            </w:tcBorders>
            <w:shd w:val="clear" w:color="auto" w:fill="CFF0FC"/>
          </w:tcPr>
          <w:p>
            <w:pPr>
              <w:jc w:val="right"/>
              <w:ind w:right="133"/>
              <w:spacing w:after="0"/>
              <w:rPr>
                <w:sz w:val="20"/>
                <w:szCs w:val="20"/>
                <w:color w:val="auto"/>
              </w:rPr>
            </w:pPr>
            <w:r>
              <w:rPr>
                <w:rFonts w:ascii="Arial" w:cs="Arial" w:eastAsia="Arial" w:hAnsi="Arial"/>
                <w:sz w:val="13"/>
                <w:szCs w:val="13"/>
                <w:color w:val="auto"/>
              </w:rPr>
              <w:t>—</w:t>
            </w:r>
          </w:p>
        </w:tc>
        <w:tc>
          <w:tcPr>
            <w:tcW w:w="40" w:type="dxa"/>
            <w:vAlign w:val="bottom"/>
            <w:shd w:val="clear" w:color="auto" w:fill="CFF0FC"/>
          </w:tcPr>
          <w:p>
            <w:pPr>
              <w:spacing w:after="0"/>
              <w:rPr>
                <w:sz w:val="13"/>
                <w:szCs w:val="13"/>
                <w:color w:val="auto"/>
              </w:rPr>
            </w:pPr>
          </w:p>
        </w:tc>
        <w:tc>
          <w:tcPr>
            <w:tcW w:w="108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rPr>
              <w:t>500</w:t>
            </w:r>
          </w:p>
        </w:tc>
        <w:tc>
          <w:tcPr>
            <w:tcW w:w="10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34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8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rPr>
              <w:t>7</w:t>
            </w:r>
          </w:p>
        </w:tc>
        <w:tc>
          <w:tcPr>
            <w:tcW w:w="1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02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3"/>
                <w:szCs w:val="13"/>
                <w:color w:val="auto"/>
              </w:rPr>
            </w:pPr>
          </w:p>
        </w:tc>
        <w:tc>
          <w:tcPr>
            <w:tcW w:w="940" w:type="dxa"/>
            <w:vAlign w:val="bottom"/>
            <w:shd w:val="clear" w:color="auto" w:fill="CFF0FC"/>
          </w:tcPr>
          <w:p>
            <w:pPr>
              <w:jc w:val="right"/>
              <w:ind w:right="73"/>
              <w:spacing w:after="0"/>
              <w:rPr>
                <w:sz w:val="20"/>
                <w:szCs w:val="20"/>
                <w:color w:val="auto"/>
              </w:rPr>
            </w:pPr>
            <w:r>
              <w:rPr>
                <w:rFonts w:ascii="Arial" w:cs="Arial" w:eastAsia="Arial" w:hAnsi="Arial"/>
                <w:sz w:val="13"/>
                <w:szCs w:val="13"/>
                <w:color w:val="auto"/>
              </w:rPr>
              <w:t>7</w:t>
            </w:r>
          </w:p>
        </w:tc>
      </w:tr>
      <w:tr>
        <w:trPr>
          <w:trHeight w:val="160"/>
        </w:trPr>
        <w:tc>
          <w:tcPr>
            <w:tcW w:w="2980" w:type="dxa"/>
            <w:vAlign w:val="bottom"/>
          </w:tcPr>
          <w:p>
            <w:pPr>
              <w:spacing w:after="0"/>
              <w:rPr>
                <w:sz w:val="20"/>
                <w:szCs w:val="20"/>
                <w:color w:val="auto"/>
              </w:rPr>
            </w:pPr>
            <w:r>
              <w:rPr>
                <w:rFonts w:ascii="Arial" w:cs="Arial" w:eastAsia="Arial" w:hAnsi="Arial"/>
                <w:sz w:val="13"/>
                <w:szCs w:val="13"/>
                <w:color w:val="auto"/>
              </w:rPr>
              <w:t>Exercise of common stock warrants</w:t>
            </w:r>
          </w:p>
        </w:tc>
        <w:tc>
          <w:tcPr>
            <w:tcW w:w="11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1000" w:type="dxa"/>
            <w:vAlign w:val="bottom"/>
            <w:tcBorders>
              <w:right w:val="single" w:sz="8" w:color="auto"/>
            </w:tcBorders>
          </w:tcPr>
          <w:p>
            <w:pPr>
              <w:jc w:val="right"/>
              <w:ind w:right="133"/>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1080" w:type="dxa"/>
            <w:vAlign w:val="bottom"/>
          </w:tcPr>
          <w:p>
            <w:pPr>
              <w:jc w:val="right"/>
              <w:ind w:right="53"/>
              <w:spacing w:after="0"/>
              <w:rPr>
                <w:sz w:val="20"/>
                <w:szCs w:val="20"/>
                <w:color w:val="auto"/>
              </w:rPr>
            </w:pPr>
            <w:r>
              <w:rPr>
                <w:rFonts w:ascii="Arial" w:cs="Arial" w:eastAsia="Arial" w:hAnsi="Arial"/>
                <w:sz w:val="13"/>
                <w:szCs w:val="13"/>
                <w:color w:val="auto"/>
              </w:rPr>
              <w:t>636,112</w:t>
            </w: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40" w:type="dxa"/>
            <w:vAlign w:val="bottom"/>
          </w:tcPr>
          <w:p>
            <w:pPr>
              <w:jc w:val="right"/>
              <w:ind w:right="53"/>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3"/>
                <w:szCs w:val="13"/>
                <w:color w:val="auto"/>
              </w:rPr>
            </w:pPr>
          </w:p>
        </w:tc>
        <w:tc>
          <w:tcPr>
            <w:tcW w:w="940" w:type="dxa"/>
            <w:vAlign w:val="bottom"/>
          </w:tcPr>
          <w:p>
            <w:pPr>
              <w:jc w:val="right"/>
              <w:ind w:right="73"/>
              <w:spacing w:after="0"/>
              <w:rPr>
                <w:sz w:val="20"/>
                <w:szCs w:val="20"/>
                <w:color w:val="auto"/>
              </w:rPr>
            </w:pPr>
            <w:r>
              <w:rPr>
                <w:rFonts w:ascii="Arial" w:cs="Arial" w:eastAsia="Arial" w:hAnsi="Arial"/>
                <w:sz w:val="13"/>
                <w:szCs w:val="13"/>
                <w:color w:val="auto"/>
              </w:rPr>
              <w:t>1</w:t>
            </w:r>
          </w:p>
        </w:tc>
      </w:tr>
      <w:tr>
        <w:trPr>
          <w:trHeight w:val="160"/>
        </w:trPr>
        <w:tc>
          <w:tcPr>
            <w:tcW w:w="2980" w:type="dxa"/>
            <w:vAlign w:val="bottom"/>
            <w:shd w:val="clear" w:color="auto" w:fill="CFF0FC"/>
          </w:tcPr>
          <w:p>
            <w:pPr>
              <w:spacing w:after="0"/>
              <w:rPr>
                <w:sz w:val="20"/>
                <w:szCs w:val="20"/>
                <w:color w:val="auto"/>
              </w:rPr>
            </w:pPr>
            <w:r>
              <w:rPr>
                <w:rFonts w:ascii="Arial" w:cs="Arial" w:eastAsia="Arial" w:hAnsi="Arial"/>
                <w:sz w:val="13"/>
                <w:szCs w:val="13"/>
                <w:color w:val="auto"/>
              </w:rPr>
              <w:t>Vesting of restricted stock units</w:t>
            </w:r>
          </w:p>
        </w:tc>
        <w:tc>
          <w:tcPr>
            <w:tcW w:w="118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3"/>
                <w:szCs w:val="13"/>
                <w:color w:val="auto"/>
              </w:rPr>
            </w:pPr>
          </w:p>
        </w:tc>
        <w:tc>
          <w:tcPr>
            <w:tcW w:w="1000" w:type="dxa"/>
            <w:vAlign w:val="bottom"/>
            <w:tcBorders>
              <w:right w:val="single" w:sz="8" w:color="auto"/>
            </w:tcBorders>
            <w:shd w:val="clear" w:color="auto" w:fill="CFF0FC"/>
          </w:tcPr>
          <w:p>
            <w:pPr>
              <w:jc w:val="right"/>
              <w:ind w:right="133"/>
              <w:spacing w:after="0"/>
              <w:rPr>
                <w:sz w:val="20"/>
                <w:szCs w:val="20"/>
                <w:color w:val="auto"/>
              </w:rPr>
            </w:pPr>
            <w:r>
              <w:rPr>
                <w:rFonts w:ascii="Arial" w:cs="Arial" w:eastAsia="Arial" w:hAnsi="Arial"/>
                <w:sz w:val="13"/>
                <w:szCs w:val="13"/>
                <w:color w:val="auto"/>
              </w:rPr>
              <w:t>—</w:t>
            </w:r>
          </w:p>
        </w:tc>
        <w:tc>
          <w:tcPr>
            <w:tcW w:w="40" w:type="dxa"/>
            <w:vAlign w:val="bottom"/>
            <w:shd w:val="clear" w:color="auto" w:fill="CFF0FC"/>
          </w:tcPr>
          <w:p>
            <w:pPr>
              <w:spacing w:after="0"/>
              <w:rPr>
                <w:sz w:val="13"/>
                <w:szCs w:val="13"/>
                <w:color w:val="auto"/>
              </w:rPr>
            </w:pPr>
          </w:p>
        </w:tc>
        <w:tc>
          <w:tcPr>
            <w:tcW w:w="108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rPr>
              <w:t>133,334</w:t>
            </w:r>
          </w:p>
        </w:tc>
        <w:tc>
          <w:tcPr>
            <w:tcW w:w="10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34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8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02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3"/>
                <w:szCs w:val="13"/>
                <w:color w:val="auto"/>
              </w:rPr>
            </w:pPr>
          </w:p>
        </w:tc>
        <w:tc>
          <w:tcPr>
            <w:tcW w:w="940" w:type="dxa"/>
            <w:vAlign w:val="bottom"/>
            <w:shd w:val="clear" w:color="auto" w:fill="CFF0FC"/>
          </w:tcPr>
          <w:p>
            <w:pPr>
              <w:jc w:val="right"/>
              <w:ind w:right="73"/>
              <w:spacing w:after="0"/>
              <w:rPr>
                <w:sz w:val="20"/>
                <w:szCs w:val="20"/>
                <w:color w:val="auto"/>
              </w:rPr>
            </w:pPr>
            <w:r>
              <w:rPr>
                <w:rFonts w:ascii="Arial" w:cs="Arial" w:eastAsia="Arial" w:hAnsi="Arial"/>
                <w:sz w:val="13"/>
                <w:szCs w:val="13"/>
                <w:color w:val="auto"/>
              </w:rPr>
              <w:t>—</w:t>
            </w:r>
          </w:p>
        </w:tc>
      </w:tr>
      <w:tr>
        <w:trPr>
          <w:trHeight w:val="159"/>
        </w:trPr>
        <w:tc>
          <w:tcPr>
            <w:tcW w:w="2980" w:type="dxa"/>
            <w:vAlign w:val="bottom"/>
          </w:tcPr>
          <w:p>
            <w:pPr>
              <w:spacing w:after="0"/>
              <w:rPr>
                <w:sz w:val="20"/>
                <w:szCs w:val="20"/>
                <w:color w:val="auto"/>
              </w:rPr>
            </w:pPr>
            <w:r>
              <w:rPr>
                <w:rFonts w:ascii="Arial" w:cs="Arial" w:eastAsia="Arial" w:hAnsi="Arial"/>
                <w:sz w:val="13"/>
                <w:szCs w:val="13"/>
                <w:color w:val="auto"/>
              </w:rPr>
              <w:t>Common stock shares withheld to satisfy</w:t>
            </w: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147"/>
        </w:trPr>
        <w:tc>
          <w:tcPr>
            <w:tcW w:w="2980" w:type="dxa"/>
            <w:vAlign w:val="bottom"/>
          </w:tcPr>
          <w:p>
            <w:pPr>
              <w:spacing w:after="0" w:line="148" w:lineRule="exact"/>
              <w:rPr>
                <w:sz w:val="20"/>
                <w:szCs w:val="20"/>
                <w:color w:val="auto"/>
              </w:rPr>
            </w:pPr>
            <w:r>
              <w:rPr>
                <w:rFonts w:ascii="Arial" w:cs="Arial" w:eastAsia="Arial" w:hAnsi="Arial"/>
                <w:sz w:val="13"/>
                <w:szCs w:val="13"/>
                <w:color w:val="auto"/>
              </w:rPr>
              <w:t>employee tax withholding obligations</w:t>
            </w:r>
          </w:p>
        </w:tc>
        <w:tc>
          <w:tcPr>
            <w:tcW w:w="1180" w:type="dxa"/>
            <w:vAlign w:val="bottom"/>
            <w:gridSpan w:val="2"/>
          </w:tcPr>
          <w:p>
            <w:pPr>
              <w:jc w:val="right"/>
              <w:ind w:right="220"/>
              <w:spacing w:after="0" w:line="148"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1000" w:type="dxa"/>
            <w:vAlign w:val="bottom"/>
            <w:tcBorders>
              <w:right w:val="single" w:sz="8" w:color="auto"/>
            </w:tcBorders>
          </w:tcPr>
          <w:p>
            <w:pPr>
              <w:jc w:val="right"/>
              <w:ind w:right="133"/>
              <w:spacing w:after="0" w:line="148"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1080" w:type="dxa"/>
            <w:vAlign w:val="bottom"/>
          </w:tcPr>
          <w:p>
            <w:pPr>
              <w:jc w:val="right"/>
              <w:spacing w:after="0" w:line="148" w:lineRule="exact"/>
              <w:rPr>
                <w:sz w:val="20"/>
                <w:szCs w:val="20"/>
                <w:color w:val="auto"/>
              </w:rPr>
            </w:pPr>
            <w:r>
              <w:rPr>
                <w:rFonts w:ascii="Arial" w:cs="Arial" w:eastAsia="Arial" w:hAnsi="Arial"/>
                <w:sz w:val="13"/>
                <w:szCs w:val="13"/>
                <w:color w:val="auto"/>
              </w:rPr>
              <w:t>(41,818)</w:t>
            </w: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40" w:type="dxa"/>
            <w:vAlign w:val="bottom"/>
          </w:tcPr>
          <w:p>
            <w:pPr>
              <w:jc w:val="right"/>
              <w:ind w:right="53"/>
              <w:spacing w:after="0" w:line="148"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jc w:val="right"/>
              <w:spacing w:after="0" w:line="148" w:lineRule="exact"/>
              <w:rPr>
                <w:sz w:val="20"/>
                <w:szCs w:val="20"/>
                <w:color w:val="auto"/>
              </w:rPr>
            </w:pPr>
            <w:r>
              <w:rPr>
                <w:rFonts w:ascii="Arial" w:cs="Arial" w:eastAsia="Arial" w:hAnsi="Arial"/>
                <w:sz w:val="13"/>
                <w:szCs w:val="13"/>
                <w:color w:val="auto"/>
              </w:rPr>
              <w:t>(878)</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gridSpan w:val="2"/>
          </w:tcPr>
          <w:p>
            <w:pPr>
              <w:jc w:val="right"/>
              <w:ind w:right="220"/>
              <w:spacing w:after="0" w:line="148"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940" w:type="dxa"/>
            <w:vAlign w:val="bottom"/>
          </w:tcPr>
          <w:p>
            <w:pPr>
              <w:jc w:val="right"/>
              <w:ind w:right="13"/>
              <w:spacing w:after="0" w:line="148" w:lineRule="exact"/>
              <w:rPr>
                <w:sz w:val="20"/>
                <w:szCs w:val="20"/>
                <w:color w:val="auto"/>
              </w:rPr>
            </w:pPr>
            <w:r>
              <w:rPr>
                <w:rFonts w:ascii="Arial" w:cs="Arial" w:eastAsia="Arial" w:hAnsi="Arial"/>
                <w:sz w:val="13"/>
                <w:szCs w:val="13"/>
                <w:color w:val="auto"/>
              </w:rPr>
              <w:t>(878)</w:t>
            </w:r>
          </w:p>
        </w:tc>
      </w:tr>
      <w:tr>
        <w:trPr>
          <w:trHeight w:val="160"/>
        </w:trPr>
        <w:tc>
          <w:tcPr>
            <w:tcW w:w="2980" w:type="dxa"/>
            <w:vAlign w:val="bottom"/>
            <w:shd w:val="clear" w:color="auto" w:fill="CFF0FC"/>
          </w:tcPr>
          <w:p>
            <w:pPr>
              <w:spacing w:after="0"/>
              <w:rPr>
                <w:sz w:val="20"/>
                <w:szCs w:val="20"/>
                <w:color w:val="auto"/>
              </w:rPr>
            </w:pPr>
            <w:r>
              <w:rPr>
                <w:rFonts w:ascii="Arial" w:cs="Arial" w:eastAsia="Arial" w:hAnsi="Arial"/>
                <w:sz w:val="13"/>
                <w:szCs w:val="13"/>
                <w:color w:val="auto"/>
              </w:rPr>
              <w:t>Net loss</w:t>
            </w:r>
          </w:p>
        </w:tc>
        <w:tc>
          <w:tcPr>
            <w:tcW w:w="1080" w:type="dxa"/>
            <w:vAlign w:val="bottom"/>
            <w:tcBorders>
              <w:bottom w:val="single" w:sz="8" w:color="auto"/>
            </w:tcBorders>
            <w:shd w:val="clear" w:color="auto" w:fill="CFF0FC"/>
          </w:tcPr>
          <w:p>
            <w:pPr>
              <w:jc w:val="right"/>
              <w:ind w:right="53"/>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3"/>
                <w:szCs w:val="13"/>
                <w:color w:val="auto"/>
              </w:rPr>
            </w:pPr>
          </w:p>
        </w:tc>
        <w:tc>
          <w:tcPr>
            <w:tcW w:w="160" w:type="dxa"/>
            <w:vAlign w:val="bottom"/>
            <w:tcBorders>
              <w:bottom w:val="single" w:sz="8" w:color="auto"/>
            </w:tcBorders>
            <w:shd w:val="clear" w:color="auto" w:fill="CFF0FC"/>
          </w:tcPr>
          <w:p>
            <w:pPr>
              <w:spacing w:after="0"/>
              <w:rPr>
                <w:sz w:val="13"/>
                <w:szCs w:val="13"/>
                <w:color w:val="auto"/>
              </w:rPr>
            </w:pPr>
          </w:p>
        </w:tc>
        <w:tc>
          <w:tcPr>
            <w:tcW w:w="1000" w:type="dxa"/>
            <w:vAlign w:val="bottom"/>
            <w:tcBorders>
              <w:bottom w:val="single" w:sz="8" w:color="auto"/>
              <w:right w:val="single" w:sz="8" w:color="auto"/>
            </w:tcBorders>
            <w:shd w:val="clear" w:color="auto" w:fill="CFF0FC"/>
          </w:tcPr>
          <w:p>
            <w:pPr>
              <w:jc w:val="right"/>
              <w:ind w:right="133"/>
              <w:spacing w:after="0"/>
              <w:rPr>
                <w:sz w:val="20"/>
                <w:szCs w:val="20"/>
                <w:color w:val="auto"/>
              </w:rPr>
            </w:pPr>
            <w:r>
              <w:rPr>
                <w:rFonts w:ascii="Arial" w:cs="Arial" w:eastAsia="Arial" w:hAnsi="Arial"/>
                <w:sz w:val="13"/>
                <w:szCs w:val="13"/>
                <w:color w:val="auto"/>
              </w:rPr>
              <w:t>—</w:t>
            </w:r>
          </w:p>
        </w:tc>
        <w:tc>
          <w:tcPr>
            <w:tcW w:w="40" w:type="dxa"/>
            <w:vAlign w:val="bottom"/>
            <w:shd w:val="clear" w:color="auto" w:fill="CFF0FC"/>
          </w:tcPr>
          <w:p>
            <w:pPr>
              <w:spacing w:after="0"/>
              <w:rPr>
                <w:sz w:val="13"/>
                <w:szCs w:val="13"/>
                <w:color w:val="auto"/>
              </w:rPr>
            </w:pPr>
          </w:p>
        </w:tc>
        <w:tc>
          <w:tcPr>
            <w:tcW w:w="1080" w:type="dxa"/>
            <w:vAlign w:val="bottom"/>
            <w:tcBorders>
              <w:bottom w:val="single" w:sz="8" w:color="auto"/>
            </w:tcBorders>
            <w:shd w:val="clear" w:color="auto" w:fill="CFF0FC"/>
          </w:tcPr>
          <w:p>
            <w:pPr>
              <w:jc w:val="right"/>
              <w:ind w:right="53"/>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3"/>
                <w:szCs w:val="13"/>
                <w:color w:val="auto"/>
              </w:rPr>
            </w:pPr>
          </w:p>
        </w:tc>
        <w:tc>
          <w:tcPr>
            <w:tcW w:w="740" w:type="dxa"/>
            <w:vAlign w:val="bottom"/>
            <w:tcBorders>
              <w:bottom w:val="single" w:sz="8" w:color="auto"/>
            </w:tcBorders>
            <w:shd w:val="clear" w:color="auto" w:fill="CFF0FC"/>
          </w:tcPr>
          <w:p>
            <w:pPr>
              <w:spacing w:after="0"/>
              <w:rPr>
                <w:sz w:val="13"/>
                <w:szCs w:val="13"/>
                <w:color w:val="auto"/>
              </w:rPr>
            </w:pPr>
          </w:p>
        </w:tc>
        <w:tc>
          <w:tcPr>
            <w:tcW w:w="340" w:type="dxa"/>
            <w:vAlign w:val="bottom"/>
            <w:tcBorders>
              <w:bottom w:val="single" w:sz="8" w:color="auto"/>
            </w:tcBorders>
            <w:shd w:val="clear" w:color="auto" w:fill="CFF0FC"/>
          </w:tcPr>
          <w:p>
            <w:pPr>
              <w:jc w:val="right"/>
              <w:ind w:right="53"/>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spacing w:after="0"/>
              <w:rPr>
                <w:sz w:val="13"/>
                <w:szCs w:val="13"/>
                <w:color w:val="auto"/>
              </w:rPr>
            </w:pPr>
          </w:p>
        </w:tc>
        <w:tc>
          <w:tcPr>
            <w:tcW w:w="980" w:type="dxa"/>
            <w:vAlign w:val="bottom"/>
            <w:tcBorders>
              <w:bottom w:val="single" w:sz="8" w:color="auto"/>
            </w:tcBorders>
            <w:shd w:val="clear" w:color="auto" w:fill="CFF0FC"/>
          </w:tcPr>
          <w:p>
            <w:pPr>
              <w:jc w:val="right"/>
              <w:ind w:right="53"/>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3"/>
                <w:szCs w:val="13"/>
                <w:color w:val="auto"/>
              </w:rPr>
            </w:pPr>
          </w:p>
        </w:tc>
        <w:tc>
          <w:tcPr>
            <w:tcW w:w="180" w:type="dxa"/>
            <w:vAlign w:val="bottom"/>
            <w:tcBorders>
              <w:bottom w:val="single" w:sz="8" w:color="auto"/>
            </w:tcBorders>
            <w:shd w:val="clear" w:color="auto" w:fill="CFF0FC"/>
          </w:tcPr>
          <w:p>
            <w:pPr>
              <w:spacing w:after="0"/>
              <w:rPr>
                <w:sz w:val="13"/>
                <w:szCs w:val="13"/>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(63,228)</w:t>
            </w:r>
          </w:p>
        </w:tc>
        <w:tc>
          <w:tcPr>
            <w:tcW w:w="100" w:type="dxa"/>
            <w:vAlign w:val="bottom"/>
            <w:shd w:val="clear" w:color="auto" w:fill="CFF0FC"/>
          </w:tcPr>
          <w:p>
            <w:pPr>
              <w:spacing w:after="0"/>
              <w:rPr>
                <w:sz w:val="13"/>
                <w:szCs w:val="13"/>
                <w:color w:val="auto"/>
              </w:rPr>
            </w:pPr>
          </w:p>
        </w:tc>
        <w:tc>
          <w:tcPr>
            <w:tcW w:w="180" w:type="dxa"/>
            <w:vAlign w:val="bottom"/>
            <w:tcBorders>
              <w:bottom w:val="single" w:sz="8" w:color="auto"/>
            </w:tcBorders>
            <w:shd w:val="clear" w:color="auto" w:fill="CFF0FC"/>
          </w:tcPr>
          <w:p>
            <w:pPr>
              <w:spacing w:after="0"/>
              <w:rPr>
                <w:sz w:val="13"/>
                <w:szCs w:val="13"/>
                <w:color w:val="auto"/>
              </w:rPr>
            </w:pPr>
          </w:p>
        </w:tc>
        <w:tc>
          <w:tcPr>
            <w:tcW w:w="940" w:type="dxa"/>
            <w:vAlign w:val="bottom"/>
            <w:tcBorders>
              <w:bottom w:val="single" w:sz="8" w:color="auto"/>
            </w:tcBorders>
            <w:shd w:val="clear" w:color="auto" w:fill="CFF0FC"/>
          </w:tcPr>
          <w:p>
            <w:pPr>
              <w:jc w:val="right"/>
              <w:ind w:right="13"/>
              <w:spacing w:after="0"/>
              <w:rPr>
                <w:sz w:val="20"/>
                <w:szCs w:val="20"/>
                <w:color w:val="auto"/>
              </w:rPr>
            </w:pPr>
            <w:r>
              <w:rPr>
                <w:rFonts w:ascii="Arial" w:cs="Arial" w:eastAsia="Arial" w:hAnsi="Arial"/>
                <w:sz w:val="13"/>
                <w:szCs w:val="13"/>
                <w:color w:val="auto"/>
              </w:rPr>
              <w:t>(63,228)</w:t>
            </w:r>
          </w:p>
        </w:tc>
      </w:tr>
      <w:tr>
        <w:trPr>
          <w:trHeight w:val="153"/>
        </w:trPr>
        <w:tc>
          <w:tcPr>
            <w:tcW w:w="2980" w:type="dxa"/>
            <w:vAlign w:val="bottom"/>
          </w:tcPr>
          <w:p>
            <w:pPr>
              <w:spacing w:after="0"/>
              <w:rPr>
                <w:sz w:val="20"/>
                <w:szCs w:val="20"/>
                <w:color w:val="auto"/>
              </w:rPr>
            </w:pPr>
            <w:r>
              <w:rPr>
                <w:rFonts w:ascii="Arial" w:cs="Arial" w:eastAsia="Arial" w:hAnsi="Arial"/>
                <w:sz w:val="13"/>
                <w:szCs w:val="13"/>
                <w:color w:val="auto"/>
              </w:rPr>
              <w:t>Balance at June 30, 2020</w:t>
            </w:r>
          </w:p>
        </w:tc>
        <w:tc>
          <w:tcPr>
            <w:tcW w:w="11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jc w:val="right"/>
              <w:ind w:right="13"/>
              <w:spacing w:after="0"/>
              <w:rPr>
                <w:sz w:val="20"/>
                <w:szCs w:val="20"/>
                <w:color w:val="auto"/>
              </w:rPr>
            </w:pPr>
            <w:r>
              <w:rPr>
                <w:rFonts w:ascii="Arial" w:cs="Arial" w:eastAsia="Arial" w:hAnsi="Arial"/>
                <w:sz w:val="13"/>
                <w:szCs w:val="13"/>
                <w:color w:val="auto"/>
                <w:w w:val="82"/>
              </w:rPr>
              <w:t>$</w:t>
            </w:r>
          </w:p>
        </w:tc>
        <w:tc>
          <w:tcPr>
            <w:tcW w:w="1000" w:type="dxa"/>
            <w:vAlign w:val="bottom"/>
            <w:tcBorders>
              <w:right w:val="single" w:sz="8" w:color="auto"/>
            </w:tcBorders>
          </w:tcPr>
          <w:p>
            <w:pPr>
              <w:jc w:val="right"/>
              <w:ind w:right="133"/>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1080" w:type="dxa"/>
            <w:vAlign w:val="bottom"/>
          </w:tcPr>
          <w:p>
            <w:pPr>
              <w:jc w:val="right"/>
              <w:ind w:right="53"/>
              <w:spacing w:after="0"/>
              <w:rPr>
                <w:sz w:val="20"/>
                <w:szCs w:val="20"/>
                <w:color w:val="auto"/>
              </w:rPr>
            </w:pPr>
            <w:r>
              <w:rPr>
                <w:rFonts w:ascii="Arial" w:cs="Arial" w:eastAsia="Arial" w:hAnsi="Arial"/>
                <w:sz w:val="13"/>
                <w:szCs w:val="13"/>
                <w:color w:val="auto"/>
              </w:rPr>
              <w:t>119,336,588</w:t>
            </w:r>
          </w:p>
        </w:tc>
        <w:tc>
          <w:tcPr>
            <w:tcW w:w="100" w:type="dxa"/>
            <w:vAlign w:val="bottom"/>
          </w:tcPr>
          <w:p>
            <w:pPr>
              <w:spacing w:after="0"/>
              <w:rPr>
                <w:sz w:val="13"/>
                <w:szCs w:val="13"/>
                <w:color w:val="auto"/>
              </w:rPr>
            </w:pPr>
          </w:p>
        </w:tc>
        <w:tc>
          <w:tcPr>
            <w:tcW w:w="740" w:type="dxa"/>
            <w:vAlign w:val="bottom"/>
          </w:tcPr>
          <w:p>
            <w:pPr>
              <w:jc w:val="right"/>
              <w:ind w:right="593"/>
              <w:spacing w:after="0"/>
              <w:rPr>
                <w:sz w:val="20"/>
                <w:szCs w:val="20"/>
                <w:color w:val="auto"/>
              </w:rPr>
            </w:pPr>
            <w:r>
              <w:rPr>
                <w:rFonts w:ascii="Arial" w:cs="Arial" w:eastAsia="Arial" w:hAnsi="Arial"/>
                <w:sz w:val="13"/>
                <w:szCs w:val="13"/>
                <w:color w:val="auto"/>
                <w:w w:val="82"/>
              </w:rPr>
              <w:t>$</w:t>
            </w:r>
          </w:p>
        </w:tc>
        <w:tc>
          <w:tcPr>
            <w:tcW w:w="340" w:type="dxa"/>
            <w:vAlign w:val="bottom"/>
          </w:tcPr>
          <w:p>
            <w:pPr>
              <w:jc w:val="right"/>
              <w:ind w:right="53"/>
              <w:spacing w:after="0"/>
              <w:rPr>
                <w:sz w:val="20"/>
                <w:szCs w:val="20"/>
                <w:color w:val="auto"/>
              </w:rPr>
            </w:pPr>
            <w:r>
              <w:rPr>
                <w:rFonts w:ascii="Arial" w:cs="Arial" w:eastAsia="Arial" w:hAnsi="Arial"/>
                <w:sz w:val="13"/>
                <w:szCs w:val="13"/>
                <w:color w:val="auto"/>
                <w:w w:val="92"/>
              </w:rPr>
              <w:t>119</w:t>
            </w:r>
          </w:p>
        </w:tc>
        <w:tc>
          <w:tcPr>
            <w:tcW w:w="2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53"/>
              <w:spacing w:after="0"/>
              <w:rPr>
                <w:sz w:val="20"/>
                <w:szCs w:val="20"/>
                <w:color w:val="auto"/>
              </w:rPr>
            </w:pPr>
            <w:r>
              <w:rPr>
                <w:rFonts w:ascii="Arial" w:cs="Arial" w:eastAsia="Arial" w:hAnsi="Arial"/>
                <w:sz w:val="13"/>
                <w:szCs w:val="13"/>
                <w:color w:val="auto"/>
              </w:rPr>
              <w:t>1,424,675</w:t>
            </w:r>
          </w:p>
        </w:tc>
        <w:tc>
          <w:tcPr>
            <w:tcW w:w="280" w:type="dxa"/>
            <w:vAlign w:val="bottom"/>
            <w:gridSpan w:val="2"/>
          </w:tcPr>
          <w:p>
            <w:pPr>
              <w:jc w:val="right"/>
              <w:ind w:right="33"/>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(679,359)</w:t>
            </w:r>
          </w:p>
        </w:tc>
        <w:tc>
          <w:tcPr>
            <w:tcW w:w="100" w:type="dxa"/>
            <w:vAlign w:val="bottom"/>
          </w:tcPr>
          <w:p>
            <w:pPr>
              <w:spacing w:after="0"/>
              <w:rPr>
                <w:sz w:val="13"/>
                <w:szCs w:val="13"/>
                <w:color w:val="auto"/>
              </w:rPr>
            </w:pPr>
          </w:p>
        </w:tc>
        <w:tc>
          <w:tcPr>
            <w:tcW w:w="180" w:type="dxa"/>
            <w:vAlign w:val="bottom"/>
          </w:tcPr>
          <w:p>
            <w:pPr>
              <w:jc w:val="right"/>
              <w:ind w:right="33"/>
              <w:spacing w:after="0"/>
              <w:rPr>
                <w:sz w:val="20"/>
                <w:szCs w:val="20"/>
                <w:color w:val="auto"/>
              </w:rPr>
            </w:pPr>
            <w:r>
              <w:rPr>
                <w:rFonts w:ascii="Arial" w:cs="Arial" w:eastAsia="Arial" w:hAnsi="Arial"/>
                <w:sz w:val="13"/>
                <w:szCs w:val="13"/>
                <w:color w:val="auto"/>
                <w:w w:val="82"/>
              </w:rPr>
              <w:t>$</w:t>
            </w:r>
          </w:p>
        </w:tc>
        <w:tc>
          <w:tcPr>
            <w:tcW w:w="940" w:type="dxa"/>
            <w:vAlign w:val="bottom"/>
          </w:tcPr>
          <w:p>
            <w:pPr>
              <w:jc w:val="right"/>
              <w:ind w:right="73"/>
              <w:spacing w:after="0"/>
              <w:rPr>
                <w:sz w:val="20"/>
                <w:szCs w:val="20"/>
                <w:color w:val="auto"/>
              </w:rPr>
            </w:pPr>
            <w:r>
              <w:rPr>
                <w:rFonts w:ascii="Arial" w:cs="Arial" w:eastAsia="Arial" w:hAnsi="Arial"/>
                <w:sz w:val="13"/>
                <w:szCs w:val="13"/>
                <w:color w:val="auto"/>
              </w:rPr>
              <w:t>745,435</w:t>
            </w:r>
          </w:p>
        </w:tc>
      </w:tr>
      <w:tr>
        <w:trPr>
          <w:trHeight w:val="20"/>
        </w:trPr>
        <w:tc>
          <w:tcPr>
            <w:tcW w:w="29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righ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980" w:type="dxa"/>
            <w:vAlign w:val="bottom"/>
          </w:tcPr>
          <w:p>
            <w:pPr>
              <w:spacing w:after="0"/>
              <w:rPr>
                <w:sz w:val="12"/>
                <w:szCs w:val="12"/>
                <w:color w:val="auto"/>
              </w:rPr>
            </w:pPr>
          </w:p>
        </w:tc>
        <w:tc>
          <w:tcPr>
            <w:tcW w:w="1960" w:type="dxa"/>
            <w:vAlign w:val="bottom"/>
            <w:gridSpan w:val="4"/>
          </w:tcPr>
          <w:p>
            <w:pPr>
              <w:jc w:val="right"/>
              <w:ind w:right="53"/>
              <w:spacing w:after="0"/>
              <w:rPr>
                <w:sz w:val="20"/>
                <w:szCs w:val="20"/>
                <w:color w:val="auto"/>
              </w:rPr>
            </w:pPr>
            <w:r>
              <w:rPr>
                <w:rFonts w:ascii="Arial" w:cs="Arial" w:eastAsia="Arial" w:hAnsi="Arial"/>
                <w:sz w:val="13"/>
                <w:szCs w:val="13"/>
                <w:b w:val="1"/>
                <w:bCs w:val="1"/>
                <w:color w:val="auto"/>
              </w:rPr>
              <w:t>Redeemable Convertible</w:t>
            </w:r>
          </w:p>
        </w:tc>
        <w:tc>
          <w:tcPr>
            <w:tcW w:w="38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jc w:val="right"/>
              <w:ind w:right="213"/>
              <w:spacing w:after="0"/>
              <w:rPr>
                <w:sz w:val="20"/>
                <w:szCs w:val="20"/>
                <w:color w:val="auto"/>
              </w:rPr>
            </w:pPr>
            <w:r>
              <w:rPr>
                <w:rFonts w:ascii="Arial" w:cs="Arial" w:eastAsia="Arial" w:hAnsi="Arial"/>
                <w:sz w:val="13"/>
                <w:szCs w:val="13"/>
                <w:b w:val="1"/>
                <w:bCs w:val="1"/>
                <w:color w:val="auto"/>
              </w:rPr>
              <w:t>Additional</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jc w:val="center"/>
              <w:ind w:right="253"/>
              <w:spacing w:after="0"/>
              <w:rPr>
                <w:sz w:val="20"/>
                <w:szCs w:val="20"/>
                <w:color w:val="auto"/>
              </w:rPr>
            </w:pPr>
            <w:r>
              <w:rPr>
                <w:rFonts w:ascii="Arial" w:cs="Arial" w:eastAsia="Arial" w:hAnsi="Arial"/>
                <w:sz w:val="13"/>
                <w:szCs w:val="13"/>
                <w:b w:val="1"/>
                <w:bCs w:val="1"/>
                <w:color w:val="auto"/>
                <w:w w:val="96"/>
              </w:rPr>
              <w:t>Total</w:t>
            </w:r>
          </w:p>
        </w:tc>
      </w:tr>
      <w:tr>
        <w:trPr>
          <w:trHeight w:val="163"/>
        </w:trPr>
        <w:tc>
          <w:tcPr>
            <w:tcW w:w="2980" w:type="dxa"/>
            <w:vAlign w:val="bottom"/>
          </w:tcPr>
          <w:p>
            <w:pPr>
              <w:spacing w:after="0"/>
              <w:rPr>
                <w:sz w:val="14"/>
                <w:szCs w:val="14"/>
                <w:color w:val="auto"/>
              </w:rPr>
            </w:pPr>
          </w:p>
        </w:tc>
        <w:tc>
          <w:tcPr>
            <w:tcW w:w="1960" w:type="dxa"/>
            <w:vAlign w:val="bottom"/>
            <w:tcBorders>
              <w:bottom w:val="single" w:sz="8" w:color="auto"/>
            </w:tcBorders>
            <w:gridSpan w:val="4"/>
          </w:tcPr>
          <w:p>
            <w:pPr>
              <w:jc w:val="right"/>
              <w:ind w:right="333"/>
              <w:spacing w:after="0"/>
              <w:rPr>
                <w:sz w:val="20"/>
                <w:szCs w:val="20"/>
                <w:color w:val="auto"/>
              </w:rPr>
            </w:pPr>
            <w:r>
              <w:rPr>
                <w:rFonts w:ascii="Arial" w:cs="Arial" w:eastAsia="Arial" w:hAnsi="Arial"/>
                <w:sz w:val="13"/>
                <w:szCs w:val="13"/>
                <w:b w:val="1"/>
                <w:bCs w:val="1"/>
                <w:color w:val="auto"/>
              </w:rPr>
              <w:t>Preferred Stock</w:t>
            </w:r>
          </w:p>
        </w:tc>
        <w:tc>
          <w:tcPr>
            <w:tcW w:w="380" w:type="dxa"/>
            <w:vAlign w:val="bottom"/>
            <w:tcBorders>
              <w:bottom w:val="single" w:sz="8" w:color="auto"/>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1920" w:type="dxa"/>
            <w:vAlign w:val="bottom"/>
            <w:tcBorders>
              <w:bottom w:val="single" w:sz="8" w:color="auto"/>
            </w:tcBorders>
            <w:gridSpan w:val="3"/>
          </w:tcPr>
          <w:p>
            <w:pPr>
              <w:jc w:val="right"/>
              <w:ind w:right="293"/>
              <w:spacing w:after="0"/>
              <w:rPr>
                <w:sz w:val="20"/>
                <w:szCs w:val="20"/>
                <w:color w:val="auto"/>
              </w:rPr>
            </w:pPr>
            <w:r>
              <w:rPr>
                <w:rFonts w:ascii="Arial" w:cs="Arial" w:eastAsia="Arial" w:hAnsi="Arial"/>
                <w:sz w:val="13"/>
                <w:szCs w:val="13"/>
                <w:b w:val="1"/>
                <w:bCs w:val="1"/>
                <w:color w:val="auto"/>
              </w:rPr>
              <w:t>Common Stock</w:t>
            </w:r>
          </w:p>
        </w:tc>
        <w:tc>
          <w:tcPr>
            <w:tcW w:w="3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right"/>
              <w:ind w:right="313"/>
              <w:spacing w:after="0"/>
              <w:rPr>
                <w:sz w:val="20"/>
                <w:szCs w:val="20"/>
                <w:color w:val="auto"/>
              </w:rPr>
            </w:pPr>
            <w:r>
              <w:rPr>
                <w:rFonts w:ascii="Arial" w:cs="Arial" w:eastAsia="Arial" w:hAnsi="Arial"/>
                <w:sz w:val="13"/>
                <w:szCs w:val="13"/>
                <w:b w:val="1"/>
                <w:bCs w:val="1"/>
                <w:color w:val="auto"/>
              </w:rPr>
              <w:t>Paid-in</w:t>
            </w:r>
          </w:p>
        </w:tc>
        <w:tc>
          <w:tcPr>
            <w:tcW w:w="100" w:type="dxa"/>
            <w:vAlign w:val="bottom"/>
          </w:tcPr>
          <w:p>
            <w:pPr>
              <w:spacing w:after="0"/>
              <w:rPr>
                <w:sz w:val="14"/>
                <w:szCs w:val="14"/>
                <w:color w:val="auto"/>
              </w:rPr>
            </w:pPr>
          </w:p>
        </w:tc>
        <w:tc>
          <w:tcPr>
            <w:tcW w:w="1200" w:type="dxa"/>
            <w:vAlign w:val="bottom"/>
            <w:gridSpan w:val="3"/>
          </w:tcPr>
          <w:p>
            <w:pPr>
              <w:ind w:left="80"/>
              <w:spacing w:after="0"/>
              <w:rPr>
                <w:sz w:val="20"/>
                <w:szCs w:val="20"/>
                <w:color w:val="auto"/>
              </w:rPr>
            </w:pPr>
            <w:r>
              <w:rPr>
                <w:rFonts w:ascii="Arial" w:cs="Arial" w:eastAsia="Arial" w:hAnsi="Arial"/>
                <w:sz w:val="13"/>
                <w:szCs w:val="13"/>
                <w:b w:val="1"/>
                <w:bCs w:val="1"/>
                <w:color w:val="auto"/>
              </w:rPr>
              <w:t>Accumulated</w:t>
            </w:r>
          </w:p>
        </w:tc>
        <w:tc>
          <w:tcPr>
            <w:tcW w:w="1120" w:type="dxa"/>
            <w:vAlign w:val="bottom"/>
            <w:gridSpan w:val="2"/>
          </w:tcPr>
          <w:p>
            <w:pPr>
              <w:jc w:val="center"/>
              <w:ind w:right="53"/>
              <w:spacing w:after="0"/>
              <w:rPr>
                <w:sz w:val="20"/>
                <w:szCs w:val="20"/>
                <w:color w:val="auto"/>
              </w:rPr>
            </w:pPr>
            <w:r>
              <w:rPr>
                <w:rFonts w:ascii="Arial" w:cs="Arial" w:eastAsia="Arial" w:hAnsi="Arial"/>
                <w:sz w:val="13"/>
                <w:szCs w:val="13"/>
                <w:b w:val="1"/>
                <w:bCs w:val="1"/>
                <w:color w:val="auto"/>
              </w:rPr>
              <w:t>Stockholders’</w:t>
            </w:r>
          </w:p>
        </w:tc>
      </w:tr>
      <w:tr>
        <w:trPr>
          <w:trHeight w:val="153"/>
        </w:trPr>
        <w:tc>
          <w:tcPr>
            <w:tcW w:w="2980" w:type="dxa"/>
            <w:vAlign w:val="bottom"/>
            <w:tcBorders>
              <w:bottom w:val="single" w:sz="8" w:color="CFF0FC"/>
            </w:tcBorders>
          </w:tcPr>
          <w:p>
            <w:pPr>
              <w:spacing w:after="0"/>
              <w:rPr>
                <w:sz w:val="13"/>
                <w:szCs w:val="13"/>
                <w:color w:val="auto"/>
              </w:rPr>
            </w:pPr>
          </w:p>
        </w:tc>
        <w:tc>
          <w:tcPr>
            <w:tcW w:w="760" w:type="dxa"/>
            <w:vAlign w:val="bottom"/>
            <w:tcBorders>
              <w:bottom w:val="single" w:sz="8" w:color="auto"/>
            </w:tcBorders>
          </w:tcPr>
          <w:p>
            <w:pPr>
              <w:ind w:left="260"/>
              <w:spacing w:after="0"/>
              <w:rPr>
                <w:sz w:val="20"/>
                <w:szCs w:val="20"/>
                <w:color w:val="auto"/>
              </w:rPr>
            </w:pPr>
            <w:r>
              <w:rPr>
                <w:rFonts w:ascii="Arial" w:cs="Arial" w:eastAsia="Arial" w:hAnsi="Arial"/>
                <w:sz w:val="13"/>
                <w:szCs w:val="13"/>
                <w:b w:val="1"/>
                <w:bCs w:val="1"/>
                <w:color w:val="auto"/>
              </w:rPr>
              <w:t>Shares</w:t>
            </w:r>
          </w:p>
        </w:tc>
        <w:tc>
          <w:tcPr>
            <w:tcW w:w="320" w:type="dxa"/>
            <w:vAlign w:val="bottom"/>
            <w:tcBorders>
              <w:bottom w:val="single" w:sz="8" w:color="auto"/>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Amount</w:t>
            </w:r>
          </w:p>
        </w:tc>
        <w:tc>
          <w:tcPr>
            <w:tcW w:w="380" w:type="dxa"/>
            <w:vAlign w:val="bottom"/>
            <w:tcBorders>
              <w:bottom w:val="single" w:sz="8" w:color="auto"/>
              <w:right w:val="single" w:sz="8" w:color="auto"/>
            </w:tcBorders>
          </w:tcPr>
          <w:p>
            <w:pPr>
              <w:spacing w:after="0"/>
              <w:rPr>
                <w:sz w:val="13"/>
                <w:szCs w:val="13"/>
                <w:color w:val="auto"/>
              </w:rPr>
            </w:pPr>
          </w:p>
        </w:tc>
        <w:tc>
          <w:tcPr>
            <w:tcW w:w="40" w:type="dxa"/>
            <w:vAlign w:val="bottom"/>
            <w:tcBorders>
              <w:bottom w:val="single" w:sz="8" w:color="CFF0FC"/>
            </w:tcBorders>
          </w:tcPr>
          <w:p>
            <w:pPr>
              <w:spacing w:after="0"/>
              <w:rPr>
                <w:sz w:val="13"/>
                <w:szCs w:val="13"/>
                <w:color w:val="auto"/>
              </w:rPr>
            </w:pPr>
          </w:p>
        </w:tc>
        <w:tc>
          <w:tcPr>
            <w:tcW w:w="1080" w:type="dxa"/>
            <w:vAlign w:val="bottom"/>
            <w:tcBorders>
              <w:bottom w:val="single" w:sz="8" w:color="auto"/>
            </w:tcBorders>
          </w:tcPr>
          <w:p>
            <w:pPr>
              <w:jc w:val="right"/>
              <w:ind w:right="313"/>
              <w:spacing w:after="0"/>
              <w:rPr>
                <w:sz w:val="20"/>
                <w:szCs w:val="20"/>
                <w:color w:val="auto"/>
              </w:rPr>
            </w:pPr>
            <w:r>
              <w:rPr>
                <w:rFonts w:ascii="Arial" w:cs="Arial" w:eastAsia="Arial" w:hAnsi="Arial"/>
                <w:sz w:val="13"/>
                <w:szCs w:val="13"/>
                <w:b w:val="1"/>
                <w:bCs w:val="1"/>
                <w:color w:val="auto"/>
              </w:rPr>
              <w:t>Shares</w:t>
            </w:r>
          </w:p>
        </w:tc>
        <w:tc>
          <w:tcPr>
            <w:tcW w:w="100" w:type="dxa"/>
            <w:vAlign w:val="bottom"/>
            <w:tcBorders>
              <w:bottom w:val="single" w:sz="8" w:color="CFF0FC"/>
            </w:tcBorders>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Amount</w:t>
            </w:r>
          </w:p>
        </w:tc>
        <w:tc>
          <w:tcPr>
            <w:tcW w:w="340" w:type="dxa"/>
            <w:vAlign w:val="bottom"/>
            <w:tcBorders>
              <w:bottom w:val="single" w:sz="8" w:color="auto"/>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313"/>
              <w:spacing w:after="0"/>
              <w:rPr>
                <w:sz w:val="20"/>
                <w:szCs w:val="20"/>
                <w:color w:val="auto"/>
              </w:rPr>
            </w:pPr>
            <w:r>
              <w:rPr>
                <w:rFonts w:ascii="Arial" w:cs="Arial" w:eastAsia="Arial" w:hAnsi="Arial"/>
                <w:sz w:val="13"/>
                <w:szCs w:val="13"/>
                <w:b w:val="1"/>
                <w:bCs w:val="1"/>
                <w:color w:val="auto"/>
              </w:rPr>
              <w:t>Capital</w:t>
            </w:r>
          </w:p>
        </w:tc>
        <w:tc>
          <w:tcPr>
            <w:tcW w:w="10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33"/>
              <w:spacing w:after="0"/>
              <w:rPr>
                <w:sz w:val="20"/>
                <w:szCs w:val="20"/>
                <w:color w:val="auto"/>
              </w:rPr>
            </w:pPr>
            <w:r>
              <w:rPr>
                <w:rFonts w:ascii="Arial" w:cs="Arial" w:eastAsia="Arial" w:hAnsi="Arial"/>
                <w:sz w:val="13"/>
                <w:szCs w:val="13"/>
                <w:b w:val="1"/>
                <w:bCs w:val="1"/>
                <w:color w:val="auto"/>
              </w:rPr>
              <w:t>Deficit</w:t>
            </w:r>
          </w:p>
        </w:tc>
        <w:tc>
          <w:tcPr>
            <w:tcW w:w="10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center"/>
              <w:ind w:right="233"/>
              <w:spacing w:after="0"/>
              <w:rPr>
                <w:sz w:val="20"/>
                <w:szCs w:val="20"/>
                <w:color w:val="auto"/>
              </w:rPr>
            </w:pPr>
            <w:r>
              <w:rPr>
                <w:rFonts w:ascii="Arial" w:cs="Arial" w:eastAsia="Arial" w:hAnsi="Arial"/>
                <w:sz w:val="13"/>
                <w:szCs w:val="13"/>
                <w:b w:val="1"/>
                <w:bCs w:val="1"/>
                <w:color w:val="auto"/>
              </w:rPr>
              <w:t>Equity</w:t>
            </w:r>
          </w:p>
        </w:tc>
      </w:tr>
      <w:tr>
        <w:trPr>
          <w:trHeight w:val="153"/>
        </w:trPr>
        <w:tc>
          <w:tcPr>
            <w:tcW w:w="29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3"/>
                <w:szCs w:val="13"/>
                <w:color w:val="auto"/>
              </w:rPr>
              <w:t>Balance at December 31, 2020</w:t>
            </w:r>
          </w:p>
        </w:tc>
        <w:tc>
          <w:tcPr>
            <w:tcW w:w="760" w:type="dxa"/>
            <w:vAlign w:val="bottom"/>
            <w:tcBorders>
              <w:bottom w:val="single" w:sz="8" w:color="auto"/>
            </w:tcBorders>
            <w:shd w:val="clear" w:color="auto" w:fill="CFF0FC"/>
          </w:tcPr>
          <w:p>
            <w:pPr>
              <w:spacing w:after="0"/>
              <w:rPr>
                <w:sz w:val="13"/>
                <w:szCs w:val="13"/>
                <w:color w:val="auto"/>
              </w:rPr>
            </w:pPr>
          </w:p>
        </w:tc>
        <w:tc>
          <w:tcPr>
            <w:tcW w:w="320" w:type="dxa"/>
            <w:vAlign w:val="bottom"/>
            <w:tcBorders>
              <w:bottom w:val="single" w:sz="8" w:color="auto"/>
            </w:tcBorders>
            <w:shd w:val="clear" w:color="auto" w:fill="CFF0FC"/>
          </w:tcPr>
          <w:p>
            <w:pPr>
              <w:ind w:left="6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FF0FC"/>
            </w:tcBorders>
            <w:shd w:val="clear" w:color="auto" w:fill="CFF0FC"/>
          </w:tcPr>
          <w:p>
            <w:pPr>
              <w:spacing w:after="0"/>
              <w:rPr>
                <w:sz w:val="13"/>
                <w:szCs w:val="13"/>
                <w:color w:val="auto"/>
              </w:rPr>
            </w:pPr>
          </w:p>
        </w:tc>
        <w:tc>
          <w:tcPr>
            <w:tcW w:w="780" w:type="dxa"/>
            <w:vAlign w:val="bottom"/>
            <w:tcBorders>
              <w:bottom w:val="single" w:sz="8" w:color="auto"/>
            </w:tcBorders>
            <w:shd w:val="clear" w:color="auto" w:fill="CFF0FC"/>
          </w:tcPr>
          <w:p>
            <w:pPr>
              <w:jc w:val="right"/>
              <w:ind w:right="633"/>
              <w:spacing w:after="0"/>
              <w:rPr>
                <w:sz w:val="20"/>
                <w:szCs w:val="20"/>
                <w:color w:val="auto"/>
              </w:rPr>
            </w:pPr>
            <w:r>
              <w:rPr>
                <w:rFonts w:ascii="Arial" w:cs="Arial" w:eastAsia="Arial" w:hAnsi="Arial"/>
                <w:sz w:val="13"/>
                <w:szCs w:val="13"/>
                <w:color w:val="auto"/>
                <w:w w:val="82"/>
              </w:rPr>
              <w:t>$</w:t>
            </w:r>
          </w:p>
        </w:tc>
        <w:tc>
          <w:tcPr>
            <w:tcW w:w="380" w:type="dxa"/>
            <w:vAlign w:val="bottom"/>
            <w:tcBorders>
              <w:bottom w:val="single" w:sz="8" w:color="auto"/>
              <w:right w:val="single" w:sz="8" w:color="auto"/>
            </w:tcBorders>
            <w:shd w:val="clear" w:color="auto" w:fill="CFF0FC"/>
          </w:tcPr>
          <w:p>
            <w:pPr>
              <w:ind w:left="40"/>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CFF0FC"/>
            </w:tcBorders>
            <w:shd w:val="clear" w:color="auto" w:fill="CFF0FC"/>
          </w:tcPr>
          <w:p>
            <w:pPr>
              <w:spacing w:after="0"/>
              <w:rPr>
                <w:sz w:val="13"/>
                <w:szCs w:val="13"/>
                <w:color w:val="auto"/>
              </w:rPr>
            </w:pPr>
          </w:p>
        </w:tc>
        <w:tc>
          <w:tcPr>
            <w:tcW w:w="1080" w:type="dxa"/>
            <w:vAlign w:val="bottom"/>
            <w:tcBorders>
              <w:bottom w:val="single" w:sz="8" w:color="auto"/>
            </w:tcBorders>
            <w:shd w:val="clear" w:color="auto" w:fill="CFF0FC"/>
          </w:tcPr>
          <w:p>
            <w:pPr>
              <w:jc w:val="right"/>
              <w:ind w:right="53"/>
              <w:spacing w:after="0"/>
              <w:rPr>
                <w:sz w:val="20"/>
                <w:szCs w:val="20"/>
                <w:color w:val="auto"/>
              </w:rPr>
            </w:pPr>
            <w:r>
              <w:rPr>
                <w:rFonts w:ascii="Arial" w:cs="Arial" w:eastAsia="Arial" w:hAnsi="Arial"/>
                <w:sz w:val="13"/>
                <w:szCs w:val="13"/>
                <w:color w:val="auto"/>
              </w:rPr>
              <w:t>134,043,969</w:t>
            </w:r>
          </w:p>
        </w:tc>
        <w:tc>
          <w:tcPr>
            <w:tcW w:w="100" w:type="dxa"/>
            <w:vAlign w:val="bottom"/>
            <w:tcBorders>
              <w:bottom w:val="single" w:sz="8" w:color="CFF0FC"/>
            </w:tcBorders>
            <w:shd w:val="clear" w:color="auto" w:fill="CFF0FC"/>
          </w:tcPr>
          <w:p>
            <w:pPr>
              <w:spacing w:after="0"/>
              <w:rPr>
                <w:sz w:val="13"/>
                <w:szCs w:val="13"/>
                <w:color w:val="auto"/>
              </w:rPr>
            </w:pPr>
          </w:p>
        </w:tc>
        <w:tc>
          <w:tcPr>
            <w:tcW w:w="740" w:type="dxa"/>
            <w:vAlign w:val="bottom"/>
            <w:tcBorders>
              <w:bottom w:val="single" w:sz="8" w:color="auto"/>
            </w:tcBorders>
            <w:shd w:val="clear" w:color="auto" w:fill="CFF0FC"/>
          </w:tcPr>
          <w:p>
            <w:pPr>
              <w:jc w:val="right"/>
              <w:ind w:right="593"/>
              <w:spacing w:after="0"/>
              <w:rPr>
                <w:sz w:val="20"/>
                <w:szCs w:val="20"/>
                <w:color w:val="auto"/>
              </w:rPr>
            </w:pPr>
            <w:r>
              <w:rPr>
                <w:rFonts w:ascii="Arial" w:cs="Arial" w:eastAsia="Arial" w:hAnsi="Arial"/>
                <w:sz w:val="13"/>
                <w:szCs w:val="13"/>
                <w:color w:val="auto"/>
                <w:w w:val="82"/>
              </w:rPr>
              <w:t>$</w:t>
            </w:r>
          </w:p>
        </w:tc>
        <w:tc>
          <w:tcPr>
            <w:tcW w:w="340" w:type="dxa"/>
            <w:vAlign w:val="bottom"/>
            <w:tcBorders>
              <w:bottom w:val="single" w:sz="8" w:color="auto"/>
            </w:tcBorders>
            <w:shd w:val="clear" w:color="auto" w:fill="CFF0FC"/>
          </w:tcPr>
          <w:p>
            <w:pPr>
              <w:jc w:val="right"/>
              <w:ind w:right="53"/>
              <w:spacing w:after="0"/>
              <w:rPr>
                <w:sz w:val="20"/>
                <w:szCs w:val="20"/>
                <w:color w:val="auto"/>
              </w:rPr>
            </w:pPr>
            <w:r>
              <w:rPr>
                <w:rFonts w:ascii="Arial" w:cs="Arial" w:eastAsia="Arial" w:hAnsi="Arial"/>
                <w:sz w:val="13"/>
                <w:szCs w:val="13"/>
                <w:color w:val="auto"/>
                <w:w w:val="92"/>
              </w:rPr>
              <w:t>132</w:t>
            </w:r>
          </w:p>
        </w:tc>
        <w:tc>
          <w:tcPr>
            <w:tcW w:w="10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Borders>
              <w:bottom w:val="single" w:sz="8" w:color="auto"/>
            </w:tcBorders>
            <w:shd w:val="clear" w:color="auto" w:fill="CFF0FC"/>
          </w:tcPr>
          <w:p>
            <w:pPr>
              <w:jc w:val="right"/>
              <w:ind w:right="53"/>
              <w:spacing w:after="0"/>
              <w:rPr>
                <w:sz w:val="20"/>
                <w:szCs w:val="20"/>
                <w:color w:val="auto"/>
              </w:rPr>
            </w:pPr>
            <w:r>
              <w:rPr>
                <w:rFonts w:ascii="Arial" w:cs="Arial" w:eastAsia="Arial" w:hAnsi="Arial"/>
                <w:sz w:val="13"/>
                <w:szCs w:val="13"/>
                <w:color w:val="auto"/>
              </w:rPr>
              <w:t>2,004,841</w:t>
            </w:r>
          </w:p>
        </w:tc>
        <w:tc>
          <w:tcPr>
            <w:tcW w:w="100" w:type="dxa"/>
            <w:vAlign w:val="bottom"/>
            <w:tcBorders>
              <w:bottom w:val="single" w:sz="8" w:color="CFF0FC"/>
            </w:tcBorders>
            <w:shd w:val="clear" w:color="auto" w:fill="CFF0FC"/>
          </w:tcPr>
          <w:p>
            <w:pPr>
              <w:spacing w:after="0"/>
              <w:rPr>
                <w:sz w:val="13"/>
                <w:szCs w:val="13"/>
                <w:color w:val="auto"/>
              </w:rPr>
            </w:pPr>
          </w:p>
        </w:tc>
        <w:tc>
          <w:tcPr>
            <w:tcW w:w="18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3"/>
                <w:szCs w:val="13"/>
                <w:color w:val="auto"/>
                <w:w w:val="82"/>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(777,871)</w:t>
            </w:r>
          </w:p>
        </w:tc>
        <w:tc>
          <w:tcPr>
            <w:tcW w:w="100" w:type="dxa"/>
            <w:vAlign w:val="bottom"/>
            <w:tcBorders>
              <w:bottom w:val="single" w:sz="8" w:color="CFF0FC"/>
            </w:tcBorders>
            <w:shd w:val="clear" w:color="auto" w:fill="CFF0FC"/>
          </w:tcPr>
          <w:p>
            <w:pPr>
              <w:spacing w:after="0"/>
              <w:rPr>
                <w:sz w:val="13"/>
                <w:szCs w:val="13"/>
                <w:color w:val="auto"/>
              </w:rPr>
            </w:pPr>
          </w:p>
        </w:tc>
        <w:tc>
          <w:tcPr>
            <w:tcW w:w="18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3"/>
                <w:szCs w:val="13"/>
                <w:color w:val="auto"/>
                <w:w w:val="82"/>
              </w:rPr>
              <w:t>$</w:t>
            </w:r>
          </w:p>
        </w:tc>
        <w:tc>
          <w:tcPr>
            <w:tcW w:w="940" w:type="dxa"/>
            <w:vAlign w:val="bottom"/>
            <w:tcBorders>
              <w:bottom w:val="single" w:sz="8" w:color="auto"/>
            </w:tcBorders>
            <w:shd w:val="clear" w:color="auto" w:fill="CFF0FC"/>
          </w:tcPr>
          <w:p>
            <w:pPr>
              <w:jc w:val="right"/>
              <w:ind w:right="73"/>
              <w:spacing w:after="0"/>
              <w:rPr>
                <w:sz w:val="20"/>
                <w:szCs w:val="20"/>
                <w:color w:val="auto"/>
              </w:rPr>
            </w:pPr>
            <w:r>
              <w:rPr>
                <w:rFonts w:ascii="Arial" w:cs="Arial" w:eastAsia="Arial" w:hAnsi="Arial"/>
                <w:sz w:val="13"/>
                <w:szCs w:val="13"/>
                <w:color w:val="auto"/>
              </w:rPr>
              <w:t>1,227,102</w:t>
            </w:r>
          </w:p>
        </w:tc>
      </w:tr>
      <w:tr>
        <w:trPr>
          <w:trHeight w:val="20"/>
        </w:trPr>
        <w:tc>
          <w:tcPr>
            <w:tcW w:w="29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righ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39"/>
        </w:trPr>
        <w:tc>
          <w:tcPr>
            <w:tcW w:w="3740" w:type="dxa"/>
            <w:vAlign w:val="bottom"/>
            <w:gridSpan w:val="2"/>
          </w:tcPr>
          <w:p>
            <w:pPr>
              <w:ind w:left="240"/>
              <w:spacing w:after="0" w:line="139" w:lineRule="exact"/>
              <w:rPr>
                <w:sz w:val="20"/>
                <w:szCs w:val="20"/>
                <w:color w:val="auto"/>
              </w:rPr>
            </w:pPr>
            <w:r>
              <w:rPr>
                <w:rFonts w:ascii="Arial" w:cs="Arial" w:eastAsia="Arial" w:hAnsi="Arial"/>
                <w:sz w:val="13"/>
                <w:szCs w:val="13"/>
                <w:color w:val="auto"/>
              </w:rPr>
              <w:t>Issuance of common stock for acquisition of</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8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r>
      <w:tr>
        <w:trPr>
          <w:trHeight w:val="147"/>
        </w:trPr>
        <w:tc>
          <w:tcPr>
            <w:tcW w:w="3740" w:type="dxa"/>
            <w:vAlign w:val="bottom"/>
            <w:gridSpan w:val="2"/>
          </w:tcPr>
          <w:p>
            <w:pPr>
              <w:ind w:left="240"/>
              <w:spacing w:after="0" w:line="148" w:lineRule="exact"/>
              <w:rPr>
                <w:sz w:val="20"/>
                <w:szCs w:val="20"/>
                <w:color w:val="auto"/>
              </w:rPr>
            </w:pPr>
            <w:r>
              <w:rPr>
                <w:rFonts w:ascii="Arial" w:cs="Arial" w:eastAsia="Arial" w:hAnsi="Arial"/>
                <w:sz w:val="13"/>
                <w:szCs w:val="13"/>
                <w:color w:val="auto"/>
              </w:rPr>
              <w:t>business</w:t>
            </w:r>
          </w:p>
        </w:tc>
        <w:tc>
          <w:tcPr>
            <w:tcW w:w="420" w:type="dxa"/>
            <w:vAlign w:val="bottom"/>
            <w:gridSpan w:val="2"/>
          </w:tcPr>
          <w:p>
            <w:pPr>
              <w:ind w:left="60"/>
              <w:spacing w:after="0" w:line="148" w:lineRule="exact"/>
              <w:rPr>
                <w:sz w:val="20"/>
                <w:szCs w:val="20"/>
                <w:color w:val="auto"/>
              </w:rPr>
            </w:pPr>
            <w:r>
              <w:rPr>
                <w:rFonts w:ascii="Arial" w:cs="Arial" w:eastAsia="Arial" w:hAnsi="Arial"/>
                <w:sz w:val="13"/>
                <w:szCs w:val="13"/>
                <w:color w:val="auto"/>
              </w:rPr>
              <w:t>—</w:t>
            </w:r>
          </w:p>
        </w:tc>
        <w:tc>
          <w:tcPr>
            <w:tcW w:w="780" w:type="dxa"/>
            <w:vAlign w:val="bottom"/>
          </w:tcPr>
          <w:p>
            <w:pPr>
              <w:jc w:val="right"/>
              <w:ind w:right="633"/>
              <w:spacing w:after="0" w:line="148" w:lineRule="exact"/>
              <w:rPr>
                <w:sz w:val="20"/>
                <w:szCs w:val="20"/>
                <w:color w:val="auto"/>
              </w:rPr>
            </w:pPr>
            <w:r>
              <w:rPr>
                <w:rFonts w:ascii="Arial" w:cs="Arial" w:eastAsia="Arial" w:hAnsi="Arial"/>
                <w:sz w:val="13"/>
                <w:szCs w:val="13"/>
                <w:color w:val="auto"/>
                <w:w w:val="82"/>
              </w:rPr>
              <w:t>$</w:t>
            </w:r>
          </w:p>
        </w:tc>
        <w:tc>
          <w:tcPr>
            <w:tcW w:w="380" w:type="dxa"/>
            <w:vAlign w:val="bottom"/>
            <w:tcBorders>
              <w:right w:val="single" w:sz="8" w:color="auto"/>
            </w:tcBorders>
          </w:tcPr>
          <w:p>
            <w:pPr>
              <w:ind w:left="40"/>
              <w:spacing w:after="0" w:line="148"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1080" w:type="dxa"/>
            <w:vAlign w:val="bottom"/>
          </w:tcPr>
          <w:p>
            <w:pPr>
              <w:jc w:val="right"/>
              <w:ind w:right="53"/>
              <w:spacing w:after="0" w:line="148" w:lineRule="exact"/>
              <w:rPr>
                <w:sz w:val="20"/>
                <w:szCs w:val="20"/>
                <w:color w:val="auto"/>
              </w:rPr>
            </w:pPr>
            <w:r>
              <w:rPr>
                <w:rFonts w:ascii="Arial" w:cs="Arial" w:eastAsia="Arial" w:hAnsi="Arial"/>
                <w:sz w:val="13"/>
                <w:szCs w:val="13"/>
                <w:color w:val="auto"/>
              </w:rPr>
              <w:t>1,072,117</w:t>
            </w:r>
          </w:p>
        </w:tc>
        <w:tc>
          <w:tcPr>
            <w:tcW w:w="100" w:type="dxa"/>
            <w:vAlign w:val="bottom"/>
          </w:tcPr>
          <w:p>
            <w:pPr>
              <w:spacing w:after="0"/>
              <w:rPr>
                <w:sz w:val="12"/>
                <w:szCs w:val="12"/>
                <w:color w:val="auto"/>
              </w:rPr>
            </w:pPr>
          </w:p>
        </w:tc>
        <w:tc>
          <w:tcPr>
            <w:tcW w:w="740" w:type="dxa"/>
            <w:vAlign w:val="bottom"/>
          </w:tcPr>
          <w:p>
            <w:pPr>
              <w:jc w:val="right"/>
              <w:ind w:right="593"/>
              <w:spacing w:after="0" w:line="148" w:lineRule="exact"/>
              <w:rPr>
                <w:sz w:val="20"/>
                <w:szCs w:val="20"/>
                <w:color w:val="auto"/>
              </w:rPr>
            </w:pPr>
            <w:r>
              <w:rPr>
                <w:rFonts w:ascii="Arial" w:cs="Arial" w:eastAsia="Arial" w:hAnsi="Arial"/>
                <w:sz w:val="13"/>
                <w:szCs w:val="13"/>
                <w:color w:val="auto"/>
                <w:w w:val="82"/>
              </w:rPr>
              <w:t>$</w:t>
            </w:r>
          </w:p>
        </w:tc>
        <w:tc>
          <w:tcPr>
            <w:tcW w:w="340" w:type="dxa"/>
            <w:vAlign w:val="bottom"/>
          </w:tcPr>
          <w:p>
            <w:pPr>
              <w:jc w:val="right"/>
              <w:ind w:right="53"/>
              <w:spacing w:after="0" w:line="148" w:lineRule="exact"/>
              <w:rPr>
                <w:sz w:val="20"/>
                <w:szCs w:val="20"/>
                <w:color w:val="auto"/>
              </w:rPr>
            </w:pPr>
            <w:r>
              <w:rPr>
                <w:rFonts w:ascii="Arial" w:cs="Arial" w:eastAsia="Arial" w:hAnsi="Arial"/>
                <w:sz w:val="13"/>
                <w:szCs w:val="13"/>
                <w:color w:val="auto"/>
              </w:rPr>
              <w:t>1</w:t>
            </w:r>
          </w:p>
        </w:tc>
        <w:tc>
          <w:tcPr>
            <w:tcW w:w="220" w:type="dxa"/>
            <w:vAlign w:val="bottom"/>
            <w:gridSpan w:val="2"/>
          </w:tcPr>
          <w:p>
            <w:pPr>
              <w:jc w:val="right"/>
              <w:spacing w:after="0" w:line="148" w:lineRule="exact"/>
              <w:rPr>
                <w:sz w:val="20"/>
                <w:szCs w:val="20"/>
                <w:color w:val="auto"/>
              </w:rPr>
            </w:pPr>
            <w:r>
              <w:rPr>
                <w:rFonts w:ascii="Arial" w:cs="Arial" w:eastAsia="Arial" w:hAnsi="Arial"/>
                <w:sz w:val="13"/>
                <w:szCs w:val="13"/>
                <w:color w:val="auto"/>
              </w:rPr>
              <w:t>$</w:t>
            </w:r>
          </w:p>
        </w:tc>
        <w:tc>
          <w:tcPr>
            <w:tcW w:w="980" w:type="dxa"/>
            <w:vAlign w:val="bottom"/>
          </w:tcPr>
          <w:p>
            <w:pPr>
              <w:jc w:val="right"/>
              <w:ind w:right="53"/>
              <w:spacing w:after="0" w:line="148" w:lineRule="exact"/>
              <w:rPr>
                <w:sz w:val="20"/>
                <w:szCs w:val="20"/>
                <w:color w:val="auto"/>
              </w:rPr>
            </w:pPr>
            <w:r>
              <w:rPr>
                <w:rFonts w:ascii="Arial" w:cs="Arial" w:eastAsia="Arial" w:hAnsi="Arial"/>
                <w:sz w:val="13"/>
                <w:szCs w:val="13"/>
                <w:color w:val="auto"/>
              </w:rPr>
              <w:t>39,029</w:t>
            </w:r>
          </w:p>
        </w:tc>
        <w:tc>
          <w:tcPr>
            <w:tcW w:w="280" w:type="dxa"/>
            <w:vAlign w:val="bottom"/>
            <w:gridSpan w:val="2"/>
          </w:tcPr>
          <w:p>
            <w:pPr>
              <w:jc w:val="right"/>
              <w:ind w:right="33"/>
              <w:spacing w:after="0" w:line="148" w:lineRule="exact"/>
              <w:rPr>
                <w:sz w:val="20"/>
                <w:szCs w:val="20"/>
                <w:color w:val="auto"/>
              </w:rPr>
            </w:pPr>
            <w:r>
              <w:rPr>
                <w:rFonts w:ascii="Arial" w:cs="Arial" w:eastAsia="Arial" w:hAnsi="Arial"/>
                <w:sz w:val="13"/>
                <w:szCs w:val="13"/>
                <w:color w:val="auto"/>
              </w:rPr>
              <w:t>$</w:t>
            </w:r>
          </w:p>
        </w:tc>
        <w:tc>
          <w:tcPr>
            <w:tcW w:w="1020" w:type="dxa"/>
            <w:vAlign w:val="bottom"/>
            <w:gridSpan w:val="2"/>
          </w:tcPr>
          <w:p>
            <w:pPr>
              <w:jc w:val="right"/>
              <w:ind w:right="220"/>
              <w:spacing w:after="0" w:line="148" w:lineRule="exact"/>
              <w:rPr>
                <w:sz w:val="20"/>
                <w:szCs w:val="20"/>
                <w:color w:val="auto"/>
              </w:rPr>
            </w:pPr>
            <w:r>
              <w:rPr>
                <w:rFonts w:ascii="Arial" w:cs="Arial" w:eastAsia="Arial" w:hAnsi="Arial"/>
                <w:sz w:val="13"/>
                <w:szCs w:val="13"/>
                <w:color w:val="auto"/>
              </w:rPr>
              <w:t>—</w:t>
            </w:r>
          </w:p>
        </w:tc>
        <w:tc>
          <w:tcPr>
            <w:tcW w:w="180" w:type="dxa"/>
            <w:vAlign w:val="bottom"/>
          </w:tcPr>
          <w:p>
            <w:pPr>
              <w:jc w:val="right"/>
              <w:ind w:right="33"/>
              <w:spacing w:after="0" w:line="148" w:lineRule="exact"/>
              <w:rPr>
                <w:sz w:val="20"/>
                <w:szCs w:val="20"/>
                <w:color w:val="auto"/>
              </w:rPr>
            </w:pPr>
            <w:r>
              <w:rPr>
                <w:rFonts w:ascii="Arial" w:cs="Arial" w:eastAsia="Arial" w:hAnsi="Arial"/>
                <w:sz w:val="13"/>
                <w:szCs w:val="13"/>
                <w:color w:val="auto"/>
                <w:w w:val="82"/>
              </w:rPr>
              <w:t>$</w:t>
            </w:r>
          </w:p>
        </w:tc>
        <w:tc>
          <w:tcPr>
            <w:tcW w:w="940" w:type="dxa"/>
            <w:vAlign w:val="bottom"/>
          </w:tcPr>
          <w:p>
            <w:pPr>
              <w:jc w:val="right"/>
              <w:ind w:right="73"/>
              <w:spacing w:after="0" w:line="148" w:lineRule="exact"/>
              <w:rPr>
                <w:sz w:val="20"/>
                <w:szCs w:val="20"/>
                <w:color w:val="auto"/>
              </w:rPr>
            </w:pPr>
            <w:r>
              <w:rPr>
                <w:rFonts w:ascii="Arial" w:cs="Arial" w:eastAsia="Arial" w:hAnsi="Arial"/>
                <w:sz w:val="13"/>
                <w:szCs w:val="13"/>
                <w:color w:val="auto"/>
              </w:rPr>
              <w:t>39,030</w:t>
            </w:r>
          </w:p>
        </w:tc>
      </w:tr>
      <w:tr>
        <w:trPr>
          <w:trHeight w:val="159"/>
        </w:trPr>
        <w:tc>
          <w:tcPr>
            <w:tcW w:w="3740" w:type="dxa"/>
            <w:vAlign w:val="bottom"/>
            <w:gridSpan w:val="2"/>
            <w:shd w:val="clear" w:color="auto" w:fill="CFF0FC"/>
          </w:tcPr>
          <w:p>
            <w:pPr>
              <w:ind w:left="240"/>
              <w:spacing w:after="0"/>
              <w:rPr>
                <w:sz w:val="20"/>
                <w:szCs w:val="20"/>
                <w:color w:val="auto"/>
              </w:rPr>
            </w:pPr>
            <w:r>
              <w:rPr>
                <w:rFonts w:ascii="Arial" w:cs="Arial" w:eastAsia="Arial" w:hAnsi="Arial"/>
                <w:sz w:val="13"/>
                <w:szCs w:val="13"/>
                <w:color w:val="auto"/>
              </w:rPr>
              <w:t>Fair value of unvested stock options</w:t>
            </w:r>
          </w:p>
        </w:tc>
        <w:tc>
          <w:tcPr>
            <w:tcW w:w="3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380" w:type="dxa"/>
            <w:vAlign w:val="bottom"/>
            <w:tcBorders>
              <w:right w:val="single" w:sz="8" w:color="auto"/>
            </w:tcBorders>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r>
      <w:tr>
        <w:trPr>
          <w:trHeight w:val="147"/>
        </w:trPr>
        <w:tc>
          <w:tcPr>
            <w:tcW w:w="3740" w:type="dxa"/>
            <w:vAlign w:val="bottom"/>
            <w:gridSpan w:val="2"/>
            <w:shd w:val="clear" w:color="auto" w:fill="CFF0FC"/>
          </w:tcPr>
          <w:p>
            <w:pPr>
              <w:ind w:left="240"/>
              <w:spacing w:after="0" w:line="148" w:lineRule="exact"/>
              <w:rPr>
                <w:sz w:val="20"/>
                <w:szCs w:val="20"/>
                <w:color w:val="auto"/>
              </w:rPr>
            </w:pPr>
            <w:r>
              <w:rPr>
                <w:rFonts w:ascii="Arial" w:cs="Arial" w:eastAsia="Arial" w:hAnsi="Arial"/>
                <w:sz w:val="13"/>
                <w:szCs w:val="13"/>
                <w:color w:val="auto"/>
              </w:rPr>
              <w:t>assumed in acquisition of business</w:t>
            </w:r>
          </w:p>
        </w:tc>
        <w:tc>
          <w:tcPr>
            <w:tcW w:w="420" w:type="dxa"/>
            <w:vAlign w:val="bottom"/>
            <w:gridSpan w:val="2"/>
            <w:shd w:val="clear" w:color="auto" w:fill="CFF0FC"/>
          </w:tcPr>
          <w:p>
            <w:pPr>
              <w:ind w:left="60"/>
              <w:spacing w:after="0" w:line="148" w:lineRule="exact"/>
              <w:rPr>
                <w:sz w:val="20"/>
                <w:szCs w:val="20"/>
                <w:color w:val="auto"/>
              </w:rPr>
            </w:pPr>
            <w:r>
              <w:rPr>
                <w:rFonts w:ascii="Arial" w:cs="Arial" w:eastAsia="Arial" w:hAnsi="Arial"/>
                <w:sz w:val="13"/>
                <w:szCs w:val="13"/>
                <w:color w:val="auto"/>
              </w:rPr>
              <w:t>—</w:t>
            </w:r>
          </w:p>
        </w:tc>
        <w:tc>
          <w:tcPr>
            <w:tcW w:w="780" w:type="dxa"/>
            <w:vAlign w:val="bottom"/>
            <w:shd w:val="clear" w:color="auto" w:fill="CFF0FC"/>
          </w:tcPr>
          <w:p>
            <w:pPr>
              <w:spacing w:after="0"/>
              <w:rPr>
                <w:sz w:val="12"/>
                <w:szCs w:val="12"/>
                <w:color w:val="auto"/>
              </w:rPr>
            </w:pPr>
          </w:p>
        </w:tc>
        <w:tc>
          <w:tcPr>
            <w:tcW w:w="380" w:type="dxa"/>
            <w:vAlign w:val="bottom"/>
            <w:tcBorders>
              <w:right w:val="single" w:sz="8" w:color="auto"/>
            </w:tcBorders>
            <w:shd w:val="clear" w:color="auto" w:fill="CFF0FC"/>
          </w:tcPr>
          <w:p>
            <w:pPr>
              <w:ind w:left="40"/>
              <w:spacing w:after="0" w:line="148" w:lineRule="exact"/>
              <w:rPr>
                <w:sz w:val="20"/>
                <w:szCs w:val="20"/>
                <w:color w:val="auto"/>
              </w:rPr>
            </w:pPr>
            <w:r>
              <w:rPr>
                <w:rFonts w:ascii="Arial" w:cs="Arial" w:eastAsia="Arial" w:hAnsi="Arial"/>
                <w:sz w:val="13"/>
                <w:szCs w:val="13"/>
                <w:color w:val="auto"/>
              </w:rPr>
              <w:t>—</w:t>
            </w:r>
          </w:p>
        </w:tc>
        <w:tc>
          <w:tcPr>
            <w:tcW w:w="40" w:type="dxa"/>
            <w:vAlign w:val="bottom"/>
            <w:shd w:val="clear" w:color="auto" w:fill="CFF0FC"/>
          </w:tcPr>
          <w:p>
            <w:pPr>
              <w:spacing w:after="0"/>
              <w:rPr>
                <w:sz w:val="12"/>
                <w:szCs w:val="12"/>
                <w:color w:val="auto"/>
              </w:rPr>
            </w:pPr>
          </w:p>
        </w:tc>
        <w:tc>
          <w:tcPr>
            <w:tcW w:w="1180" w:type="dxa"/>
            <w:vAlign w:val="bottom"/>
            <w:gridSpan w:val="2"/>
            <w:shd w:val="clear" w:color="auto" w:fill="CFF0FC"/>
          </w:tcPr>
          <w:p>
            <w:pPr>
              <w:jc w:val="right"/>
              <w:ind w:right="220"/>
              <w:spacing w:after="0" w:line="148" w:lineRule="exact"/>
              <w:rPr>
                <w:sz w:val="20"/>
                <w:szCs w:val="20"/>
                <w:color w:val="auto"/>
              </w:rPr>
            </w:pPr>
            <w:r>
              <w:rPr>
                <w:rFonts w:ascii="Arial" w:cs="Arial" w:eastAsia="Arial" w:hAnsi="Arial"/>
                <w:sz w:val="13"/>
                <w:szCs w:val="13"/>
                <w:color w:val="auto"/>
              </w:rPr>
              <w:t>—</w:t>
            </w:r>
          </w:p>
        </w:tc>
        <w:tc>
          <w:tcPr>
            <w:tcW w:w="740" w:type="dxa"/>
            <w:vAlign w:val="bottom"/>
            <w:shd w:val="clear" w:color="auto" w:fill="CFF0FC"/>
          </w:tcPr>
          <w:p>
            <w:pPr>
              <w:spacing w:after="0"/>
              <w:rPr>
                <w:sz w:val="12"/>
                <w:szCs w:val="12"/>
                <w:color w:val="auto"/>
              </w:rPr>
            </w:pPr>
          </w:p>
        </w:tc>
        <w:tc>
          <w:tcPr>
            <w:tcW w:w="340" w:type="dxa"/>
            <w:vAlign w:val="bottom"/>
            <w:shd w:val="clear" w:color="auto" w:fill="CFF0FC"/>
          </w:tcPr>
          <w:p>
            <w:pPr>
              <w:jc w:val="right"/>
              <w:ind w:right="53"/>
              <w:spacing w:after="0" w:line="148" w:lineRule="exact"/>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80" w:type="dxa"/>
            <w:vAlign w:val="bottom"/>
            <w:shd w:val="clear" w:color="auto" w:fill="CFF0FC"/>
          </w:tcPr>
          <w:p>
            <w:pPr>
              <w:jc w:val="right"/>
              <w:ind w:right="53"/>
              <w:spacing w:after="0" w:line="148" w:lineRule="exact"/>
              <w:rPr>
                <w:sz w:val="20"/>
                <w:szCs w:val="20"/>
                <w:color w:val="auto"/>
              </w:rPr>
            </w:pPr>
            <w:r>
              <w:rPr>
                <w:rFonts w:ascii="Arial" w:cs="Arial" w:eastAsia="Arial" w:hAnsi="Arial"/>
                <w:sz w:val="13"/>
                <w:szCs w:val="13"/>
                <w:color w:val="auto"/>
              </w:rPr>
              <w:t>1,017</w:t>
            </w: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20" w:type="dxa"/>
            <w:vAlign w:val="bottom"/>
            <w:gridSpan w:val="2"/>
            <w:shd w:val="clear" w:color="auto" w:fill="CFF0FC"/>
          </w:tcPr>
          <w:p>
            <w:pPr>
              <w:jc w:val="right"/>
              <w:ind w:right="220"/>
              <w:spacing w:after="0" w:line="148" w:lineRule="exact"/>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2"/>
                <w:szCs w:val="12"/>
                <w:color w:val="auto"/>
              </w:rPr>
            </w:pPr>
          </w:p>
        </w:tc>
        <w:tc>
          <w:tcPr>
            <w:tcW w:w="940" w:type="dxa"/>
            <w:vAlign w:val="bottom"/>
            <w:shd w:val="clear" w:color="auto" w:fill="CFF0FC"/>
          </w:tcPr>
          <w:p>
            <w:pPr>
              <w:jc w:val="right"/>
              <w:ind w:right="73"/>
              <w:spacing w:after="0" w:line="148" w:lineRule="exact"/>
              <w:rPr>
                <w:sz w:val="20"/>
                <w:szCs w:val="20"/>
                <w:color w:val="auto"/>
              </w:rPr>
            </w:pPr>
            <w:r>
              <w:rPr>
                <w:rFonts w:ascii="Arial" w:cs="Arial" w:eastAsia="Arial" w:hAnsi="Arial"/>
                <w:sz w:val="13"/>
                <w:szCs w:val="13"/>
                <w:color w:val="auto"/>
              </w:rPr>
              <w:t>1,017</w:t>
            </w:r>
          </w:p>
        </w:tc>
      </w:tr>
      <w:tr>
        <w:trPr>
          <w:trHeight w:val="160"/>
        </w:trPr>
        <w:tc>
          <w:tcPr>
            <w:tcW w:w="3740" w:type="dxa"/>
            <w:vAlign w:val="bottom"/>
            <w:gridSpan w:val="2"/>
          </w:tcPr>
          <w:p>
            <w:pPr>
              <w:ind w:left="240"/>
              <w:spacing w:after="0"/>
              <w:rPr>
                <w:sz w:val="20"/>
                <w:szCs w:val="20"/>
                <w:color w:val="auto"/>
              </w:rPr>
            </w:pPr>
            <w:r>
              <w:rPr>
                <w:rFonts w:ascii="Arial" w:cs="Arial" w:eastAsia="Arial" w:hAnsi="Arial"/>
                <w:sz w:val="13"/>
                <w:szCs w:val="13"/>
                <w:color w:val="auto"/>
              </w:rPr>
              <w:t>Stock-based compensation</w:t>
            </w:r>
          </w:p>
        </w:tc>
        <w:tc>
          <w:tcPr>
            <w:tcW w:w="420" w:type="dxa"/>
            <w:vAlign w:val="bottom"/>
            <w:gridSpan w:val="2"/>
          </w:tcPr>
          <w:p>
            <w:pPr>
              <w:ind w:left="60"/>
              <w:spacing w:after="0"/>
              <w:rPr>
                <w:sz w:val="20"/>
                <w:szCs w:val="20"/>
                <w:color w:val="auto"/>
              </w:rPr>
            </w:pPr>
            <w:r>
              <w:rPr>
                <w:rFonts w:ascii="Arial" w:cs="Arial" w:eastAsia="Arial" w:hAnsi="Arial"/>
                <w:sz w:val="13"/>
                <w:szCs w:val="13"/>
                <w:color w:val="auto"/>
              </w:rPr>
              <w:t>—</w:t>
            </w:r>
          </w:p>
        </w:tc>
        <w:tc>
          <w:tcPr>
            <w:tcW w:w="780" w:type="dxa"/>
            <w:vAlign w:val="bottom"/>
          </w:tcPr>
          <w:p>
            <w:pPr>
              <w:spacing w:after="0"/>
              <w:rPr>
                <w:sz w:val="13"/>
                <w:szCs w:val="13"/>
                <w:color w:val="auto"/>
              </w:rPr>
            </w:pPr>
          </w:p>
        </w:tc>
        <w:tc>
          <w:tcPr>
            <w:tcW w:w="380" w:type="dxa"/>
            <w:vAlign w:val="bottom"/>
            <w:tcBorders>
              <w:right w:val="single" w:sz="8" w:color="auto"/>
            </w:tcBorders>
          </w:tcPr>
          <w:p>
            <w:pPr>
              <w:ind w:left="4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40" w:type="dxa"/>
            <w:vAlign w:val="bottom"/>
          </w:tcPr>
          <w:p>
            <w:pPr>
              <w:spacing w:after="0"/>
              <w:rPr>
                <w:sz w:val="13"/>
                <w:szCs w:val="13"/>
                <w:color w:val="auto"/>
              </w:rPr>
            </w:pPr>
          </w:p>
        </w:tc>
        <w:tc>
          <w:tcPr>
            <w:tcW w:w="34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jc w:val="right"/>
              <w:ind w:right="53"/>
              <w:spacing w:after="0"/>
              <w:rPr>
                <w:sz w:val="20"/>
                <w:szCs w:val="20"/>
                <w:color w:val="auto"/>
              </w:rPr>
            </w:pPr>
            <w:r>
              <w:rPr>
                <w:rFonts w:ascii="Arial" w:cs="Arial" w:eastAsia="Arial" w:hAnsi="Arial"/>
                <w:sz w:val="13"/>
                <w:szCs w:val="13"/>
                <w:color w:val="auto"/>
              </w:rPr>
              <w:t>2,820</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3"/>
                <w:szCs w:val="13"/>
                <w:color w:val="auto"/>
              </w:rPr>
            </w:pPr>
          </w:p>
        </w:tc>
        <w:tc>
          <w:tcPr>
            <w:tcW w:w="940" w:type="dxa"/>
            <w:vAlign w:val="bottom"/>
          </w:tcPr>
          <w:p>
            <w:pPr>
              <w:jc w:val="right"/>
              <w:ind w:right="73"/>
              <w:spacing w:after="0"/>
              <w:rPr>
                <w:sz w:val="20"/>
                <w:szCs w:val="20"/>
                <w:color w:val="auto"/>
              </w:rPr>
            </w:pPr>
            <w:r>
              <w:rPr>
                <w:rFonts w:ascii="Arial" w:cs="Arial" w:eastAsia="Arial" w:hAnsi="Arial"/>
                <w:sz w:val="13"/>
                <w:szCs w:val="13"/>
                <w:color w:val="auto"/>
              </w:rPr>
              <w:t>2,820</w:t>
            </w:r>
          </w:p>
        </w:tc>
      </w:tr>
      <w:tr>
        <w:trPr>
          <w:trHeight w:val="160"/>
        </w:trPr>
        <w:tc>
          <w:tcPr>
            <w:tcW w:w="3740" w:type="dxa"/>
            <w:vAlign w:val="bottom"/>
            <w:gridSpan w:val="2"/>
            <w:shd w:val="clear" w:color="auto" w:fill="CFF0FC"/>
          </w:tcPr>
          <w:p>
            <w:pPr>
              <w:ind w:left="240"/>
              <w:spacing w:after="0"/>
              <w:rPr>
                <w:sz w:val="20"/>
                <w:szCs w:val="20"/>
                <w:color w:val="auto"/>
              </w:rPr>
            </w:pPr>
            <w:r>
              <w:rPr>
                <w:rFonts w:ascii="Arial" w:cs="Arial" w:eastAsia="Arial" w:hAnsi="Arial"/>
                <w:sz w:val="13"/>
                <w:szCs w:val="13"/>
                <w:color w:val="auto"/>
              </w:rPr>
              <w:t>Exercise of stock options</w:t>
            </w:r>
          </w:p>
        </w:tc>
        <w:tc>
          <w:tcPr>
            <w:tcW w:w="420" w:type="dxa"/>
            <w:vAlign w:val="bottom"/>
            <w:gridSpan w:val="2"/>
            <w:shd w:val="clear" w:color="auto" w:fill="CFF0FC"/>
          </w:tcPr>
          <w:p>
            <w:pPr>
              <w:ind w:left="60"/>
              <w:spacing w:after="0"/>
              <w:rPr>
                <w:sz w:val="20"/>
                <w:szCs w:val="20"/>
                <w:color w:val="auto"/>
              </w:rPr>
            </w:pPr>
            <w:r>
              <w:rPr>
                <w:rFonts w:ascii="Arial" w:cs="Arial" w:eastAsia="Arial" w:hAnsi="Arial"/>
                <w:sz w:val="13"/>
                <w:szCs w:val="13"/>
                <w:color w:val="auto"/>
              </w:rPr>
              <w:t>—</w:t>
            </w:r>
          </w:p>
        </w:tc>
        <w:tc>
          <w:tcPr>
            <w:tcW w:w="780" w:type="dxa"/>
            <w:vAlign w:val="bottom"/>
            <w:shd w:val="clear" w:color="auto" w:fill="CFF0FC"/>
          </w:tcPr>
          <w:p>
            <w:pPr>
              <w:spacing w:after="0"/>
              <w:rPr>
                <w:sz w:val="13"/>
                <w:szCs w:val="13"/>
                <w:color w:val="auto"/>
              </w:rPr>
            </w:pPr>
          </w:p>
        </w:tc>
        <w:tc>
          <w:tcPr>
            <w:tcW w:w="380" w:type="dxa"/>
            <w:vAlign w:val="bottom"/>
            <w:tcBorders>
              <w:right w:val="single" w:sz="8" w:color="auto"/>
            </w:tcBorders>
            <w:shd w:val="clear" w:color="auto" w:fill="CFF0FC"/>
          </w:tcPr>
          <w:p>
            <w:pPr>
              <w:ind w:left="40"/>
              <w:spacing w:after="0"/>
              <w:rPr>
                <w:sz w:val="20"/>
                <w:szCs w:val="20"/>
                <w:color w:val="auto"/>
              </w:rPr>
            </w:pPr>
            <w:r>
              <w:rPr>
                <w:rFonts w:ascii="Arial" w:cs="Arial" w:eastAsia="Arial" w:hAnsi="Arial"/>
                <w:sz w:val="13"/>
                <w:szCs w:val="13"/>
                <w:color w:val="auto"/>
              </w:rPr>
              <w:t>—</w:t>
            </w:r>
          </w:p>
        </w:tc>
        <w:tc>
          <w:tcPr>
            <w:tcW w:w="40" w:type="dxa"/>
            <w:vAlign w:val="bottom"/>
            <w:shd w:val="clear" w:color="auto" w:fill="CFF0FC"/>
          </w:tcPr>
          <w:p>
            <w:pPr>
              <w:spacing w:after="0"/>
              <w:rPr>
                <w:sz w:val="13"/>
                <w:szCs w:val="13"/>
                <w:color w:val="auto"/>
              </w:rPr>
            </w:pPr>
          </w:p>
        </w:tc>
        <w:tc>
          <w:tcPr>
            <w:tcW w:w="108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rPr>
              <w:t>687,336</w:t>
            </w:r>
          </w:p>
        </w:tc>
        <w:tc>
          <w:tcPr>
            <w:tcW w:w="10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34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rPr>
              <w:t>1</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8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rPr>
              <w:t>2,820</w:t>
            </w:r>
          </w:p>
        </w:tc>
        <w:tc>
          <w:tcPr>
            <w:tcW w:w="1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02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3"/>
                <w:szCs w:val="13"/>
                <w:color w:val="auto"/>
              </w:rPr>
            </w:pPr>
          </w:p>
        </w:tc>
        <w:tc>
          <w:tcPr>
            <w:tcW w:w="940" w:type="dxa"/>
            <w:vAlign w:val="bottom"/>
            <w:shd w:val="clear" w:color="auto" w:fill="CFF0FC"/>
          </w:tcPr>
          <w:p>
            <w:pPr>
              <w:jc w:val="right"/>
              <w:ind w:right="73"/>
              <w:spacing w:after="0"/>
              <w:rPr>
                <w:sz w:val="20"/>
                <w:szCs w:val="20"/>
                <w:color w:val="auto"/>
              </w:rPr>
            </w:pPr>
            <w:r>
              <w:rPr>
                <w:rFonts w:ascii="Arial" w:cs="Arial" w:eastAsia="Arial" w:hAnsi="Arial"/>
                <w:sz w:val="13"/>
                <w:szCs w:val="13"/>
                <w:color w:val="auto"/>
              </w:rPr>
              <w:t>2,821</w:t>
            </w:r>
          </w:p>
        </w:tc>
      </w:tr>
      <w:tr>
        <w:trPr>
          <w:trHeight w:val="160"/>
        </w:trPr>
        <w:tc>
          <w:tcPr>
            <w:tcW w:w="3740" w:type="dxa"/>
            <w:vAlign w:val="bottom"/>
            <w:gridSpan w:val="2"/>
          </w:tcPr>
          <w:p>
            <w:pPr>
              <w:ind w:left="240"/>
              <w:spacing w:after="0"/>
              <w:rPr>
                <w:sz w:val="20"/>
                <w:szCs w:val="20"/>
                <w:color w:val="auto"/>
              </w:rPr>
            </w:pPr>
            <w:r>
              <w:rPr>
                <w:rFonts w:ascii="Arial" w:cs="Arial" w:eastAsia="Arial" w:hAnsi="Arial"/>
                <w:sz w:val="13"/>
                <w:szCs w:val="13"/>
                <w:color w:val="auto"/>
              </w:rPr>
              <w:t>Vesting of restricted stock units</w:t>
            </w:r>
          </w:p>
        </w:tc>
        <w:tc>
          <w:tcPr>
            <w:tcW w:w="420" w:type="dxa"/>
            <w:vAlign w:val="bottom"/>
            <w:gridSpan w:val="2"/>
          </w:tcPr>
          <w:p>
            <w:pPr>
              <w:ind w:left="60"/>
              <w:spacing w:after="0"/>
              <w:rPr>
                <w:sz w:val="20"/>
                <w:szCs w:val="20"/>
                <w:color w:val="auto"/>
              </w:rPr>
            </w:pPr>
            <w:r>
              <w:rPr>
                <w:rFonts w:ascii="Arial" w:cs="Arial" w:eastAsia="Arial" w:hAnsi="Arial"/>
                <w:sz w:val="13"/>
                <w:szCs w:val="13"/>
                <w:color w:val="auto"/>
              </w:rPr>
              <w:t>—</w:t>
            </w:r>
          </w:p>
        </w:tc>
        <w:tc>
          <w:tcPr>
            <w:tcW w:w="780" w:type="dxa"/>
            <w:vAlign w:val="bottom"/>
          </w:tcPr>
          <w:p>
            <w:pPr>
              <w:spacing w:after="0"/>
              <w:rPr>
                <w:sz w:val="13"/>
                <w:szCs w:val="13"/>
                <w:color w:val="auto"/>
              </w:rPr>
            </w:pPr>
          </w:p>
        </w:tc>
        <w:tc>
          <w:tcPr>
            <w:tcW w:w="380" w:type="dxa"/>
            <w:vAlign w:val="bottom"/>
            <w:tcBorders>
              <w:right w:val="single" w:sz="8" w:color="auto"/>
            </w:tcBorders>
          </w:tcPr>
          <w:p>
            <w:pPr>
              <w:ind w:left="4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1080" w:type="dxa"/>
            <w:vAlign w:val="bottom"/>
          </w:tcPr>
          <w:p>
            <w:pPr>
              <w:jc w:val="right"/>
              <w:ind w:right="53"/>
              <w:spacing w:after="0"/>
              <w:rPr>
                <w:sz w:val="20"/>
                <w:szCs w:val="20"/>
                <w:color w:val="auto"/>
              </w:rPr>
            </w:pPr>
            <w:r>
              <w:rPr>
                <w:rFonts w:ascii="Arial" w:cs="Arial" w:eastAsia="Arial" w:hAnsi="Arial"/>
                <w:sz w:val="13"/>
                <w:szCs w:val="13"/>
                <w:color w:val="auto"/>
              </w:rPr>
              <w:t>499,879</w:t>
            </w: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4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3"/>
                <w:szCs w:val="13"/>
                <w:color w:val="auto"/>
              </w:rPr>
            </w:pPr>
          </w:p>
        </w:tc>
        <w:tc>
          <w:tcPr>
            <w:tcW w:w="940" w:type="dxa"/>
            <w:vAlign w:val="bottom"/>
          </w:tcPr>
          <w:p>
            <w:pPr>
              <w:jc w:val="right"/>
              <w:ind w:right="73"/>
              <w:spacing w:after="0"/>
              <w:rPr>
                <w:sz w:val="20"/>
                <w:szCs w:val="20"/>
                <w:color w:val="auto"/>
              </w:rPr>
            </w:pPr>
            <w:r>
              <w:rPr>
                <w:rFonts w:ascii="Arial" w:cs="Arial" w:eastAsia="Arial" w:hAnsi="Arial"/>
                <w:sz w:val="13"/>
                <w:szCs w:val="13"/>
                <w:color w:val="auto"/>
              </w:rPr>
              <w:t>—</w:t>
            </w:r>
          </w:p>
        </w:tc>
      </w:tr>
      <w:tr>
        <w:trPr>
          <w:trHeight w:val="160"/>
        </w:trPr>
        <w:tc>
          <w:tcPr>
            <w:tcW w:w="2980" w:type="dxa"/>
            <w:vAlign w:val="bottom"/>
            <w:shd w:val="clear" w:color="auto" w:fill="CFF0FC"/>
          </w:tcPr>
          <w:p>
            <w:pPr>
              <w:ind w:left="240"/>
              <w:spacing w:after="0"/>
              <w:rPr>
                <w:sz w:val="20"/>
                <w:szCs w:val="20"/>
                <w:color w:val="auto"/>
              </w:rPr>
            </w:pPr>
            <w:r>
              <w:rPr>
                <w:rFonts w:ascii="Arial" w:cs="Arial" w:eastAsia="Arial" w:hAnsi="Arial"/>
                <w:sz w:val="13"/>
                <w:szCs w:val="13"/>
                <w:color w:val="auto"/>
              </w:rPr>
              <w:t>Net loss</w:t>
            </w:r>
          </w:p>
        </w:tc>
        <w:tc>
          <w:tcPr>
            <w:tcW w:w="760" w:type="dxa"/>
            <w:vAlign w:val="bottom"/>
            <w:tcBorders>
              <w:bottom w:val="single" w:sz="8" w:color="auto"/>
            </w:tcBorders>
            <w:shd w:val="clear" w:color="auto" w:fill="CFF0FC"/>
          </w:tcPr>
          <w:p>
            <w:pPr>
              <w:spacing w:after="0"/>
              <w:rPr>
                <w:sz w:val="13"/>
                <w:szCs w:val="13"/>
                <w:color w:val="auto"/>
              </w:rPr>
            </w:pPr>
          </w:p>
        </w:tc>
        <w:tc>
          <w:tcPr>
            <w:tcW w:w="320" w:type="dxa"/>
            <w:vAlign w:val="bottom"/>
            <w:tcBorders>
              <w:bottom w:val="single" w:sz="8" w:color="auto"/>
            </w:tcBorders>
            <w:shd w:val="clear" w:color="auto" w:fill="CFF0FC"/>
          </w:tcPr>
          <w:p>
            <w:pPr>
              <w:ind w:left="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3"/>
                <w:szCs w:val="13"/>
                <w:color w:val="auto"/>
              </w:rPr>
            </w:pPr>
          </w:p>
        </w:tc>
        <w:tc>
          <w:tcPr>
            <w:tcW w:w="780" w:type="dxa"/>
            <w:vAlign w:val="bottom"/>
            <w:tcBorders>
              <w:bottom w:val="single" w:sz="8" w:color="auto"/>
            </w:tcBorders>
            <w:shd w:val="clear" w:color="auto" w:fill="CFF0FC"/>
          </w:tcPr>
          <w:p>
            <w:pPr>
              <w:spacing w:after="0"/>
              <w:rPr>
                <w:sz w:val="13"/>
                <w:szCs w:val="13"/>
                <w:color w:val="auto"/>
              </w:rPr>
            </w:pPr>
          </w:p>
        </w:tc>
        <w:tc>
          <w:tcPr>
            <w:tcW w:w="380" w:type="dxa"/>
            <w:vAlign w:val="bottom"/>
            <w:tcBorders>
              <w:bottom w:val="single" w:sz="8" w:color="auto"/>
              <w:right w:val="single" w:sz="8" w:color="auto"/>
            </w:tcBorders>
            <w:shd w:val="clear" w:color="auto" w:fill="CFF0FC"/>
          </w:tcPr>
          <w:p>
            <w:pPr>
              <w:ind w:left="40"/>
              <w:spacing w:after="0"/>
              <w:rPr>
                <w:sz w:val="20"/>
                <w:szCs w:val="20"/>
                <w:color w:val="auto"/>
              </w:rPr>
            </w:pPr>
            <w:r>
              <w:rPr>
                <w:rFonts w:ascii="Arial" w:cs="Arial" w:eastAsia="Arial" w:hAnsi="Arial"/>
                <w:sz w:val="13"/>
                <w:szCs w:val="13"/>
                <w:color w:val="auto"/>
              </w:rPr>
              <w:t>—</w:t>
            </w:r>
          </w:p>
        </w:tc>
        <w:tc>
          <w:tcPr>
            <w:tcW w:w="40" w:type="dxa"/>
            <w:vAlign w:val="bottom"/>
            <w:shd w:val="clear" w:color="auto" w:fill="CFF0FC"/>
          </w:tcPr>
          <w:p>
            <w:pPr>
              <w:spacing w:after="0"/>
              <w:rPr>
                <w:sz w:val="13"/>
                <w:szCs w:val="13"/>
                <w:color w:val="auto"/>
              </w:rPr>
            </w:pPr>
          </w:p>
        </w:tc>
        <w:tc>
          <w:tcPr>
            <w:tcW w:w="1080" w:type="dxa"/>
            <w:vAlign w:val="bottom"/>
            <w:tcBorders>
              <w:bottom w:val="single" w:sz="8" w:color="auto"/>
            </w:tcBorders>
            <w:shd w:val="clear" w:color="auto" w:fill="CFF0FC"/>
          </w:tcPr>
          <w:p>
            <w:pPr>
              <w:jc w:val="right"/>
              <w:ind w:right="53"/>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3"/>
                <w:szCs w:val="13"/>
                <w:color w:val="auto"/>
              </w:rPr>
            </w:pPr>
          </w:p>
        </w:tc>
        <w:tc>
          <w:tcPr>
            <w:tcW w:w="740" w:type="dxa"/>
            <w:vAlign w:val="bottom"/>
            <w:tcBorders>
              <w:bottom w:val="single" w:sz="8" w:color="auto"/>
            </w:tcBorders>
            <w:shd w:val="clear" w:color="auto" w:fill="CFF0FC"/>
          </w:tcPr>
          <w:p>
            <w:pPr>
              <w:spacing w:after="0"/>
              <w:rPr>
                <w:sz w:val="13"/>
                <w:szCs w:val="13"/>
                <w:color w:val="auto"/>
              </w:rPr>
            </w:pPr>
          </w:p>
        </w:tc>
        <w:tc>
          <w:tcPr>
            <w:tcW w:w="340" w:type="dxa"/>
            <w:vAlign w:val="bottom"/>
            <w:tcBorders>
              <w:bottom w:val="single" w:sz="8" w:color="auto"/>
            </w:tcBorders>
            <w:shd w:val="clear" w:color="auto" w:fill="CFF0FC"/>
          </w:tcPr>
          <w:p>
            <w:pPr>
              <w:jc w:val="right"/>
              <w:ind w:right="53"/>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spacing w:after="0"/>
              <w:rPr>
                <w:sz w:val="13"/>
                <w:szCs w:val="13"/>
                <w:color w:val="auto"/>
              </w:rPr>
            </w:pPr>
          </w:p>
        </w:tc>
        <w:tc>
          <w:tcPr>
            <w:tcW w:w="980" w:type="dxa"/>
            <w:vAlign w:val="bottom"/>
            <w:tcBorders>
              <w:bottom w:val="single" w:sz="8" w:color="auto"/>
            </w:tcBorders>
            <w:shd w:val="clear" w:color="auto" w:fill="CFF0FC"/>
          </w:tcPr>
          <w:p>
            <w:pPr>
              <w:jc w:val="right"/>
              <w:ind w:right="53"/>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3"/>
                <w:szCs w:val="13"/>
                <w:color w:val="auto"/>
              </w:rPr>
            </w:pPr>
          </w:p>
        </w:tc>
        <w:tc>
          <w:tcPr>
            <w:tcW w:w="180" w:type="dxa"/>
            <w:vAlign w:val="bottom"/>
            <w:tcBorders>
              <w:bottom w:val="single" w:sz="8" w:color="auto"/>
            </w:tcBorders>
            <w:shd w:val="clear" w:color="auto" w:fill="CFF0FC"/>
          </w:tcPr>
          <w:p>
            <w:pPr>
              <w:spacing w:after="0"/>
              <w:rPr>
                <w:sz w:val="13"/>
                <w:szCs w:val="13"/>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(77,189)</w:t>
            </w:r>
          </w:p>
        </w:tc>
        <w:tc>
          <w:tcPr>
            <w:tcW w:w="100" w:type="dxa"/>
            <w:vAlign w:val="bottom"/>
            <w:shd w:val="clear" w:color="auto" w:fill="CFF0FC"/>
          </w:tcPr>
          <w:p>
            <w:pPr>
              <w:spacing w:after="0"/>
              <w:rPr>
                <w:sz w:val="13"/>
                <w:szCs w:val="13"/>
                <w:color w:val="auto"/>
              </w:rPr>
            </w:pPr>
          </w:p>
        </w:tc>
        <w:tc>
          <w:tcPr>
            <w:tcW w:w="180" w:type="dxa"/>
            <w:vAlign w:val="bottom"/>
            <w:tcBorders>
              <w:bottom w:val="single" w:sz="8" w:color="auto"/>
            </w:tcBorders>
            <w:shd w:val="clear" w:color="auto" w:fill="CFF0FC"/>
          </w:tcPr>
          <w:p>
            <w:pPr>
              <w:spacing w:after="0"/>
              <w:rPr>
                <w:sz w:val="13"/>
                <w:szCs w:val="13"/>
                <w:color w:val="auto"/>
              </w:rPr>
            </w:pPr>
          </w:p>
        </w:tc>
        <w:tc>
          <w:tcPr>
            <w:tcW w:w="940" w:type="dxa"/>
            <w:vAlign w:val="bottom"/>
            <w:tcBorders>
              <w:bottom w:val="single" w:sz="8" w:color="auto"/>
            </w:tcBorders>
            <w:shd w:val="clear" w:color="auto" w:fill="CFF0FC"/>
          </w:tcPr>
          <w:p>
            <w:pPr>
              <w:jc w:val="right"/>
              <w:ind w:right="13"/>
              <w:spacing w:after="0"/>
              <w:rPr>
                <w:sz w:val="20"/>
                <w:szCs w:val="20"/>
                <w:color w:val="auto"/>
              </w:rPr>
            </w:pPr>
            <w:r>
              <w:rPr>
                <w:rFonts w:ascii="Arial" w:cs="Arial" w:eastAsia="Arial" w:hAnsi="Arial"/>
                <w:sz w:val="13"/>
                <w:szCs w:val="13"/>
                <w:color w:val="auto"/>
              </w:rPr>
              <w:t>(77,189)</w:t>
            </w:r>
          </w:p>
        </w:tc>
      </w:tr>
      <w:tr>
        <w:trPr>
          <w:trHeight w:val="193"/>
        </w:trPr>
        <w:tc>
          <w:tcPr>
            <w:tcW w:w="2980" w:type="dxa"/>
            <w:vAlign w:val="bottom"/>
            <w:tcBorders>
              <w:bottom w:val="single" w:sz="8" w:color="CFF0FC"/>
            </w:tcBorders>
          </w:tcPr>
          <w:p>
            <w:pPr>
              <w:spacing w:after="0"/>
              <w:rPr>
                <w:sz w:val="20"/>
                <w:szCs w:val="20"/>
                <w:color w:val="auto"/>
              </w:rPr>
            </w:pPr>
            <w:r>
              <w:rPr>
                <w:rFonts w:ascii="Arial" w:cs="Arial" w:eastAsia="Arial" w:hAnsi="Arial"/>
                <w:sz w:val="13"/>
                <w:szCs w:val="13"/>
                <w:color w:val="auto"/>
              </w:rPr>
              <w:t>Balance at March 31, 2021</w:t>
            </w:r>
          </w:p>
        </w:tc>
        <w:tc>
          <w:tcPr>
            <w:tcW w:w="7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ind w:left="6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FF0FC"/>
            </w:tcBorders>
          </w:tcPr>
          <w:p>
            <w:pPr>
              <w:spacing w:after="0"/>
              <w:rPr>
                <w:sz w:val="16"/>
                <w:szCs w:val="16"/>
                <w:color w:val="auto"/>
              </w:rPr>
            </w:pPr>
          </w:p>
        </w:tc>
        <w:tc>
          <w:tcPr>
            <w:tcW w:w="780" w:type="dxa"/>
            <w:vAlign w:val="bottom"/>
            <w:tcBorders>
              <w:bottom w:val="single" w:sz="8" w:color="auto"/>
            </w:tcBorders>
          </w:tcPr>
          <w:p>
            <w:pPr>
              <w:jc w:val="right"/>
              <w:ind w:right="633"/>
              <w:spacing w:after="0"/>
              <w:rPr>
                <w:sz w:val="20"/>
                <w:szCs w:val="20"/>
                <w:color w:val="auto"/>
              </w:rPr>
            </w:pPr>
            <w:r>
              <w:rPr>
                <w:rFonts w:ascii="Arial" w:cs="Arial" w:eastAsia="Arial" w:hAnsi="Arial"/>
                <w:sz w:val="13"/>
                <w:szCs w:val="13"/>
                <w:color w:val="auto"/>
                <w:w w:val="82"/>
              </w:rPr>
              <w:t>$</w:t>
            </w:r>
          </w:p>
        </w:tc>
        <w:tc>
          <w:tcPr>
            <w:tcW w:w="3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CFF0FC"/>
            </w:tcBorders>
          </w:tcPr>
          <w:p>
            <w:pPr>
              <w:spacing w:after="0"/>
              <w:rPr>
                <w:sz w:val="16"/>
                <w:szCs w:val="16"/>
                <w:color w:val="auto"/>
              </w:rPr>
            </w:pPr>
          </w:p>
        </w:tc>
        <w:tc>
          <w:tcPr>
            <w:tcW w:w="108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136,303,301</w:t>
            </w:r>
          </w:p>
        </w:tc>
        <w:tc>
          <w:tcPr>
            <w:tcW w:w="100" w:type="dxa"/>
            <w:vAlign w:val="bottom"/>
            <w:tcBorders>
              <w:bottom w:val="single" w:sz="8" w:color="CFF0FC"/>
            </w:tcBorders>
          </w:tcPr>
          <w:p>
            <w:pPr>
              <w:spacing w:after="0"/>
              <w:rPr>
                <w:sz w:val="16"/>
                <w:szCs w:val="16"/>
                <w:color w:val="auto"/>
              </w:rPr>
            </w:pPr>
          </w:p>
        </w:tc>
        <w:tc>
          <w:tcPr>
            <w:tcW w:w="740" w:type="dxa"/>
            <w:vAlign w:val="bottom"/>
            <w:tcBorders>
              <w:bottom w:val="single" w:sz="8" w:color="auto"/>
            </w:tcBorders>
          </w:tcPr>
          <w:p>
            <w:pPr>
              <w:jc w:val="right"/>
              <w:ind w:right="593"/>
              <w:spacing w:after="0"/>
              <w:rPr>
                <w:sz w:val="20"/>
                <w:szCs w:val="20"/>
                <w:color w:val="auto"/>
              </w:rPr>
            </w:pPr>
            <w:r>
              <w:rPr>
                <w:rFonts w:ascii="Arial" w:cs="Arial" w:eastAsia="Arial" w:hAnsi="Arial"/>
                <w:sz w:val="13"/>
                <w:szCs w:val="13"/>
                <w:color w:val="auto"/>
                <w:w w:val="82"/>
              </w:rPr>
              <w:t>$</w:t>
            </w:r>
          </w:p>
        </w:tc>
        <w:tc>
          <w:tcPr>
            <w:tcW w:w="34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w w:val="92"/>
              </w:rPr>
              <w:t>134</w:t>
            </w:r>
          </w:p>
        </w:tc>
        <w:tc>
          <w:tcPr>
            <w:tcW w:w="100" w:type="dxa"/>
            <w:vAlign w:val="bottom"/>
            <w:tcBorders>
              <w:bottom w:val="single" w:sz="8" w:color="CFF0FC"/>
            </w:tcBorders>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2,050,527</w:t>
            </w:r>
          </w:p>
        </w:tc>
        <w:tc>
          <w:tcPr>
            <w:tcW w:w="100" w:type="dxa"/>
            <w:vAlign w:val="bottom"/>
            <w:tcBorders>
              <w:bottom w:val="single" w:sz="8" w:color="CFF0FC"/>
            </w:tcBorders>
          </w:tcPr>
          <w:p>
            <w:pPr>
              <w:spacing w:after="0"/>
              <w:rPr>
                <w:sz w:val="16"/>
                <w:szCs w:val="16"/>
                <w:color w:val="auto"/>
              </w:rPr>
            </w:pPr>
          </w:p>
        </w:tc>
        <w:tc>
          <w:tcPr>
            <w:tcW w:w="18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w w:val="82"/>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(855,060)</w:t>
            </w:r>
          </w:p>
        </w:tc>
        <w:tc>
          <w:tcPr>
            <w:tcW w:w="100" w:type="dxa"/>
            <w:vAlign w:val="bottom"/>
            <w:tcBorders>
              <w:bottom w:val="single" w:sz="8" w:color="CFF0FC"/>
            </w:tcBorders>
          </w:tcPr>
          <w:p>
            <w:pPr>
              <w:spacing w:after="0"/>
              <w:rPr>
                <w:sz w:val="16"/>
                <w:szCs w:val="16"/>
                <w:color w:val="auto"/>
              </w:rPr>
            </w:pPr>
          </w:p>
        </w:tc>
        <w:tc>
          <w:tcPr>
            <w:tcW w:w="18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w w:val="82"/>
              </w:rPr>
              <w:t>$</w:t>
            </w:r>
          </w:p>
        </w:tc>
        <w:tc>
          <w:tcPr>
            <w:tcW w:w="94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color w:val="auto"/>
              </w:rPr>
              <w:t>1,195,601</w:t>
            </w:r>
          </w:p>
        </w:tc>
      </w:tr>
      <w:tr>
        <w:trPr>
          <w:trHeight w:val="140"/>
        </w:trPr>
        <w:tc>
          <w:tcPr>
            <w:tcW w:w="3740" w:type="dxa"/>
            <w:vAlign w:val="bottom"/>
            <w:gridSpan w:val="2"/>
            <w:shd w:val="clear" w:color="auto" w:fill="CFF0FC"/>
          </w:tcPr>
          <w:p>
            <w:pPr>
              <w:ind w:left="240"/>
              <w:spacing w:after="0" w:line="140" w:lineRule="exact"/>
              <w:rPr>
                <w:sz w:val="20"/>
                <w:szCs w:val="20"/>
                <w:color w:val="auto"/>
              </w:rPr>
            </w:pPr>
            <w:r>
              <w:rPr>
                <w:rFonts w:ascii="Arial" w:cs="Arial" w:eastAsia="Arial" w:hAnsi="Arial"/>
                <w:sz w:val="13"/>
                <w:szCs w:val="13"/>
                <w:color w:val="auto"/>
              </w:rPr>
              <w:t>Stock-based compensation</w:t>
            </w:r>
          </w:p>
        </w:tc>
        <w:tc>
          <w:tcPr>
            <w:tcW w:w="420" w:type="dxa"/>
            <w:vAlign w:val="bottom"/>
            <w:gridSpan w:val="2"/>
            <w:shd w:val="clear" w:color="auto" w:fill="CFF0FC"/>
          </w:tcPr>
          <w:p>
            <w:pPr>
              <w:ind w:left="60"/>
              <w:spacing w:after="0" w:line="140" w:lineRule="exact"/>
              <w:rPr>
                <w:sz w:val="20"/>
                <w:szCs w:val="20"/>
                <w:color w:val="auto"/>
              </w:rPr>
            </w:pPr>
            <w:r>
              <w:rPr>
                <w:rFonts w:ascii="Arial" w:cs="Arial" w:eastAsia="Arial" w:hAnsi="Arial"/>
                <w:sz w:val="13"/>
                <w:szCs w:val="13"/>
                <w:color w:val="auto"/>
              </w:rPr>
              <w:t>—</w:t>
            </w:r>
          </w:p>
        </w:tc>
        <w:tc>
          <w:tcPr>
            <w:tcW w:w="780" w:type="dxa"/>
            <w:vAlign w:val="bottom"/>
            <w:shd w:val="clear" w:color="auto" w:fill="CFF0FC"/>
          </w:tcPr>
          <w:p>
            <w:pPr>
              <w:spacing w:after="0"/>
              <w:rPr>
                <w:sz w:val="12"/>
                <w:szCs w:val="12"/>
                <w:color w:val="auto"/>
              </w:rPr>
            </w:pPr>
          </w:p>
        </w:tc>
        <w:tc>
          <w:tcPr>
            <w:tcW w:w="380" w:type="dxa"/>
            <w:vAlign w:val="bottom"/>
            <w:tcBorders>
              <w:right w:val="single" w:sz="8" w:color="auto"/>
            </w:tcBorders>
            <w:shd w:val="clear" w:color="auto" w:fill="CFF0FC"/>
          </w:tcPr>
          <w:p>
            <w:pPr>
              <w:ind w:left="40"/>
              <w:spacing w:after="0" w:line="140" w:lineRule="exact"/>
              <w:rPr>
                <w:sz w:val="20"/>
                <w:szCs w:val="20"/>
                <w:color w:val="auto"/>
              </w:rPr>
            </w:pPr>
            <w:r>
              <w:rPr>
                <w:rFonts w:ascii="Arial" w:cs="Arial" w:eastAsia="Arial" w:hAnsi="Arial"/>
                <w:sz w:val="13"/>
                <w:szCs w:val="13"/>
                <w:color w:val="auto"/>
              </w:rPr>
              <w:t>—</w:t>
            </w:r>
          </w:p>
        </w:tc>
        <w:tc>
          <w:tcPr>
            <w:tcW w:w="40" w:type="dxa"/>
            <w:vAlign w:val="bottom"/>
            <w:shd w:val="clear" w:color="auto" w:fill="CFF0FC"/>
          </w:tcPr>
          <w:p>
            <w:pPr>
              <w:spacing w:after="0"/>
              <w:rPr>
                <w:sz w:val="12"/>
                <w:szCs w:val="12"/>
                <w:color w:val="auto"/>
              </w:rPr>
            </w:pPr>
          </w:p>
        </w:tc>
        <w:tc>
          <w:tcPr>
            <w:tcW w:w="1180" w:type="dxa"/>
            <w:vAlign w:val="bottom"/>
            <w:gridSpan w:val="2"/>
            <w:shd w:val="clear" w:color="auto" w:fill="CFF0FC"/>
          </w:tcPr>
          <w:p>
            <w:pPr>
              <w:jc w:val="right"/>
              <w:ind w:right="220"/>
              <w:spacing w:after="0" w:line="140" w:lineRule="exact"/>
              <w:rPr>
                <w:sz w:val="20"/>
                <w:szCs w:val="20"/>
                <w:color w:val="auto"/>
              </w:rPr>
            </w:pPr>
            <w:r>
              <w:rPr>
                <w:rFonts w:ascii="Arial" w:cs="Arial" w:eastAsia="Arial" w:hAnsi="Arial"/>
                <w:sz w:val="13"/>
                <w:szCs w:val="13"/>
                <w:color w:val="auto"/>
              </w:rPr>
              <w:t>—</w:t>
            </w:r>
          </w:p>
        </w:tc>
        <w:tc>
          <w:tcPr>
            <w:tcW w:w="740" w:type="dxa"/>
            <w:vAlign w:val="bottom"/>
            <w:shd w:val="clear" w:color="auto" w:fill="CFF0FC"/>
          </w:tcPr>
          <w:p>
            <w:pPr>
              <w:spacing w:after="0"/>
              <w:rPr>
                <w:sz w:val="12"/>
                <w:szCs w:val="12"/>
                <w:color w:val="auto"/>
              </w:rPr>
            </w:pPr>
          </w:p>
        </w:tc>
        <w:tc>
          <w:tcPr>
            <w:tcW w:w="340" w:type="dxa"/>
            <w:vAlign w:val="bottom"/>
            <w:shd w:val="clear" w:color="auto" w:fill="CFF0FC"/>
          </w:tcPr>
          <w:p>
            <w:pPr>
              <w:jc w:val="right"/>
              <w:ind w:right="53"/>
              <w:spacing w:after="0" w:line="140" w:lineRule="exact"/>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80" w:type="dxa"/>
            <w:vAlign w:val="bottom"/>
            <w:shd w:val="clear" w:color="auto" w:fill="CFF0FC"/>
          </w:tcPr>
          <w:p>
            <w:pPr>
              <w:jc w:val="right"/>
              <w:ind w:right="53"/>
              <w:spacing w:after="0" w:line="140" w:lineRule="exact"/>
              <w:rPr>
                <w:sz w:val="20"/>
                <w:szCs w:val="20"/>
                <w:color w:val="auto"/>
              </w:rPr>
            </w:pPr>
            <w:r>
              <w:rPr>
                <w:rFonts w:ascii="Arial" w:cs="Arial" w:eastAsia="Arial" w:hAnsi="Arial"/>
                <w:sz w:val="13"/>
                <w:szCs w:val="13"/>
                <w:color w:val="auto"/>
              </w:rPr>
              <w:t>5,392</w:t>
            </w: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20" w:type="dxa"/>
            <w:vAlign w:val="bottom"/>
            <w:gridSpan w:val="2"/>
            <w:shd w:val="clear" w:color="auto" w:fill="CFF0FC"/>
          </w:tcPr>
          <w:p>
            <w:pPr>
              <w:jc w:val="right"/>
              <w:ind w:right="220"/>
              <w:spacing w:after="0" w:line="140" w:lineRule="exact"/>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2"/>
                <w:szCs w:val="12"/>
                <w:color w:val="auto"/>
              </w:rPr>
            </w:pPr>
          </w:p>
        </w:tc>
        <w:tc>
          <w:tcPr>
            <w:tcW w:w="940" w:type="dxa"/>
            <w:vAlign w:val="bottom"/>
            <w:shd w:val="clear" w:color="auto" w:fill="CFF0FC"/>
          </w:tcPr>
          <w:p>
            <w:pPr>
              <w:jc w:val="right"/>
              <w:ind w:right="73"/>
              <w:spacing w:after="0" w:line="140" w:lineRule="exact"/>
              <w:rPr>
                <w:sz w:val="20"/>
                <w:szCs w:val="20"/>
                <w:color w:val="auto"/>
              </w:rPr>
            </w:pPr>
            <w:r>
              <w:rPr>
                <w:rFonts w:ascii="Arial" w:cs="Arial" w:eastAsia="Arial" w:hAnsi="Arial"/>
                <w:sz w:val="13"/>
                <w:szCs w:val="13"/>
                <w:color w:val="auto"/>
              </w:rPr>
              <w:t>5,392</w:t>
            </w:r>
          </w:p>
        </w:tc>
      </w:tr>
      <w:tr>
        <w:trPr>
          <w:trHeight w:val="160"/>
        </w:trPr>
        <w:tc>
          <w:tcPr>
            <w:tcW w:w="3740" w:type="dxa"/>
            <w:vAlign w:val="bottom"/>
            <w:gridSpan w:val="2"/>
          </w:tcPr>
          <w:p>
            <w:pPr>
              <w:ind w:left="240"/>
              <w:spacing w:after="0"/>
              <w:rPr>
                <w:sz w:val="20"/>
                <w:szCs w:val="20"/>
                <w:color w:val="auto"/>
              </w:rPr>
            </w:pPr>
            <w:r>
              <w:rPr>
                <w:rFonts w:ascii="Arial" w:cs="Arial" w:eastAsia="Arial" w:hAnsi="Arial"/>
                <w:sz w:val="13"/>
                <w:szCs w:val="13"/>
                <w:color w:val="auto"/>
              </w:rPr>
              <w:t>Exercise of stock options</w:t>
            </w:r>
          </w:p>
        </w:tc>
        <w:tc>
          <w:tcPr>
            <w:tcW w:w="420" w:type="dxa"/>
            <w:vAlign w:val="bottom"/>
            <w:gridSpan w:val="2"/>
          </w:tcPr>
          <w:p>
            <w:pPr>
              <w:ind w:left="60"/>
              <w:spacing w:after="0"/>
              <w:rPr>
                <w:sz w:val="20"/>
                <w:szCs w:val="20"/>
                <w:color w:val="auto"/>
              </w:rPr>
            </w:pPr>
            <w:r>
              <w:rPr>
                <w:rFonts w:ascii="Arial" w:cs="Arial" w:eastAsia="Arial" w:hAnsi="Arial"/>
                <w:sz w:val="13"/>
                <w:szCs w:val="13"/>
                <w:color w:val="auto"/>
              </w:rPr>
              <w:t>—</w:t>
            </w:r>
          </w:p>
        </w:tc>
        <w:tc>
          <w:tcPr>
            <w:tcW w:w="780" w:type="dxa"/>
            <w:vAlign w:val="bottom"/>
          </w:tcPr>
          <w:p>
            <w:pPr>
              <w:spacing w:after="0"/>
              <w:rPr>
                <w:sz w:val="13"/>
                <w:szCs w:val="13"/>
                <w:color w:val="auto"/>
              </w:rPr>
            </w:pPr>
          </w:p>
        </w:tc>
        <w:tc>
          <w:tcPr>
            <w:tcW w:w="380" w:type="dxa"/>
            <w:vAlign w:val="bottom"/>
            <w:tcBorders>
              <w:right w:val="single" w:sz="8" w:color="auto"/>
            </w:tcBorders>
          </w:tcPr>
          <w:p>
            <w:pPr>
              <w:ind w:left="4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1080" w:type="dxa"/>
            <w:vAlign w:val="bottom"/>
          </w:tcPr>
          <w:p>
            <w:pPr>
              <w:jc w:val="right"/>
              <w:ind w:right="53"/>
              <w:spacing w:after="0"/>
              <w:rPr>
                <w:sz w:val="20"/>
                <w:szCs w:val="20"/>
                <w:color w:val="auto"/>
              </w:rPr>
            </w:pPr>
            <w:r>
              <w:rPr>
                <w:rFonts w:ascii="Arial" w:cs="Arial" w:eastAsia="Arial" w:hAnsi="Arial"/>
                <w:sz w:val="13"/>
                <w:szCs w:val="13"/>
                <w:color w:val="auto"/>
              </w:rPr>
              <w:t>395,491</w:t>
            </w: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4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jc w:val="right"/>
              <w:ind w:right="53"/>
              <w:spacing w:after="0"/>
              <w:rPr>
                <w:sz w:val="20"/>
                <w:szCs w:val="20"/>
                <w:color w:val="auto"/>
              </w:rPr>
            </w:pPr>
            <w:r>
              <w:rPr>
                <w:rFonts w:ascii="Arial" w:cs="Arial" w:eastAsia="Arial" w:hAnsi="Arial"/>
                <w:sz w:val="13"/>
                <w:szCs w:val="13"/>
                <w:color w:val="auto"/>
              </w:rPr>
              <w:t>1,560</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3"/>
                <w:szCs w:val="13"/>
                <w:color w:val="auto"/>
              </w:rPr>
            </w:pPr>
          </w:p>
        </w:tc>
        <w:tc>
          <w:tcPr>
            <w:tcW w:w="940" w:type="dxa"/>
            <w:vAlign w:val="bottom"/>
          </w:tcPr>
          <w:p>
            <w:pPr>
              <w:jc w:val="right"/>
              <w:ind w:right="73"/>
              <w:spacing w:after="0"/>
              <w:rPr>
                <w:sz w:val="20"/>
                <w:szCs w:val="20"/>
                <w:color w:val="auto"/>
              </w:rPr>
            </w:pPr>
            <w:r>
              <w:rPr>
                <w:rFonts w:ascii="Arial" w:cs="Arial" w:eastAsia="Arial" w:hAnsi="Arial"/>
                <w:sz w:val="13"/>
                <w:szCs w:val="13"/>
                <w:color w:val="auto"/>
              </w:rPr>
              <w:t>1,560</w:t>
            </w:r>
          </w:p>
        </w:tc>
      </w:tr>
      <w:tr>
        <w:trPr>
          <w:trHeight w:val="160"/>
        </w:trPr>
        <w:tc>
          <w:tcPr>
            <w:tcW w:w="3740" w:type="dxa"/>
            <w:vAlign w:val="bottom"/>
            <w:gridSpan w:val="2"/>
            <w:shd w:val="clear" w:color="auto" w:fill="CFF0FC"/>
          </w:tcPr>
          <w:p>
            <w:pPr>
              <w:ind w:left="240"/>
              <w:spacing w:after="0"/>
              <w:rPr>
                <w:sz w:val="20"/>
                <w:szCs w:val="20"/>
                <w:color w:val="auto"/>
              </w:rPr>
            </w:pPr>
            <w:r>
              <w:rPr>
                <w:rFonts w:ascii="Arial" w:cs="Arial" w:eastAsia="Arial" w:hAnsi="Arial"/>
                <w:sz w:val="13"/>
                <w:szCs w:val="13"/>
                <w:color w:val="auto"/>
              </w:rPr>
              <w:t>Vesting of restricted stock units</w:t>
            </w:r>
          </w:p>
        </w:tc>
        <w:tc>
          <w:tcPr>
            <w:tcW w:w="420" w:type="dxa"/>
            <w:vAlign w:val="bottom"/>
            <w:gridSpan w:val="2"/>
            <w:shd w:val="clear" w:color="auto" w:fill="CFF0FC"/>
          </w:tcPr>
          <w:p>
            <w:pPr>
              <w:ind w:left="60"/>
              <w:spacing w:after="0"/>
              <w:rPr>
                <w:sz w:val="20"/>
                <w:szCs w:val="20"/>
                <w:color w:val="auto"/>
              </w:rPr>
            </w:pPr>
            <w:r>
              <w:rPr>
                <w:rFonts w:ascii="Arial" w:cs="Arial" w:eastAsia="Arial" w:hAnsi="Arial"/>
                <w:sz w:val="13"/>
                <w:szCs w:val="13"/>
                <w:color w:val="auto"/>
              </w:rPr>
              <w:t>—</w:t>
            </w:r>
          </w:p>
        </w:tc>
        <w:tc>
          <w:tcPr>
            <w:tcW w:w="780" w:type="dxa"/>
            <w:vAlign w:val="bottom"/>
            <w:shd w:val="clear" w:color="auto" w:fill="CFF0FC"/>
          </w:tcPr>
          <w:p>
            <w:pPr>
              <w:spacing w:after="0"/>
              <w:rPr>
                <w:sz w:val="13"/>
                <w:szCs w:val="13"/>
                <w:color w:val="auto"/>
              </w:rPr>
            </w:pPr>
          </w:p>
        </w:tc>
        <w:tc>
          <w:tcPr>
            <w:tcW w:w="380" w:type="dxa"/>
            <w:vAlign w:val="bottom"/>
            <w:tcBorders>
              <w:right w:val="single" w:sz="8" w:color="auto"/>
            </w:tcBorders>
            <w:shd w:val="clear" w:color="auto" w:fill="CFF0FC"/>
          </w:tcPr>
          <w:p>
            <w:pPr>
              <w:ind w:left="40"/>
              <w:spacing w:after="0"/>
              <w:rPr>
                <w:sz w:val="20"/>
                <w:szCs w:val="20"/>
                <w:color w:val="auto"/>
              </w:rPr>
            </w:pPr>
            <w:r>
              <w:rPr>
                <w:rFonts w:ascii="Arial" w:cs="Arial" w:eastAsia="Arial" w:hAnsi="Arial"/>
                <w:sz w:val="13"/>
                <w:szCs w:val="13"/>
                <w:color w:val="auto"/>
              </w:rPr>
              <w:t>—</w:t>
            </w:r>
          </w:p>
        </w:tc>
        <w:tc>
          <w:tcPr>
            <w:tcW w:w="40" w:type="dxa"/>
            <w:vAlign w:val="bottom"/>
            <w:shd w:val="clear" w:color="auto" w:fill="CFF0FC"/>
          </w:tcPr>
          <w:p>
            <w:pPr>
              <w:spacing w:after="0"/>
              <w:rPr>
                <w:sz w:val="13"/>
                <w:szCs w:val="13"/>
                <w:color w:val="auto"/>
              </w:rPr>
            </w:pPr>
          </w:p>
        </w:tc>
        <w:tc>
          <w:tcPr>
            <w:tcW w:w="108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rPr>
              <w:t>18,555</w:t>
            </w:r>
          </w:p>
        </w:tc>
        <w:tc>
          <w:tcPr>
            <w:tcW w:w="10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34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8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02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3"/>
                <w:szCs w:val="13"/>
                <w:color w:val="auto"/>
              </w:rPr>
            </w:pPr>
          </w:p>
        </w:tc>
        <w:tc>
          <w:tcPr>
            <w:tcW w:w="940" w:type="dxa"/>
            <w:vAlign w:val="bottom"/>
            <w:shd w:val="clear" w:color="auto" w:fill="CFF0FC"/>
          </w:tcPr>
          <w:p>
            <w:pPr>
              <w:jc w:val="right"/>
              <w:ind w:right="73"/>
              <w:spacing w:after="0"/>
              <w:rPr>
                <w:sz w:val="20"/>
                <w:szCs w:val="20"/>
                <w:color w:val="auto"/>
              </w:rPr>
            </w:pPr>
            <w:r>
              <w:rPr>
                <w:rFonts w:ascii="Arial" w:cs="Arial" w:eastAsia="Arial" w:hAnsi="Arial"/>
                <w:sz w:val="13"/>
                <w:szCs w:val="13"/>
                <w:color w:val="auto"/>
              </w:rPr>
              <w:t>—</w:t>
            </w:r>
          </w:p>
        </w:tc>
      </w:tr>
      <w:tr>
        <w:trPr>
          <w:trHeight w:val="160"/>
        </w:trPr>
        <w:tc>
          <w:tcPr>
            <w:tcW w:w="2980" w:type="dxa"/>
            <w:vAlign w:val="bottom"/>
            <w:tcBorders>
              <w:bottom w:val="single" w:sz="8" w:color="CFF0FC"/>
            </w:tcBorders>
          </w:tcPr>
          <w:p>
            <w:pPr>
              <w:ind w:left="240"/>
              <w:spacing w:after="0"/>
              <w:rPr>
                <w:sz w:val="20"/>
                <w:szCs w:val="20"/>
                <w:color w:val="auto"/>
              </w:rPr>
            </w:pPr>
            <w:r>
              <w:rPr>
                <w:rFonts w:ascii="Arial" w:cs="Arial" w:eastAsia="Arial" w:hAnsi="Arial"/>
                <w:sz w:val="13"/>
                <w:szCs w:val="13"/>
                <w:color w:val="auto"/>
              </w:rPr>
              <w:t>Net loss</w:t>
            </w:r>
          </w:p>
        </w:tc>
        <w:tc>
          <w:tcPr>
            <w:tcW w:w="76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ind w:left="6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FF0FC"/>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3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CFF0FC"/>
            </w:tcBorders>
          </w:tcPr>
          <w:p>
            <w:pPr>
              <w:spacing w:after="0"/>
              <w:rPr>
                <w:sz w:val="13"/>
                <w:szCs w:val="13"/>
                <w:color w:val="auto"/>
              </w:rPr>
            </w:pPr>
          </w:p>
        </w:tc>
        <w:tc>
          <w:tcPr>
            <w:tcW w:w="108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FF0FC"/>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(65,807)</w:t>
            </w:r>
          </w:p>
        </w:tc>
        <w:tc>
          <w:tcPr>
            <w:tcW w:w="10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(65,807)</w:t>
            </w:r>
          </w:p>
        </w:tc>
      </w:tr>
      <w:tr>
        <w:trPr>
          <w:trHeight w:val="153"/>
        </w:trPr>
        <w:tc>
          <w:tcPr>
            <w:tcW w:w="374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Balance at June 30, 2021</w:t>
            </w:r>
          </w:p>
        </w:tc>
        <w:tc>
          <w:tcPr>
            <w:tcW w:w="420" w:type="dxa"/>
            <w:vAlign w:val="bottom"/>
            <w:gridSpan w:val="2"/>
            <w:shd w:val="clear" w:color="auto" w:fill="CFF0FC"/>
          </w:tcPr>
          <w:p>
            <w:pPr>
              <w:ind w:left="60"/>
              <w:spacing w:after="0"/>
              <w:rPr>
                <w:sz w:val="20"/>
                <w:szCs w:val="20"/>
                <w:color w:val="auto"/>
              </w:rPr>
            </w:pPr>
            <w:r>
              <w:rPr>
                <w:rFonts w:ascii="Arial" w:cs="Arial" w:eastAsia="Arial" w:hAnsi="Arial"/>
                <w:sz w:val="13"/>
                <w:szCs w:val="13"/>
                <w:color w:val="auto"/>
              </w:rPr>
              <w:t>—</w:t>
            </w:r>
          </w:p>
        </w:tc>
        <w:tc>
          <w:tcPr>
            <w:tcW w:w="780" w:type="dxa"/>
            <w:vAlign w:val="bottom"/>
            <w:shd w:val="clear" w:color="auto" w:fill="CFF0FC"/>
          </w:tcPr>
          <w:p>
            <w:pPr>
              <w:jc w:val="right"/>
              <w:ind w:right="633"/>
              <w:spacing w:after="0"/>
              <w:rPr>
                <w:sz w:val="20"/>
                <w:szCs w:val="20"/>
                <w:color w:val="auto"/>
              </w:rPr>
            </w:pPr>
            <w:r>
              <w:rPr>
                <w:rFonts w:ascii="Arial" w:cs="Arial" w:eastAsia="Arial" w:hAnsi="Arial"/>
                <w:sz w:val="13"/>
                <w:szCs w:val="13"/>
                <w:color w:val="auto"/>
                <w:w w:val="82"/>
              </w:rPr>
              <w:t>$</w:t>
            </w:r>
          </w:p>
        </w:tc>
        <w:tc>
          <w:tcPr>
            <w:tcW w:w="380" w:type="dxa"/>
            <w:vAlign w:val="bottom"/>
            <w:tcBorders>
              <w:right w:val="single" w:sz="8" w:color="auto"/>
            </w:tcBorders>
            <w:shd w:val="clear" w:color="auto" w:fill="CFF0FC"/>
          </w:tcPr>
          <w:p>
            <w:pPr>
              <w:ind w:left="40"/>
              <w:spacing w:after="0"/>
              <w:rPr>
                <w:sz w:val="20"/>
                <w:szCs w:val="20"/>
                <w:color w:val="auto"/>
              </w:rPr>
            </w:pPr>
            <w:r>
              <w:rPr>
                <w:rFonts w:ascii="Arial" w:cs="Arial" w:eastAsia="Arial" w:hAnsi="Arial"/>
                <w:sz w:val="13"/>
                <w:szCs w:val="13"/>
                <w:color w:val="auto"/>
              </w:rPr>
              <w:t>—</w:t>
            </w:r>
          </w:p>
        </w:tc>
        <w:tc>
          <w:tcPr>
            <w:tcW w:w="40" w:type="dxa"/>
            <w:vAlign w:val="bottom"/>
            <w:shd w:val="clear" w:color="auto" w:fill="CFF0FC"/>
          </w:tcPr>
          <w:p>
            <w:pPr>
              <w:spacing w:after="0"/>
              <w:rPr>
                <w:sz w:val="13"/>
                <w:szCs w:val="13"/>
                <w:color w:val="auto"/>
              </w:rPr>
            </w:pPr>
          </w:p>
        </w:tc>
        <w:tc>
          <w:tcPr>
            <w:tcW w:w="108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rPr>
              <w:t>136,717,347</w:t>
            </w:r>
          </w:p>
        </w:tc>
        <w:tc>
          <w:tcPr>
            <w:tcW w:w="100" w:type="dxa"/>
            <w:vAlign w:val="bottom"/>
            <w:shd w:val="clear" w:color="auto" w:fill="CFF0FC"/>
          </w:tcPr>
          <w:p>
            <w:pPr>
              <w:spacing w:after="0"/>
              <w:rPr>
                <w:sz w:val="13"/>
                <w:szCs w:val="13"/>
                <w:color w:val="auto"/>
              </w:rPr>
            </w:pPr>
          </w:p>
        </w:tc>
        <w:tc>
          <w:tcPr>
            <w:tcW w:w="740" w:type="dxa"/>
            <w:vAlign w:val="bottom"/>
            <w:shd w:val="clear" w:color="auto" w:fill="CFF0FC"/>
          </w:tcPr>
          <w:p>
            <w:pPr>
              <w:jc w:val="right"/>
              <w:ind w:right="593"/>
              <w:spacing w:after="0"/>
              <w:rPr>
                <w:sz w:val="20"/>
                <w:szCs w:val="20"/>
                <w:color w:val="auto"/>
              </w:rPr>
            </w:pPr>
            <w:r>
              <w:rPr>
                <w:rFonts w:ascii="Arial" w:cs="Arial" w:eastAsia="Arial" w:hAnsi="Arial"/>
                <w:sz w:val="13"/>
                <w:szCs w:val="13"/>
                <w:color w:val="auto"/>
                <w:w w:val="82"/>
              </w:rPr>
              <w:t>$</w:t>
            </w:r>
          </w:p>
        </w:tc>
        <w:tc>
          <w:tcPr>
            <w:tcW w:w="34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w w:val="92"/>
              </w:rPr>
              <w:t>134</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98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rPr>
              <w:t>2,057,479</w:t>
            </w:r>
          </w:p>
        </w:tc>
        <w:tc>
          <w:tcPr>
            <w:tcW w:w="280" w:type="dxa"/>
            <w:vAlign w:val="bottom"/>
            <w:gridSpan w:val="2"/>
            <w:shd w:val="clear" w:color="auto" w:fill="CFF0FC"/>
          </w:tcPr>
          <w:p>
            <w:pPr>
              <w:jc w:val="right"/>
              <w:ind w:right="33"/>
              <w:spacing w:after="0"/>
              <w:rPr>
                <w:sz w:val="20"/>
                <w:szCs w:val="20"/>
                <w:color w:val="auto"/>
              </w:rPr>
            </w:pPr>
            <w:r>
              <w:rPr>
                <w:rFonts w:ascii="Arial" w:cs="Arial" w:eastAsia="Arial" w:hAnsi="Arial"/>
                <w:sz w:val="13"/>
                <w:szCs w:val="13"/>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(920,867)</w:t>
            </w:r>
          </w:p>
        </w:tc>
        <w:tc>
          <w:tcPr>
            <w:tcW w:w="100" w:type="dxa"/>
            <w:vAlign w:val="bottom"/>
            <w:shd w:val="clear" w:color="auto" w:fill="CFF0FC"/>
          </w:tcPr>
          <w:p>
            <w:pPr>
              <w:spacing w:after="0"/>
              <w:rPr>
                <w:sz w:val="13"/>
                <w:szCs w:val="13"/>
                <w:color w:val="auto"/>
              </w:rPr>
            </w:pPr>
          </w:p>
        </w:tc>
        <w:tc>
          <w:tcPr>
            <w:tcW w:w="180" w:type="dxa"/>
            <w:vAlign w:val="bottom"/>
            <w:shd w:val="clear" w:color="auto" w:fill="CFF0FC"/>
          </w:tcPr>
          <w:p>
            <w:pPr>
              <w:jc w:val="right"/>
              <w:ind w:right="33"/>
              <w:spacing w:after="0"/>
              <w:rPr>
                <w:sz w:val="20"/>
                <w:szCs w:val="20"/>
                <w:color w:val="auto"/>
              </w:rPr>
            </w:pPr>
            <w:r>
              <w:rPr>
                <w:rFonts w:ascii="Arial" w:cs="Arial" w:eastAsia="Arial" w:hAnsi="Arial"/>
                <w:sz w:val="13"/>
                <w:szCs w:val="13"/>
                <w:color w:val="auto"/>
                <w:w w:val="82"/>
              </w:rPr>
              <w:t>$</w:t>
            </w:r>
          </w:p>
        </w:tc>
        <w:tc>
          <w:tcPr>
            <w:tcW w:w="940" w:type="dxa"/>
            <w:vAlign w:val="bottom"/>
            <w:shd w:val="clear" w:color="auto" w:fill="CFF0FC"/>
          </w:tcPr>
          <w:p>
            <w:pPr>
              <w:jc w:val="right"/>
              <w:ind w:right="73"/>
              <w:spacing w:after="0"/>
              <w:rPr>
                <w:sz w:val="20"/>
                <w:szCs w:val="20"/>
                <w:color w:val="auto"/>
              </w:rPr>
            </w:pPr>
            <w:r>
              <w:rPr>
                <w:rFonts w:ascii="Arial" w:cs="Arial" w:eastAsia="Arial" w:hAnsi="Arial"/>
                <w:sz w:val="13"/>
                <w:szCs w:val="13"/>
                <w:color w:val="auto"/>
              </w:rPr>
              <w:t>1,136,746</w:t>
            </w:r>
          </w:p>
        </w:tc>
      </w:tr>
      <w:tr>
        <w:trPr>
          <w:trHeight w:val="20"/>
        </w:trPr>
        <w:tc>
          <w:tcPr>
            <w:tcW w:w="2980" w:type="dxa"/>
            <w:vAlign w:val="bottom"/>
            <w:tcBorders>
              <w:top w:val="single" w:sz="8" w:color="CFF0FC"/>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right w:val="single" w:sz="8" w:color="auto"/>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these unaudited condensed consolidated financial statements</w:t>
      </w:r>
      <w:r>
        <w:rPr>
          <w:rFonts w:ascii="Arial" w:cs="Arial" w:eastAsia="Arial" w:hAnsi="Arial"/>
          <w:sz w:val="18"/>
          <w:szCs w:val="18"/>
          <w:color w:val="auto"/>
        </w:rPr>
        <w:t>.</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50800</wp:posOffset>
            </wp:positionV>
            <wp:extent cx="715962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VROOM, INC.</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jc w:val="center"/>
        <w:spacing w:after="0" w:line="231" w:lineRule="auto"/>
        <w:rPr>
          <w:sz w:val="20"/>
          <w:szCs w:val="20"/>
          <w:color w:val="auto"/>
        </w:rPr>
      </w:pPr>
      <w:r>
        <w:rPr>
          <w:rFonts w:ascii="Arial" w:cs="Arial" w:eastAsia="Arial" w:hAnsi="Arial"/>
          <w:sz w:val="18"/>
          <w:szCs w:val="18"/>
          <w:b w:val="1"/>
          <w:bCs w:val="1"/>
          <w:color w:val="auto"/>
        </w:rPr>
        <w:t>(in thousands)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 w:lineRule="exact"/>
        <w:rPr>
          <w:sz w:val="20"/>
          <w:szCs w:val="20"/>
          <w:color w:val="auto"/>
        </w:rPr>
      </w:pPr>
    </w:p>
    <w:p>
      <w:pPr>
        <w:jc w:val="center"/>
        <w:ind w:left="7320"/>
        <w:spacing w:after="0"/>
        <w:rPr>
          <w:sz w:val="20"/>
          <w:szCs w:val="20"/>
          <w:color w:val="auto"/>
        </w:rPr>
      </w:pPr>
      <w:r>
        <w:rPr>
          <w:rFonts w:ascii="Arial" w:cs="Arial" w:eastAsia="Arial" w:hAnsi="Arial"/>
          <w:sz w:val="13"/>
          <w:szCs w:val="13"/>
          <w:b w:val="1"/>
          <w:bCs w:val="1"/>
          <w:color w:val="auto"/>
        </w:rPr>
        <w:t>Six Months Ended</w:t>
      </w:r>
    </w:p>
    <w:p>
      <w:pPr>
        <w:jc w:val="center"/>
        <w:ind w:left="7320"/>
        <w:spacing w:after="0" w:line="236" w:lineRule="auto"/>
        <w:rPr>
          <w:sz w:val="20"/>
          <w:szCs w:val="20"/>
          <w:color w:val="auto"/>
        </w:rPr>
      </w:pPr>
      <w:r>
        <w:rPr>
          <w:rFonts w:ascii="Arial" w:cs="Arial" w:eastAsia="Arial" w:hAnsi="Arial"/>
          <w:sz w:val="13"/>
          <w:szCs w:val="13"/>
          <w:b w:val="1"/>
          <w:bCs w:val="1"/>
          <w:color w:val="auto"/>
        </w:rPr>
        <w:t>June 30,</w:t>
      </w:r>
    </w:p>
    <w:tbl>
      <w:tblPr>
        <w:tblLayout w:type="fixed"/>
        <w:tblInd w:w="0" w:type="dxa"/>
        <w:tblCellMar>
          <w:top w:w="0" w:type="dxa"/>
          <w:left w:w="0" w:type="dxa"/>
          <w:bottom w:w="0" w:type="dxa"/>
          <w:right w:w="0" w:type="dxa"/>
        </w:tblCellMar>
      </w:tblPr>
      <w:tr>
        <w:trPr>
          <w:trHeight w:val="153"/>
        </w:trPr>
        <w:tc>
          <w:tcPr>
            <w:tcW w:w="7480" w:type="dxa"/>
            <w:vAlign w:val="bottom"/>
            <w:tcBorders>
              <w:bottom w:val="single" w:sz="8" w:color="CFF0FC"/>
            </w:tcBorders>
          </w:tcPr>
          <w:p>
            <w:pPr>
              <w:spacing w:after="0"/>
              <w:rPr>
                <w:sz w:val="13"/>
                <w:szCs w:val="13"/>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2021</w:t>
            </w:r>
          </w:p>
        </w:tc>
        <w:tc>
          <w:tcPr>
            <w:tcW w:w="80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CFF0FC"/>
            </w:tcBorders>
          </w:tcPr>
          <w:p>
            <w:pPr>
              <w:spacing w:after="0"/>
              <w:rPr>
                <w:sz w:val="13"/>
                <w:szCs w:val="13"/>
                <w:color w:val="auto"/>
              </w:rPr>
            </w:pPr>
          </w:p>
        </w:tc>
        <w:tc>
          <w:tcPr>
            <w:tcW w:w="380" w:type="dxa"/>
            <w:vAlign w:val="bottom"/>
            <w:tcBorders>
              <w:top w:val="single" w:sz="8" w:color="auto"/>
              <w:bottom w:val="single" w:sz="8" w:color="auto"/>
            </w:tcBorders>
          </w:tcPr>
          <w:p>
            <w:pPr>
              <w:spacing w:after="0"/>
              <w:rPr>
                <w:sz w:val="13"/>
                <w:szCs w:val="13"/>
                <w:color w:val="auto"/>
              </w:rPr>
            </w:pPr>
          </w:p>
        </w:tc>
        <w:tc>
          <w:tcPr>
            <w:tcW w:w="1420" w:type="dxa"/>
            <w:vAlign w:val="bottom"/>
            <w:tcBorders>
              <w:top w:val="single" w:sz="8" w:color="auto"/>
              <w:bottom w:val="single" w:sz="8" w:color="auto"/>
            </w:tcBorders>
          </w:tcPr>
          <w:p>
            <w:pPr>
              <w:jc w:val="right"/>
              <w:ind w:right="753"/>
              <w:spacing w:after="0"/>
              <w:rPr>
                <w:sz w:val="20"/>
                <w:szCs w:val="20"/>
                <w:color w:val="auto"/>
              </w:rPr>
            </w:pPr>
            <w:r>
              <w:rPr>
                <w:rFonts w:ascii="Arial" w:cs="Arial" w:eastAsia="Arial" w:hAnsi="Arial"/>
                <w:sz w:val="13"/>
                <w:szCs w:val="13"/>
                <w:b w:val="1"/>
                <w:bCs w:val="1"/>
                <w:color w:val="auto"/>
              </w:rPr>
              <w:t>2020</w:t>
            </w:r>
          </w:p>
        </w:tc>
        <w:tc>
          <w:tcPr>
            <w:tcW w:w="0" w:type="dxa"/>
            <w:vAlign w:val="bottom"/>
          </w:tcPr>
          <w:p>
            <w:pPr>
              <w:spacing w:after="0"/>
              <w:rPr>
                <w:sz w:val="1"/>
                <w:szCs w:val="1"/>
                <w:color w:val="auto"/>
              </w:rPr>
            </w:pPr>
          </w:p>
        </w:tc>
      </w:tr>
      <w:tr>
        <w:trPr>
          <w:trHeight w:val="153"/>
        </w:trPr>
        <w:tc>
          <w:tcPr>
            <w:tcW w:w="7480" w:type="dxa"/>
            <w:vAlign w:val="bottom"/>
            <w:shd w:val="clear" w:color="auto" w:fill="CFF0FC"/>
          </w:tcPr>
          <w:p>
            <w:pPr>
              <w:spacing w:after="0"/>
              <w:rPr>
                <w:sz w:val="20"/>
                <w:szCs w:val="20"/>
                <w:color w:val="auto"/>
              </w:rPr>
            </w:pPr>
            <w:r>
              <w:rPr>
                <w:rFonts w:ascii="Arial" w:cs="Arial" w:eastAsia="Arial" w:hAnsi="Arial"/>
                <w:sz w:val="13"/>
                <w:szCs w:val="13"/>
                <w:b w:val="1"/>
                <w:bCs w:val="1"/>
                <w:color w:val="auto"/>
              </w:rPr>
              <w:t>Operating activities</w:t>
            </w:r>
          </w:p>
        </w:tc>
        <w:tc>
          <w:tcPr>
            <w:tcW w:w="100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14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480" w:type="dxa"/>
            <w:vAlign w:val="bottom"/>
          </w:tcPr>
          <w:p>
            <w:pPr>
              <w:spacing w:after="0"/>
              <w:rPr>
                <w:sz w:val="20"/>
                <w:szCs w:val="20"/>
                <w:color w:val="auto"/>
              </w:rPr>
            </w:pPr>
            <w:r>
              <w:rPr>
                <w:rFonts w:ascii="Arial" w:cs="Arial" w:eastAsia="Arial" w:hAnsi="Arial"/>
                <w:sz w:val="13"/>
                <w:szCs w:val="13"/>
                <w:color w:val="auto"/>
              </w:rPr>
              <w:t>Net loss</w:t>
            </w:r>
          </w:p>
        </w:tc>
        <w:tc>
          <w:tcPr>
            <w:tcW w:w="1000" w:type="dxa"/>
            <w:vAlign w:val="bottom"/>
          </w:tcPr>
          <w:p>
            <w:pPr>
              <w:jc w:val="right"/>
              <w:ind w:right="889"/>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ind w:right="13"/>
              <w:spacing w:after="0"/>
              <w:rPr>
                <w:sz w:val="20"/>
                <w:szCs w:val="20"/>
                <w:color w:val="auto"/>
              </w:rPr>
            </w:pPr>
            <w:r>
              <w:rPr>
                <w:rFonts w:ascii="Arial" w:cs="Arial" w:eastAsia="Arial" w:hAnsi="Arial"/>
                <w:sz w:val="13"/>
                <w:szCs w:val="13"/>
                <w:color w:val="auto"/>
              </w:rPr>
              <w:t>(142,996)</w:t>
            </w:r>
          </w:p>
        </w:tc>
        <w:tc>
          <w:tcPr>
            <w:tcW w:w="160" w:type="dxa"/>
            <w:vAlign w:val="bottom"/>
          </w:tcPr>
          <w:p>
            <w:pPr>
              <w:spacing w:after="0"/>
              <w:rPr>
                <w:sz w:val="13"/>
                <w:szCs w:val="13"/>
                <w:color w:val="auto"/>
              </w:rPr>
            </w:pPr>
          </w:p>
        </w:tc>
        <w:tc>
          <w:tcPr>
            <w:tcW w:w="380" w:type="dxa"/>
            <w:vAlign w:val="bottom"/>
          </w:tcPr>
          <w:p>
            <w:pPr>
              <w:jc w:val="right"/>
              <w:ind w:right="270"/>
              <w:spacing w:after="0"/>
              <w:rPr>
                <w:sz w:val="20"/>
                <w:szCs w:val="20"/>
                <w:color w:val="auto"/>
              </w:rPr>
            </w:pPr>
            <w:r>
              <w:rPr>
                <w:rFonts w:ascii="Arial" w:cs="Arial" w:eastAsia="Arial" w:hAnsi="Arial"/>
                <w:sz w:val="10"/>
                <w:szCs w:val="10"/>
                <w:color w:val="auto"/>
                <w:w w:val="71"/>
              </w:rPr>
              <w:t>$</w:t>
            </w:r>
          </w:p>
        </w:tc>
        <w:tc>
          <w:tcPr>
            <w:tcW w:w="1420" w:type="dxa"/>
            <w:vAlign w:val="bottom"/>
          </w:tcPr>
          <w:p>
            <w:pPr>
              <w:jc w:val="right"/>
              <w:ind w:right="13"/>
              <w:spacing w:after="0"/>
              <w:rPr>
                <w:sz w:val="20"/>
                <w:szCs w:val="20"/>
                <w:color w:val="auto"/>
              </w:rPr>
            </w:pPr>
            <w:r>
              <w:rPr>
                <w:rFonts w:ascii="Arial" w:cs="Arial" w:eastAsia="Arial" w:hAnsi="Arial"/>
                <w:sz w:val="13"/>
                <w:szCs w:val="13"/>
                <w:color w:val="auto"/>
              </w:rPr>
              <w:t>(104,287)</w:t>
            </w:r>
          </w:p>
        </w:tc>
        <w:tc>
          <w:tcPr>
            <w:tcW w:w="0" w:type="dxa"/>
            <w:vAlign w:val="bottom"/>
          </w:tcPr>
          <w:p>
            <w:pPr>
              <w:spacing w:after="0"/>
              <w:rPr>
                <w:sz w:val="1"/>
                <w:szCs w:val="1"/>
                <w:color w:val="auto"/>
              </w:rPr>
            </w:pPr>
          </w:p>
        </w:tc>
      </w:tr>
      <w:tr>
        <w:trPr>
          <w:trHeight w:val="160"/>
        </w:trPr>
        <w:tc>
          <w:tcPr>
            <w:tcW w:w="7480" w:type="dxa"/>
            <w:vAlign w:val="bottom"/>
            <w:shd w:val="clear" w:color="auto" w:fill="CFF0FC"/>
          </w:tcPr>
          <w:p>
            <w:pPr>
              <w:spacing w:after="0"/>
              <w:rPr>
                <w:sz w:val="20"/>
                <w:szCs w:val="20"/>
                <w:color w:val="auto"/>
              </w:rPr>
            </w:pPr>
            <w:r>
              <w:rPr>
                <w:rFonts w:ascii="Arial" w:cs="Arial" w:eastAsia="Arial" w:hAnsi="Arial"/>
                <w:sz w:val="13"/>
                <w:szCs w:val="13"/>
                <w:color w:val="auto"/>
              </w:rPr>
              <w:t>Adjustments to reconcile net loss to net cash (used in) provided by operating activities:</w:t>
            </w:r>
          </w:p>
        </w:tc>
        <w:tc>
          <w:tcPr>
            <w:tcW w:w="100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14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480" w:type="dxa"/>
            <w:vAlign w:val="bottom"/>
          </w:tcPr>
          <w:p>
            <w:pPr>
              <w:ind w:left="240"/>
              <w:spacing w:after="0"/>
              <w:rPr>
                <w:sz w:val="20"/>
                <w:szCs w:val="20"/>
                <w:color w:val="auto"/>
              </w:rPr>
            </w:pPr>
            <w:r>
              <w:rPr>
                <w:rFonts w:ascii="Arial" w:cs="Arial" w:eastAsia="Arial" w:hAnsi="Arial"/>
                <w:sz w:val="13"/>
                <w:szCs w:val="13"/>
                <w:color w:val="auto"/>
              </w:rPr>
              <w:t>Depreciation and amortization</w:t>
            </w:r>
          </w:p>
        </w:tc>
        <w:tc>
          <w:tcPr>
            <w:tcW w:w="1000" w:type="dxa"/>
            <w:vAlign w:val="bottom"/>
          </w:tcPr>
          <w:p>
            <w:pPr>
              <w:spacing w:after="0"/>
              <w:rPr>
                <w:sz w:val="13"/>
                <w:szCs w:val="13"/>
                <w:color w:val="auto"/>
              </w:rPr>
            </w:pPr>
          </w:p>
        </w:tc>
        <w:tc>
          <w:tcPr>
            <w:tcW w:w="800" w:type="dxa"/>
            <w:vAlign w:val="bottom"/>
          </w:tcPr>
          <w:p>
            <w:pPr>
              <w:jc w:val="right"/>
              <w:ind w:right="53"/>
              <w:spacing w:after="0"/>
              <w:rPr>
                <w:sz w:val="20"/>
                <w:szCs w:val="20"/>
                <w:color w:val="auto"/>
              </w:rPr>
            </w:pPr>
            <w:r>
              <w:rPr>
                <w:rFonts w:ascii="Arial" w:cs="Arial" w:eastAsia="Arial" w:hAnsi="Arial"/>
                <w:sz w:val="13"/>
                <w:szCs w:val="13"/>
                <w:color w:val="auto"/>
              </w:rPr>
              <w:t>6,028</w:t>
            </w: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20" w:type="dxa"/>
            <w:vAlign w:val="bottom"/>
          </w:tcPr>
          <w:p>
            <w:pPr>
              <w:jc w:val="right"/>
              <w:ind w:right="73"/>
              <w:spacing w:after="0"/>
              <w:rPr>
                <w:sz w:val="20"/>
                <w:szCs w:val="20"/>
                <w:color w:val="auto"/>
              </w:rPr>
            </w:pPr>
            <w:r>
              <w:rPr>
                <w:rFonts w:ascii="Arial" w:cs="Arial" w:eastAsia="Arial" w:hAnsi="Arial"/>
                <w:sz w:val="13"/>
                <w:szCs w:val="13"/>
                <w:color w:val="auto"/>
              </w:rPr>
              <w:t>2,059</w:t>
            </w:r>
          </w:p>
        </w:tc>
        <w:tc>
          <w:tcPr>
            <w:tcW w:w="0" w:type="dxa"/>
            <w:vAlign w:val="bottom"/>
          </w:tcPr>
          <w:p>
            <w:pPr>
              <w:spacing w:after="0"/>
              <w:rPr>
                <w:sz w:val="1"/>
                <w:szCs w:val="1"/>
                <w:color w:val="auto"/>
              </w:rPr>
            </w:pPr>
          </w:p>
        </w:tc>
      </w:tr>
      <w:tr>
        <w:trPr>
          <w:trHeight w:val="160"/>
        </w:trPr>
        <w:tc>
          <w:tcPr>
            <w:tcW w:w="7480" w:type="dxa"/>
            <w:vAlign w:val="bottom"/>
            <w:shd w:val="clear" w:color="auto" w:fill="CFF0FC"/>
          </w:tcPr>
          <w:p>
            <w:pPr>
              <w:ind w:left="240"/>
              <w:spacing w:after="0"/>
              <w:rPr>
                <w:sz w:val="20"/>
                <w:szCs w:val="20"/>
                <w:color w:val="auto"/>
              </w:rPr>
            </w:pPr>
            <w:r>
              <w:rPr>
                <w:rFonts w:ascii="Arial" w:cs="Arial" w:eastAsia="Arial" w:hAnsi="Arial"/>
                <w:sz w:val="13"/>
                <w:szCs w:val="13"/>
                <w:color w:val="auto"/>
              </w:rPr>
              <w:t>Amortization of debt issuance costs</w:t>
            </w:r>
          </w:p>
        </w:tc>
        <w:tc>
          <w:tcPr>
            <w:tcW w:w="1000" w:type="dxa"/>
            <w:vAlign w:val="bottom"/>
            <w:shd w:val="clear" w:color="auto" w:fill="CFF0FC"/>
          </w:tcPr>
          <w:p>
            <w:pPr>
              <w:spacing w:after="0"/>
              <w:rPr>
                <w:sz w:val="13"/>
                <w:szCs w:val="13"/>
                <w:color w:val="auto"/>
              </w:rPr>
            </w:pPr>
          </w:p>
        </w:tc>
        <w:tc>
          <w:tcPr>
            <w:tcW w:w="80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rPr>
              <w:t>698</w:t>
            </w:r>
          </w:p>
        </w:tc>
        <w:tc>
          <w:tcPr>
            <w:tcW w:w="16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1420" w:type="dxa"/>
            <w:vAlign w:val="bottom"/>
            <w:shd w:val="clear" w:color="auto" w:fill="CFF0FC"/>
          </w:tcPr>
          <w:p>
            <w:pPr>
              <w:jc w:val="right"/>
              <w:ind w:right="73"/>
              <w:spacing w:after="0"/>
              <w:rPr>
                <w:sz w:val="20"/>
                <w:szCs w:val="20"/>
                <w:color w:val="auto"/>
              </w:rPr>
            </w:pPr>
            <w:r>
              <w:rPr>
                <w:rFonts w:ascii="Arial" w:cs="Arial" w:eastAsia="Arial" w:hAnsi="Arial"/>
                <w:sz w:val="13"/>
                <w:szCs w:val="13"/>
                <w:color w:val="auto"/>
              </w:rPr>
              <w:t>375</w:t>
            </w:r>
          </w:p>
        </w:tc>
        <w:tc>
          <w:tcPr>
            <w:tcW w:w="0" w:type="dxa"/>
            <w:vAlign w:val="bottom"/>
          </w:tcPr>
          <w:p>
            <w:pPr>
              <w:spacing w:after="0"/>
              <w:rPr>
                <w:sz w:val="1"/>
                <w:szCs w:val="1"/>
                <w:color w:val="auto"/>
              </w:rPr>
            </w:pPr>
          </w:p>
        </w:tc>
      </w:tr>
      <w:tr>
        <w:trPr>
          <w:trHeight w:val="160"/>
        </w:trPr>
        <w:tc>
          <w:tcPr>
            <w:tcW w:w="7480" w:type="dxa"/>
            <w:vAlign w:val="bottom"/>
          </w:tcPr>
          <w:p>
            <w:pPr>
              <w:ind w:left="240"/>
              <w:spacing w:after="0"/>
              <w:rPr>
                <w:sz w:val="20"/>
                <w:szCs w:val="20"/>
                <w:color w:val="auto"/>
              </w:rPr>
            </w:pPr>
            <w:r>
              <w:rPr>
                <w:rFonts w:ascii="Arial" w:cs="Arial" w:eastAsia="Arial" w:hAnsi="Arial"/>
                <w:sz w:val="13"/>
                <w:szCs w:val="13"/>
                <w:color w:val="auto"/>
              </w:rPr>
              <w:t>Stock-based compensation expense</w:t>
            </w:r>
          </w:p>
        </w:tc>
        <w:tc>
          <w:tcPr>
            <w:tcW w:w="1000" w:type="dxa"/>
            <w:vAlign w:val="bottom"/>
          </w:tcPr>
          <w:p>
            <w:pPr>
              <w:spacing w:after="0"/>
              <w:rPr>
                <w:sz w:val="13"/>
                <w:szCs w:val="13"/>
                <w:color w:val="auto"/>
              </w:rPr>
            </w:pPr>
          </w:p>
        </w:tc>
        <w:tc>
          <w:tcPr>
            <w:tcW w:w="800" w:type="dxa"/>
            <w:vAlign w:val="bottom"/>
          </w:tcPr>
          <w:p>
            <w:pPr>
              <w:jc w:val="right"/>
              <w:ind w:right="53"/>
              <w:spacing w:after="0"/>
              <w:rPr>
                <w:sz w:val="20"/>
                <w:szCs w:val="20"/>
                <w:color w:val="auto"/>
              </w:rPr>
            </w:pPr>
            <w:r>
              <w:rPr>
                <w:rFonts w:ascii="Arial" w:cs="Arial" w:eastAsia="Arial" w:hAnsi="Arial"/>
                <w:sz w:val="13"/>
                <w:szCs w:val="13"/>
                <w:color w:val="auto"/>
              </w:rPr>
              <w:t>8,212</w:t>
            </w: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20" w:type="dxa"/>
            <w:vAlign w:val="bottom"/>
          </w:tcPr>
          <w:p>
            <w:pPr>
              <w:jc w:val="right"/>
              <w:ind w:right="73"/>
              <w:spacing w:after="0"/>
              <w:rPr>
                <w:sz w:val="20"/>
                <w:szCs w:val="20"/>
                <w:color w:val="auto"/>
              </w:rPr>
            </w:pPr>
            <w:r>
              <w:rPr>
                <w:rFonts w:ascii="Arial" w:cs="Arial" w:eastAsia="Arial" w:hAnsi="Arial"/>
                <w:sz w:val="13"/>
                <w:szCs w:val="13"/>
                <w:color w:val="auto"/>
              </w:rPr>
              <w:t>4,700</w:t>
            </w:r>
          </w:p>
        </w:tc>
        <w:tc>
          <w:tcPr>
            <w:tcW w:w="0" w:type="dxa"/>
            <w:vAlign w:val="bottom"/>
          </w:tcPr>
          <w:p>
            <w:pPr>
              <w:spacing w:after="0"/>
              <w:rPr>
                <w:sz w:val="1"/>
                <w:szCs w:val="1"/>
                <w:color w:val="auto"/>
              </w:rPr>
            </w:pPr>
          </w:p>
        </w:tc>
      </w:tr>
      <w:tr>
        <w:trPr>
          <w:trHeight w:val="160"/>
        </w:trPr>
        <w:tc>
          <w:tcPr>
            <w:tcW w:w="7480" w:type="dxa"/>
            <w:vAlign w:val="bottom"/>
            <w:shd w:val="clear" w:color="auto" w:fill="CFF0FC"/>
          </w:tcPr>
          <w:p>
            <w:pPr>
              <w:ind w:left="240"/>
              <w:spacing w:after="0"/>
              <w:rPr>
                <w:sz w:val="20"/>
                <w:szCs w:val="20"/>
                <w:color w:val="auto"/>
              </w:rPr>
            </w:pPr>
            <w:r>
              <w:rPr>
                <w:rFonts w:ascii="Arial" w:cs="Arial" w:eastAsia="Arial" w:hAnsi="Arial"/>
                <w:sz w:val="13"/>
                <w:szCs w:val="13"/>
                <w:color w:val="auto"/>
              </w:rPr>
              <w:t>Provision to record inventory at lower of cost or net realizable value</w:t>
            </w:r>
          </w:p>
        </w:tc>
        <w:tc>
          <w:tcPr>
            <w:tcW w:w="1000" w:type="dxa"/>
            <w:vAlign w:val="bottom"/>
            <w:shd w:val="clear" w:color="auto" w:fill="CFF0FC"/>
          </w:tcPr>
          <w:p>
            <w:pPr>
              <w:spacing w:after="0"/>
              <w:rPr>
                <w:sz w:val="13"/>
                <w:szCs w:val="13"/>
                <w:color w:val="auto"/>
              </w:rPr>
            </w:pPr>
          </w:p>
        </w:tc>
        <w:tc>
          <w:tcPr>
            <w:tcW w:w="80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rPr>
              <w:t>3,093</w:t>
            </w:r>
          </w:p>
        </w:tc>
        <w:tc>
          <w:tcPr>
            <w:tcW w:w="16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1420" w:type="dxa"/>
            <w:vAlign w:val="bottom"/>
            <w:shd w:val="clear" w:color="auto" w:fill="CFF0FC"/>
          </w:tcPr>
          <w:p>
            <w:pPr>
              <w:jc w:val="right"/>
              <w:ind w:right="13"/>
              <w:spacing w:after="0"/>
              <w:rPr>
                <w:sz w:val="20"/>
                <w:szCs w:val="20"/>
                <w:color w:val="auto"/>
              </w:rPr>
            </w:pPr>
            <w:r>
              <w:rPr>
                <w:rFonts w:ascii="Arial" w:cs="Arial" w:eastAsia="Arial" w:hAnsi="Arial"/>
                <w:sz w:val="13"/>
                <w:szCs w:val="13"/>
                <w:color w:val="auto"/>
              </w:rPr>
              <w:t>(1,564)</w:t>
            </w:r>
          </w:p>
        </w:tc>
        <w:tc>
          <w:tcPr>
            <w:tcW w:w="0" w:type="dxa"/>
            <w:vAlign w:val="bottom"/>
          </w:tcPr>
          <w:p>
            <w:pPr>
              <w:spacing w:after="0"/>
              <w:rPr>
                <w:sz w:val="1"/>
                <w:szCs w:val="1"/>
                <w:color w:val="auto"/>
              </w:rPr>
            </w:pPr>
          </w:p>
        </w:tc>
      </w:tr>
      <w:tr>
        <w:trPr>
          <w:trHeight w:val="160"/>
        </w:trPr>
        <w:tc>
          <w:tcPr>
            <w:tcW w:w="7480" w:type="dxa"/>
            <w:vAlign w:val="bottom"/>
          </w:tcPr>
          <w:p>
            <w:pPr>
              <w:ind w:left="240"/>
              <w:spacing w:after="0"/>
              <w:rPr>
                <w:sz w:val="20"/>
                <w:szCs w:val="20"/>
                <w:color w:val="auto"/>
              </w:rPr>
            </w:pPr>
            <w:r>
              <w:rPr>
                <w:rFonts w:ascii="Arial" w:cs="Arial" w:eastAsia="Arial" w:hAnsi="Arial"/>
                <w:sz w:val="13"/>
                <w:szCs w:val="13"/>
                <w:color w:val="auto"/>
              </w:rPr>
              <w:t>Revaluation of preferred stock warrant</w:t>
            </w:r>
          </w:p>
        </w:tc>
        <w:tc>
          <w:tcPr>
            <w:tcW w:w="1000" w:type="dxa"/>
            <w:vAlign w:val="bottom"/>
          </w:tcPr>
          <w:p>
            <w:pPr>
              <w:spacing w:after="0"/>
              <w:rPr>
                <w:sz w:val="13"/>
                <w:szCs w:val="13"/>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13"/>
                <w:szCs w:val="13"/>
                <w:color w:val="auto"/>
              </w:rPr>
            </w:pPr>
          </w:p>
        </w:tc>
        <w:tc>
          <w:tcPr>
            <w:tcW w:w="1420" w:type="dxa"/>
            <w:vAlign w:val="bottom"/>
          </w:tcPr>
          <w:p>
            <w:pPr>
              <w:jc w:val="right"/>
              <w:ind w:right="73"/>
              <w:spacing w:after="0"/>
              <w:rPr>
                <w:sz w:val="20"/>
                <w:szCs w:val="20"/>
                <w:color w:val="auto"/>
              </w:rPr>
            </w:pPr>
            <w:r>
              <w:rPr>
                <w:rFonts w:ascii="Arial" w:cs="Arial" w:eastAsia="Arial" w:hAnsi="Arial"/>
                <w:sz w:val="13"/>
                <w:szCs w:val="13"/>
                <w:color w:val="auto"/>
              </w:rPr>
              <w:t>20,470</w:t>
            </w:r>
          </w:p>
        </w:tc>
        <w:tc>
          <w:tcPr>
            <w:tcW w:w="0" w:type="dxa"/>
            <w:vAlign w:val="bottom"/>
          </w:tcPr>
          <w:p>
            <w:pPr>
              <w:spacing w:after="0"/>
              <w:rPr>
                <w:sz w:val="1"/>
                <w:szCs w:val="1"/>
                <w:color w:val="auto"/>
              </w:rPr>
            </w:pPr>
          </w:p>
        </w:tc>
      </w:tr>
      <w:tr>
        <w:trPr>
          <w:trHeight w:val="160"/>
        </w:trPr>
        <w:tc>
          <w:tcPr>
            <w:tcW w:w="7480" w:type="dxa"/>
            <w:vAlign w:val="bottom"/>
            <w:shd w:val="clear" w:color="auto" w:fill="CFF0FC"/>
          </w:tcPr>
          <w:p>
            <w:pPr>
              <w:ind w:left="240"/>
              <w:spacing w:after="0"/>
              <w:rPr>
                <w:sz w:val="20"/>
                <w:szCs w:val="20"/>
                <w:color w:val="auto"/>
              </w:rPr>
            </w:pPr>
            <w:r>
              <w:rPr>
                <w:rFonts w:ascii="Arial" w:cs="Arial" w:eastAsia="Arial" w:hAnsi="Arial"/>
                <w:sz w:val="13"/>
                <w:szCs w:val="13"/>
                <w:color w:val="auto"/>
              </w:rPr>
              <w:t>Other</w:t>
            </w:r>
          </w:p>
        </w:tc>
        <w:tc>
          <w:tcPr>
            <w:tcW w:w="1000" w:type="dxa"/>
            <w:vAlign w:val="bottom"/>
            <w:shd w:val="clear" w:color="auto" w:fill="CFF0FC"/>
          </w:tcPr>
          <w:p>
            <w:pPr>
              <w:spacing w:after="0"/>
              <w:rPr>
                <w:sz w:val="13"/>
                <w:szCs w:val="13"/>
                <w:color w:val="auto"/>
              </w:rPr>
            </w:pPr>
          </w:p>
        </w:tc>
        <w:tc>
          <w:tcPr>
            <w:tcW w:w="80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rPr>
              <w:t>2,818</w:t>
            </w:r>
          </w:p>
        </w:tc>
        <w:tc>
          <w:tcPr>
            <w:tcW w:w="16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1420" w:type="dxa"/>
            <w:vAlign w:val="bottom"/>
            <w:shd w:val="clear" w:color="auto" w:fill="CFF0FC"/>
          </w:tcPr>
          <w:p>
            <w:pPr>
              <w:jc w:val="right"/>
              <w:ind w:right="73"/>
              <w:spacing w:after="0"/>
              <w:rPr>
                <w:sz w:val="20"/>
                <w:szCs w:val="20"/>
                <w:color w:val="auto"/>
              </w:rPr>
            </w:pPr>
            <w:r>
              <w:rPr>
                <w:rFonts w:ascii="Arial" w:cs="Arial" w:eastAsia="Arial" w:hAnsi="Arial"/>
                <w:sz w:val="13"/>
                <w:szCs w:val="13"/>
                <w:color w:val="auto"/>
              </w:rPr>
              <w:t>632</w:t>
            </w:r>
          </w:p>
        </w:tc>
        <w:tc>
          <w:tcPr>
            <w:tcW w:w="0" w:type="dxa"/>
            <w:vAlign w:val="bottom"/>
          </w:tcPr>
          <w:p>
            <w:pPr>
              <w:spacing w:after="0"/>
              <w:rPr>
                <w:sz w:val="1"/>
                <w:szCs w:val="1"/>
                <w:color w:val="auto"/>
              </w:rPr>
            </w:pPr>
          </w:p>
        </w:tc>
      </w:tr>
      <w:tr>
        <w:trPr>
          <w:trHeight w:val="160"/>
        </w:trPr>
        <w:tc>
          <w:tcPr>
            <w:tcW w:w="7480" w:type="dxa"/>
            <w:vAlign w:val="bottom"/>
          </w:tcPr>
          <w:p>
            <w:pPr>
              <w:spacing w:after="0"/>
              <w:rPr>
                <w:sz w:val="20"/>
                <w:szCs w:val="20"/>
                <w:color w:val="auto"/>
              </w:rPr>
            </w:pPr>
            <w:r>
              <w:rPr>
                <w:rFonts w:ascii="Arial" w:cs="Arial" w:eastAsia="Arial" w:hAnsi="Arial"/>
                <w:sz w:val="13"/>
                <w:szCs w:val="13"/>
                <w:color w:val="auto"/>
              </w:rPr>
              <w:t>Changes in operating assets and liabilities:</w:t>
            </w:r>
          </w:p>
        </w:tc>
        <w:tc>
          <w:tcPr>
            <w:tcW w:w="10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480" w:type="dxa"/>
            <w:vAlign w:val="bottom"/>
            <w:shd w:val="clear" w:color="auto" w:fill="CFF0FC"/>
          </w:tcPr>
          <w:p>
            <w:pPr>
              <w:ind w:left="240"/>
              <w:spacing w:after="0"/>
              <w:rPr>
                <w:sz w:val="20"/>
                <w:szCs w:val="20"/>
                <w:color w:val="auto"/>
              </w:rPr>
            </w:pPr>
            <w:r>
              <w:rPr>
                <w:rFonts w:ascii="Arial" w:cs="Arial" w:eastAsia="Arial" w:hAnsi="Arial"/>
                <w:sz w:val="13"/>
                <w:szCs w:val="13"/>
                <w:color w:val="auto"/>
              </w:rPr>
              <w:t>Accounts receivable</w:t>
            </w:r>
          </w:p>
        </w:tc>
        <w:tc>
          <w:tcPr>
            <w:tcW w:w="1000" w:type="dxa"/>
            <w:vAlign w:val="bottom"/>
            <w:shd w:val="clear" w:color="auto" w:fill="CFF0FC"/>
          </w:tcPr>
          <w:p>
            <w:pPr>
              <w:spacing w:after="0"/>
              <w:rPr>
                <w:sz w:val="13"/>
                <w:szCs w:val="13"/>
                <w:color w:val="auto"/>
              </w:rPr>
            </w:pPr>
          </w:p>
        </w:tc>
        <w:tc>
          <w:tcPr>
            <w:tcW w:w="800" w:type="dxa"/>
            <w:vAlign w:val="bottom"/>
            <w:shd w:val="clear" w:color="auto" w:fill="CFF0FC"/>
          </w:tcPr>
          <w:p>
            <w:pPr>
              <w:jc w:val="right"/>
              <w:ind w:right="13"/>
              <w:spacing w:after="0"/>
              <w:rPr>
                <w:sz w:val="20"/>
                <w:szCs w:val="20"/>
                <w:color w:val="auto"/>
              </w:rPr>
            </w:pPr>
            <w:r>
              <w:rPr>
                <w:rFonts w:ascii="Arial" w:cs="Arial" w:eastAsia="Arial" w:hAnsi="Arial"/>
                <w:sz w:val="13"/>
                <w:szCs w:val="13"/>
                <w:color w:val="auto"/>
              </w:rPr>
              <w:t>(41,393)</w:t>
            </w:r>
          </w:p>
        </w:tc>
        <w:tc>
          <w:tcPr>
            <w:tcW w:w="16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1420" w:type="dxa"/>
            <w:vAlign w:val="bottom"/>
            <w:shd w:val="clear" w:color="auto" w:fill="CFF0FC"/>
          </w:tcPr>
          <w:p>
            <w:pPr>
              <w:jc w:val="right"/>
              <w:ind w:right="73"/>
              <w:spacing w:after="0"/>
              <w:rPr>
                <w:sz w:val="20"/>
                <w:szCs w:val="20"/>
                <w:color w:val="auto"/>
              </w:rPr>
            </w:pPr>
            <w:r>
              <w:rPr>
                <w:rFonts w:ascii="Arial" w:cs="Arial" w:eastAsia="Arial" w:hAnsi="Arial"/>
                <w:sz w:val="13"/>
                <w:szCs w:val="13"/>
                <w:color w:val="auto"/>
              </w:rPr>
              <w:t>14,863</w:t>
            </w:r>
          </w:p>
        </w:tc>
        <w:tc>
          <w:tcPr>
            <w:tcW w:w="0" w:type="dxa"/>
            <w:vAlign w:val="bottom"/>
          </w:tcPr>
          <w:p>
            <w:pPr>
              <w:spacing w:after="0"/>
              <w:rPr>
                <w:sz w:val="1"/>
                <w:szCs w:val="1"/>
                <w:color w:val="auto"/>
              </w:rPr>
            </w:pPr>
          </w:p>
        </w:tc>
      </w:tr>
      <w:tr>
        <w:trPr>
          <w:trHeight w:val="160"/>
        </w:trPr>
        <w:tc>
          <w:tcPr>
            <w:tcW w:w="7480" w:type="dxa"/>
            <w:vAlign w:val="bottom"/>
          </w:tcPr>
          <w:p>
            <w:pPr>
              <w:ind w:left="240"/>
              <w:spacing w:after="0"/>
              <w:rPr>
                <w:sz w:val="20"/>
                <w:szCs w:val="20"/>
                <w:color w:val="auto"/>
              </w:rPr>
            </w:pPr>
            <w:r>
              <w:rPr>
                <w:rFonts w:ascii="Arial" w:cs="Arial" w:eastAsia="Arial" w:hAnsi="Arial"/>
                <w:sz w:val="13"/>
                <w:szCs w:val="13"/>
                <w:color w:val="auto"/>
              </w:rPr>
              <w:t>Inventory</w:t>
            </w:r>
          </w:p>
        </w:tc>
        <w:tc>
          <w:tcPr>
            <w:tcW w:w="1000" w:type="dxa"/>
            <w:vAlign w:val="bottom"/>
          </w:tcPr>
          <w:p>
            <w:pPr>
              <w:spacing w:after="0"/>
              <w:rPr>
                <w:sz w:val="13"/>
                <w:szCs w:val="13"/>
                <w:color w:val="auto"/>
              </w:rPr>
            </w:pPr>
          </w:p>
        </w:tc>
        <w:tc>
          <w:tcPr>
            <w:tcW w:w="800" w:type="dxa"/>
            <w:vAlign w:val="bottom"/>
          </w:tcPr>
          <w:p>
            <w:pPr>
              <w:jc w:val="right"/>
              <w:ind w:right="13"/>
              <w:spacing w:after="0"/>
              <w:rPr>
                <w:sz w:val="20"/>
                <w:szCs w:val="20"/>
                <w:color w:val="auto"/>
              </w:rPr>
            </w:pPr>
            <w:r>
              <w:rPr>
                <w:rFonts w:ascii="Arial" w:cs="Arial" w:eastAsia="Arial" w:hAnsi="Arial"/>
                <w:sz w:val="13"/>
                <w:szCs w:val="13"/>
                <w:color w:val="auto"/>
              </w:rPr>
              <w:t>(99,412)</w:t>
            </w: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20" w:type="dxa"/>
            <w:vAlign w:val="bottom"/>
          </w:tcPr>
          <w:p>
            <w:pPr>
              <w:jc w:val="right"/>
              <w:ind w:right="73"/>
              <w:spacing w:after="0"/>
              <w:rPr>
                <w:sz w:val="20"/>
                <w:szCs w:val="20"/>
                <w:color w:val="auto"/>
              </w:rPr>
            </w:pPr>
            <w:r>
              <w:rPr>
                <w:rFonts w:ascii="Arial" w:cs="Arial" w:eastAsia="Arial" w:hAnsi="Arial"/>
                <w:sz w:val="13"/>
                <w:szCs w:val="13"/>
                <w:color w:val="auto"/>
              </w:rPr>
              <w:t>66,247</w:t>
            </w:r>
          </w:p>
        </w:tc>
        <w:tc>
          <w:tcPr>
            <w:tcW w:w="0" w:type="dxa"/>
            <w:vAlign w:val="bottom"/>
          </w:tcPr>
          <w:p>
            <w:pPr>
              <w:spacing w:after="0"/>
              <w:rPr>
                <w:sz w:val="1"/>
                <w:szCs w:val="1"/>
                <w:color w:val="auto"/>
              </w:rPr>
            </w:pPr>
          </w:p>
        </w:tc>
      </w:tr>
      <w:tr>
        <w:trPr>
          <w:trHeight w:val="160"/>
        </w:trPr>
        <w:tc>
          <w:tcPr>
            <w:tcW w:w="7480" w:type="dxa"/>
            <w:vAlign w:val="bottom"/>
            <w:shd w:val="clear" w:color="auto" w:fill="CFF0FC"/>
          </w:tcPr>
          <w:p>
            <w:pPr>
              <w:ind w:left="240"/>
              <w:spacing w:after="0"/>
              <w:rPr>
                <w:sz w:val="20"/>
                <w:szCs w:val="20"/>
                <w:color w:val="auto"/>
              </w:rPr>
            </w:pPr>
            <w:r>
              <w:rPr>
                <w:rFonts w:ascii="Arial" w:cs="Arial" w:eastAsia="Arial" w:hAnsi="Arial"/>
                <w:sz w:val="13"/>
                <w:szCs w:val="13"/>
                <w:color w:val="auto"/>
              </w:rPr>
              <w:t>Prepaid expenses and other current assets</w:t>
            </w:r>
          </w:p>
        </w:tc>
        <w:tc>
          <w:tcPr>
            <w:tcW w:w="1000" w:type="dxa"/>
            <w:vAlign w:val="bottom"/>
            <w:shd w:val="clear" w:color="auto" w:fill="CFF0FC"/>
          </w:tcPr>
          <w:p>
            <w:pPr>
              <w:spacing w:after="0"/>
              <w:rPr>
                <w:sz w:val="13"/>
                <w:szCs w:val="13"/>
                <w:color w:val="auto"/>
              </w:rPr>
            </w:pPr>
          </w:p>
        </w:tc>
        <w:tc>
          <w:tcPr>
            <w:tcW w:w="800" w:type="dxa"/>
            <w:vAlign w:val="bottom"/>
            <w:shd w:val="clear" w:color="auto" w:fill="CFF0FC"/>
          </w:tcPr>
          <w:p>
            <w:pPr>
              <w:jc w:val="right"/>
              <w:ind w:right="13"/>
              <w:spacing w:after="0"/>
              <w:rPr>
                <w:sz w:val="20"/>
                <w:szCs w:val="20"/>
                <w:color w:val="auto"/>
              </w:rPr>
            </w:pPr>
            <w:r>
              <w:rPr>
                <w:rFonts w:ascii="Arial" w:cs="Arial" w:eastAsia="Arial" w:hAnsi="Arial"/>
                <w:sz w:val="13"/>
                <w:szCs w:val="13"/>
                <w:color w:val="auto"/>
              </w:rPr>
              <w:t>(26,669)</w:t>
            </w:r>
          </w:p>
        </w:tc>
        <w:tc>
          <w:tcPr>
            <w:tcW w:w="16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1420" w:type="dxa"/>
            <w:vAlign w:val="bottom"/>
            <w:shd w:val="clear" w:color="auto" w:fill="CFF0FC"/>
          </w:tcPr>
          <w:p>
            <w:pPr>
              <w:jc w:val="right"/>
              <w:ind w:right="13"/>
              <w:spacing w:after="0"/>
              <w:rPr>
                <w:sz w:val="20"/>
                <w:szCs w:val="20"/>
                <w:color w:val="auto"/>
              </w:rPr>
            </w:pPr>
            <w:r>
              <w:rPr>
                <w:rFonts w:ascii="Arial" w:cs="Arial" w:eastAsia="Arial" w:hAnsi="Arial"/>
                <w:sz w:val="13"/>
                <w:szCs w:val="13"/>
                <w:color w:val="auto"/>
              </w:rPr>
              <w:t>(7,909)</w:t>
            </w:r>
          </w:p>
        </w:tc>
        <w:tc>
          <w:tcPr>
            <w:tcW w:w="0" w:type="dxa"/>
            <w:vAlign w:val="bottom"/>
          </w:tcPr>
          <w:p>
            <w:pPr>
              <w:spacing w:after="0"/>
              <w:rPr>
                <w:sz w:val="1"/>
                <w:szCs w:val="1"/>
                <w:color w:val="auto"/>
              </w:rPr>
            </w:pPr>
          </w:p>
        </w:tc>
      </w:tr>
      <w:tr>
        <w:trPr>
          <w:trHeight w:val="160"/>
        </w:trPr>
        <w:tc>
          <w:tcPr>
            <w:tcW w:w="7480" w:type="dxa"/>
            <w:vAlign w:val="bottom"/>
          </w:tcPr>
          <w:p>
            <w:pPr>
              <w:ind w:left="240"/>
              <w:spacing w:after="0"/>
              <w:rPr>
                <w:sz w:val="20"/>
                <w:szCs w:val="20"/>
                <w:color w:val="auto"/>
              </w:rPr>
            </w:pPr>
            <w:r>
              <w:rPr>
                <w:rFonts w:ascii="Arial" w:cs="Arial" w:eastAsia="Arial" w:hAnsi="Arial"/>
                <w:sz w:val="13"/>
                <w:szCs w:val="13"/>
                <w:color w:val="auto"/>
              </w:rPr>
              <w:t>Other assets</w:t>
            </w:r>
          </w:p>
        </w:tc>
        <w:tc>
          <w:tcPr>
            <w:tcW w:w="1000" w:type="dxa"/>
            <w:vAlign w:val="bottom"/>
          </w:tcPr>
          <w:p>
            <w:pPr>
              <w:spacing w:after="0"/>
              <w:rPr>
                <w:sz w:val="13"/>
                <w:szCs w:val="13"/>
                <w:color w:val="auto"/>
              </w:rPr>
            </w:pPr>
          </w:p>
        </w:tc>
        <w:tc>
          <w:tcPr>
            <w:tcW w:w="800" w:type="dxa"/>
            <w:vAlign w:val="bottom"/>
          </w:tcPr>
          <w:p>
            <w:pPr>
              <w:jc w:val="right"/>
              <w:ind w:right="13"/>
              <w:spacing w:after="0"/>
              <w:rPr>
                <w:sz w:val="20"/>
                <w:szCs w:val="20"/>
                <w:color w:val="auto"/>
              </w:rPr>
            </w:pPr>
            <w:r>
              <w:rPr>
                <w:rFonts w:ascii="Arial" w:cs="Arial" w:eastAsia="Arial" w:hAnsi="Arial"/>
                <w:sz w:val="13"/>
                <w:szCs w:val="13"/>
                <w:color w:val="auto"/>
              </w:rPr>
              <w:t>(3,948)</w:t>
            </w: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20" w:type="dxa"/>
            <w:vAlign w:val="bottom"/>
          </w:tcPr>
          <w:p>
            <w:pPr>
              <w:jc w:val="right"/>
              <w:ind w:right="13"/>
              <w:spacing w:after="0"/>
              <w:rPr>
                <w:sz w:val="20"/>
                <w:szCs w:val="20"/>
                <w:color w:val="auto"/>
              </w:rPr>
            </w:pPr>
            <w:r>
              <w:rPr>
                <w:rFonts w:ascii="Arial" w:cs="Arial" w:eastAsia="Arial" w:hAnsi="Arial"/>
                <w:sz w:val="13"/>
                <w:szCs w:val="13"/>
                <w:color w:val="auto"/>
              </w:rPr>
              <w:t>(1,285)</w:t>
            </w:r>
          </w:p>
        </w:tc>
        <w:tc>
          <w:tcPr>
            <w:tcW w:w="0" w:type="dxa"/>
            <w:vAlign w:val="bottom"/>
          </w:tcPr>
          <w:p>
            <w:pPr>
              <w:spacing w:after="0"/>
              <w:rPr>
                <w:sz w:val="1"/>
                <w:szCs w:val="1"/>
                <w:color w:val="auto"/>
              </w:rPr>
            </w:pPr>
          </w:p>
        </w:tc>
      </w:tr>
      <w:tr>
        <w:trPr>
          <w:trHeight w:val="160"/>
        </w:trPr>
        <w:tc>
          <w:tcPr>
            <w:tcW w:w="7480" w:type="dxa"/>
            <w:vAlign w:val="bottom"/>
            <w:shd w:val="clear" w:color="auto" w:fill="CFF0FC"/>
          </w:tcPr>
          <w:p>
            <w:pPr>
              <w:ind w:left="240"/>
              <w:spacing w:after="0"/>
              <w:rPr>
                <w:sz w:val="20"/>
                <w:szCs w:val="20"/>
                <w:color w:val="auto"/>
              </w:rPr>
            </w:pPr>
            <w:r>
              <w:rPr>
                <w:rFonts w:ascii="Arial" w:cs="Arial" w:eastAsia="Arial" w:hAnsi="Arial"/>
                <w:sz w:val="13"/>
                <w:szCs w:val="13"/>
                <w:color w:val="auto"/>
              </w:rPr>
              <w:t>Accounts payable</w:t>
            </w:r>
          </w:p>
        </w:tc>
        <w:tc>
          <w:tcPr>
            <w:tcW w:w="1000" w:type="dxa"/>
            <w:vAlign w:val="bottom"/>
            <w:shd w:val="clear" w:color="auto" w:fill="CFF0FC"/>
          </w:tcPr>
          <w:p>
            <w:pPr>
              <w:spacing w:after="0"/>
              <w:rPr>
                <w:sz w:val="13"/>
                <w:szCs w:val="13"/>
                <w:color w:val="auto"/>
              </w:rPr>
            </w:pPr>
          </w:p>
        </w:tc>
        <w:tc>
          <w:tcPr>
            <w:tcW w:w="80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rPr>
              <w:t>36,507</w:t>
            </w:r>
          </w:p>
        </w:tc>
        <w:tc>
          <w:tcPr>
            <w:tcW w:w="16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1420" w:type="dxa"/>
            <w:vAlign w:val="bottom"/>
            <w:shd w:val="clear" w:color="auto" w:fill="CFF0FC"/>
          </w:tcPr>
          <w:p>
            <w:pPr>
              <w:jc w:val="right"/>
              <w:ind w:right="73"/>
              <w:spacing w:after="0"/>
              <w:rPr>
                <w:sz w:val="20"/>
                <w:szCs w:val="20"/>
                <w:color w:val="auto"/>
              </w:rPr>
            </w:pPr>
            <w:r>
              <w:rPr>
                <w:rFonts w:ascii="Arial" w:cs="Arial" w:eastAsia="Arial" w:hAnsi="Arial"/>
                <w:sz w:val="13"/>
                <w:szCs w:val="13"/>
                <w:color w:val="auto"/>
              </w:rPr>
              <w:t>919</w:t>
            </w:r>
          </w:p>
        </w:tc>
        <w:tc>
          <w:tcPr>
            <w:tcW w:w="0" w:type="dxa"/>
            <w:vAlign w:val="bottom"/>
          </w:tcPr>
          <w:p>
            <w:pPr>
              <w:spacing w:after="0"/>
              <w:rPr>
                <w:sz w:val="1"/>
                <w:szCs w:val="1"/>
                <w:color w:val="auto"/>
              </w:rPr>
            </w:pPr>
          </w:p>
        </w:tc>
      </w:tr>
      <w:tr>
        <w:trPr>
          <w:trHeight w:val="160"/>
        </w:trPr>
        <w:tc>
          <w:tcPr>
            <w:tcW w:w="7480" w:type="dxa"/>
            <w:vAlign w:val="bottom"/>
          </w:tcPr>
          <w:p>
            <w:pPr>
              <w:ind w:left="240"/>
              <w:spacing w:after="0"/>
              <w:rPr>
                <w:sz w:val="20"/>
                <w:szCs w:val="20"/>
                <w:color w:val="auto"/>
              </w:rPr>
            </w:pPr>
            <w:r>
              <w:rPr>
                <w:rFonts w:ascii="Arial" w:cs="Arial" w:eastAsia="Arial" w:hAnsi="Arial"/>
                <w:sz w:val="13"/>
                <w:szCs w:val="13"/>
                <w:color w:val="auto"/>
              </w:rPr>
              <w:t>Accrued expenses</w:t>
            </w:r>
          </w:p>
        </w:tc>
        <w:tc>
          <w:tcPr>
            <w:tcW w:w="1000" w:type="dxa"/>
            <w:vAlign w:val="bottom"/>
          </w:tcPr>
          <w:p>
            <w:pPr>
              <w:spacing w:after="0"/>
              <w:rPr>
                <w:sz w:val="13"/>
                <w:szCs w:val="13"/>
                <w:color w:val="auto"/>
              </w:rPr>
            </w:pPr>
          </w:p>
        </w:tc>
        <w:tc>
          <w:tcPr>
            <w:tcW w:w="800" w:type="dxa"/>
            <w:vAlign w:val="bottom"/>
          </w:tcPr>
          <w:p>
            <w:pPr>
              <w:jc w:val="right"/>
              <w:ind w:right="53"/>
              <w:spacing w:after="0"/>
              <w:rPr>
                <w:sz w:val="20"/>
                <w:szCs w:val="20"/>
                <w:color w:val="auto"/>
              </w:rPr>
            </w:pPr>
            <w:r>
              <w:rPr>
                <w:rFonts w:ascii="Arial" w:cs="Arial" w:eastAsia="Arial" w:hAnsi="Arial"/>
                <w:sz w:val="13"/>
                <w:szCs w:val="13"/>
                <w:color w:val="auto"/>
              </w:rPr>
              <w:t>26,306</w:t>
            </w: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20" w:type="dxa"/>
            <w:vAlign w:val="bottom"/>
          </w:tcPr>
          <w:p>
            <w:pPr>
              <w:jc w:val="right"/>
              <w:ind w:right="73"/>
              <w:spacing w:after="0"/>
              <w:rPr>
                <w:sz w:val="20"/>
                <w:szCs w:val="20"/>
                <w:color w:val="auto"/>
              </w:rPr>
            </w:pPr>
            <w:r>
              <w:rPr>
                <w:rFonts w:ascii="Arial" w:cs="Arial" w:eastAsia="Arial" w:hAnsi="Arial"/>
                <w:sz w:val="13"/>
                <w:szCs w:val="13"/>
                <w:color w:val="auto"/>
              </w:rPr>
              <w:t>4,714</w:t>
            </w:r>
          </w:p>
        </w:tc>
        <w:tc>
          <w:tcPr>
            <w:tcW w:w="0" w:type="dxa"/>
            <w:vAlign w:val="bottom"/>
          </w:tcPr>
          <w:p>
            <w:pPr>
              <w:spacing w:after="0"/>
              <w:rPr>
                <w:sz w:val="1"/>
                <w:szCs w:val="1"/>
                <w:color w:val="auto"/>
              </w:rPr>
            </w:pPr>
          </w:p>
        </w:tc>
      </w:tr>
      <w:tr>
        <w:trPr>
          <w:trHeight w:val="160"/>
        </w:trPr>
        <w:tc>
          <w:tcPr>
            <w:tcW w:w="7480" w:type="dxa"/>
            <w:vAlign w:val="bottom"/>
            <w:shd w:val="clear" w:color="auto" w:fill="CFF0FC"/>
          </w:tcPr>
          <w:p>
            <w:pPr>
              <w:ind w:left="240"/>
              <w:spacing w:after="0"/>
              <w:rPr>
                <w:sz w:val="20"/>
                <w:szCs w:val="20"/>
                <w:color w:val="auto"/>
              </w:rPr>
            </w:pPr>
            <w:r>
              <w:rPr>
                <w:rFonts w:ascii="Arial" w:cs="Arial" w:eastAsia="Arial" w:hAnsi="Arial"/>
                <w:sz w:val="13"/>
                <w:szCs w:val="13"/>
                <w:color w:val="auto"/>
              </w:rPr>
              <w:t>Deferred revenue</w:t>
            </w:r>
          </w:p>
        </w:tc>
        <w:tc>
          <w:tcPr>
            <w:tcW w:w="1000" w:type="dxa"/>
            <w:vAlign w:val="bottom"/>
            <w:shd w:val="clear" w:color="auto" w:fill="CFF0FC"/>
          </w:tcPr>
          <w:p>
            <w:pPr>
              <w:spacing w:after="0"/>
              <w:rPr>
                <w:sz w:val="13"/>
                <w:szCs w:val="13"/>
                <w:color w:val="auto"/>
              </w:rPr>
            </w:pPr>
          </w:p>
        </w:tc>
        <w:tc>
          <w:tcPr>
            <w:tcW w:w="80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rPr>
              <w:t>16,788</w:t>
            </w:r>
          </w:p>
        </w:tc>
        <w:tc>
          <w:tcPr>
            <w:tcW w:w="16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1420" w:type="dxa"/>
            <w:vAlign w:val="bottom"/>
            <w:shd w:val="clear" w:color="auto" w:fill="CFF0FC"/>
          </w:tcPr>
          <w:p>
            <w:pPr>
              <w:jc w:val="right"/>
              <w:ind w:right="13"/>
              <w:spacing w:after="0"/>
              <w:rPr>
                <w:sz w:val="20"/>
                <w:szCs w:val="20"/>
                <w:color w:val="auto"/>
              </w:rPr>
            </w:pPr>
            <w:r>
              <w:rPr>
                <w:rFonts w:ascii="Arial" w:cs="Arial" w:eastAsia="Arial" w:hAnsi="Arial"/>
                <w:sz w:val="13"/>
                <w:szCs w:val="13"/>
                <w:color w:val="auto"/>
              </w:rPr>
              <w:t>(1,835)</w:t>
            </w:r>
          </w:p>
        </w:tc>
        <w:tc>
          <w:tcPr>
            <w:tcW w:w="0" w:type="dxa"/>
            <w:vAlign w:val="bottom"/>
          </w:tcPr>
          <w:p>
            <w:pPr>
              <w:spacing w:after="0"/>
              <w:rPr>
                <w:sz w:val="1"/>
                <w:szCs w:val="1"/>
                <w:color w:val="auto"/>
              </w:rPr>
            </w:pPr>
          </w:p>
        </w:tc>
      </w:tr>
      <w:tr>
        <w:trPr>
          <w:trHeight w:val="160"/>
        </w:trPr>
        <w:tc>
          <w:tcPr>
            <w:tcW w:w="7480" w:type="dxa"/>
            <w:vAlign w:val="bottom"/>
            <w:tcBorders>
              <w:bottom w:val="single" w:sz="8" w:color="CFF0FC"/>
            </w:tcBorders>
          </w:tcPr>
          <w:p>
            <w:pPr>
              <w:ind w:left="240"/>
              <w:spacing w:after="0"/>
              <w:rPr>
                <w:sz w:val="20"/>
                <w:szCs w:val="20"/>
                <w:color w:val="auto"/>
              </w:rPr>
            </w:pPr>
            <w:r>
              <w:rPr>
                <w:rFonts w:ascii="Arial" w:cs="Arial" w:eastAsia="Arial" w:hAnsi="Arial"/>
                <w:sz w:val="13"/>
                <w:szCs w:val="13"/>
                <w:color w:val="auto"/>
              </w:rPr>
              <w:t>Other liabilities</w:t>
            </w:r>
          </w:p>
        </w:tc>
        <w:tc>
          <w:tcPr>
            <w:tcW w:w="10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62,117</w:t>
            </w:r>
          </w:p>
        </w:tc>
        <w:tc>
          <w:tcPr>
            <w:tcW w:w="160" w:type="dxa"/>
            <w:vAlign w:val="bottom"/>
            <w:tcBorders>
              <w:bottom w:val="single" w:sz="8" w:color="CFF0FC"/>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color w:val="auto"/>
              </w:rPr>
              <w:t>1,905</w:t>
            </w:r>
          </w:p>
        </w:tc>
        <w:tc>
          <w:tcPr>
            <w:tcW w:w="0" w:type="dxa"/>
            <w:vAlign w:val="bottom"/>
          </w:tcPr>
          <w:p>
            <w:pPr>
              <w:spacing w:after="0"/>
              <w:rPr>
                <w:sz w:val="1"/>
                <w:szCs w:val="1"/>
                <w:color w:val="auto"/>
              </w:rPr>
            </w:pPr>
          </w:p>
        </w:tc>
      </w:tr>
      <w:tr>
        <w:trPr>
          <w:trHeight w:val="153"/>
        </w:trPr>
        <w:tc>
          <w:tcPr>
            <w:tcW w:w="7480" w:type="dxa"/>
            <w:vAlign w:val="bottom"/>
            <w:shd w:val="clear" w:color="auto" w:fill="CFF0FC"/>
          </w:tcPr>
          <w:p>
            <w:pPr>
              <w:ind w:left="500"/>
              <w:spacing w:after="0"/>
              <w:rPr>
                <w:sz w:val="20"/>
                <w:szCs w:val="20"/>
                <w:color w:val="auto"/>
              </w:rPr>
            </w:pPr>
            <w:r>
              <w:rPr>
                <w:rFonts w:ascii="Arial" w:cs="Arial" w:eastAsia="Arial" w:hAnsi="Arial"/>
                <w:sz w:val="13"/>
                <w:szCs w:val="13"/>
                <w:color w:val="auto"/>
              </w:rPr>
              <w:t>Net cash (used in) provided by operating activities</w:t>
            </w:r>
          </w:p>
        </w:tc>
        <w:tc>
          <w:tcPr>
            <w:tcW w:w="1000" w:type="dxa"/>
            <w:vAlign w:val="bottom"/>
            <w:shd w:val="clear" w:color="auto" w:fill="CFF0FC"/>
          </w:tcPr>
          <w:p>
            <w:pPr>
              <w:spacing w:after="0"/>
              <w:rPr>
                <w:sz w:val="13"/>
                <w:szCs w:val="13"/>
                <w:color w:val="auto"/>
              </w:rPr>
            </w:pPr>
          </w:p>
        </w:tc>
        <w:tc>
          <w:tcPr>
            <w:tcW w:w="800" w:type="dxa"/>
            <w:vAlign w:val="bottom"/>
            <w:shd w:val="clear" w:color="auto" w:fill="CFF0FC"/>
          </w:tcPr>
          <w:p>
            <w:pPr>
              <w:jc w:val="right"/>
              <w:ind w:right="13"/>
              <w:spacing w:after="0"/>
              <w:rPr>
                <w:sz w:val="20"/>
                <w:szCs w:val="20"/>
                <w:color w:val="auto"/>
              </w:rPr>
            </w:pPr>
            <w:r>
              <w:rPr>
                <w:rFonts w:ascii="Arial" w:cs="Arial" w:eastAsia="Arial" w:hAnsi="Arial"/>
                <w:sz w:val="13"/>
                <w:szCs w:val="13"/>
                <w:color w:val="auto"/>
              </w:rPr>
              <w:t>(151,851)</w:t>
            </w:r>
          </w:p>
        </w:tc>
        <w:tc>
          <w:tcPr>
            <w:tcW w:w="16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1420" w:type="dxa"/>
            <w:vAlign w:val="bottom"/>
            <w:shd w:val="clear" w:color="auto" w:fill="CFF0FC"/>
          </w:tcPr>
          <w:p>
            <w:pPr>
              <w:jc w:val="right"/>
              <w:ind w:right="73"/>
              <w:spacing w:after="0"/>
              <w:rPr>
                <w:sz w:val="20"/>
                <w:szCs w:val="20"/>
                <w:color w:val="auto"/>
              </w:rPr>
            </w:pPr>
            <w:r>
              <w:rPr>
                <w:rFonts w:ascii="Arial" w:cs="Arial" w:eastAsia="Arial" w:hAnsi="Arial"/>
                <w:sz w:val="13"/>
                <w:szCs w:val="13"/>
                <w:color w:val="auto"/>
              </w:rPr>
              <w:t>4</w:t>
            </w:r>
          </w:p>
        </w:tc>
        <w:tc>
          <w:tcPr>
            <w:tcW w:w="0" w:type="dxa"/>
            <w:vAlign w:val="bottom"/>
          </w:tcPr>
          <w:p>
            <w:pPr>
              <w:spacing w:after="0"/>
              <w:rPr>
                <w:sz w:val="1"/>
                <w:szCs w:val="1"/>
                <w:color w:val="auto"/>
              </w:rPr>
            </w:pPr>
          </w:p>
        </w:tc>
      </w:tr>
      <w:tr>
        <w:trPr>
          <w:trHeight w:val="160"/>
        </w:trPr>
        <w:tc>
          <w:tcPr>
            <w:tcW w:w="7480" w:type="dxa"/>
            <w:vAlign w:val="bottom"/>
          </w:tcPr>
          <w:p>
            <w:pPr>
              <w:spacing w:after="0"/>
              <w:rPr>
                <w:sz w:val="20"/>
                <w:szCs w:val="20"/>
                <w:color w:val="auto"/>
              </w:rPr>
            </w:pPr>
            <w:r>
              <w:rPr>
                <w:rFonts w:ascii="Arial" w:cs="Arial" w:eastAsia="Arial" w:hAnsi="Arial"/>
                <w:sz w:val="13"/>
                <w:szCs w:val="13"/>
                <w:b w:val="1"/>
                <w:bCs w:val="1"/>
                <w:color w:val="auto"/>
              </w:rPr>
              <w:t>Investing activities</w:t>
            </w:r>
          </w:p>
        </w:tc>
        <w:tc>
          <w:tcPr>
            <w:tcW w:w="10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480" w:type="dxa"/>
            <w:vAlign w:val="bottom"/>
            <w:shd w:val="clear" w:color="auto" w:fill="CFF0FC"/>
          </w:tcPr>
          <w:p>
            <w:pPr>
              <w:spacing w:after="0"/>
              <w:rPr>
                <w:sz w:val="20"/>
                <w:szCs w:val="20"/>
                <w:color w:val="auto"/>
              </w:rPr>
            </w:pPr>
            <w:r>
              <w:rPr>
                <w:rFonts w:ascii="Arial" w:cs="Arial" w:eastAsia="Arial" w:hAnsi="Arial"/>
                <w:sz w:val="13"/>
                <w:szCs w:val="13"/>
                <w:color w:val="auto"/>
              </w:rPr>
              <w:t>Purchase of property and equipment</w:t>
            </w:r>
          </w:p>
        </w:tc>
        <w:tc>
          <w:tcPr>
            <w:tcW w:w="1000" w:type="dxa"/>
            <w:vAlign w:val="bottom"/>
            <w:shd w:val="clear" w:color="auto" w:fill="CFF0FC"/>
          </w:tcPr>
          <w:p>
            <w:pPr>
              <w:spacing w:after="0"/>
              <w:rPr>
                <w:sz w:val="13"/>
                <w:szCs w:val="13"/>
                <w:color w:val="auto"/>
              </w:rPr>
            </w:pPr>
          </w:p>
        </w:tc>
        <w:tc>
          <w:tcPr>
            <w:tcW w:w="800" w:type="dxa"/>
            <w:vAlign w:val="bottom"/>
            <w:shd w:val="clear" w:color="auto" w:fill="CFF0FC"/>
          </w:tcPr>
          <w:p>
            <w:pPr>
              <w:jc w:val="right"/>
              <w:ind w:right="13"/>
              <w:spacing w:after="0"/>
              <w:rPr>
                <w:sz w:val="20"/>
                <w:szCs w:val="20"/>
                <w:color w:val="auto"/>
              </w:rPr>
            </w:pPr>
            <w:r>
              <w:rPr>
                <w:rFonts w:ascii="Arial" w:cs="Arial" w:eastAsia="Arial" w:hAnsi="Arial"/>
                <w:sz w:val="13"/>
                <w:szCs w:val="13"/>
                <w:color w:val="auto"/>
              </w:rPr>
              <w:t>(8,943)</w:t>
            </w:r>
          </w:p>
        </w:tc>
        <w:tc>
          <w:tcPr>
            <w:tcW w:w="16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1420" w:type="dxa"/>
            <w:vAlign w:val="bottom"/>
            <w:shd w:val="clear" w:color="auto" w:fill="CFF0FC"/>
          </w:tcPr>
          <w:p>
            <w:pPr>
              <w:jc w:val="right"/>
              <w:ind w:right="13"/>
              <w:spacing w:after="0"/>
              <w:rPr>
                <w:sz w:val="20"/>
                <w:szCs w:val="20"/>
                <w:color w:val="auto"/>
              </w:rPr>
            </w:pPr>
            <w:r>
              <w:rPr>
                <w:rFonts w:ascii="Arial" w:cs="Arial" w:eastAsia="Arial" w:hAnsi="Arial"/>
                <w:sz w:val="13"/>
                <w:szCs w:val="13"/>
                <w:color w:val="auto"/>
              </w:rPr>
              <w:t>(3,128)</w:t>
            </w:r>
          </w:p>
        </w:tc>
        <w:tc>
          <w:tcPr>
            <w:tcW w:w="0" w:type="dxa"/>
            <w:vAlign w:val="bottom"/>
          </w:tcPr>
          <w:p>
            <w:pPr>
              <w:spacing w:after="0"/>
              <w:rPr>
                <w:sz w:val="1"/>
                <w:szCs w:val="1"/>
                <w:color w:val="auto"/>
              </w:rPr>
            </w:pPr>
          </w:p>
        </w:tc>
      </w:tr>
      <w:tr>
        <w:trPr>
          <w:trHeight w:val="160"/>
        </w:trPr>
        <w:tc>
          <w:tcPr>
            <w:tcW w:w="7480" w:type="dxa"/>
            <w:vAlign w:val="bottom"/>
            <w:tcBorders>
              <w:bottom w:val="single" w:sz="8" w:color="CFF0FC"/>
            </w:tcBorders>
          </w:tcPr>
          <w:p>
            <w:pPr>
              <w:spacing w:after="0"/>
              <w:rPr>
                <w:sz w:val="20"/>
                <w:szCs w:val="20"/>
                <w:color w:val="auto"/>
              </w:rPr>
            </w:pPr>
            <w:r>
              <w:rPr>
                <w:rFonts w:ascii="Arial" w:cs="Arial" w:eastAsia="Arial" w:hAnsi="Arial"/>
                <w:sz w:val="13"/>
                <w:szCs w:val="13"/>
                <w:color w:val="auto"/>
              </w:rPr>
              <w:t>Acquisition of business, net of cash acquired</w:t>
            </w:r>
          </w:p>
        </w:tc>
        <w:tc>
          <w:tcPr>
            <w:tcW w:w="10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(76,145)</w:t>
            </w:r>
          </w:p>
        </w:tc>
        <w:tc>
          <w:tcPr>
            <w:tcW w:w="160" w:type="dxa"/>
            <w:vAlign w:val="bottom"/>
            <w:tcBorders>
              <w:bottom w:val="single" w:sz="8" w:color="CFF0FC"/>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3"/>
        </w:trPr>
        <w:tc>
          <w:tcPr>
            <w:tcW w:w="7480" w:type="dxa"/>
            <w:vAlign w:val="bottom"/>
            <w:shd w:val="clear" w:color="auto" w:fill="CFF0FC"/>
          </w:tcPr>
          <w:p>
            <w:pPr>
              <w:ind w:left="500"/>
              <w:spacing w:after="0"/>
              <w:rPr>
                <w:sz w:val="20"/>
                <w:szCs w:val="20"/>
                <w:color w:val="auto"/>
              </w:rPr>
            </w:pPr>
            <w:r>
              <w:rPr>
                <w:rFonts w:ascii="Arial" w:cs="Arial" w:eastAsia="Arial" w:hAnsi="Arial"/>
                <w:sz w:val="13"/>
                <w:szCs w:val="13"/>
                <w:color w:val="auto"/>
              </w:rPr>
              <w:t>Net cash used in investing activities</w:t>
            </w:r>
          </w:p>
        </w:tc>
        <w:tc>
          <w:tcPr>
            <w:tcW w:w="1000" w:type="dxa"/>
            <w:vAlign w:val="bottom"/>
            <w:shd w:val="clear" w:color="auto" w:fill="CFF0FC"/>
          </w:tcPr>
          <w:p>
            <w:pPr>
              <w:spacing w:after="0"/>
              <w:rPr>
                <w:sz w:val="13"/>
                <w:szCs w:val="13"/>
                <w:color w:val="auto"/>
              </w:rPr>
            </w:pPr>
          </w:p>
        </w:tc>
        <w:tc>
          <w:tcPr>
            <w:tcW w:w="800" w:type="dxa"/>
            <w:vAlign w:val="bottom"/>
            <w:shd w:val="clear" w:color="auto" w:fill="CFF0FC"/>
          </w:tcPr>
          <w:p>
            <w:pPr>
              <w:jc w:val="right"/>
              <w:ind w:right="13"/>
              <w:spacing w:after="0"/>
              <w:rPr>
                <w:sz w:val="20"/>
                <w:szCs w:val="20"/>
                <w:color w:val="auto"/>
              </w:rPr>
            </w:pPr>
            <w:r>
              <w:rPr>
                <w:rFonts w:ascii="Arial" w:cs="Arial" w:eastAsia="Arial" w:hAnsi="Arial"/>
                <w:sz w:val="13"/>
                <w:szCs w:val="13"/>
                <w:color w:val="auto"/>
              </w:rPr>
              <w:t>(85,088)</w:t>
            </w:r>
          </w:p>
        </w:tc>
        <w:tc>
          <w:tcPr>
            <w:tcW w:w="16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1420" w:type="dxa"/>
            <w:vAlign w:val="bottom"/>
            <w:shd w:val="clear" w:color="auto" w:fill="CFF0FC"/>
          </w:tcPr>
          <w:p>
            <w:pPr>
              <w:jc w:val="right"/>
              <w:ind w:right="13"/>
              <w:spacing w:after="0"/>
              <w:rPr>
                <w:sz w:val="20"/>
                <w:szCs w:val="20"/>
                <w:color w:val="auto"/>
              </w:rPr>
            </w:pPr>
            <w:r>
              <w:rPr>
                <w:rFonts w:ascii="Arial" w:cs="Arial" w:eastAsia="Arial" w:hAnsi="Arial"/>
                <w:sz w:val="13"/>
                <w:szCs w:val="13"/>
                <w:color w:val="auto"/>
              </w:rPr>
              <w:t>(3,128)</w:t>
            </w:r>
          </w:p>
        </w:tc>
        <w:tc>
          <w:tcPr>
            <w:tcW w:w="0" w:type="dxa"/>
            <w:vAlign w:val="bottom"/>
          </w:tcPr>
          <w:p>
            <w:pPr>
              <w:spacing w:after="0"/>
              <w:rPr>
                <w:sz w:val="1"/>
                <w:szCs w:val="1"/>
                <w:color w:val="auto"/>
              </w:rPr>
            </w:pPr>
          </w:p>
        </w:tc>
      </w:tr>
      <w:tr>
        <w:trPr>
          <w:trHeight w:val="160"/>
        </w:trPr>
        <w:tc>
          <w:tcPr>
            <w:tcW w:w="7480" w:type="dxa"/>
            <w:vAlign w:val="bottom"/>
          </w:tcPr>
          <w:p>
            <w:pPr>
              <w:spacing w:after="0"/>
              <w:rPr>
                <w:sz w:val="20"/>
                <w:szCs w:val="20"/>
                <w:color w:val="auto"/>
              </w:rPr>
            </w:pPr>
            <w:r>
              <w:rPr>
                <w:rFonts w:ascii="Arial" w:cs="Arial" w:eastAsia="Arial" w:hAnsi="Arial"/>
                <w:sz w:val="13"/>
                <w:szCs w:val="13"/>
                <w:b w:val="1"/>
                <w:bCs w:val="1"/>
                <w:color w:val="auto"/>
              </w:rPr>
              <w:t>Financing activities</w:t>
            </w:r>
          </w:p>
        </w:tc>
        <w:tc>
          <w:tcPr>
            <w:tcW w:w="10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480" w:type="dxa"/>
            <w:vAlign w:val="bottom"/>
            <w:shd w:val="clear" w:color="auto" w:fill="CFF0FC"/>
          </w:tcPr>
          <w:p>
            <w:pPr>
              <w:spacing w:after="0"/>
              <w:rPr>
                <w:sz w:val="20"/>
                <w:szCs w:val="20"/>
                <w:color w:val="auto"/>
              </w:rPr>
            </w:pPr>
            <w:r>
              <w:rPr>
                <w:rFonts w:ascii="Arial" w:cs="Arial" w:eastAsia="Arial" w:hAnsi="Arial"/>
                <w:sz w:val="13"/>
                <w:szCs w:val="13"/>
                <w:color w:val="auto"/>
              </w:rPr>
              <w:t>Proceeds from vehicle floorplan</w:t>
            </w:r>
          </w:p>
        </w:tc>
        <w:tc>
          <w:tcPr>
            <w:tcW w:w="1000" w:type="dxa"/>
            <w:vAlign w:val="bottom"/>
            <w:shd w:val="clear" w:color="auto" w:fill="CFF0FC"/>
          </w:tcPr>
          <w:p>
            <w:pPr>
              <w:spacing w:after="0"/>
              <w:rPr>
                <w:sz w:val="13"/>
                <w:szCs w:val="13"/>
                <w:color w:val="auto"/>
              </w:rPr>
            </w:pPr>
          </w:p>
        </w:tc>
        <w:tc>
          <w:tcPr>
            <w:tcW w:w="80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rPr>
              <w:t>1,070,110</w:t>
            </w:r>
          </w:p>
        </w:tc>
        <w:tc>
          <w:tcPr>
            <w:tcW w:w="16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1420" w:type="dxa"/>
            <w:vAlign w:val="bottom"/>
            <w:shd w:val="clear" w:color="auto" w:fill="CFF0FC"/>
          </w:tcPr>
          <w:p>
            <w:pPr>
              <w:jc w:val="right"/>
              <w:ind w:right="73"/>
              <w:spacing w:after="0"/>
              <w:rPr>
                <w:sz w:val="20"/>
                <w:szCs w:val="20"/>
                <w:color w:val="auto"/>
              </w:rPr>
            </w:pPr>
            <w:r>
              <w:rPr>
                <w:rFonts w:ascii="Arial" w:cs="Arial" w:eastAsia="Arial" w:hAnsi="Arial"/>
                <w:sz w:val="13"/>
                <w:szCs w:val="13"/>
                <w:color w:val="auto"/>
              </w:rPr>
              <w:t>465,663</w:t>
            </w:r>
          </w:p>
        </w:tc>
        <w:tc>
          <w:tcPr>
            <w:tcW w:w="0" w:type="dxa"/>
            <w:vAlign w:val="bottom"/>
          </w:tcPr>
          <w:p>
            <w:pPr>
              <w:spacing w:after="0"/>
              <w:rPr>
                <w:sz w:val="1"/>
                <w:szCs w:val="1"/>
                <w:color w:val="auto"/>
              </w:rPr>
            </w:pPr>
          </w:p>
        </w:tc>
      </w:tr>
      <w:tr>
        <w:trPr>
          <w:trHeight w:val="160"/>
        </w:trPr>
        <w:tc>
          <w:tcPr>
            <w:tcW w:w="7480" w:type="dxa"/>
            <w:vAlign w:val="bottom"/>
          </w:tcPr>
          <w:p>
            <w:pPr>
              <w:spacing w:after="0"/>
              <w:rPr>
                <w:sz w:val="20"/>
                <w:szCs w:val="20"/>
                <w:color w:val="auto"/>
              </w:rPr>
            </w:pPr>
            <w:r>
              <w:rPr>
                <w:rFonts w:ascii="Arial" w:cs="Arial" w:eastAsia="Arial" w:hAnsi="Arial"/>
                <w:sz w:val="13"/>
                <w:szCs w:val="13"/>
                <w:color w:val="auto"/>
              </w:rPr>
              <w:t>Repayments of vehicle floorplan</w:t>
            </w:r>
          </w:p>
        </w:tc>
        <w:tc>
          <w:tcPr>
            <w:tcW w:w="1000" w:type="dxa"/>
            <w:vAlign w:val="bottom"/>
          </w:tcPr>
          <w:p>
            <w:pPr>
              <w:spacing w:after="0"/>
              <w:rPr>
                <w:sz w:val="13"/>
                <w:szCs w:val="13"/>
                <w:color w:val="auto"/>
              </w:rPr>
            </w:pPr>
          </w:p>
        </w:tc>
        <w:tc>
          <w:tcPr>
            <w:tcW w:w="800" w:type="dxa"/>
            <w:vAlign w:val="bottom"/>
          </w:tcPr>
          <w:p>
            <w:pPr>
              <w:jc w:val="right"/>
              <w:ind w:right="13"/>
              <w:spacing w:after="0"/>
              <w:rPr>
                <w:sz w:val="20"/>
                <w:szCs w:val="20"/>
                <w:color w:val="auto"/>
              </w:rPr>
            </w:pPr>
            <w:r>
              <w:rPr>
                <w:rFonts w:ascii="Arial" w:cs="Arial" w:eastAsia="Arial" w:hAnsi="Arial"/>
                <w:sz w:val="13"/>
                <w:szCs w:val="13"/>
                <w:color w:val="auto"/>
              </w:rPr>
              <w:t>(1,035,727)</w:t>
            </w: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20" w:type="dxa"/>
            <w:vAlign w:val="bottom"/>
          </w:tcPr>
          <w:p>
            <w:pPr>
              <w:jc w:val="right"/>
              <w:ind w:right="13"/>
              <w:spacing w:after="0"/>
              <w:rPr>
                <w:sz w:val="20"/>
                <w:szCs w:val="20"/>
                <w:color w:val="auto"/>
              </w:rPr>
            </w:pPr>
            <w:r>
              <w:rPr>
                <w:rFonts w:ascii="Arial" w:cs="Arial" w:eastAsia="Arial" w:hAnsi="Arial"/>
                <w:sz w:val="13"/>
                <w:szCs w:val="13"/>
                <w:color w:val="auto"/>
              </w:rPr>
              <w:t>(529,341)</w:t>
            </w:r>
          </w:p>
        </w:tc>
        <w:tc>
          <w:tcPr>
            <w:tcW w:w="0" w:type="dxa"/>
            <w:vAlign w:val="bottom"/>
          </w:tcPr>
          <w:p>
            <w:pPr>
              <w:spacing w:after="0"/>
              <w:rPr>
                <w:sz w:val="1"/>
                <w:szCs w:val="1"/>
                <w:color w:val="auto"/>
              </w:rPr>
            </w:pPr>
          </w:p>
        </w:tc>
      </w:tr>
      <w:tr>
        <w:trPr>
          <w:trHeight w:val="160"/>
        </w:trPr>
        <w:tc>
          <w:tcPr>
            <w:tcW w:w="7480" w:type="dxa"/>
            <w:vAlign w:val="bottom"/>
            <w:shd w:val="clear" w:color="auto" w:fill="CFF0FC"/>
          </w:tcPr>
          <w:p>
            <w:pPr>
              <w:spacing w:after="0"/>
              <w:rPr>
                <w:sz w:val="20"/>
                <w:szCs w:val="20"/>
                <w:color w:val="auto"/>
              </w:rPr>
            </w:pPr>
            <w:r>
              <w:rPr>
                <w:rFonts w:ascii="Arial" w:cs="Arial" w:eastAsia="Arial" w:hAnsi="Arial"/>
                <w:sz w:val="13"/>
                <w:szCs w:val="13"/>
                <w:color w:val="auto"/>
              </w:rPr>
              <w:t>Payment of vehicle floorplan upfront commitment fees</w:t>
            </w:r>
          </w:p>
        </w:tc>
        <w:tc>
          <w:tcPr>
            <w:tcW w:w="1000" w:type="dxa"/>
            <w:vAlign w:val="bottom"/>
            <w:shd w:val="clear" w:color="auto" w:fill="CFF0FC"/>
          </w:tcPr>
          <w:p>
            <w:pPr>
              <w:spacing w:after="0"/>
              <w:rPr>
                <w:sz w:val="13"/>
                <w:szCs w:val="13"/>
                <w:color w:val="auto"/>
              </w:rPr>
            </w:pPr>
          </w:p>
        </w:tc>
        <w:tc>
          <w:tcPr>
            <w:tcW w:w="960" w:type="dxa"/>
            <w:vAlign w:val="bottom"/>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w:t>
            </w:r>
          </w:p>
        </w:tc>
        <w:tc>
          <w:tcPr>
            <w:tcW w:w="380" w:type="dxa"/>
            <w:vAlign w:val="bottom"/>
            <w:shd w:val="clear" w:color="auto" w:fill="CFF0FC"/>
          </w:tcPr>
          <w:p>
            <w:pPr>
              <w:spacing w:after="0"/>
              <w:rPr>
                <w:sz w:val="13"/>
                <w:szCs w:val="13"/>
                <w:color w:val="auto"/>
              </w:rPr>
            </w:pPr>
          </w:p>
        </w:tc>
        <w:tc>
          <w:tcPr>
            <w:tcW w:w="1420" w:type="dxa"/>
            <w:vAlign w:val="bottom"/>
            <w:shd w:val="clear" w:color="auto" w:fill="CFF0FC"/>
          </w:tcPr>
          <w:p>
            <w:pPr>
              <w:jc w:val="right"/>
              <w:ind w:right="13"/>
              <w:spacing w:after="0"/>
              <w:rPr>
                <w:sz w:val="20"/>
                <w:szCs w:val="20"/>
                <w:color w:val="auto"/>
              </w:rPr>
            </w:pPr>
            <w:r>
              <w:rPr>
                <w:rFonts w:ascii="Arial" w:cs="Arial" w:eastAsia="Arial" w:hAnsi="Arial"/>
                <w:sz w:val="13"/>
                <w:szCs w:val="13"/>
                <w:color w:val="auto"/>
              </w:rPr>
              <w:t>(1,125)</w:t>
            </w:r>
          </w:p>
        </w:tc>
        <w:tc>
          <w:tcPr>
            <w:tcW w:w="0" w:type="dxa"/>
            <w:vAlign w:val="bottom"/>
          </w:tcPr>
          <w:p>
            <w:pPr>
              <w:spacing w:after="0"/>
              <w:rPr>
                <w:sz w:val="1"/>
                <w:szCs w:val="1"/>
                <w:color w:val="auto"/>
              </w:rPr>
            </w:pPr>
          </w:p>
        </w:tc>
      </w:tr>
      <w:tr>
        <w:trPr>
          <w:trHeight w:val="160"/>
        </w:trPr>
        <w:tc>
          <w:tcPr>
            <w:tcW w:w="7480" w:type="dxa"/>
            <w:vAlign w:val="bottom"/>
          </w:tcPr>
          <w:p>
            <w:pPr>
              <w:spacing w:after="0"/>
              <w:rPr>
                <w:sz w:val="20"/>
                <w:szCs w:val="20"/>
                <w:color w:val="auto"/>
              </w:rPr>
            </w:pPr>
            <w:r>
              <w:rPr>
                <w:rFonts w:ascii="Arial" w:cs="Arial" w:eastAsia="Arial" w:hAnsi="Arial"/>
                <w:sz w:val="13"/>
                <w:szCs w:val="13"/>
                <w:color w:val="auto"/>
              </w:rPr>
              <w:t>Proceeds from issuance of convertible senior notes</w:t>
            </w:r>
          </w:p>
        </w:tc>
        <w:tc>
          <w:tcPr>
            <w:tcW w:w="1000" w:type="dxa"/>
            <w:vAlign w:val="bottom"/>
          </w:tcPr>
          <w:p>
            <w:pPr>
              <w:spacing w:after="0"/>
              <w:rPr>
                <w:sz w:val="13"/>
                <w:szCs w:val="13"/>
                <w:color w:val="auto"/>
              </w:rPr>
            </w:pPr>
          </w:p>
        </w:tc>
        <w:tc>
          <w:tcPr>
            <w:tcW w:w="800" w:type="dxa"/>
            <w:vAlign w:val="bottom"/>
          </w:tcPr>
          <w:p>
            <w:pPr>
              <w:jc w:val="right"/>
              <w:ind w:right="53"/>
              <w:spacing w:after="0"/>
              <w:rPr>
                <w:sz w:val="20"/>
                <w:szCs w:val="20"/>
                <w:color w:val="auto"/>
              </w:rPr>
            </w:pPr>
            <w:r>
              <w:rPr>
                <w:rFonts w:ascii="Arial" w:cs="Arial" w:eastAsia="Arial" w:hAnsi="Arial"/>
                <w:sz w:val="13"/>
                <w:szCs w:val="13"/>
                <w:color w:val="auto"/>
              </w:rPr>
              <w:t>625,000</w:t>
            </w: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2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0"/>
        </w:trPr>
        <w:tc>
          <w:tcPr>
            <w:tcW w:w="7480" w:type="dxa"/>
            <w:vAlign w:val="bottom"/>
            <w:shd w:val="clear" w:color="auto" w:fill="CFF0FC"/>
          </w:tcPr>
          <w:p>
            <w:pPr>
              <w:spacing w:after="0"/>
              <w:rPr>
                <w:sz w:val="20"/>
                <w:szCs w:val="20"/>
                <w:color w:val="auto"/>
              </w:rPr>
            </w:pPr>
            <w:r>
              <w:rPr>
                <w:rFonts w:ascii="Arial" w:cs="Arial" w:eastAsia="Arial" w:hAnsi="Arial"/>
                <w:sz w:val="13"/>
                <w:szCs w:val="13"/>
                <w:color w:val="auto"/>
              </w:rPr>
              <w:t>Issuance costs paid for convertible senior notes</w:t>
            </w:r>
          </w:p>
        </w:tc>
        <w:tc>
          <w:tcPr>
            <w:tcW w:w="1000" w:type="dxa"/>
            <w:vAlign w:val="bottom"/>
            <w:shd w:val="clear" w:color="auto" w:fill="CFF0FC"/>
          </w:tcPr>
          <w:p>
            <w:pPr>
              <w:spacing w:after="0"/>
              <w:rPr>
                <w:sz w:val="13"/>
                <w:szCs w:val="13"/>
                <w:color w:val="auto"/>
              </w:rPr>
            </w:pPr>
          </w:p>
        </w:tc>
        <w:tc>
          <w:tcPr>
            <w:tcW w:w="800" w:type="dxa"/>
            <w:vAlign w:val="bottom"/>
            <w:shd w:val="clear" w:color="auto" w:fill="CFF0FC"/>
          </w:tcPr>
          <w:p>
            <w:pPr>
              <w:jc w:val="right"/>
              <w:ind w:right="13"/>
              <w:spacing w:after="0"/>
              <w:rPr>
                <w:sz w:val="20"/>
                <w:szCs w:val="20"/>
                <w:color w:val="auto"/>
              </w:rPr>
            </w:pPr>
            <w:r>
              <w:rPr>
                <w:rFonts w:ascii="Arial" w:cs="Arial" w:eastAsia="Arial" w:hAnsi="Arial"/>
                <w:sz w:val="13"/>
                <w:szCs w:val="13"/>
                <w:color w:val="auto"/>
              </w:rPr>
              <w:t>(16,175)</w:t>
            </w:r>
          </w:p>
        </w:tc>
        <w:tc>
          <w:tcPr>
            <w:tcW w:w="16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1420" w:type="dxa"/>
            <w:vAlign w:val="bottom"/>
            <w:shd w:val="clear" w:color="auto" w:fill="CFF0FC"/>
          </w:tcPr>
          <w:p>
            <w:pPr>
              <w:jc w:val="right"/>
              <w:ind w:right="7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0"/>
        </w:trPr>
        <w:tc>
          <w:tcPr>
            <w:tcW w:w="7480" w:type="dxa"/>
            <w:vAlign w:val="bottom"/>
          </w:tcPr>
          <w:p>
            <w:pPr>
              <w:spacing w:after="0"/>
              <w:rPr>
                <w:sz w:val="20"/>
                <w:szCs w:val="20"/>
                <w:color w:val="auto"/>
              </w:rPr>
            </w:pPr>
            <w:r>
              <w:rPr>
                <w:rFonts w:ascii="Arial" w:cs="Arial" w:eastAsia="Arial" w:hAnsi="Arial"/>
                <w:sz w:val="13"/>
                <w:szCs w:val="13"/>
                <w:color w:val="auto"/>
              </w:rPr>
              <w:t>Proceeds from the issuance of redeemable convertible preferred stock, net</w:t>
            </w:r>
          </w:p>
        </w:tc>
        <w:tc>
          <w:tcPr>
            <w:tcW w:w="1000" w:type="dxa"/>
            <w:vAlign w:val="bottom"/>
          </w:tcPr>
          <w:p>
            <w:pPr>
              <w:spacing w:after="0"/>
              <w:rPr>
                <w:sz w:val="13"/>
                <w:szCs w:val="13"/>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13"/>
                <w:szCs w:val="13"/>
                <w:color w:val="auto"/>
              </w:rPr>
            </w:pPr>
          </w:p>
        </w:tc>
        <w:tc>
          <w:tcPr>
            <w:tcW w:w="1420" w:type="dxa"/>
            <w:vAlign w:val="bottom"/>
          </w:tcPr>
          <w:p>
            <w:pPr>
              <w:jc w:val="right"/>
              <w:ind w:right="73"/>
              <w:spacing w:after="0"/>
              <w:rPr>
                <w:sz w:val="20"/>
                <w:szCs w:val="20"/>
                <w:color w:val="auto"/>
              </w:rPr>
            </w:pPr>
            <w:r>
              <w:rPr>
                <w:rFonts w:ascii="Arial" w:cs="Arial" w:eastAsia="Arial" w:hAnsi="Arial"/>
                <w:sz w:val="13"/>
                <w:szCs w:val="13"/>
                <w:color w:val="auto"/>
              </w:rPr>
              <w:t>21,694</w:t>
            </w:r>
          </w:p>
        </w:tc>
        <w:tc>
          <w:tcPr>
            <w:tcW w:w="0" w:type="dxa"/>
            <w:vAlign w:val="bottom"/>
          </w:tcPr>
          <w:p>
            <w:pPr>
              <w:spacing w:after="0"/>
              <w:rPr>
                <w:sz w:val="1"/>
                <w:szCs w:val="1"/>
                <w:color w:val="auto"/>
              </w:rPr>
            </w:pPr>
          </w:p>
        </w:tc>
      </w:tr>
      <w:tr>
        <w:trPr>
          <w:trHeight w:val="160"/>
        </w:trPr>
        <w:tc>
          <w:tcPr>
            <w:tcW w:w="7480" w:type="dxa"/>
            <w:vAlign w:val="bottom"/>
            <w:shd w:val="clear" w:color="auto" w:fill="CFF0FC"/>
          </w:tcPr>
          <w:p>
            <w:pPr>
              <w:spacing w:after="0"/>
              <w:rPr>
                <w:sz w:val="20"/>
                <w:szCs w:val="20"/>
                <w:color w:val="auto"/>
              </w:rPr>
            </w:pPr>
            <w:r>
              <w:rPr>
                <w:rFonts w:ascii="Arial" w:cs="Arial" w:eastAsia="Arial" w:hAnsi="Arial"/>
                <w:sz w:val="13"/>
                <w:szCs w:val="13"/>
                <w:color w:val="auto"/>
              </w:rPr>
              <w:t>Repurchase of common stock</w:t>
            </w:r>
          </w:p>
        </w:tc>
        <w:tc>
          <w:tcPr>
            <w:tcW w:w="1000" w:type="dxa"/>
            <w:vAlign w:val="bottom"/>
            <w:shd w:val="clear" w:color="auto" w:fill="CFF0FC"/>
          </w:tcPr>
          <w:p>
            <w:pPr>
              <w:spacing w:after="0"/>
              <w:rPr>
                <w:sz w:val="13"/>
                <w:szCs w:val="13"/>
                <w:color w:val="auto"/>
              </w:rPr>
            </w:pPr>
          </w:p>
        </w:tc>
        <w:tc>
          <w:tcPr>
            <w:tcW w:w="960" w:type="dxa"/>
            <w:vAlign w:val="bottom"/>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w:t>
            </w:r>
          </w:p>
        </w:tc>
        <w:tc>
          <w:tcPr>
            <w:tcW w:w="380" w:type="dxa"/>
            <w:vAlign w:val="bottom"/>
            <w:shd w:val="clear" w:color="auto" w:fill="CFF0FC"/>
          </w:tcPr>
          <w:p>
            <w:pPr>
              <w:spacing w:after="0"/>
              <w:rPr>
                <w:sz w:val="13"/>
                <w:szCs w:val="13"/>
                <w:color w:val="auto"/>
              </w:rPr>
            </w:pPr>
          </w:p>
        </w:tc>
        <w:tc>
          <w:tcPr>
            <w:tcW w:w="1420" w:type="dxa"/>
            <w:vAlign w:val="bottom"/>
            <w:shd w:val="clear" w:color="auto" w:fill="CFF0FC"/>
          </w:tcPr>
          <w:p>
            <w:pPr>
              <w:jc w:val="right"/>
              <w:ind w:right="13"/>
              <w:spacing w:after="0"/>
              <w:rPr>
                <w:sz w:val="20"/>
                <w:szCs w:val="20"/>
                <w:color w:val="auto"/>
              </w:rPr>
            </w:pPr>
            <w:r>
              <w:rPr>
                <w:rFonts w:ascii="Arial" w:cs="Arial" w:eastAsia="Arial" w:hAnsi="Arial"/>
                <w:sz w:val="13"/>
                <w:szCs w:val="13"/>
                <w:color w:val="auto"/>
              </w:rPr>
              <w:t>(1,818)</w:t>
            </w:r>
          </w:p>
        </w:tc>
        <w:tc>
          <w:tcPr>
            <w:tcW w:w="0" w:type="dxa"/>
            <w:vAlign w:val="bottom"/>
          </w:tcPr>
          <w:p>
            <w:pPr>
              <w:spacing w:after="0"/>
              <w:rPr>
                <w:sz w:val="1"/>
                <w:szCs w:val="1"/>
                <w:color w:val="auto"/>
              </w:rPr>
            </w:pPr>
          </w:p>
        </w:tc>
      </w:tr>
      <w:tr>
        <w:trPr>
          <w:trHeight w:val="160"/>
        </w:trPr>
        <w:tc>
          <w:tcPr>
            <w:tcW w:w="7480" w:type="dxa"/>
            <w:vAlign w:val="bottom"/>
          </w:tcPr>
          <w:p>
            <w:pPr>
              <w:spacing w:after="0"/>
              <w:rPr>
                <w:sz w:val="20"/>
                <w:szCs w:val="20"/>
                <w:color w:val="auto"/>
              </w:rPr>
            </w:pPr>
            <w:r>
              <w:rPr>
                <w:rFonts w:ascii="Arial" w:cs="Arial" w:eastAsia="Arial" w:hAnsi="Arial"/>
                <w:sz w:val="13"/>
                <w:szCs w:val="13"/>
                <w:color w:val="auto"/>
              </w:rPr>
              <w:t>Common stock shares withheld to satisfy employee tax withholding obligations</w:t>
            </w:r>
          </w:p>
        </w:tc>
        <w:tc>
          <w:tcPr>
            <w:tcW w:w="1000" w:type="dxa"/>
            <w:vAlign w:val="bottom"/>
          </w:tcPr>
          <w:p>
            <w:pPr>
              <w:spacing w:after="0"/>
              <w:rPr>
                <w:sz w:val="13"/>
                <w:szCs w:val="13"/>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13"/>
                <w:szCs w:val="13"/>
                <w:color w:val="auto"/>
              </w:rPr>
            </w:pPr>
          </w:p>
        </w:tc>
        <w:tc>
          <w:tcPr>
            <w:tcW w:w="1420" w:type="dxa"/>
            <w:vAlign w:val="bottom"/>
          </w:tcPr>
          <w:p>
            <w:pPr>
              <w:jc w:val="right"/>
              <w:ind w:right="13"/>
              <w:spacing w:after="0"/>
              <w:rPr>
                <w:sz w:val="20"/>
                <w:szCs w:val="20"/>
                <w:color w:val="auto"/>
              </w:rPr>
            </w:pPr>
            <w:r>
              <w:rPr>
                <w:rFonts w:ascii="Arial" w:cs="Arial" w:eastAsia="Arial" w:hAnsi="Arial"/>
                <w:sz w:val="13"/>
                <w:szCs w:val="13"/>
                <w:color w:val="auto"/>
              </w:rPr>
              <w:t>(878)</w:t>
            </w:r>
          </w:p>
        </w:tc>
        <w:tc>
          <w:tcPr>
            <w:tcW w:w="0" w:type="dxa"/>
            <w:vAlign w:val="bottom"/>
          </w:tcPr>
          <w:p>
            <w:pPr>
              <w:spacing w:after="0"/>
              <w:rPr>
                <w:sz w:val="1"/>
                <w:szCs w:val="1"/>
                <w:color w:val="auto"/>
              </w:rPr>
            </w:pPr>
          </w:p>
        </w:tc>
      </w:tr>
      <w:tr>
        <w:trPr>
          <w:trHeight w:val="160"/>
        </w:trPr>
        <w:tc>
          <w:tcPr>
            <w:tcW w:w="7480" w:type="dxa"/>
            <w:vAlign w:val="bottom"/>
            <w:shd w:val="clear" w:color="auto" w:fill="CFF0FC"/>
          </w:tcPr>
          <w:p>
            <w:pPr>
              <w:spacing w:after="0"/>
              <w:rPr>
                <w:sz w:val="20"/>
                <w:szCs w:val="20"/>
                <w:color w:val="auto"/>
              </w:rPr>
            </w:pPr>
            <w:r>
              <w:rPr>
                <w:rFonts w:ascii="Arial" w:cs="Arial" w:eastAsia="Arial" w:hAnsi="Arial"/>
                <w:sz w:val="13"/>
                <w:szCs w:val="13"/>
                <w:color w:val="auto"/>
              </w:rPr>
              <w:t>Proceeds from the issuance of common stock in connection with IPO, net of underwriting discount</w:t>
            </w:r>
          </w:p>
        </w:tc>
        <w:tc>
          <w:tcPr>
            <w:tcW w:w="1000" w:type="dxa"/>
            <w:vAlign w:val="bottom"/>
            <w:shd w:val="clear" w:color="auto" w:fill="CFF0FC"/>
          </w:tcPr>
          <w:p>
            <w:pPr>
              <w:spacing w:after="0"/>
              <w:rPr>
                <w:sz w:val="13"/>
                <w:szCs w:val="13"/>
                <w:color w:val="auto"/>
              </w:rPr>
            </w:pPr>
          </w:p>
        </w:tc>
        <w:tc>
          <w:tcPr>
            <w:tcW w:w="960" w:type="dxa"/>
            <w:vAlign w:val="bottom"/>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w:t>
            </w:r>
          </w:p>
        </w:tc>
        <w:tc>
          <w:tcPr>
            <w:tcW w:w="380" w:type="dxa"/>
            <w:vAlign w:val="bottom"/>
            <w:shd w:val="clear" w:color="auto" w:fill="CFF0FC"/>
          </w:tcPr>
          <w:p>
            <w:pPr>
              <w:spacing w:after="0"/>
              <w:rPr>
                <w:sz w:val="13"/>
                <w:szCs w:val="13"/>
                <w:color w:val="auto"/>
              </w:rPr>
            </w:pPr>
          </w:p>
        </w:tc>
        <w:tc>
          <w:tcPr>
            <w:tcW w:w="1420" w:type="dxa"/>
            <w:vAlign w:val="bottom"/>
            <w:shd w:val="clear" w:color="auto" w:fill="CFF0FC"/>
          </w:tcPr>
          <w:p>
            <w:pPr>
              <w:jc w:val="right"/>
              <w:ind w:right="73"/>
              <w:spacing w:after="0"/>
              <w:rPr>
                <w:sz w:val="20"/>
                <w:szCs w:val="20"/>
                <w:color w:val="auto"/>
              </w:rPr>
            </w:pPr>
            <w:r>
              <w:rPr>
                <w:rFonts w:ascii="Arial" w:cs="Arial" w:eastAsia="Arial" w:hAnsi="Arial"/>
                <w:sz w:val="13"/>
                <w:szCs w:val="13"/>
                <w:color w:val="auto"/>
              </w:rPr>
              <w:t>504,023</w:t>
            </w:r>
          </w:p>
        </w:tc>
        <w:tc>
          <w:tcPr>
            <w:tcW w:w="0" w:type="dxa"/>
            <w:vAlign w:val="bottom"/>
          </w:tcPr>
          <w:p>
            <w:pPr>
              <w:spacing w:after="0"/>
              <w:rPr>
                <w:sz w:val="1"/>
                <w:szCs w:val="1"/>
                <w:color w:val="auto"/>
              </w:rPr>
            </w:pPr>
          </w:p>
        </w:tc>
      </w:tr>
      <w:tr>
        <w:trPr>
          <w:trHeight w:val="160"/>
        </w:trPr>
        <w:tc>
          <w:tcPr>
            <w:tcW w:w="7480" w:type="dxa"/>
            <w:vAlign w:val="bottom"/>
          </w:tcPr>
          <w:p>
            <w:pPr>
              <w:spacing w:after="0"/>
              <w:rPr>
                <w:sz w:val="20"/>
                <w:szCs w:val="20"/>
                <w:color w:val="auto"/>
              </w:rPr>
            </w:pPr>
            <w:r>
              <w:rPr>
                <w:rFonts w:ascii="Arial" w:cs="Arial" w:eastAsia="Arial" w:hAnsi="Arial"/>
                <w:sz w:val="13"/>
                <w:szCs w:val="13"/>
                <w:color w:val="auto"/>
              </w:rPr>
              <w:t>Payments of costs related to IPO</w:t>
            </w:r>
          </w:p>
        </w:tc>
        <w:tc>
          <w:tcPr>
            <w:tcW w:w="1000" w:type="dxa"/>
            <w:vAlign w:val="bottom"/>
          </w:tcPr>
          <w:p>
            <w:pPr>
              <w:spacing w:after="0"/>
              <w:rPr>
                <w:sz w:val="13"/>
                <w:szCs w:val="13"/>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13"/>
                <w:szCs w:val="13"/>
                <w:color w:val="auto"/>
              </w:rPr>
            </w:pPr>
          </w:p>
        </w:tc>
        <w:tc>
          <w:tcPr>
            <w:tcW w:w="1420" w:type="dxa"/>
            <w:vAlign w:val="bottom"/>
          </w:tcPr>
          <w:p>
            <w:pPr>
              <w:jc w:val="right"/>
              <w:ind w:right="13"/>
              <w:spacing w:after="0"/>
              <w:rPr>
                <w:sz w:val="20"/>
                <w:szCs w:val="20"/>
                <w:color w:val="auto"/>
              </w:rPr>
            </w:pPr>
            <w:r>
              <w:rPr>
                <w:rFonts w:ascii="Arial" w:cs="Arial" w:eastAsia="Arial" w:hAnsi="Arial"/>
                <w:sz w:val="13"/>
                <w:szCs w:val="13"/>
                <w:color w:val="auto"/>
              </w:rPr>
              <w:t>(1,740)</w:t>
            </w:r>
          </w:p>
        </w:tc>
        <w:tc>
          <w:tcPr>
            <w:tcW w:w="0" w:type="dxa"/>
            <w:vAlign w:val="bottom"/>
          </w:tcPr>
          <w:p>
            <w:pPr>
              <w:spacing w:after="0"/>
              <w:rPr>
                <w:sz w:val="1"/>
                <w:szCs w:val="1"/>
                <w:color w:val="auto"/>
              </w:rPr>
            </w:pPr>
          </w:p>
        </w:tc>
      </w:tr>
      <w:tr>
        <w:trPr>
          <w:trHeight w:val="160"/>
        </w:trPr>
        <w:tc>
          <w:tcPr>
            <w:tcW w:w="7480" w:type="dxa"/>
            <w:vAlign w:val="bottom"/>
            <w:shd w:val="clear" w:color="auto" w:fill="CFF0FC"/>
          </w:tcPr>
          <w:p>
            <w:pPr>
              <w:spacing w:after="0"/>
              <w:rPr>
                <w:sz w:val="20"/>
                <w:szCs w:val="20"/>
                <w:color w:val="auto"/>
              </w:rPr>
            </w:pPr>
            <w:r>
              <w:rPr>
                <w:rFonts w:ascii="Arial" w:cs="Arial" w:eastAsia="Arial" w:hAnsi="Arial"/>
                <w:sz w:val="13"/>
                <w:szCs w:val="13"/>
                <w:color w:val="auto"/>
              </w:rPr>
              <w:t>Proceeds from exercise of stock options</w:t>
            </w:r>
          </w:p>
        </w:tc>
        <w:tc>
          <w:tcPr>
            <w:tcW w:w="1000" w:type="dxa"/>
            <w:vAlign w:val="bottom"/>
            <w:shd w:val="clear" w:color="auto" w:fill="CFF0FC"/>
          </w:tcPr>
          <w:p>
            <w:pPr>
              <w:spacing w:after="0"/>
              <w:rPr>
                <w:sz w:val="13"/>
                <w:szCs w:val="13"/>
                <w:color w:val="auto"/>
              </w:rPr>
            </w:pPr>
          </w:p>
        </w:tc>
        <w:tc>
          <w:tcPr>
            <w:tcW w:w="80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rPr>
              <w:t>4,381</w:t>
            </w:r>
          </w:p>
        </w:tc>
        <w:tc>
          <w:tcPr>
            <w:tcW w:w="16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1420" w:type="dxa"/>
            <w:vAlign w:val="bottom"/>
            <w:shd w:val="clear" w:color="auto" w:fill="CFF0FC"/>
          </w:tcPr>
          <w:p>
            <w:pPr>
              <w:jc w:val="right"/>
              <w:ind w:right="73"/>
              <w:spacing w:after="0"/>
              <w:rPr>
                <w:sz w:val="20"/>
                <w:szCs w:val="20"/>
                <w:color w:val="auto"/>
              </w:rPr>
            </w:pPr>
            <w:r>
              <w:rPr>
                <w:rFonts w:ascii="Arial" w:cs="Arial" w:eastAsia="Arial" w:hAnsi="Arial"/>
                <w:sz w:val="13"/>
                <w:szCs w:val="13"/>
                <w:color w:val="auto"/>
              </w:rPr>
              <w:t>13</w:t>
            </w:r>
          </w:p>
        </w:tc>
        <w:tc>
          <w:tcPr>
            <w:tcW w:w="0" w:type="dxa"/>
            <w:vAlign w:val="bottom"/>
          </w:tcPr>
          <w:p>
            <w:pPr>
              <w:spacing w:after="0"/>
              <w:rPr>
                <w:sz w:val="1"/>
                <w:szCs w:val="1"/>
                <w:color w:val="auto"/>
              </w:rPr>
            </w:pPr>
          </w:p>
        </w:tc>
      </w:tr>
      <w:tr>
        <w:trPr>
          <w:trHeight w:val="160"/>
        </w:trPr>
        <w:tc>
          <w:tcPr>
            <w:tcW w:w="7480" w:type="dxa"/>
            <w:vAlign w:val="bottom"/>
          </w:tcPr>
          <w:p>
            <w:pPr>
              <w:spacing w:after="0"/>
              <w:rPr>
                <w:sz w:val="20"/>
                <w:szCs w:val="20"/>
                <w:color w:val="auto"/>
              </w:rPr>
            </w:pPr>
            <w:r>
              <w:rPr>
                <w:rFonts w:ascii="Arial" w:cs="Arial" w:eastAsia="Arial" w:hAnsi="Arial"/>
                <w:sz w:val="13"/>
                <w:szCs w:val="13"/>
                <w:color w:val="auto"/>
              </w:rPr>
              <w:t>Other financing activities</w:t>
            </w:r>
          </w:p>
        </w:tc>
        <w:tc>
          <w:tcPr>
            <w:tcW w:w="1000" w:type="dxa"/>
            <w:vAlign w:val="bottom"/>
          </w:tcPr>
          <w:p>
            <w:pPr>
              <w:spacing w:after="0"/>
              <w:rPr>
                <w:sz w:val="13"/>
                <w:szCs w:val="13"/>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13"/>
                <w:szCs w:val="13"/>
                <w:color w:val="auto"/>
              </w:rPr>
            </w:pPr>
          </w:p>
        </w:tc>
        <w:tc>
          <w:tcPr>
            <w:tcW w:w="1420" w:type="dxa"/>
            <w:vAlign w:val="bottom"/>
          </w:tcPr>
          <w:p>
            <w:pPr>
              <w:jc w:val="right"/>
              <w:ind w:right="13"/>
              <w:spacing w:after="0"/>
              <w:rPr>
                <w:sz w:val="20"/>
                <w:szCs w:val="20"/>
                <w:color w:val="auto"/>
              </w:rPr>
            </w:pPr>
            <w:r>
              <w:rPr>
                <w:rFonts w:ascii="Arial" w:cs="Arial" w:eastAsia="Arial" w:hAnsi="Arial"/>
                <w:sz w:val="13"/>
                <w:szCs w:val="13"/>
                <w:color w:val="auto"/>
              </w:rPr>
              <w:t>(66)</w:t>
            </w:r>
          </w:p>
        </w:tc>
        <w:tc>
          <w:tcPr>
            <w:tcW w:w="0" w:type="dxa"/>
            <w:vAlign w:val="bottom"/>
          </w:tcPr>
          <w:p>
            <w:pPr>
              <w:spacing w:after="0"/>
              <w:rPr>
                <w:sz w:val="1"/>
                <w:szCs w:val="1"/>
                <w:color w:val="auto"/>
              </w:rPr>
            </w:pPr>
          </w:p>
        </w:tc>
      </w:tr>
      <w:tr>
        <w:trPr>
          <w:trHeight w:val="153"/>
        </w:trPr>
        <w:tc>
          <w:tcPr>
            <w:tcW w:w="748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3"/>
                <w:szCs w:val="13"/>
                <w:color w:val="auto"/>
              </w:rPr>
              <w:t>Net cash provided by financing activities</w:t>
            </w:r>
          </w:p>
        </w:tc>
        <w:tc>
          <w:tcPr>
            <w:tcW w:w="1000" w:type="dxa"/>
            <w:vAlign w:val="bottom"/>
            <w:tcBorders>
              <w:top w:val="single" w:sz="8" w:color="auto"/>
              <w:bottom w:val="single" w:sz="8" w:color="auto"/>
            </w:tcBorders>
            <w:shd w:val="clear" w:color="auto" w:fill="CFF0FC"/>
          </w:tcPr>
          <w:p>
            <w:pPr>
              <w:spacing w:after="0"/>
              <w:rPr>
                <w:sz w:val="13"/>
                <w:szCs w:val="13"/>
                <w:color w:val="auto"/>
              </w:rPr>
            </w:pPr>
          </w:p>
        </w:tc>
        <w:tc>
          <w:tcPr>
            <w:tcW w:w="800" w:type="dxa"/>
            <w:vAlign w:val="bottom"/>
            <w:tcBorders>
              <w:top w:val="single" w:sz="8" w:color="auto"/>
              <w:bottom w:val="single" w:sz="8" w:color="auto"/>
            </w:tcBorders>
            <w:shd w:val="clear" w:color="auto" w:fill="CFF0FC"/>
          </w:tcPr>
          <w:p>
            <w:pPr>
              <w:jc w:val="right"/>
              <w:ind w:right="53"/>
              <w:spacing w:after="0"/>
              <w:rPr>
                <w:sz w:val="20"/>
                <w:szCs w:val="20"/>
                <w:color w:val="auto"/>
              </w:rPr>
            </w:pPr>
            <w:r>
              <w:rPr>
                <w:rFonts w:ascii="Arial" w:cs="Arial" w:eastAsia="Arial" w:hAnsi="Arial"/>
                <w:sz w:val="13"/>
                <w:szCs w:val="13"/>
                <w:color w:val="auto"/>
              </w:rPr>
              <w:t>647,589</w:t>
            </w:r>
          </w:p>
        </w:tc>
        <w:tc>
          <w:tcPr>
            <w:tcW w:w="160" w:type="dxa"/>
            <w:vAlign w:val="bottom"/>
            <w:tcBorders>
              <w:top w:val="single" w:sz="8" w:color="CFF0FC"/>
            </w:tcBorders>
            <w:shd w:val="clear" w:color="auto" w:fill="CFF0FC"/>
          </w:tcPr>
          <w:p>
            <w:pPr>
              <w:spacing w:after="0"/>
              <w:rPr>
                <w:sz w:val="13"/>
                <w:szCs w:val="13"/>
                <w:color w:val="auto"/>
              </w:rPr>
            </w:pPr>
          </w:p>
        </w:tc>
        <w:tc>
          <w:tcPr>
            <w:tcW w:w="380" w:type="dxa"/>
            <w:vAlign w:val="bottom"/>
            <w:tcBorders>
              <w:top w:val="single" w:sz="8" w:color="auto"/>
              <w:bottom w:val="single" w:sz="8" w:color="auto"/>
            </w:tcBorders>
            <w:shd w:val="clear" w:color="auto" w:fill="CFF0FC"/>
          </w:tcPr>
          <w:p>
            <w:pPr>
              <w:spacing w:after="0"/>
              <w:rPr>
                <w:sz w:val="13"/>
                <w:szCs w:val="13"/>
                <w:color w:val="auto"/>
              </w:rPr>
            </w:pPr>
          </w:p>
        </w:tc>
        <w:tc>
          <w:tcPr>
            <w:tcW w:w="1420" w:type="dxa"/>
            <w:vAlign w:val="bottom"/>
            <w:tcBorders>
              <w:top w:val="single" w:sz="8" w:color="auto"/>
              <w:bottom w:val="single" w:sz="8" w:color="auto"/>
            </w:tcBorders>
            <w:shd w:val="clear" w:color="auto" w:fill="CFF0FC"/>
          </w:tcPr>
          <w:p>
            <w:pPr>
              <w:jc w:val="right"/>
              <w:ind w:right="73"/>
              <w:spacing w:after="0"/>
              <w:rPr>
                <w:sz w:val="20"/>
                <w:szCs w:val="20"/>
                <w:color w:val="auto"/>
              </w:rPr>
            </w:pPr>
            <w:r>
              <w:rPr>
                <w:rFonts w:ascii="Arial" w:cs="Arial" w:eastAsia="Arial" w:hAnsi="Arial"/>
                <w:sz w:val="13"/>
                <w:szCs w:val="13"/>
                <w:color w:val="auto"/>
              </w:rPr>
              <w:t>456,425</w:t>
            </w:r>
          </w:p>
        </w:tc>
        <w:tc>
          <w:tcPr>
            <w:tcW w:w="0" w:type="dxa"/>
            <w:vAlign w:val="bottom"/>
          </w:tcPr>
          <w:p>
            <w:pPr>
              <w:spacing w:after="0"/>
              <w:rPr>
                <w:sz w:val="1"/>
                <w:szCs w:val="1"/>
                <w:color w:val="auto"/>
              </w:rPr>
            </w:pPr>
          </w:p>
        </w:tc>
      </w:tr>
      <w:tr>
        <w:trPr>
          <w:trHeight w:val="153"/>
        </w:trPr>
        <w:tc>
          <w:tcPr>
            <w:tcW w:w="7480" w:type="dxa"/>
            <w:vAlign w:val="bottom"/>
          </w:tcPr>
          <w:p>
            <w:pPr>
              <w:spacing w:after="0"/>
              <w:rPr>
                <w:sz w:val="20"/>
                <w:szCs w:val="20"/>
                <w:color w:val="auto"/>
              </w:rPr>
            </w:pPr>
            <w:r>
              <w:rPr>
                <w:rFonts w:ascii="Arial" w:cs="Arial" w:eastAsia="Arial" w:hAnsi="Arial"/>
                <w:sz w:val="13"/>
                <w:szCs w:val="13"/>
                <w:b w:val="1"/>
                <w:bCs w:val="1"/>
                <w:color w:val="auto"/>
              </w:rPr>
              <w:t>Net increase in cash, cash equivalents and restricted cash</w:t>
            </w:r>
          </w:p>
        </w:tc>
        <w:tc>
          <w:tcPr>
            <w:tcW w:w="1000" w:type="dxa"/>
            <w:vAlign w:val="bottom"/>
          </w:tcPr>
          <w:p>
            <w:pPr>
              <w:spacing w:after="0"/>
              <w:rPr>
                <w:sz w:val="13"/>
                <w:szCs w:val="13"/>
                <w:color w:val="auto"/>
              </w:rPr>
            </w:pPr>
          </w:p>
        </w:tc>
        <w:tc>
          <w:tcPr>
            <w:tcW w:w="800" w:type="dxa"/>
            <w:vAlign w:val="bottom"/>
          </w:tcPr>
          <w:p>
            <w:pPr>
              <w:jc w:val="right"/>
              <w:ind w:right="53"/>
              <w:spacing w:after="0"/>
              <w:rPr>
                <w:sz w:val="20"/>
                <w:szCs w:val="20"/>
                <w:color w:val="auto"/>
              </w:rPr>
            </w:pPr>
            <w:r>
              <w:rPr>
                <w:rFonts w:ascii="Arial" w:cs="Arial" w:eastAsia="Arial" w:hAnsi="Arial"/>
                <w:sz w:val="13"/>
                <w:szCs w:val="13"/>
                <w:color w:val="auto"/>
              </w:rPr>
              <w:t>410,650</w:t>
            </w: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20" w:type="dxa"/>
            <w:vAlign w:val="bottom"/>
          </w:tcPr>
          <w:p>
            <w:pPr>
              <w:jc w:val="right"/>
              <w:ind w:right="73"/>
              <w:spacing w:after="0"/>
              <w:rPr>
                <w:sz w:val="20"/>
                <w:szCs w:val="20"/>
                <w:color w:val="auto"/>
              </w:rPr>
            </w:pPr>
            <w:r>
              <w:rPr>
                <w:rFonts w:ascii="Arial" w:cs="Arial" w:eastAsia="Arial" w:hAnsi="Arial"/>
                <w:sz w:val="13"/>
                <w:szCs w:val="13"/>
                <w:color w:val="auto"/>
              </w:rPr>
              <w:t>453,301</w:t>
            </w:r>
          </w:p>
        </w:tc>
        <w:tc>
          <w:tcPr>
            <w:tcW w:w="0" w:type="dxa"/>
            <w:vAlign w:val="bottom"/>
          </w:tcPr>
          <w:p>
            <w:pPr>
              <w:spacing w:after="0"/>
              <w:rPr>
                <w:sz w:val="1"/>
                <w:szCs w:val="1"/>
                <w:color w:val="auto"/>
              </w:rPr>
            </w:pPr>
          </w:p>
        </w:tc>
      </w:tr>
      <w:tr>
        <w:trPr>
          <w:trHeight w:val="160"/>
        </w:trPr>
        <w:tc>
          <w:tcPr>
            <w:tcW w:w="7480" w:type="dxa"/>
            <w:vAlign w:val="bottom"/>
            <w:shd w:val="clear" w:color="auto" w:fill="CFF0FC"/>
          </w:tcPr>
          <w:p>
            <w:pPr>
              <w:spacing w:after="0"/>
              <w:rPr>
                <w:sz w:val="20"/>
                <w:szCs w:val="20"/>
                <w:color w:val="auto"/>
              </w:rPr>
            </w:pPr>
            <w:r>
              <w:rPr>
                <w:rFonts w:ascii="Arial" w:cs="Arial" w:eastAsia="Arial" w:hAnsi="Arial"/>
                <w:sz w:val="13"/>
                <w:szCs w:val="13"/>
                <w:color w:val="auto"/>
              </w:rPr>
              <w:t>Cash, cash equivalents and restricted cash at the beginning of period</w:t>
            </w:r>
          </w:p>
        </w:tc>
        <w:tc>
          <w:tcPr>
            <w:tcW w:w="1000" w:type="dxa"/>
            <w:vAlign w:val="bottom"/>
            <w:tcBorders>
              <w:bottom w:val="single" w:sz="8" w:color="auto"/>
            </w:tcBorders>
            <w:shd w:val="clear" w:color="auto" w:fill="CFF0FC"/>
          </w:tcPr>
          <w:p>
            <w:pPr>
              <w:spacing w:after="0"/>
              <w:rPr>
                <w:sz w:val="13"/>
                <w:szCs w:val="13"/>
                <w:color w:val="auto"/>
              </w:rPr>
            </w:pPr>
          </w:p>
        </w:tc>
        <w:tc>
          <w:tcPr>
            <w:tcW w:w="800" w:type="dxa"/>
            <w:vAlign w:val="bottom"/>
            <w:tcBorders>
              <w:bottom w:val="single" w:sz="8" w:color="auto"/>
            </w:tcBorders>
            <w:shd w:val="clear" w:color="auto" w:fill="CFF0FC"/>
          </w:tcPr>
          <w:p>
            <w:pPr>
              <w:jc w:val="right"/>
              <w:ind w:right="53"/>
              <w:spacing w:after="0"/>
              <w:rPr>
                <w:sz w:val="20"/>
                <w:szCs w:val="20"/>
                <w:color w:val="auto"/>
              </w:rPr>
            </w:pPr>
            <w:r>
              <w:rPr>
                <w:rFonts w:ascii="Arial" w:cs="Arial" w:eastAsia="Arial" w:hAnsi="Arial"/>
                <w:sz w:val="13"/>
                <w:szCs w:val="13"/>
                <w:color w:val="auto"/>
              </w:rPr>
              <w:t>1,090,039</w:t>
            </w:r>
          </w:p>
        </w:tc>
        <w:tc>
          <w:tcPr>
            <w:tcW w:w="160" w:type="dxa"/>
            <w:vAlign w:val="bottom"/>
            <w:shd w:val="clear" w:color="auto" w:fill="CFF0FC"/>
          </w:tcPr>
          <w:p>
            <w:pPr>
              <w:spacing w:after="0"/>
              <w:rPr>
                <w:sz w:val="13"/>
                <w:szCs w:val="13"/>
                <w:color w:val="auto"/>
              </w:rPr>
            </w:pPr>
          </w:p>
        </w:tc>
        <w:tc>
          <w:tcPr>
            <w:tcW w:w="380" w:type="dxa"/>
            <w:vAlign w:val="bottom"/>
            <w:tcBorders>
              <w:bottom w:val="single" w:sz="8" w:color="auto"/>
            </w:tcBorders>
            <w:shd w:val="clear" w:color="auto" w:fill="CFF0FC"/>
          </w:tcPr>
          <w:p>
            <w:pPr>
              <w:spacing w:after="0"/>
              <w:rPr>
                <w:sz w:val="13"/>
                <w:szCs w:val="13"/>
                <w:color w:val="auto"/>
              </w:rPr>
            </w:pPr>
          </w:p>
        </w:tc>
        <w:tc>
          <w:tcPr>
            <w:tcW w:w="1420" w:type="dxa"/>
            <w:vAlign w:val="bottom"/>
            <w:tcBorders>
              <w:bottom w:val="single" w:sz="8" w:color="auto"/>
            </w:tcBorders>
            <w:shd w:val="clear" w:color="auto" w:fill="CFF0FC"/>
          </w:tcPr>
          <w:p>
            <w:pPr>
              <w:jc w:val="right"/>
              <w:ind w:right="73"/>
              <w:spacing w:after="0"/>
              <w:rPr>
                <w:sz w:val="20"/>
                <w:szCs w:val="20"/>
                <w:color w:val="auto"/>
              </w:rPr>
            </w:pPr>
            <w:r>
              <w:rPr>
                <w:rFonts w:ascii="Arial" w:cs="Arial" w:eastAsia="Arial" w:hAnsi="Arial"/>
                <w:sz w:val="13"/>
                <w:szCs w:val="13"/>
                <w:color w:val="auto"/>
              </w:rPr>
              <w:t>219,587</w:t>
            </w:r>
          </w:p>
        </w:tc>
        <w:tc>
          <w:tcPr>
            <w:tcW w:w="0" w:type="dxa"/>
            <w:vAlign w:val="bottom"/>
          </w:tcPr>
          <w:p>
            <w:pPr>
              <w:spacing w:after="0"/>
              <w:rPr>
                <w:sz w:val="1"/>
                <w:szCs w:val="1"/>
                <w:color w:val="auto"/>
              </w:rPr>
            </w:pPr>
          </w:p>
        </w:tc>
      </w:tr>
      <w:tr>
        <w:trPr>
          <w:trHeight w:val="153"/>
        </w:trPr>
        <w:tc>
          <w:tcPr>
            <w:tcW w:w="7480" w:type="dxa"/>
            <w:vAlign w:val="bottom"/>
          </w:tcPr>
          <w:p>
            <w:pPr>
              <w:spacing w:after="0"/>
              <w:rPr>
                <w:sz w:val="20"/>
                <w:szCs w:val="20"/>
                <w:color w:val="auto"/>
              </w:rPr>
            </w:pPr>
            <w:r>
              <w:rPr>
                <w:rFonts w:ascii="Arial" w:cs="Arial" w:eastAsia="Arial" w:hAnsi="Arial"/>
                <w:sz w:val="13"/>
                <w:szCs w:val="13"/>
                <w:b w:val="1"/>
                <w:bCs w:val="1"/>
                <w:color w:val="auto"/>
              </w:rPr>
              <w:t>Cash, cash equivalents and restricted cash at the end of period</w:t>
            </w:r>
          </w:p>
        </w:tc>
        <w:tc>
          <w:tcPr>
            <w:tcW w:w="1000" w:type="dxa"/>
            <w:vAlign w:val="bottom"/>
            <w:tcBorders>
              <w:bottom w:val="single" w:sz="8" w:color="auto"/>
            </w:tcBorders>
          </w:tcPr>
          <w:p>
            <w:pPr>
              <w:jc w:val="right"/>
              <w:ind w:right="889"/>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1,500,689</w:t>
            </w:r>
          </w:p>
        </w:tc>
        <w:tc>
          <w:tcPr>
            <w:tcW w:w="160" w:type="dxa"/>
            <w:vAlign w:val="bottom"/>
          </w:tcPr>
          <w:p>
            <w:pPr>
              <w:spacing w:after="0"/>
              <w:rPr>
                <w:sz w:val="13"/>
                <w:szCs w:val="13"/>
                <w:color w:val="auto"/>
              </w:rPr>
            </w:pPr>
          </w:p>
        </w:tc>
        <w:tc>
          <w:tcPr>
            <w:tcW w:w="380" w:type="dxa"/>
            <w:vAlign w:val="bottom"/>
            <w:tcBorders>
              <w:bottom w:val="single" w:sz="8" w:color="auto"/>
            </w:tcBorders>
          </w:tcPr>
          <w:p>
            <w:pPr>
              <w:jc w:val="right"/>
              <w:ind w:right="270"/>
              <w:spacing w:after="0"/>
              <w:rPr>
                <w:sz w:val="20"/>
                <w:szCs w:val="20"/>
                <w:color w:val="auto"/>
              </w:rPr>
            </w:pPr>
            <w:r>
              <w:rPr>
                <w:rFonts w:ascii="Arial" w:cs="Arial" w:eastAsia="Arial" w:hAnsi="Arial"/>
                <w:sz w:val="10"/>
                <w:szCs w:val="10"/>
                <w:color w:val="auto"/>
                <w:w w:val="71"/>
              </w:rPr>
              <w:t>$</w:t>
            </w:r>
          </w:p>
        </w:tc>
        <w:tc>
          <w:tcPr>
            <w:tcW w:w="142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color w:val="auto"/>
              </w:rPr>
              <w:t>672,888</w:t>
            </w:r>
          </w:p>
        </w:tc>
        <w:tc>
          <w:tcPr>
            <w:tcW w:w="0" w:type="dxa"/>
            <w:vAlign w:val="bottom"/>
          </w:tcPr>
          <w:p>
            <w:pPr>
              <w:spacing w:after="0"/>
              <w:rPr>
                <w:sz w:val="1"/>
                <w:szCs w:val="1"/>
                <w:color w:val="auto"/>
              </w:rPr>
            </w:pPr>
          </w:p>
        </w:tc>
      </w:tr>
      <w:tr>
        <w:trPr>
          <w:trHeight w:val="20"/>
        </w:trPr>
        <w:tc>
          <w:tcPr>
            <w:tcW w:w="7480" w:type="dxa"/>
            <w:vAlign w:val="bottom"/>
            <w:vMerge w:val="restart"/>
          </w:tcPr>
          <w:p>
            <w:pPr>
              <w:spacing w:after="0"/>
              <w:rPr>
                <w:sz w:val="20"/>
                <w:szCs w:val="20"/>
                <w:color w:val="auto"/>
              </w:rPr>
            </w:pPr>
            <w:r>
              <w:rPr>
                <w:rFonts w:ascii="Arial" w:cs="Arial" w:eastAsia="Arial" w:hAnsi="Arial"/>
                <w:sz w:val="13"/>
                <w:szCs w:val="13"/>
                <w:b w:val="1"/>
                <w:bCs w:val="1"/>
                <w:color w:val="auto"/>
              </w:rPr>
              <w:t>Supplemental disclosure of cash flow information:</w:t>
            </w:r>
          </w:p>
        </w:tc>
        <w:tc>
          <w:tcPr>
            <w:tcW w:w="10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3"/>
        </w:trPr>
        <w:tc>
          <w:tcPr>
            <w:tcW w:w="7480" w:type="dxa"/>
            <w:vAlign w:val="bottom"/>
            <w:vMerge w:val="continue"/>
          </w:tcPr>
          <w:p>
            <w:pPr>
              <w:spacing w:after="0"/>
              <w:rPr>
                <w:sz w:val="24"/>
                <w:szCs w:val="24"/>
                <w:color w:val="auto"/>
              </w:rPr>
            </w:pPr>
          </w:p>
        </w:tc>
        <w:tc>
          <w:tcPr>
            <w:tcW w:w="10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748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3"/>
                <w:szCs w:val="13"/>
                <w:color w:val="auto"/>
              </w:rPr>
              <w:t>Cash paid for interest</w:t>
            </w:r>
          </w:p>
        </w:tc>
        <w:tc>
          <w:tcPr>
            <w:tcW w:w="1000" w:type="dxa"/>
            <w:vAlign w:val="bottom"/>
            <w:tcBorders>
              <w:bottom w:val="single" w:sz="8" w:color="auto"/>
            </w:tcBorders>
            <w:shd w:val="clear" w:color="auto" w:fill="CFF0FC"/>
          </w:tcPr>
          <w:p>
            <w:pPr>
              <w:jc w:val="right"/>
              <w:ind w:right="889"/>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shd w:val="clear" w:color="auto" w:fill="CFF0FC"/>
          </w:tcPr>
          <w:p>
            <w:pPr>
              <w:jc w:val="right"/>
              <w:ind w:right="53"/>
              <w:spacing w:after="0"/>
              <w:rPr>
                <w:sz w:val="20"/>
                <w:szCs w:val="20"/>
                <w:color w:val="auto"/>
              </w:rPr>
            </w:pPr>
            <w:r>
              <w:rPr>
                <w:rFonts w:ascii="Arial" w:cs="Arial" w:eastAsia="Arial" w:hAnsi="Arial"/>
                <w:sz w:val="13"/>
                <w:szCs w:val="13"/>
                <w:color w:val="auto"/>
              </w:rPr>
              <w:t>6,713</w:t>
            </w:r>
          </w:p>
        </w:tc>
        <w:tc>
          <w:tcPr>
            <w:tcW w:w="160" w:type="dxa"/>
            <w:vAlign w:val="bottom"/>
            <w:tcBorders>
              <w:bottom w:val="single" w:sz="8" w:color="CFF0FC"/>
            </w:tcBorders>
            <w:shd w:val="clear" w:color="auto" w:fill="CFF0FC"/>
          </w:tcPr>
          <w:p>
            <w:pPr>
              <w:spacing w:after="0"/>
              <w:rPr>
                <w:sz w:val="13"/>
                <w:szCs w:val="13"/>
                <w:color w:val="auto"/>
              </w:rPr>
            </w:pPr>
          </w:p>
        </w:tc>
        <w:tc>
          <w:tcPr>
            <w:tcW w:w="380" w:type="dxa"/>
            <w:vAlign w:val="bottom"/>
            <w:tcBorders>
              <w:bottom w:val="single" w:sz="8" w:color="auto"/>
            </w:tcBorders>
            <w:shd w:val="clear" w:color="auto" w:fill="CFF0FC"/>
          </w:tcPr>
          <w:p>
            <w:pPr>
              <w:jc w:val="right"/>
              <w:ind w:right="270"/>
              <w:spacing w:after="0"/>
              <w:rPr>
                <w:sz w:val="20"/>
                <w:szCs w:val="20"/>
                <w:color w:val="auto"/>
              </w:rPr>
            </w:pPr>
            <w:r>
              <w:rPr>
                <w:rFonts w:ascii="Arial" w:cs="Arial" w:eastAsia="Arial" w:hAnsi="Arial"/>
                <w:sz w:val="10"/>
                <w:szCs w:val="10"/>
                <w:color w:val="auto"/>
                <w:w w:val="71"/>
              </w:rPr>
              <w:t>$</w:t>
            </w:r>
          </w:p>
        </w:tc>
        <w:tc>
          <w:tcPr>
            <w:tcW w:w="1420" w:type="dxa"/>
            <w:vAlign w:val="bottom"/>
            <w:tcBorders>
              <w:bottom w:val="single" w:sz="8" w:color="auto"/>
            </w:tcBorders>
            <w:shd w:val="clear" w:color="auto" w:fill="CFF0FC"/>
          </w:tcPr>
          <w:p>
            <w:pPr>
              <w:jc w:val="right"/>
              <w:ind w:right="73"/>
              <w:spacing w:after="0"/>
              <w:rPr>
                <w:sz w:val="20"/>
                <w:szCs w:val="20"/>
                <w:color w:val="auto"/>
              </w:rPr>
            </w:pPr>
            <w:r>
              <w:rPr>
                <w:rFonts w:ascii="Arial" w:cs="Arial" w:eastAsia="Arial" w:hAnsi="Arial"/>
                <w:sz w:val="13"/>
                <w:szCs w:val="13"/>
                <w:color w:val="auto"/>
              </w:rPr>
              <w:t>2,743</w:t>
            </w:r>
          </w:p>
        </w:tc>
        <w:tc>
          <w:tcPr>
            <w:tcW w:w="0" w:type="dxa"/>
            <w:vAlign w:val="bottom"/>
          </w:tcPr>
          <w:p>
            <w:pPr>
              <w:spacing w:after="0"/>
              <w:rPr>
                <w:sz w:val="1"/>
                <w:szCs w:val="1"/>
                <w:color w:val="auto"/>
              </w:rPr>
            </w:pPr>
          </w:p>
        </w:tc>
      </w:tr>
      <w:tr>
        <w:trPr>
          <w:trHeight w:val="20"/>
        </w:trPr>
        <w:tc>
          <w:tcPr>
            <w:tcW w:w="74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7480" w:type="dxa"/>
            <w:vAlign w:val="bottom"/>
            <w:tcBorders>
              <w:bottom w:val="single" w:sz="8" w:color="CFF0FC"/>
            </w:tcBorders>
          </w:tcPr>
          <w:p>
            <w:pPr>
              <w:ind w:left="240"/>
              <w:spacing w:after="0" w:line="140" w:lineRule="exact"/>
              <w:rPr>
                <w:sz w:val="20"/>
                <w:szCs w:val="20"/>
                <w:color w:val="auto"/>
              </w:rPr>
            </w:pPr>
            <w:r>
              <w:rPr>
                <w:rFonts w:ascii="Arial" w:cs="Arial" w:eastAsia="Arial" w:hAnsi="Arial"/>
                <w:sz w:val="13"/>
                <w:szCs w:val="13"/>
                <w:color w:val="auto"/>
              </w:rPr>
              <w:t>Cash paid for income taxes</w:t>
            </w:r>
          </w:p>
        </w:tc>
        <w:tc>
          <w:tcPr>
            <w:tcW w:w="1000" w:type="dxa"/>
            <w:vAlign w:val="bottom"/>
            <w:tcBorders>
              <w:bottom w:val="single" w:sz="8" w:color="auto"/>
            </w:tcBorders>
          </w:tcPr>
          <w:p>
            <w:pPr>
              <w:jc w:val="right"/>
              <w:ind w:right="889"/>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tcPr>
          <w:p>
            <w:pPr>
              <w:jc w:val="right"/>
              <w:ind w:right="53"/>
              <w:spacing w:after="0" w:line="140" w:lineRule="exact"/>
              <w:rPr>
                <w:sz w:val="20"/>
                <w:szCs w:val="20"/>
                <w:color w:val="auto"/>
              </w:rPr>
            </w:pPr>
            <w:r>
              <w:rPr>
                <w:rFonts w:ascii="Arial" w:cs="Arial" w:eastAsia="Arial" w:hAnsi="Arial"/>
                <w:sz w:val="13"/>
                <w:szCs w:val="13"/>
                <w:color w:val="auto"/>
              </w:rPr>
              <w:t>269</w:t>
            </w:r>
          </w:p>
        </w:tc>
        <w:tc>
          <w:tcPr>
            <w:tcW w:w="160" w:type="dxa"/>
            <w:vAlign w:val="bottom"/>
            <w:tcBorders>
              <w:bottom w:val="single" w:sz="8" w:color="CFF0FC"/>
            </w:tcBorders>
          </w:tcPr>
          <w:p>
            <w:pPr>
              <w:spacing w:after="0"/>
              <w:rPr>
                <w:sz w:val="15"/>
                <w:szCs w:val="15"/>
                <w:color w:val="auto"/>
              </w:rPr>
            </w:pPr>
          </w:p>
        </w:tc>
        <w:tc>
          <w:tcPr>
            <w:tcW w:w="380" w:type="dxa"/>
            <w:vAlign w:val="bottom"/>
            <w:tcBorders>
              <w:bottom w:val="single" w:sz="8" w:color="auto"/>
            </w:tcBorders>
          </w:tcPr>
          <w:p>
            <w:pPr>
              <w:jc w:val="right"/>
              <w:ind w:right="270"/>
              <w:spacing w:after="0"/>
              <w:rPr>
                <w:sz w:val="20"/>
                <w:szCs w:val="20"/>
                <w:color w:val="auto"/>
              </w:rPr>
            </w:pPr>
            <w:r>
              <w:rPr>
                <w:rFonts w:ascii="Arial" w:cs="Arial" w:eastAsia="Arial" w:hAnsi="Arial"/>
                <w:sz w:val="10"/>
                <w:szCs w:val="10"/>
                <w:color w:val="auto"/>
                <w:w w:val="71"/>
              </w:rPr>
              <w:t>$</w:t>
            </w:r>
          </w:p>
        </w:tc>
        <w:tc>
          <w:tcPr>
            <w:tcW w:w="1420" w:type="dxa"/>
            <w:vAlign w:val="bottom"/>
            <w:tcBorders>
              <w:bottom w:val="single" w:sz="8" w:color="auto"/>
            </w:tcBorders>
          </w:tcPr>
          <w:p>
            <w:pPr>
              <w:jc w:val="right"/>
              <w:ind w:right="73"/>
              <w:spacing w:after="0" w:line="140"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0"/>
        </w:trPr>
        <w:tc>
          <w:tcPr>
            <w:tcW w:w="7480" w:type="dxa"/>
            <w:vAlign w:val="bottom"/>
            <w:shd w:val="clear" w:color="auto" w:fill="CFF0FC"/>
          </w:tcPr>
          <w:p>
            <w:pPr>
              <w:spacing w:after="0" w:line="140" w:lineRule="exact"/>
              <w:rPr>
                <w:sz w:val="20"/>
                <w:szCs w:val="20"/>
                <w:color w:val="auto"/>
              </w:rPr>
            </w:pPr>
            <w:r>
              <w:rPr>
                <w:rFonts w:ascii="Arial" w:cs="Arial" w:eastAsia="Arial" w:hAnsi="Arial"/>
                <w:sz w:val="13"/>
                <w:szCs w:val="13"/>
                <w:b w:val="1"/>
                <w:bCs w:val="1"/>
                <w:color w:val="auto"/>
              </w:rPr>
              <w:t>Supplemental disclosure of non-cash investing and financing activities:</w:t>
            </w:r>
          </w:p>
        </w:tc>
        <w:tc>
          <w:tcPr>
            <w:tcW w:w="100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4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0"/>
        </w:trPr>
        <w:tc>
          <w:tcPr>
            <w:tcW w:w="7480" w:type="dxa"/>
            <w:vAlign w:val="bottom"/>
          </w:tcPr>
          <w:p>
            <w:pPr>
              <w:ind w:left="240"/>
              <w:spacing w:after="0"/>
              <w:rPr>
                <w:sz w:val="20"/>
                <w:szCs w:val="20"/>
                <w:color w:val="auto"/>
              </w:rPr>
            </w:pPr>
            <w:r>
              <w:rPr>
                <w:rFonts w:ascii="Arial" w:cs="Arial" w:eastAsia="Arial" w:hAnsi="Arial"/>
                <w:sz w:val="13"/>
                <w:szCs w:val="13"/>
                <w:color w:val="auto"/>
              </w:rPr>
              <w:t>Costs related to IPO included in accrued expenses and accounts payable</w:t>
            </w:r>
          </w:p>
        </w:tc>
        <w:tc>
          <w:tcPr>
            <w:tcW w:w="1000" w:type="dxa"/>
            <w:vAlign w:val="bottom"/>
          </w:tcPr>
          <w:p>
            <w:pPr>
              <w:jc w:val="right"/>
              <w:ind w:right="889"/>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380" w:type="dxa"/>
            <w:vAlign w:val="bottom"/>
          </w:tcPr>
          <w:p>
            <w:pPr>
              <w:jc w:val="right"/>
              <w:ind w:right="270"/>
              <w:spacing w:after="0"/>
              <w:rPr>
                <w:sz w:val="20"/>
                <w:szCs w:val="20"/>
                <w:color w:val="auto"/>
              </w:rPr>
            </w:pPr>
            <w:r>
              <w:rPr>
                <w:rFonts w:ascii="Arial" w:cs="Arial" w:eastAsia="Arial" w:hAnsi="Arial"/>
                <w:sz w:val="10"/>
                <w:szCs w:val="10"/>
                <w:color w:val="auto"/>
                <w:w w:val="71"/>
              </w:rPr>
              <w:t>$</w:t>
            </w:r>
          </w:p>
        </w:tc>
        <w:tc>
          <w:tcPr>
            <w:tcW w:w="1420" w:type="dxa"/>
            <w:vAlign w:val="bottom"/>
          </w:tcPr>
          <w:p>
            <w:pPr>
              <w:jc w:val="right"/>
              <w:ind w:right="73"/>
              <w:spacing w:after="0"/>
              <w:rPr>
                <w:sz w:val="20"/>
                <w:szCs w:val="20"/>
                <w:color w:val="auto"/>
              </w:rPr>
            </w:pPr>
            <w:r>
              <w:rPr>
                <w:rFonts w:ascii="Arial" w:cs="Arial" w:eastAsia="Arial" w:hAnsi="Arial"/>
                <w:sz w:val="13"/>
                <w:szCs w:val="13"/>
                <w:color w:val="auto"/>
              </w:rPr>
              <w:t>5,051</w:t>
            </w:r>
          </w:p>
        </w:tc>
        <w:tc>
          <w:tcPr>
            <w:tcW w:w="0" w:type="dxa"/>
            <w:vAlign w:val="bottom"/>
          </w:tcPr>
          <w:p>
            <w:pPr>
              <w:spacing w:after="0"/>
              <w:rPr>
                <w:sz w:val="1"/>
                <w:szCs w:val="1"/>
                <w:color w:val="auto"/>
              </w:rPr>
            </w:pPr>
          </w:p>
        </w:tc>
      </w:tr>
      <w:tr>
        <w:trPr>
          <w:trHeight w:val="140"/>
        </w:trPr>
        <w:tc>
          <w:tcPr>
            <w:tcW w:w="7480" w:type="dxa"/>
            <w:vAlign w:val="bottom"/>
            <w:tcBorders>
              <w:top w:val="single" w:sz="8" w:color="CFF0FC"/>
              <w:bottom w:val="single" w:sz="8" w:color="CFF0FC"/>
            </w:tcBorders>
            <w:shd w:val="clear" w:color="auto" w:fill="CFF0FC"/>
          </w:tcPr>
          <w:p>
            <w:pPr>
              <w:ind w:left="240"/>
              <w:spacing w:after="0" w:line="140" w:lineRule="exact"/>
              <w:rPr>
                <w:sz w:val="20"/>
                <w:szCs w:val="20"/>
                <w:color w:val="auto"/>
              </w:rPr>
            </w:pPr>
            <w:r>
              <w:rPr>
                <w:rFonts w:ascii="Arial" w:cs="Arial" w:eastAsia="Arial" w:hAnsi="Arial"/>
                <w:sz w:val="13"/>
                <w:szCs w:val="13"/>
                <w:color w:val="auto"/>
              </w:rPr>
              <w:t>Issuance of common stock for acquisition of business</w:t>
            </w:r>
          </w:p>
        </w:tc>
        <w:tc>
          <w:tcPr>
            <w:tcW w:w="1000" w:type="dxa"/>
            <w:vAlign w:val="bottom"/>
            <w:tcBorders>
              <w:top w:val="single" w:sz="8" w:color="auto"/>
              <w:bottom w:val="single" w:sz="8" w:color="auto"/>
            </w:tcBorders>
            <w:shd w:val="clear" w:color="auto" w:fill="CFF0FC"/>
          </w:tcPr>
          <w:p>
            <w:pPr>
              <w:jc w:val="right"/>
              <w:ind w:right="889"/>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shd w:val="clear" w:color="auto" w:fill="CFF0FC"/>
          </w:tcPr>
          <w:p>
            <w:pPr>
              <w:jc w:val="right"/>
              <w:ind w:right="53"/>
              <w:spacing w:after="0" w:line="140" w:lineRule="exact"/>
              <w:rPr>
                <w:sz w:val="20"/>
                <w:szCs w:val="20"/>
                <w:color w:val="auto"/>
              </w:rPr>
            </w:pPr>
            <w:r>
              <w:rPr>
                <w:rFonts w:ascii="Arial" w:cs="Arial" w:eastAsia="Arial" w:hAnsi="Arial"/>
                <w:sz w:val="13"/>
                <w:szCs w:val="13"/>
                <w:color w:val="auto"/>
              </w:rPr>
              <w:t>39,030</w:t>
            </w:r>
          </w:p>
        </w:tc>
        <w:tc>
          <w:tcPr>
            <w:tcW w:w="160" w:type="dxa"/>
            <w:vAlign w:val="bottom"/>
            <w:tcBorders>
              <w:top w:val="single" w:sz="8" w:color="CFF0FC"/>
              <w:bottom w:val="single" w:sz="8" w:color="CFF0FC"/>
            </w:tcBorders>
            <w:shd w:val="clear" w:color="auto" w:fill="CFF0FC"/>
          </w:tcPr>
          <w:p>
            <w:pPr>
              <w:spacing w:after="0"/>
              <w:rPr>
                <w:sz w:val="12"/>
                <w:szCs w:val="12"/>
                <w:color w:val="auto"/>
              </w:rPr>
            </w:pPr>
          </w:p>
        </w:tc>
        <w:tc>
          <w:tcPr>
            <w:tcW w:w="380" w:type="dxa"/>
            <w:vAlign w:val="bottom"/>
            <w:tcBorders>
              <w:top w:val="single" w:sz="8" w:color="auto"/>
              <w:bottom w:val="single" w:sz="8" w:color="auto"/>
            </w:tcBorders>
            <w:shd w:val="clear" w:color="auto" w:fill="CFF0FC"/>
          </w:tcPr>
          <w:p>
            <w:pPr>
              <w:jc w:val="right"/>
              <w:ind w:right="270"/>
              <w:spacing w:after="0"/>
              <w:rPr>
                <w:sz w:val="20"/>
                <w:szCs w:val="20"/>
                <w:color w:val="auto"/>
              </w:rPr>
            </w:pPr>
            <w:r>
              <w:rPr>
                <w:rFonts w:ascii="Arial" w:cs="Arial" w:eastAsia="Arial" w:hAnsi="Arial"/>
                <w:sz w:val="10"/>
                <w:szCs w:val="10"/>
                <w:color w:val="auto"/>
                <w:w w:val="71"/>
              </w:rPr>
              <w:t>$</w:t>
            </w:r>
          </w:p>
        </w:tc>
        <w:tc>
          <w:tcPr>
            <w:tcW w:w="1420" w:type="dxa"/>
            <w:vAlign w:val="bottom"/>
            <w:tcBorders>
              <w:top w:val="single" w:sz="8" w:color="auto"/>
              <w:bottom w:val="single" w:sz="8" w:color="auto"/>
            </w:tcBorders>
            <w:shd w:val="clear" w:color="auto" w:fill="CFF0FC"/>
          </w:tcPr>
          <w:p>
            <w:pPr>
              <w:jc w:val="right"/>
              <w:ind w:right="73"/>
              <w:spacing w:after="0" w:line="140"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74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7480" w:type="dxa"/>
            <w:vAlign w:val="bottom"/>
            <w:tcBorders>
              <w:bottom w:val="single" w:sz="8" w:color="CFF0FC"/>
            </w:tcBorders>
          </w:tcPr>
          <w:p>
            <w:pPr>
              <w:ind w:left="240"/>
              <w:spacing w:after="0" w:line="140" w:lineRule="exact"/>
              <w:rPr>
                <w:sz w:val="20"/>
                <w:szCs w:val="20"/>
                <w:color w:val="auto"/>
              </w:rPr>
            </w:pPr>
            <w:r>
              <w:rPr>
                <w:rFonts w:ascii="Arial" w:cs="Arial" w:eastAsia="Arial" w:hAnsi="Arial"/>
                <w:sz w:val="13"/>
                <w:szCs w:val="13"/>
                <w:color w:val="auto"/>
              </w:rPr>
              <w:t>Fair value of unvested stock options assumed for acquisition of business</w:t>
            </w:r>
          </w:p>
        </w:tc>
        <w:tc>
          <w:tcPr>
            <w:tcW w:w="1000" w:type="dxa"/>
            <w:vAlign w:val="bottom"/>
            <w:tcBorders>
              <w:bottom w:val="single" w:sz="8" w:color="auto"/>
            </w:tcBorders>
          </w:tcPr>
          <w:p>
            <w:pPr>
              <w:jc w:val="right"/>
              <w:ind w:right="889"/>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tcPr>
          <w:p>
            <w:pPr>
              <w:jc w:val="right"/>
              <w:ind w:right="53"/>
              <w:spacing w:after="0" w:line="140" w:lineRule="exact"/>
              <w:rPr>
                <w:sz w:val="20"/>
                <w:szCs w:val="20"/>
                <w:color w:val="auto"/>
              </w:rPr>
            </w:pPr>
            <w:r>
              <w:rPr>
                <w:rFonts w:ascii="Arial" w:cs="Arial" w:eastAsia="Arial" w:hAnsi="Arial"/>
                <w:sz w:val="13"/>
                <w:szCs w:val="13"/>
                <w:color w:val="auto"/>
              </w:rPr>
              <w:t>1,017</w:t>
            </w:r>
          </w:p>
        </w:tc>
        <w:tc>
          <w:tcPr>
            <w:tcW w:w="160" w:type="dxa"/>
            <w:vAlign w:val="bottom"/>
            <w:tcBorders>
              <w:bottom w:val="single" w:sz="8" w:color="CFF0FC"/>
            </w:tcBorders>
          </w:tcPr>
          <w:p>
            <w:pPr>
              <w:spacing w:after="0"/>
              <w:rPr>
                <w:sz w:val="15"/>
                <w:szCs w:val="15"/>
                <w:color w:val="auto"/>
              </w:rPr>
            </w:pPr>
          </w:p>
        </w:tc>
        <w:tc>
          <w:tcPr>
            <w:tcW w:w="380" w:type="dxa"/>
            <w:vAlign w:val="bottom"/>
            <w:tcBorders>
              <w:bottom w:val="single" w:sz="8" w:color="auto"/>
            </w:tcBorders>
          </w:tcPr>
          <w:p>
            <w:pPr>
              <w:jc w:val="right"/>
              <w:ind w:right="270"/>
              <w:spacing w:after="0"/>
              <w:rPr>
                <w:sz w:val="20"/>
                <w:szCs w:val="20"/>
                <w:color w:val="auto"/>
              </w:rPr>
            </w:pPr>
            <w:r>
              <w:rPr>
                <w:rFonts w:ascii="Arial" w:cs="Arial" w:eastAsia="Arial" w:hAnsi="Arial"/>
                <w:sz w:val="10"/>
                <w:szCs w:val="10"/>
                <w:color w:val="auto"/>
                <w:w w:val="71"/>
              </w:rPr>
              <w:t>$</w:t>
            </w:r>
          </w:p>
        </w:tc>
        <w:tc>
          <w:tcPr>
            <w:tcW w:w="1420" w:type="dxa"/>
            <w:vAlign w:val="bottom"/>
            <w:tcBorders>
              <w:bottom w:val="single" w:sz="8" w:color="auto"/>
            </w:tcBorders>
          </w:tcPr>
          <w:p>
            <w:pPr>
              <w:jc w:val="right"/>
              <w:ind w:right="73"/>
              <w:spacing w:after="0" w:line="140"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0"/>
        </w:trPr>
        <w:tc>
          <w:tcPr>
            <w:tcW w:w="7480" w:type="dxa"/>
            <w:vAlign w:val="bottom"/>
            <w:tcBorders>
              <w:bottom w:val="single" w:sz="8" w:color="CFF0FC"/>
            </w:tcBorders>
            <w:shd w:val="clear" w:color="auto" w:fill="CFF0FC"/>
          </w:tcPr>
          <w:p>
            <w:pPr>
              <w:ind w:left="240"/>
              <w:spacing w:after="0" w:line="140" w:lineRule="exact"/>
              <w:rPr>
                <w:sz w:val="20"/>
                <w:szCs w:val="20"/>
                <w:color w:val="auto"/>
              </w:rPr>
            </w:pPr>
            <w:r>
              <w:rPr>
                <w:rFonts w:ascii="Arial" w:cs="Arial" w:eastAsia="Arial" w:hAnsi="Arial"/>
                <w:sz w:val="13"/>
                <w:szCs w:val="13"/>
                <w:color w:val="auto"/>
              </w:rPr>
              <w:t>Conversion of redeemable convertible preferred stock warrant to common stock warrant</w:t>
            </w:r>
          </w:p>
        </w:tc>
        <w:tc>
          <w:tcPr>
            <w:tcW w:w="1000" w:type="dxa"/>
            <w:vAlign w:val="bottom"/>
            <w:tcBorders>
              <w:bottom w:val="single" w:sz="8" w:color="auto"/>
            </w:tcBorders>
            <w:shd w:val="clear" w:color="auto" w:fill="CFF0FC"/>
          </w:tcPr>
          <w:p>
            <w:pPr>
              <w:jc w:val="right"/>
              <w:ind w:right="889"/>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shd w:val="clear" w:color="auto" w:fill="CFF0FC"/>
          </w:tcPr>
          <w:p>
            <w:pPr>
              <w:jc w:val="right"/>
              <w:ind w:right="53"/>
              <w:spacing w:after="0" w:line="140" w:lineRule="exact"/>
              <w:rPr>
                <w:sz w:val="20"/>
                <w:szCs w:val="20"/>
                <w:color w:val="auto"/>
              </w:rPr>
            </w:pPr>
            <w:r>
              <w:rPr>
                <w:rFonts w:ascii="Arial" w:cs="Arial" w:eastAsia="Arial" w:hAnsi="Arial"/>
                <w:sz w:val="13"/>
                <w:szCs w:val="13"/>
                <w:color w:val="auto"/>
              </w:rPr>
              <w:t>—</w:t>
            </w:r>
          </w:p>
        </w:tc>
        <w:tc>
          <w:tcPr>
            <w:tcW w:w="160" w:type="dxa"/>
            <w:vAlign w:val="bottom"/>
            <w:tcBorders>
              <w:bottom w:val="single" w:sz="8" w:color="CFF0FC"/>
            </w:tcBorders>
            <w:shd w:val="clear" w:color="auto" w:fill="CFF0FC"/>
          </w:tcPr>
          <w:p>
            <w:pPr>
              <w:spacing w:after="0"/>
              <w:rPr>
                <w:sz w:val="12"/>
                <w:szCs w:val="12"/>
                <w:color w:val="auto"/>
              </w:rPr>
            </w:pPr>
          </w:p>
        </w:tc>
        <w:tc>
          <w:tcPr>
            <w:tcW w:w="380" w:type="dxa"/>
            <w:vAlign w:val="bottom"/>
            <w:tcBorders>
              <w:bottom w:val="single" w:sz="8" w:color="auto"/>
            </w:tcBorders>
            <w:shd w:val="clear" w:color="auto" w:fill="CFF0FC"/>
          </w:tcPr>
          <w:p>
            <w:pPr>
              <w:jc w:val="right"/>
              <w:ind w:right="270"/>
              <w:spacing w:after="0"/>
              <w:rPr>
                <w:sz w:val="20"/>
                <w:szCs w:val="20"/>
                <w:color w:val="auto"/>
              </w:rPr>
            </w:pPr>
            <w:r>
              <w:rPr>
                <w:rFonts w:ascii="Arial" w:cs="Arial" w:eastAsia="Arial" w:hAnsi="Arial"/>
                <w:sz w:val="10"/>
                <w:szCs w:val="10"/>
                <w:color w:val="auto"/>
                <w:w w:val="71"/>
              </w:rPr>
              <w:t>$</w:t>
            </w:r>
          </w:p>
        </w:tc>
        <w:tc>
          <w:tcPr>
            <w:tcW w:w="1420" w:type="dxa"/>
            <w:vAlign w:val="bottom"/>
            <w:tcBorders>
              <w:bottom w:val="single" w:sz="8" w:color="auto"/>
            </w:tcBorders>
            <w:shd w:val="clear" w:color="auto" w:fill="CFF0FC"/>
          </w:tcPr>
          <w:p>
            <w:pPr>
              <w:jc w:val="right"/>
              <w:ind w:right="73"/>
              <w:spacing w:after="0" w:line="140" w:lineRule="exact"/>
              <w:rPr>
                <w:sz w:val="20"/>
                <w:szCs w:val="20"/>
                <w:color w:val="auto"/>
              </w:rPr>
            </w:pPr>
            <w:r>
              <w:rPr>
                <w:rFonts w:ascii="Arial" w:cs="Arial" w:eastAsia="Arial" w:hAnsi="Arial"/>
                <w:sz w:val="13"/>
                <w:szCs w:val="13"/>
                <w:color w:val="auto"/>
              </w:rPr>
              <w:t>21,873</w:t>
            </w:r>
          </w:p>
        </w:tc>
        <w:tc>
          <w:tcPr>
            <w:tcW w:w="0" w:type="dxa"/>
            <w:vAlign w:val="bottom"/>
          </w:tcPr>
          <w:p>
            <w:pPr>
              <w:spacing w:after="0"/>
              <w:rPr>
                <w:sz w:val="1"/>
                <w:szCs w:val="1"/>
                <w:color w:val="auto"/>
              </w:rPr>
            </w:pPr>
          </w:p>
        </w:tc>
      </w:tr>
      <w:tr>
        <w:trPr>
          <w:trHeight w:val="20"/>
        </w:trPr>
        <w:tc>
          <w:tcPr>
            <w:tcW w:w="74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7480" w:type="dxa"/>
            <w:vAlign w:val="bottom"/>
          </w:tcPr>
          <w:p>
            <w:pPr>
              <w:ind w:left="240"/>
              <w:spacing w:after="0" w:line="140" w:lineRule="exact"/>
              <w:rPr>
                <w:sz w:val="20"/>
                <w:szCs w:val="20"/>
                <w:color w:val="auto"/>
              </w:rPr>
            </w:pPr>
            <w:r>
              <w:rPr>
                <w:rFonts w:ascii="Arial" w:cs="Arial" w:eastAsia="Arial" w:hAnsi="Arial"/>
                <w:sz w:val="13"/>
                <w:szCs w:val="13"/>
                <w:color w:val="auto"/>
              </w:rPr>
              <w:t>Issuance of common stock as upfront payment to nonemployee</w:t>
            </w:r>
          </w:p>
        </w:tc>
        <w:tc>
          <w:tcPr>
            <w:tcW w:w="1000" w:type="dxa"/>
            <w:vAlign w:val="bottom"/>
          </w:tcPr>
          <w:p>
            <w:pPr>
              <w:jc w:val="right"/>
              <w:ind w:right="889"/>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280"/>
              <w:spacing w:after="0" w:line="140" w:lineRule="exact"/>
              <w:rPr>
                <w:sz w:val="20"/>
                <w:szCs w:val="20"/>
                <w:color w:val="auto"/>
              </w:rPr>
            </w:pPr>
            <w:r>
              <w:rPr>
                <w:rFonts w:ascii="Arial" w:cs="Arial" w:eastAsia="Arial" w:hAnsi="Arial"/>
                <w:sz w:val="13"/>
                <w:szCs w:val="13"/>
                <w:color w:val="auto"/>
              </w:rPr>
              <w:t>—</w:t>
            </w:r>
          </w:p>
        </w:tc>
        <w:tc>
          <w:tcPr>
            <w:tcW w:w="380" w:type="dxa"/>
            <w:vAlign w:val="bottom"/>
          </w:tcPr>
          <w:p>
            <w:pPr>
              <w:jc w:val="right"/>
              <w:ind w:right="270"/>
              <w:spacing w:after="0"/>
              <w:rPr>
                <w:sz w:val="20"/>
                <w:szCs w:val="20"/>
                <w:color w:val="auto"/>
              </w:rPr>
            </w:pPr>
            <w:r>
              <w:rPr>
                <w:rFonts w:ascii="Arial" w:cs="Arial" w:eastAsia="Arial" w:hAnsi="Arial"/>
                <w:sz w:val="10"/>
                <w:szCs w:val="10"/>
                <w:color w:val="auto"/>
                <w:w w:val="71"/>
              </w:rPr>
              <w:t>$</w:t>
            </w:r>
          </w:p>
        </w:tc>
        <w:tc>
          <w:tcPr>
            <w:tcW w:w="1420" w:type="dxa"/>
            <w:vAlign w:val="bottom"/>
          </w:tcPr>
          <w:p>
            <w:pPr>
              <w:jc w:val="right"/>
              <w:ind w:right="73"/>
              <w:spacing w:after="0" w:line="140" w:lineRule="exact"/>
              <w:rPr>
                <w:sz w:val="20"/>
                <w:szCs w:val="20"/>
                <w:color w:val="auto"/>
              </w:rPr>
            </w:pPr>
            <w:r>
              <w:rPr>
                <w:rFonts w:ascii="Arial" w:cs="Arial" w:eastAsia="Arial" w:hAnsi="Arial"/>
                <w:sz w:val="13"/>
                <w:szCs w:val="13"/>
                <w:color w:val="auto"/>
              </w:rPr>
              <w:t>2,127</w:t>
            </w:r>
          </w:p>
        </w:tc>
        <w:tc>
          <w:tcPr>
            <w:tcW w:w="0" w:type="dxa"/>
            <w:vAlign w:val="bottom"/>
          </w:tcPr>
          <w:p>
            <w:pPr>
              <w:spacing w:after="0"/>
              <w:rPr>
                <w:sz w:val="1"/>
                <w:szCs w:val="1"/>
                <w:color w:val="auto"/>
              </w:rPr>
            </w:pPr>
          </w:p>
        </w:tc>
      </w:tr>
      <w:tr>
        <w:trPr>
          <w:trHeight w:val="140"/>
        </w:trPr>
        <w:tc>
          <w:tcPr>
            <w:tcW w:w="7480" w:type="dxa"/>
            <w:vAlign w:val="bottom"/>
            <w:tcBorders>
              <w:top w:val="single" w:sz="8" w:color="CFF0FC"/>
              <w:bottom w:val="single" w:sz="8" w:color="CFF0FC"/>
            </w:tcBorders>
            <w:shd w:val="clear" w:color="auto" w:fill="CFF0FC"/>
          </w:tcPr>
          <w:p>
            <w:pPr>
              <w:ind w:left="240"/>
              <w:spacing w:after="0" w:line="140" w:lineRule="exact"/>
              <w:rPr>
                <w:sz w:val="20"/>
                <w:szCs w:val="20"/>
                <w:color w:val="auto"/>
              </w:rPr>
            </w:pPr>
            <w:r>
              <w:rPr>
                <w:rFonts w:ascii="Arial" w:cs="Arial" w:eastAsia="Arial" w:hAnsi="Arial"/>
                <w:sz w:val="13"/>
                <w:szCs w:val="13"/>
                <w:color w:val="auto"/>
              </w:rPr>
              <w:t>Accrued property and equipment expenditures</w:t>
            </w:r>
          </w:p>
        </w:tc>
        <w:tc>
          <w:tcPr>
            <w:tcW w:w="1000" w:type="dxa"/>
            <w:vAlign w:val="bottom"/>
            <w:tcBorders>
              <w:top w:val="single" w:sz="8" w:color="auto"/>
              <w:bottom w:val="single" w:sz="8" w:color="auto"/>
            </w:tcBorders>
            <w:shd w:val="clear" w:color="auto" w:fill="CFF0FC"/>
          </w:tcPr>
          <w:p>
            <w:pPr>
              <w:jc w:val="right"/>
              <w:ind w:right="889"/>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shd w:val="clear" w:color="auto" w:fill="CFF0FC"/>
          </w:tcPr>
          <w:p>
            <w:pPr>
              <w:jc w:val="right"/>
              <w:ind w:right="53"/>
              <w:spacing w:after="0" w:line="140" w:lineRule="exact"/>
              <w:rPr>
                <w:sz w:val="20"/>
                <w:szCs w:val="20"/>
                <w:color w:val="auto"/>
              </w:rPr>
            </w:pPr>
            <w:r>
              <w:rPr>
                <w:rFonts w:ascii="Arial" w:cs="Arial" w:eastAsia="Arial" w:hAnsi="Arial"/>
                <w:sz w:val="13"/>
                <w:szCs w:val="13"/>
                <w:color w:val="auto"/>
              </w:rPr>
              <w:t>420</w:t>
            </w:r>
          </w:p>
        </w:tc>
        <w:tc>
          <w:tcPr>
            <w:tcW w:w="160" w:type="dxa"/>
            <w:vAlign w:val="bottom"/>
            <w:tcBorders>
              <w:top w:val="single" w:sz="8" w:color="CFF0FC"/>
              <w:bottom w:val="single" w:sz="8" w:color="CFF0FC"/>
            </w:tcBorders>
            <w:shd w:val="clear" w:color="auto" w:fill="CFF0FC"/>
          </w:tcPr>
          <w:p>
            <w:pPr>
              <w:spacing w:after="0"/>
              <w:rPr>
                <w:sz w:val="12"/>
                <w:szCs w:val="12"/>
                <w:color w:val="auto"/>
              </w:rPr>
            </w:pPr>
          </w:p>
        </w:tc>
        <w:tc>
          <w:tcPr>
            <w:tcW w:w="380" w:type="dxa"/>
            <w:vAlign w:val="bottom"/>
            <w:tcBorders>
              <w:top w:val="single" w:sz="8" w:color="auto"/>
              <w:bottom w:val="single" w:sz="8" w:color="auto"/>
            </w:tcBorders>
            <w:shd w:val="clear" w:color="auto" w:fill="CFF0FC"/>
          </w:tcPr>
          <w:p>
            <w:pPr>
              <w:jc w:val="right"/>
              <w:ind w:right="270"/>
              <w:spacing w:after="0"/>
              <w:rPr>
                <w:sz w:val="20"/>
                <w:szCs w:val="20"/>
                <w:color w:val="auto"/>
              </w:rPr>
            </w:pPr>
            <w:r>
              <w:rPr>
                <w:rFonts w:ascii="Arial" w:cs="Arial" w:eastAsia="Arial" w:hAnsi="Arial"/>
                <w:sz w:val="10"/>
                <w:szCs w:val="10"/>
                <w:color w:val="auto"/>
                <w:w w:val="71"/>
              </w:rPr>
              <w:t>$</w:t>
            </w:r>
          </w:p>
        </w:tc>
        <w:tc>
          <w:tcPr>
            <w:tcW w:w="1420" w:type="dxa"/>
            <w:vAlign w:val="bottom"/>
            <w:tcBorders>
              <w:top w:val="single" w:sz="8" w:color="auto"/>
              <w:bottom w:val="single" w:sz="8" w:color="auto"/>
            </w:tcBorders>
            <w:shd w:val="clear" w:color="auto" w:fill="CFF0FC"/>
          </w:tcPr>
          <w:p>
            <w:pPr>
              <w:jc w:val="right"/>
              <w:ind w:right="73"/>
              <w:spacing w:after="0" w:line="140" w:lineRule="exact"/>
              <w:rPr>
                <w:sz w:val="20"/>
                <w:szCs w:val="20"/>
                <w:color w:val="auto"/>
              </w:rPr>
            </w:pPr>
            <w:r>
              <w:rPr>
                <w:rFonts w:ascii="Arial" w:cs="Arial" w:eastAsia="Arial" w:hAnsi="Arial"/>
                <w:sz w:val="13"/>
                <w:szCs w:val="13"/>
                <w:color w:val="auto"/>
              </w:rPr>
              <w:t>611</w:t>
            </w:r>
          </w:p>
        </w:tc>
        <w:tc>
          <w:tcPr>
            <w:tcW w:w="0" w:type="dxa"/>
            <w:vAlign w:val="bottom"/>
          </w:tcPr>
          <w:p>
            <w:pPr>
              <w:spacing w:after="0"/>
              <w:rPr>
                <w:sz w:val="1"/>
                <w:szCs w:val="1"/>
                <w:color w:val="auto"/>
              </w:rPr>
            </w:pPr>
          </w:p>
        </w:tc>
      </w:tr>
      <w:tr>
        <w:trPr>
          <w:trHeight w:val="20"/>
        </w:trPr>
        <w:tc>
          <w:tcPr>
            <w:tcW w:w="74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these unaudited condensed consolidated financial statements</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50800</wp:posOffset>
            </wp:positionV>
            <wp:extent cx="715962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VROOM, INC.</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right="6780" w:firstLine="6"/>
        <w:spacing w:after="0" w:line="389" w:lineRule="auto"/>
        <w:tabs>
          <w:tab w:leader="none" w:pos="197" w:val="left"/>
        </w:tabs>
        <w:numPr>
          <w:ilvl w:val="0"/>
          <w:numId w:val="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Description of Business and Basis of Presentation </w:t>
      </w:r>
      <w:r>
        <w:rPr>
          <w:rFonts w:ascii="Arial" w:cs="Arial" w:eastAsia="Arial" w:hAnsi="Arial"/>
          <w:sz w:val="17"/>
          <w:szCs w:val="17"/>
          <w:b w:val="1"/>
          <w:bCs w:val="1"/>
          <w:i w:val="1"/>
          <w:iCs w:val="1"/>
          <w:color w:val="auto"/>
        </w:rPr>
        <w:t>Description of Business and Organization</w:t>
      </w:r>
    </w:p>
    <w:p>
      <w:pPr>
        <w:spacing w:after="0" w:line="1" w:lineRule="exact"/>
        <w:rPr>
          <w:sz w:val="20"/>
          <w:szCs w:val="20"/>
          <w:color w:val="auto"/>
        </w:rPr>
      </w:pPr>
    </w:p>
    <w:p>
      <w:pPr>
        <w:ind w:right="140" w:firstLine="762"/>
        <w:spacing w:after="0" w:line="239" w:lineRule="auto"/>
        <w:rPr>
          <w:sz w:val="20"/>
          <w:szCs w:val="20"/>
          <w:color w:val="auto"/>
        </w:rPr>
      </w:pPr>
      <w:r>
        <w:rPr>
          <w:rFonts w:ascii="Arial" w:cs="Arial" w:eastAsia="Arial" w:hAnsi="Arial"/>
          <w:sz w:val="18"/>
          <w:szCs w:val="18"/>
          <w:color w:val="auto"/>
        </w:rPr>
        <w:t>Vroom, Inc., and its wholly owned subsidiaries (collectively, “the Company”) is an innovative, end-to-end ecommerce platform that is transforming the used vehicle industry by offering a better way to buy and a better way to sell used vehicles.</w:t>
      </w:r>
    </w:p>
    <w:p>
      <w:pPr>
        <w:spacing w:after="0" w:line="200" w:lineRule="exact"/>
        <w:rPr>
          <w:sz w:val="20"/>
          <w:szCs w:val="20"/>
          <w:color w:val="auto"/>
        </w:rPr>
      </w:pPr>
    </w:p>
    <w:p>
      <w:pPr>
        <w:ind w:right="20" w:firstLine="762"/>
        <w:spacing w:after="0" w:line="235" w:lineRule="auto"/>
        <w:rPr>
          <w:sz w:val="20"/>
          <w:szCs w:val="20"/>
          <w:color w:val="auto"/>
        </w:rPr>
      </w:pPr>
      <w:r>
        <w:rPr>
          <w:rFonts w:ascii="Arial" w:cs="Arial" w:eastAsia="Arial" w:hAnsi="Arial"/>
          <w:sz w:val="18"/>
          <w:szCs w:val="18"/>
          <w:color w:val="auto"/>
        </w:rPr>
        <w:t>In December 2015, the Company acquired Houston-based Left Gate Property Holding, LLC (d/b/a Texas Direct Auto and Vroom). The acquisition included the Company's proprietary vehicle reconditioning center, the Texas Direct Auto ("TDA") dealership, and Sell Us Your Car® centers. Left Gate Property Holding, LLC was renamed Vroom Automotive, LLC in March 2021, and is the primary operating entity for the Company's purchases and sales of used vehicles. In January 2021, the Company acquired Vast Holdings, Inc.(d/b/a CarStory).</w:t>
      </w:r>
    </w:p>
    <w:p>
      <w:pPr>
        <w:spacing w:after="0" w:line="201" w:lineRule="exact"/>
        <w:rPr>
          <w:sz w:val="20"/>
          <w:szCs w:val="20"/>
          <w:color w:val="auto"/>
        </w:rPr>
      </w:pPr>
    </w:p>
    <w:p>
      <w:pPr>
        <w:ind w:right="140" w:firstLine="762"/>
        <w:spacing w:after="0" w:line="234" w:lineRule="auto"/>
        <w:rPr>
          <w:sz w:val="20"/>
          <w:szCs w:val="20"/>
          <w:color w:val="auto"/>
        </w:rPr>
      </w:pPr>
      <w:r>
        <w:rPr>
          <w:rFonts w:ascii="Arial" w:cs="Arial" w:eastAsia="Arial" w:hAnsi="Arial"/>
          <w:sz w:val="18"/>
          <w:szCs w:val="18"/>
          <w:color w:val="auto"/>
        </w:rPr>
        <w:t>The Company currently is organized into three reportable segments: Ecommerce, Wholesale, and TDA. The Ecommerce reportable segment represents retail sales of used vehicles through the Company’s ecommerce platform and fees earned on sales of value-added products associated with those vehicles sales. The Wholesale reportable segment represents sales of used vehicles through wholesale channels. The TDA reportable segment represents retail sales of used vehicles from TDA and fees earned on sales of value-added products associated with those vehicles sales.</w:t>
      </w:r>
    </w:p>
    <w:p>
      <w:pPr>
        <w:spacing w:after="0" w:line="202" w:lineRule="exact"/>
        <w:rPr>
          <w:sz w:val="20"/>
          <w:szCs w:val="20"/>
          <w:color w:val="auto"/>
        </w:rPr>
      </w:pPr>
    </w:p>
    <w:p>
      <w:pPr>
        <w:ind w:right="320" w:firstLine="762"/>
        <w:spacing w:after="0" w:line="239" w:lineRule="auto"/>
        <w:rPr>
          <w:sz w:val="20"/>
          <w:szCs w:val="20"/>
          <w:color w:val="auto"/>
        </w:rPr>
      </w:pPr>
      <w:r>
        <w:rPr>
          <w:rFonts w:ascii="Arial" w:cs="Arial" w:eastAsia="Arial" w:hAnsi="Arial"/>
          <w:sz w:val="18"/>
          <w:szCs w:val="18"/>
          <w:color w:val="auto"/>
        </w:rPr>
        <w:t>The Company was incorporated in Delaware on January 31, 2012 under the name BCM Partners III, Corp. On June 25, 2013, the Company changed its name to Auto America, Inc. and on July 9, 2015, the Company changed its name to Vroom, Inc.</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Split</w:t>
      </w:r>
    </w:p>
    <w:p>
      <w:pPr>
        <w:spacing w:after="0" w:line="121" w:lineRule="exact"/>
        <w:rPr>
          <w:sz w:val="20"/>
          <w:szCs w:val="20"/>
          <w:color w:val="auto"/>
        </w:rPr>
      </w:pPr>
    </w:p>
    <w:p>
      <w:pPr>
        <w:ind w:right="240" w:firstLine="762"/>
        <w:spacing w:after="0" w:line="235" w:lineRule="auto"/>
        <w:rPr>
          <w:sz w:val="20"/>
          <w:szCs w:val="20"/>
          <w:color w:val="auto"/>
        </w:rPr>
      </w:pPr>
      <w:r>
        <w:rPr>
          <w:rFonts w:ascii="Arial" w:cs="Arial" w:eastAsia="Arial" w:hAnsi="Arial"/>
          <w:sz w:val="18"/>
          <w:szCs w:val="18"/>
          <w:color w:val="auto"/>
        </w:rPr>
        <w:t>In connection with the closing of the Company’s initial public offering (“IPO”) on June 11, 2020, the Company effected a 2-for-1 forward stock split of the Company’s common stock, which became effective immediately prior to the consummation of the IPO. All shares of the Company’s common stock, stock-based instruments, and per-share data included in these condensed consolidated financial statements have been retroactively adjusted as though the stock split has been effected prior to all periods presented.</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Initial Public Offering</w:t>
      </w:r>
    </w:p>
    <w:p>
      <w:pPr>
        <w:spacing w:after="0" w:line="11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Company closed its IPO on June 11, 2020 in which it sold 24,437,500 shares of common stock at the public offering price</w:t>
      </w:r>
    </w:p>
    <w:p>
      <w:pPr>
        <w:spacing w:after="0" w:line="235" w:lineRule="auto"/>
        <w:rPr>
          <w:sz w:val="20"/>
          <w:szCs w:val="20"/>
          <w:color w:val="auto"/>
        </w:rPr>
      </w:pPr>
      <w:r>
        <w:rPr>
          <w:rFonts w:ascii="Arial" w:cs="Arial" w:eastAsia="Arial" w:hAnsi="Arial"/>
          <w:sz w:val="18"/>
          <w:szCs w:val="18"/>
          <w:color w:val="auto"/>
        </w:rPr>
        <w:t>of $22.00 per share, including 3,187,500 shares sold pursuant to exercise by the underwriters of their option to purchase additional shares. The Company received proceeds of $504.0 million from the IPO, net of the underwriting discount and before deducting offering expenses of $7.5 million. In addition, in accordance with their terms, all shares of the Company’s outstanding redeemable convertible preferred stock were automatically converted into common stock upon the closing of the IPO.</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Follow-on Public Offering</w:t>
      </w:r>
    </w:p>
    <w:p>
      <w:pPr>
        <w:spacing w:after="0" w:line="121" w:lineRule="exact"/>
        <w:rPr>
          <w:sz w:val="20"/>
          <w:szCs w:val="20"/>
          <w:color w:val="auto"/>
        </w:rPr>
      </w:pPr>
    </w:p>
    <w:p>
      <w:pPr>
        <w:jc w:val="both"/>
        <w:ind w:right="140" w:firstLine="762"/>
        <w:spacing w:after="0" w:line="236" w:lineRule="auto"/>
        <w:rPr>
          <w:sz w:val="20"/>
          <w:szCs w:val="20"/>
          <w:color w:val="auto"/>
        </w:rPr>
      </w:pPr>
      <w:r>
        <w:rPr>
          <w:rFonts w:ascii="Arial" w:cs="Arial" w:eastAsia="Arial" w:hAnsi="Arial"/>
          <w:sz w:val="18"/>
          <w:szCs w:val="18"/>
          <w:color w:val="auto"/>
        </w:rPr>
        <w:t>The Company closed its follow-on public offering on September 15, 2020 in which it sold 10,800,000 shares of common stock at the public offering price of $54.50 per share. The Company received proceeds of $569.5 million from the offering, net of the underwriting discount and before deducting offering expenses of $1.5 million.</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21" w:lineRule="exact"/>
        <w:rPr>
          <w:sz w:val="20"/>
          <w:szCs w:val="20"/>
          <w:color w:val="auto"/>
        </w:rPr>
      </w:pPr>
    </w:p>
    <w:p>
      <w:pPr>
        <w:ind w:firstLine="762"/>
        <w:spacing w:after="0" w:line="233" w:lineRule="auto"/>
        <w:rPr>
          <w:sz w:val="20"/>
          <w:szCs w:val="20"/>
          <w:color w:val="auto"/>
        </w:rPr>
      </w:pPr>
      <w:r>
        <w:rPr>
          <w:rFonts w:ascii="Arial" w:cs="Arial" w:eastAsia="Arial" w:hAnsi="Arial"/>
          <w:sz w:val="18"/>
          <w:szCs w:val="18"/>
          <w:color w:val="auto"/>
        </w:rPr>
        <w:t>The condensed consolidated financial statements of the Company have been prepared in accordance with U.S. generally accepted accounting principles (“U.S. GAAP”) and applicable rules and regulations of the U.S. Securities and Exchange Commission ("SEC") regarding interim financial reporting. The condensed consolidated balance sheet as of December 31, 2020, included herein, was derived from the audited consolidated financial statements as of that date. Certain information and note disclosures normally included in the financial statements prepared in accordance with U.S. GAAP have been condensed or omitted pursuant to such rules and regulations. Therefore, these condensed consolidated financial statements should be read in conjunction with the consolidated financial statements and notes included in the Annual Report on Form 10-K for the year ended December 31, 2020.</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50800</wp:posOffset>
            </wp:positionV>
            <wp:extent cx="715962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VROOM, INC.</w:t>
      </w:r>
    </w:p>
    <w:p>
      <w:pPr>
        <w:spacing w:after="0" w:line="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w:t>
      </w: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312" w:lineRule="exact"/>
        <w:rPr>
          <w:sz w:val="20"/>
          <w:szCs w:val="20"/>
          <w:color w:val="auto"/>
        </w:rPr>
      </w:pPr>
    </w:p>
    <w:p>
      <w:pPr>
        <w:ind w:right="100" w:firstLine="762"/>
        <w:spacing w:after="0" w:line="234" w:lineRule="auto"/>
        <w:rPr>
          <w:sz w:val="20"/>
          <w:szCs w:val="20"/>
          <w:color w:val="auto"/>
        </w:rPr>
      </w:pPr>
      <w:r>
        <w:rPr>
          <w:rFonts w:ascii="Arial" w:cs="Arial" w:eastAsia="Arial" w:hAnsi="Arial"/>
          <w:sz w:val="18"/>
          <w:szCs w:val="18"/>
          <w:color w:val="auto"/>
        </w:rPr>
        <w:t>The unaudited condensed consolidated financial statements have been prepared on the same basis as the audited consolidated financial statements, and in management’s opinion, include all adjustments, which consist of only normal recurring adjustments necessary for the fair statement of the Company’s condensed consolidated balance sheet as of June 30, 2021 and its results of operations for the three and six months ended June 30, 2021 and 2020. The results for the three and six months ended June 30, 2021 are not necessarily indicative of the results expected for the current fiscal year or any other future periods. Certain prior year amounts have been reclassified to conform to the current year presentation.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21" w:lineRule="exact"/>
        <w:rPr>
          <w:sz w:val="20"/>
          <w:szCs w:val="20"/>
          <w:color w:val="auto"/>
        </w:rPr>
      </w:pPr>
    </w:p>
    <w:p>
      <w:pPr>
        <w:ind w:right="720" w:firstLine="749"/>
        <w:spacing w:after="0" w:line="268" w:lineRule="auto"/>
        <w:rPr>
          <w:sz w:val="20"/>
          <w:szCs w:val="20"/>
          <w:color w:val="auto"/>
        </w:rPr>
      </w:pPr>
      <w:r>
        <w:rPr>
          <w:rFonts w:ascii="Arial" w:cs="Arial" w:eastAsia="Arial" w:hAnsi="Arial"/>
          <w:sz w:val="18"/>
          <w:szCs w:val="18"/>
          <w:color w:val="auto"/>
        </w:rPr>
        <w:t>The accompanying condensed consolidated financial statements include the accounts of the Company and its wholly owned subsidiaries. All intercompany accounts and transactions have been eliminated in consolidation.</w:t>
      </w:r>
    </w:p>
    <w:p>
      <w:pPr>
        <w:spacing w:after="0" w:line="301" w:lineRule="exact"/>
        <w:rPr>
          <w:sz w:val="20"/>
          <w:szCs w:val="20"/>
          <w:color w:val="auto"/>
        </w:rPr>
      </w:pPr>
    </w:p>
    <w:p>
      <w:pPr>
        <w:ind w:right="7280" w:firstLine="6"/>
        <w:spacing w:after="0" w:line="383" w:lineRule="auto"/>
        <w:tabs>
          <w:tab w:leader="none" w:pos="197"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b w:val="1"/>
          <w:bCs w:val="1"/>
          <w:i w:val="1"/>
          <w:iCs w:val="1"/>
          <w:color w:val="auto"/>
        </w:rPr>
        <w:t>Use of Estimates</w:t>
      </w:r>
    </w:p>
    <w:p>
      <w:pPr>
        <w:ind w:right="40" w:firstLine="762"/>
        <w:spacing w:after="0" w:line="234" w:lineRule="auto"/>
        <w:rPr>
          <w:sz w:val="20"/>
          <w:szCs w:val="20"/>
          <w:color w:val="auto"/>
        </w:rPr>
      </w:pPr>
      <w:r>
        <w:rPr>
          <w:rFonts w:ascii="Arial" w:cs="Arial" w:eastAsia="Arial" w:hAnsi="Arial"/>
          <w:sz w:val="18"/>
          <w:szCs w:val="18"/>
          <w:color w:val="auto"/>
        </w:rPr>
        <w:t>The preparation of condensed consolidated financial statements in accordance with U.S. GAAP requires management to make estimates, assumptions and judgments that affect the reported amounts of assets, liabilities, revenue, and expenses and related disclosures. On an ongoing basis, the Company evaluates its estimates, including, among others, those related to income taxes, the realizability of inventory, stock-based compensation, contingencies, revenue-related reserves, fair value measurements, goodwill, and useful lives of property and equipment and intangible assets. The Company bases its estimates on historical experience, market conditions, and on various other assumptions that are believed to be reasonable. Actual results may differ from these estimates.</w:t>
      </w:r>
    </w:p>
    <w:p>
      <w:pPr>
        <w:spacing w:after="0" w:line="200" w:lineRule="exact"/>
        <w:rPr>
          <w:sz w:val="20"/>
          <w:szCs w:val="20"/>
          <w:color w:val="auto"/>
        </w:rPr>
      </w:pPr>
    </w:p>
    <w:p>
      <w:pPr>
        <w:ind w:right="40" w:firstLine="762"/>
        <w:spacing w:after="0" w:line="234" w:lineRule="auto"/>
        <w:rPr>
          <w:sz w:val="20"/>
          <w:szCs w:val="20"/>
          <w:color w:val="auto"/>
        </w:rPr>
      </w:pPr>
      <w:r>
        <w:rPr>
          <w:rFonts w:ascii="Arial" w:cs="Arial" w:eastAsia="Arial" w:hAnsi="Arial"/>
          <w:sz w:val="18"/>
          <w:szCs w:val="18"/>
          <w:color w:val="auto"/>
        </w:rPr>
        <w:t>Due to the evolving and uncertain nature of the COVID-19 pandemic, it is reasonably possible that it could materially impact the Company’s estimates, particularly those noted above that require consideration of forecasted financial information, in the near to medium term. The ultimate impact will depend on numerous evolving factors that the Company may not be able to accurately predict, including the duration and extent of the pandemic, the impact of federal, state, local and foreign governmental actions, consumer behavior in response to the pandemic and other economic and operational conditions the Company may face.</w:t>
      </w: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12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Company did not have any other comprehensive income or loss for the three and six months ended June 30, 2021 and 2020.</w:t>
      </w:r>
    </w:p>
    <w:p>
      <w:pPr>
        <w:spacing w:after="0"/>
        <w:rPr>
          <w:sz w:val="20"/>
          <w:szCs w:val="20"/>
          <w:color w:val="auto"/>
        </w:rPr>
      </w:pPr>
      <w:r>
        <w:rPr>
          <w:rFonts w:ascii="Arial" w:cs="Arial" w:eastAsia="Arial" w:hAnsi="Arial"/>
          <w:sz w:val="18"/>
          <w:szCs w:val="18"/>
          <w:color w:val="auto"/>
        </w:rPr>
        <w:t>Accordingly, net loss and comprehensive loss are the same for the periods presented.</w:t>
      </w: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134" w:lineRule="exact"/>
        <w:rPr>
          <w:sz w:val="20"/>
          <w:szCs w:val="20"/>
          <w:color w:val="auto"/>
        </w:rPr>
      </w:pPr>
    </w:p>
    <w:p>
      <w:pPr>
        <w:ind w:firstLine="762"/>
        <w:spacing w:after="0" w:line="236" w:lineRule="auto"/>
        <w:rPr>
          <w:sz w:val="20"/>
          <w:szCs w:val="20"/>
          <w:color w:val="auto"/>
        </w:rPr>
      </w:pPr>
      <w:r>
        <w:rPr>
          <w:rFonts w:ascii="Arial" w:cs="Arial" w:eastAsia="Arial" w:hAnsi="Arial"/>
          <w:sz w:val="18"/>
          <w:szCs w:val="18"/>
          <w:color w:val="auto"/>
        </w:rPr>
        <w:t>Restricted cash includes cash deposits required under letter of credit agreements as explained in Note 11 – Commitments and Contingencies. As of June 30, 2021 and December 31, 2020, restricted cash also includes $ 35.3 million and $31.6 million, respectively, of cash deposits required under the Company’s 2020 Vehicle Floorplan Facility as explained in Note 9 – Vehicle Floorplan Facilities.</w:t>
      </w: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34" w:lineRule="exact"/>
        <w:rPr>
          <w:sz w:val="20"/>
          <w:szCs w:val="20"/>
          <w:color w:val="auto"/>
        </w:rPr>
      </w:pPr>
    </w:p>
    <w:p>
      <w:pPr>
        <w:ind w:right="80" w:firstLine="749"/>
        <w:spacing w:after="0" w:line="233" w:lineRule="auto"/>
        <w:rPr>
          <w:sz w:val="20"/>
          <w:szCs w:val="20"/>
          <w:color w:val="auto"/>
        </w:rPr>
      </w:pPr>
      <w:r>
        <w:rPr>
          <w:rFonts w:ascii="Arial" w:cs="Arial" w:eastAsia="Arial" w:hAnsi="Arial"/>
          <w:sz w:val="18"/>
          <w:szCs w:val="18"/>
          <w:color w:val="auto"/>
        </w:rPr>
        <w:t>The Company uses its best estimates and assumptions to assign fair value to the tangible and intangible assets acquired and liabilities assumed at the acquisition date. The Company’s estimates are inherently uncertain and subject to refinement. During the measurement period, which may be up to one year from the acquisition date, the Company may record adjustments to the fair value of these tangible and intangible assets acquired and liabilities assumed, with the corresponding offset to goodwill. The Company will continue to collect information and reevaluate these estimates and assumptions quarterly and record any adjustments to the Company’s preliminary estimates to goodwill provided that the Company is within the measurement period. Upon the conclusion of the measurement period or final determination of the fair value of assets acquired or liabilities assumed, whichever comes first, any subsequent adjustments will be recorded to the Company’s condensed consolidated statement of operations.</w:t>
      </w: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50800</wp:posOffset>
            </wp:positionV>
            <wp:extent cx="715962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VROOM, INC.</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w:t>
      </w:r>
    </w:p>
    <w:p>
      <w:pPr>
        <w:spacing w:after="0" w:line="134" w:lineRule="exact"/>
        <w:rPr>
          <w:sz w:val="20"/>
          <w:szCs w:val="20"/>
          <w:color w:val="auto"/>
        </w:rPr>
      </w:pPr>
    </w:p>
    <w:p>
      <w:pPr>
        <w:ind w:right="100" w:firstLine="762"/>
        <w:spacing w:after="0" w:line="236" w:lineRule="auto"/>
        <w:rPr>
          <w:sz w:val="20"/>
          <w:szCs w:val="20"/>
          <w:color w:val="auto"/>
        </w:rPr>
      </w:pPr>
      <w:r>
        <w:rPr>
          <w:rFonts w:ascii="Arial" w:cs="Arial" w:eastAsia="Arial" w:hAnsi="Arial"/>
          <w:sz w:val="18"/>
          <w:szCs w:val="18"/>
          <w:color w:val="auto"/>
        </w:rPr>
        <w:t>Advertising costs are expensed as incurred and are included within “Selling, general and administrative expenses” in the condensed consolidated statements of operations. Advertising expenses were $23.5 million and $11.6 million for the three months ended June 30, 2021 and 2020, respectively, and $53.1 million and $29.5 million for the six months ended June 30, 2021 and 2020, respectively.</w:t>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Shipping and Handling</w:t>
      </w:r>
    </w:p>
    <w:p>
      <w:pPr>
        <w:spacing w:after="0" w:line="134" w:lineRule="exact"/>
        <w:rPr>
          <w:sz w:val="20"/>
          <w:szCs w:val="20"/>
          <w:color w:val="auto"/>
        </w:rPr>
      </w:pPr>
    </w:p>
    <w:p>
      <w:pPr>
        <w:ind w:right="160" w:firstLine="762"/>
        <w:spacing w:after="0" w:line="234" w:lineRule="auto"/>
        <w:rPr>
          <w:sz w:val="20"/>
          <w:szCs w:val="20"/>
          <w:color w:val="auto"/>
        </w:rPr>
      </w:pPr>
      <w:r>
        <w:rPr>
          <w:rFonts w:ascii="Arial" w:cs="Arial" w:eastAsia="Arial" w:hAnsi="Arial"/>
          <w:sz w:val="18"/>
          <w:szCs w:val="18"/>
          <w:color w:val="auto"/>
        </w:rPr>
        <w:t>The Company’s logistics costs related to transporting its used vehicle inventory primarily include third-party transportation fees. The portion of these costs related to inbound transportation from the point of acquisition to the relevant reconditioning facility is included in cost of sales when the related used vehicle is sold. Logistics costs not included in cost of sales are accounted for as costs to fulfil contracts with customers and are included in “Selling, general and administrative expenses” in the condensed consolidated statements of operations and were $ 20.2 million and $5.5 million for the three months ended June 30, 2021 and 2020, respectively, and $35.3 million and $11.3 million for the six months ended June 30, 2021 and 2020, respectively.</w:t>
      </w: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 and Significant Customers</w:t>
      </w:r>
    </w:p>
    <w:p>
      <w:pPr>
        <w:spacing w:after="0" w:line="134" w:lineRule="exact"/>
        <w:rPr>
          <w:sz w:val="20"/>
          <w:szCs w:val="20"/>
          <w:color w:val="auto"/>
        </w:rPr>
      </w:pPr>
    </w:p>
    <w:p>
      <w:pPr>
        <w:ind w:firstLine="762"/>
        <w:spacing w:after="0" w:line="234" w:lineRule="auto"/>
        <w:rPr>
          <w:sz w:val="20"/>
          <w:szCs w:val="20"/>
          <w:color w:val="auto"/>
        </w:rPr>
      </w:pPr>
      <w:r>
        <w:rPr>
          <w:rFonts w:ascii="Arial" w:cs="Arial" w:eastAsia="Arial" w:hAnsi="Arial"/>
          <w:sz w:val="18"/>
          <w:szCs w:val="18"/>
          <w:color w:val="auto"/>
        </w:rPr>
        <w:t>The Company’s principal financial instruments subject to potential concentration of credit risk are cash and cash equivalents and accounts receivable, which are unsecured. The Company’s cash balances are maintained at various large financial institutions. Deposits held with financial institutions may at times exceed the amount of insurance provided on such deposits. Generally, these deposits may be redeemed upon demand and, therefore, management believes they bear minimal risk. The Company’s cash equivalents primarily consist of money market funds that hold investments in highly liquid US treasury securities. Concentration of credit risk with respect to accounts receivable is generally mitigated by a large customer base.</w:t>
      </w:r>
    </w:p>
    <w:p>
      <w:pPr>
        <w:spacing w:after="0" w:line="240" w:lineRule="exact"/>
        <w:rPr>
          <w:sz w:val="20"/>
          <w:szCs w:val="20"/>
          <w:color w:val="auto"/>
        </w:rPr>
      </w:pPr>
    </w:p>
    <w:p>
      <w:pPr>
        <w:ind w:firstLine="762"/>
        <w:spacing w:after="0" w:line="239" w:lineRule="auto"/>
        <w:rPr>
          <w:sz w:val="20"/>
          <w:szCs w:val="20"/>
          <w:color w:val="auto"/>
        </w:rPr>
      </w:pPr>
      <w:r>
        <w:rPr>
          <w:rFonts w:ascii="Arial" w:cs="Arial" w:eastAsia="Arial" w:hAnsi="Arial"/>
          <w:sz w:val="18"/>
          <w:szCs w:val="18"/>
          <w:color w:val="auto"/>
        </w:rPr>
        <w:t>For the three and six months ended June 30, 2021 and 2020, no customer represented 10% or more of the Company’s revenues and no customer represented more than 10% of the Company’s accounts receivable as of June 30, 2021 and December 31, 2020.</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134" w:lineRule="exact"/>
        <w:rPr>
          <w:sz w:val="20"/>
          <w:szCs w:val="20"/>
          <w:color w:val="auto"/>
        </w:rPr>
      </w:pPr>
    </w:p>
    <w:p>
      <w:pPr>
        <w:ind w:right="180" w:firstLine="762"/>
        <w:spacing w:after="0" w:line="252" w:lineRule="auto"/>
        <w:rPr>
          <w:sz w:val="20"/>
          <w:szCs w:val="20"/>
          <w:color w:val="auto"/>
        </w:rPr>
      </w:pPr>
      <w:r>
        <w:rPr>
          <w:rFonts w:ascii="Arial" w:cs="Arial" w:eastAsia="Arial" w:hAnsi="Arial"/>
          <w:sz w:val="17"/>
          <w:szCs w:val="17"/>
          <w:color w:val="auto"/>
        </w:rPr>
        <w:t>The Company has had negative cash flows and losses from operations since inception and expects to incur additional losses in the future. The Company closed its IPO on June 11, 2020 in which it received proceeds of $504.0 million, net of the underwriting discount and before deducting offering expenses of $7.5 million. Additionally, the Company closed its follow-on public offering on September 15, 2020 in which it received proceeds of $569.5 million, net of the underwriting discount and before deducting offering expenses of $1.5 million.</w:t>
      </w:r>
    </w:p>
    <w:p>
      <w:pPr>
        <w:spacing w:after="0" w:line="191" w:lineRule="exact"/>
        <w:rPr>
          <w:sz w:val="20"/>
          <w:szCs w:val="20"/>
          <w:color w:val="auto"/>
        </w:rPr>
      </w:pPr>
    </w:p>
    <w:p>
      <w:pPr>
        <w:ind w:right="380" w:firstLine="762"/>
        <w:spacing w:after="0" w:line="239" w:lineRule="auto"/>
        <w:rPr>
          <w:sz w:val="20"/>
          <w:szCs w:val="20"/>
          <w:color w:val="auto"/>
        </w:rPr>
      </w:pPr>
      <w:r>
        <w:rPr>
          <w:rFonts w:ascii="Arial" w:cs="Arial" w:eastAsia="Arial" w:hAnsi="Arial"/>
          <w:sz w:val="18"/>
          <w:szCs w:val="18"/>
          <w:color w:val="auto"/>
        </w:rPr>
        <w:t>In June 2021, the Company issued $625.0 million aggregate principal amount of 0.75% unsecured Convertible Senior Notes due 2026. Refer to Note 10 – Long-term Debt for further discussion.</w:t>
      </w:r>
    </w:p>
    <w:p>
      <w:pPr>
        <w:spacing w:after="0" w:line="200" w:lineRule="exact"/>
        <w:rPr>
          <w:sz w:val="20"/>
          <w:szCs w:val="20"/>
          <w:color w:val="auto"/>
        </w:rPr>
      </w:pPr>
    </w:p>
    <w:p>
      <w:pPr>
        <w:ind w:right="80" w:firstLine="762"/>
        <w:spacing w:after="0" w:line="236" w:lineRule="auto"/>
        <w:rPr>
          <w:sz w:val="20"/>
          <w:szCs w:val="20"/>
          <w:color w:val="auto"/>
        </w:rPr>
      </w:pPr>
      <w:r>
        <w:rPr>
          <w:rFonts w:ascii="Arial" w:cs="Arial" w:eastAsia="Arial" w:hAnsi="Arial"/>
          <w:sz w:val="18"/>
          <w:szCs w:val="18"/>
          <w:color w:val="auto"/>
        </w:rPr>
        <w:t>As further discussed in Note 9 – Vehicle Floorplan Facilities, the Company entered into a new facility in March 2020 which increased the borrowing capacity to $450.0 million. In October 2020, the Vehicle Floorplan Facility was amended to extend the maturity date to September 2022.</w:t>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Nonemployee Share-Based Payments</w:t>
      </w:r>
    </w:p>
    <w:p>
      <w:pPr>
        <w:spacing w:after="0" w:line="134" w:lineRule="exact"/>
        <w:rPr>
          <w:sz w:val="20"/>
          <w:szCs w:val="20"/>
          <w:color w:val="auto"/>
        </w:rPr>
      </w:pPr>
    </w:p>
    <w:p>
      <w:pPr>
        <w:ind w:right="100" w:firstLine="762"/>
        <w:spacing w:after="0" w:line="233" w:lineRule="auto"/>
        <w:rPr>
          <w:sz w:val="20"/>
          <w:szCs w:val="20"/>
          <w:color w:val="auto"/>
        </w:rPr>
      </w:pPr>
      <w:r>
        <w:rPr>
          <w:rFonts w:ascii="Arial" w:cs="Arial" w:eastAsia="Arial" w:hAnsi="Arial"/>
          <w:sz w:val="18"/>
          <w:szCs w:val="18"/>
          <w:color w:val="auto"/>
        </w:rPr>
        <w:t>On May 15, 2020, the Company entered into an agreement with Rocket Auto LLC and certain of its affiliates (collectively, “Rocket”) providing for the launch of an ecommerce platform under the “Rocket Auto” brand for the marketing and sale of vehicles directly to consumers (the “RA Agreement”). The Company will list its used vehicle inventory for sale on the Rocket Auto platform, but all sales of the Company’s inventory will be conducted through the Company’s platform. Rocket Auto is expected to launch publicly during 2021 and, during the term of the RA Agreement, Rocket has agreed to ensure that not less than a minimum percentage of all used vehicles sold or leased through the platform on a monthly basis will be Vroom inventory. The Company issued Rocket 183,870 shares of the Company’s common stock upon execution of the RA Agreement. The Company will pay Rocket a combination of cash and stock for vehicle sales made through the platform. Rocket may earn up to 8,641,914 shares of common stock over a four-year period based upon sales volume of Vroom inventory through the Rocket Auto platform.</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50800</wp:posOffset>
            </wp:positionV>
            <wp:extent cx="715962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VROOM, INC.</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41" w:lineRule="exact"/>
        <w:rPr>
          <w:sz w:val="20"/>
          <w:szCs w:val="20"/>
          <w:color w:val="auto"/>
        </w:rPr>
      </w:pPr>
    </w:p>
    <w:p>
      <w:pPr>
        <w:ind w:right="20" w:firstLine="762"/>
        <w:spacing w:after="0" w:line="235" w:lineRule="auto"/>
        <w:rPr>
          <w:sz w:val="20"/>
          <w:szCs w:val="20"/>
          <w:color w:val="auto"/>
        </w:rPr>
      </w:pPr>
      <w:r>
        <w:rPr>
          <w:rFonts w:ascii="Arial" w:cs="Arial" w:eastAsia="Arial" w:hAnsi="Arial"/>
          <w:sz w:val="18"/>
          <w:szCs w:val="18"/>
          <w:color w:val="auto"/>
        </w:rPr>
        <w:t xml:space="preserve">The Company accounts for the issuance of its common stock under the RA agreement in accordance with ASC 718, </w:t>
      </w:r>
      <w:r>
        <w:rPr>
          <w:rFonts w:ascii="Arial" w:cs="Arial" w:eastAsia="Arial" w:hAnsi="Arial"/>
          <w:sz w:val="18"/>
          <w:szCs w:val="18"/>
          <w:i w:val="1"/>
          <w:iCs w:val="1"/>
          <w:color w:val="auto"/>
        </w:rPr>
        <w:t>Compensation –</w:t>
      </w:r>
      <w:r>
        <w:rPr>
          <w:rFonts w:ascii="Arial" w:cs="Arial" w:eastAsia="Arial" w:hAnsi="Arial"/>
          <w:sz w:val="18"/>
          <w:szCs w:val="18"/>
          <w:color w:val="auto"/>
        </w:rPr>
        <w:t xml:space="preserve"> </w:t>
      </w:r>
      <w:r>
        <w:rPr>
          <w:rFonts w:ascii="Arial" w:cs="Arial" w:eastAsia="Arial" w:hAnsi="Arial"/>
          <w:sz w:val="18"/>
          <w:szCs w:val="18"/>
          <w:i w:val="1"/>
          <w:iCs w:val="1"/>
          <w:color w:val="auto"/>
        </w:rPr>
        <w:t>Stock Compensation</w:t>
      </w:r>
      <w:r>
        <w:rPr>
          <w:rFonts w:ascii="Arial" w:cs="Arial" w:eastAsia="Arial" w:hAnsi="Arial"/>
          <w:sz w:val="18"/>
          <w:szCs w:val="18"/>
          <w:color w:val="auto"/>
        </w:rPr>
        <w:t>, including the provisions that apply to share-based payments issued to nonemployees for goods or services.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determined that the grant date was May 15, 2020 for both the upfront shares issued and the additional shares that potentially are to be issued based on sales volume through the Rocket Auto platform. The fair value of the Company’s common stock on the grant date was determined to be $11.57 per share. The grant date fair value of the upfront shares issued was initially recognized as an asset within “Other assets” in the condensed consolidated balance sheet, which will subsequently be amortized within “Selling, general and administrative expenses” over the term of the RA agreement commencing on the launch date. The grant date fair value of the potential shares to be issued will be recognized within “Selling, general and administrative expenses” as sales of Vroom’s inventory associated with the Rocket Auto platform occur and such shares are earned.</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Standards Adopted</w:t>
      </w:r>
    </w:p>
    <w:p>
      <w:pPr>
        <w:spacing w:after="0" w:line="116" w:lineRule="exact"/>
        <w:rPr>
          <w:sz w:val="20"/>
          <w:szCs w:val="20"/>
          <w:color w:val="auto"/>
        </w:rPr>
      </w:pPr>
    </w:p>
    <w:p>
      <w:pPr>
        <w:jc w:val="both"/>
        <w:ind w:right="240" w:firstLine="749"/>
        <w:spacing w:after="0" w:line="238" w:lineRule="auto"/>
        <w:rPr>
          <w:sz w:val="20"/>
          <w:szCs w:val="20"/>
          <w:color w:val="auto"/>
        </w:rPr>
      </w:pPr>
      <w:r>
        <w:rPr>
          <w:rFonts w:ascii="Arial" w:cs="Arial" w:eastAsia="Arial" w:hAnsi="Arial"/>
          <w:sz w:val="18"/>
          <w:szCs w:val="18"/>
          <w:color w:val="auto"/>
        </w:rPr>
        <w:t xml:space="preserve">In December 2019, the FASB issued ASU 2019-12, </w:t>
      </w:r>
      <w:r>
        <w:rPr>
          <w:rFonts w:ascii="Arial" w:cs="Arial" w:eastAsia="Arial" w:hAnsi="Arial"/>
          <w:sz w:val="18"/>
          <w:szCs w:val="18"/>
          <w:i w:val="1"/>
          <w:iCs w:val="1"/>
          <w:color w:val="auto"/>
        </w:rPr>
        <w:t>Income Taxes (Topic 740): Simplifying the Accounting for Income Taxes</w:t>
      </w:r>
      <w:r>
        <w:rPr>
          <w:rFonts w:ascii="Arial" w:cs="Arial" w:eastAsia="Arial" w:hAnsi="Arial"/>
          <w:sz w:val="18"/>
          <w:szCs w:val="18"/>
          <w:color w:val="auto"/>
        </w:rPr>
        <w:t>, which enhances and simplifies various aspects of the income tax accounting guidance including the elimination of certain exceptions related to the approach for intraperiod tax allocation, the methodology for calculating income taxes in an interim period and the recognition of deferred tax liabilities for outside basis differences. The Company adopted the guidance on January 1, 2021 which did not have a material impact on the Company’s condensed consolidated financial statements and related disclosures.</w:t>
      </w:r>
    </w:p>
    <w:p>
      <w:pPr>
        <w:spacing w:after="0" w:line="212" w:lineRule="exact"/>
        <w:rPr>
          <w:sz w:val="20"/>
          <w:szCs w:val="20"/>
          <w:color w:val="auto"/>
        </w:rPr>
      </w:pPr>
    </w:p>
    <w:p>
      <w:pPr>
        <w:ind w:right="180" w:firstLine="749"/>
        <w:spacing w:after="0" w:line="288" w:lineRule="auto"/>
        <w:rPr>
          <w:sz w:val="20"/>
          <w:szCs w:val="20"/>
          <w:color w:val="auto"/>
        </w:rPr>
      </w:pPr>
      <w:r>
        <w:rPr>
          <w:rFonts w:ascii="Arial" w:cs="Arial" w:eastAsia="Arial" w:hAnsi="Arial"/>
          <w:sz w:val="17"/>
          <w:szCs w:val="17"/>
          <w:color w:val="auto"/>
        </w:rPr>
        <w:t xml:space="preserve">In August 2020, the FASB issued ASU 2020-06, </w:t>
      </w:r>
      <w:r>
        <w:rPr>
          <w:rFonts w:ascii="Arial" w:cs="Arial" w:eastAsia="Arial" w:hAnsi="Arial"/>
          <w:sz w:val="17"/>
          <w:szCs w:val="17"/>
          <w:i w:val="1"/>
          <w:iCs w:val="1"/>
          <w:color w:val="auto"/>
        </w:rPr>
        <w:t>Debt</w:t>
      </w:r>
      <w:r>
        <w:rPr>
          <w:rFonts w:ascii="Arial" w:cs="Arial" w:eastAsia="Arial" w:hAnsi="Arial"/>
          <w:sz w:val="17"/>
          <w:szCs w:val="17"/>
          <w:color w:val="auto"/>
        </w:rPr>
        <w:t xml:space="preserve"> – </w:t>
      </w:r>
      <w:r>
        <w:rPr>
          <w:rFonts w:ascii="Arial" w:cs="Arial" w:eastAsia="Arial" w:hAnsi="Arial"/>
          <w:sz w:val="17"/>
          <w:szCs w:val="17"/>
          <w:i w:val="1"/>
          <w:iCs w:val="1"/>
          <w:color w:val="auto"/>
        </w:rPr>
        <w:t>Debt with Conversion and Other Options (Subtopic 470-20) and Derivatives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and Hedging </w:t>
      </w:r>
      <w:r>
        <w:rPr>
          <w:rFonts w:ascii="Arial" w:cs="Arial" w:eastAsia="Arial" w:hAnsi="Arial"/>
          <w:sz w:val="17"/>
          <w:szCs w:val="17"/>
          <w:color w:val="auto"/>
        </w:rPr>
        <w:t>–</w:t>
      </w:r>
      <w:r>
        <w:rPr>
          <w:rFonts w:ascii="Arial" w:cs="Arial" w:eastAsia="Arial" w:hAnsi="Arial"/>
          <w:sz w:val="17"/>
          <w:szCs w:val="17"/>
          <w:i w:val="1"/>
          <w:iCs w:val="1"/>
          <w:color w:val="auto"/>
        </w:rPr>
        <w:t xml:space="preserve"> Contracts in Entity’s Own Equity (Subtopic 815-40): Accounting for Convertible Instruments and Contracts in an Entity’s Own</w:t>
      </w:r>
    </w:p>
    <w:p>
      <w:pPr>
        <w:spacing w:after="0" w:line="1" w:lineRule="exact"/>
        <w:rPr>
          <w:sz w:val="20"/>
          <w:szCs w:val="20"/>
          <w:color w:val="auto"/>
        </w:rPr>
      </w:pPr>
    </w:p>
    <w:p>
      <w:pPr>
        <w:spacing w:after="0" w:line="235" w:lineRule="auto"/>
        <w:rPr>
          <w:sz w:val="20"/>
          <w:szCs w:val="20"/>
          <w:color w:val="auto"/>
        </w:rPr>
      </w:pPr>
      <w:r>
        <w:rPr>
          <w:rFonts w:ascii="Arial" w:cs="Arial" w:eastAsia="Arial" w:hAnsi="Arial"/>
          <w:sz w:val="18"/>
          <w:szCs w:val="18"/>
          <w:i w:val="1"/>
          <w:iCs w:val="1"/>
          <w:color w:val="auto"/>
        </w:rPr>
        <w:t>Equity</w:t>
      </w:r>
      <w:r>
        <w:rPr>
          <w:rFonts w:ascii="Arial" w:cs="Arial" w:eastAsia="Arial" w:hAnsi="Arial"/>
          <w:sz w:val="18"/>
          <w:szCs w:val="18"/>
          <w:color w:val="auto"/>
        </w:rPr>
        <w:t>, which simplifies the issuer’s accounting for convertible debt instruments and amended certain guidance related to the computation of</w:t>
      </w:r>
      <w:r>
        <w:rPr>
          <w:rFonts w:ascii="Arial" w:cs="Arial" w:eastAsia="Arial" w:hAnsi="Arial"/>
          <w:sz w:val="18"/>
          <w:szCs w:val="18"/>
          <w:i w:val="1"/>
          <w:iCs w:val="1"/>
          <w:color w:val="auto"/>
        </w:rPr>
        <w:t xml:space="preserve"> </w:t>
      </w:r>
      <w:r>
        <w:rPr>
          <w:rFonts w:ascii="Arial" w:cs="Arial" w:eastAsia="Arial" w:hAnsi="Arial"/>
          <w:sz w:val="18"/>
          <w:szCs w:val="18"/>
          <w:color w:val="auto"/>
        </w:rPr>
        <w:t>earnings per share for convertible instruments and contracts in an entity’s own equity. The Company early adopted the new guidance effective January 1, 2021. There was no impact on the date of adoption. During the three months ended June 30, 2021, the Company issued convertible notes. Refer to Note 10 – Long-term Debt for further discussion.</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Revenue Recognition</w:t>
      </w:r>
    </w:p>
    <w:p>
      <w:pPr>
        <w:spacing w:after="0" w:line="121" w:lineRule="exact"/>
        <w:rPr>
          <w:sz w:val="20"/>
          <w:szCs w:val="20"/>
          <w:color w:val="auto"/>
        </w:rPr>
      </w:pPr>
    </w:p>
    <w:p>
      <w:pPr>
        <w:ind w:right="40" w:firstLine="762"/>
        <w:spacing w:after="0" w:line="235" w:lineRule="auto"/>
        <w:rPr>
          <w:sz w:val="20"/>
          <w:szCs w:val="20"/>
          <w:color w:val="auto"/>
        </w:rPr>
      </w:pPr>
      <w:r>
        <w:rPr>
          <w:rFonts w:ascii="Arial" w:cs="Arial" w:eastAsia="Arial" w:hAnsi="Arial"/>
          <w:sz w:val="18"/>
          <w:szCs w:val="18"/>
          <w:color w:val="auto"/>
        </w:rPr>
        <w:t>The Company recognizes revenue upon transfer of control of goods or services to customers, in an amount that reflects the consideration to which the Company expects to be entitled in exchange for those goods or services. The Company may collect sales taxes and other taxes from customers on behalf of governmental authorities at the time of sale as required. These taxes are accounted for on a net basis and are not included in revenues or cost of sales.</w:t>
      </w:r>
    </w:p>
    <w:p>
      <w:pPr>
        <w:spacing w:after="0" w:line="201" w:lineRule="exact"/>
        <w:rPr>
          <w:sz w:val="20"/>
          <w:szCs w:val="20"/>
          <w:color w:val="auto"/>
        </w:rPr>
      </w:pPr>
    </w:p>
    <w:p>
      <w:pPr>
        <w:ind w:right="660" w:firstLine="762"/>
        <w:spacing w:after="0" w:line="239" w:lineRule="auto"/>
        <w:rPr>
          <w:sz w:val="20"/>
          <w:szCs w:val="20"/>
          <w:color w:val="auto"/>
        </w:rPr>
      </w:pPr>
      <w:r>
        <w:rPr>
          <w:rFonts w:ascii="Arial" w:cs="Arial" w:eastAsia="Arial" w:hAnsi="Arial"/>
          <w:sz w:val="18"/>
          <w:szCs w:val="18"/>
          <w:color w:val="auto"/>
        </w:rPr>
        <w:t>The Company’s revenue is disaggregated within the condensed consolidated statements of operations and is generated from customers throughout the United States. The Company recognizes revenue at a point in time as described below.</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Retail Vehicle Revenue</w:t>
      </w:r>
    </w:p>
    <w:p>
      <w:pPr>
        <w:spacing w:after="0" w:line="121" w:lineRule="exact"/>
        <w:rPr>
          <w:sz w:val="20"/>
          <w:szCs w:val="20"/>
          <w:color w:val="auto"/>
        </w:rPr>
      </w:pPr>
    </w:p>
    <w:p>
      <w:pPr>
        <w:ind w:right="20" w:firstLine="762"/>
        <w:spacing w:after="0" w:line="233" w:lineRule="auto"/>
        <w:rPr>
          <w:sz w:val="20"/>
          <w:szCs w:val="20"/>
          <w:color w:val="auto"/>
        </w:rPr>
      </w:pPr>
      <w:r>
        <w:rPr>
          <w:rFonts w:ascii="Arial" w:cs="Arial" w:eastAsia="Arial" w:hAnsi="Arial"/>
          <w:sz w:val="18"/>
          <w:szCs w:val="18"/>
          <w:color w:val="auto"/>
        </w:rPr>
        <w:t>The Company sells used vehicles to its retail customers through its ecommerce platform and TDA retail location. The transaction price for used vehicles is a fixed amount as set forth within the customer contract at the time of sale. Customers frequently trade-in their existing vehicle to apply toward the transaction price of a used vehicle. Trade-in vehicles represent non-cash consideration which the Company measures at fair value based on external and internal market data for each specific vehicle. The Company satisfies its performance obligation and recognizes revenue for used vehicle sales generally at a point in time when the vehicles are delivered to the customer for ecommerce sales or picked up by the customer for TDA sales. The revenue recognized by the Company includes the agreed upon transaction price, including any delivery charges stated within the customer contract. Revenue excludes any sales taxes, title and registration fees, and other government fees that are collected from customers.</w:t>
      </w:r>
    </w:p>
    <w:p>
      <w:pPr>
        <w:spacing w:after="0" w:line="203" w:lineRule="exact"/>
        <w:rPr>
          <w:sz w:val="20"/>
          <w:szCs w:val="20"/>
          <w:color w:val="auto"/>
        </w:rPr>
      </w:pPr>
    </w:p>
    <w:p>
      <w:pPr>
        <w:ind w:right="280" w:firstLine="762"/>
        <w:spacing w:after="0" w:line="236" w:lineRule="auto"/>
        <w:rPr>
          <w:sz w:val="20"/>
          <w:szCs w:val="20"/>
          <w:color w:val="auto"/>
        </w:rPr>
      </w:pPr>
      <w:r>
        <w:rPr>
          <w:rFonts w:ascii="Arial" w:cs="Arial" w:eastAsia="Arial" w:hAnsi="Arial"/>
          <w:sz w:val="18"/>
          <w:szCs w:val="18"/>
          <w:color w:val="auto"/>
        </w:rPr>
        <w:t>The Company receives payment for used vehicle sales directly from the customer at the time of sale or from third-party financial institutions within a short period of time following the sale if the customer obtains financing. Payments received prior to delivery or pick-up of used vehicles are recorded as “Deferred revenue” within the condensed consolidated balance sheets.</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50800</wp:posOffset>
            </wp:positionV>
            <wp:extent cx="715962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VROOM, INC.</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19" w:lineRule="exact"/>
        <w:rPr>
          <w:sz w:val="20"/>
          <w:szCs w:val="20"/>
          <w:color w:val="auto"/>
        </w:rPr>
      </w:pPr>
    </w:p>
    <w:p>
      <w:pPr>
        <w:ind w:right="220" w:firstLine="762"/>
        <w:spacing w:after="0" w:line="236" w:lineRule="auto"/>
        <w:rPr>
          <w:sz w:val="20"/>
          <w:szCs w:val="20"/>
          <w:color w:val="auto"/>
        </w:rPr>
      </w:pPr>
      <w:r>
        <w:rPr>
          <w:rFonts w:ascii="Arial" w:cs="Arial" w:eastAsia="Arial" w:hAnsi="Arial"/>
          <w:sz w:val="18"/>
          <w:szCs w:val="18"/>
          <w:color w:val="auto"/>
        </w:rPr>
        <w:t>The Company offers a return program for used vehicle sales and establishes a provision for estimated returns based on historical information and current trends. The reserve for estimated returns is presented gross on the condensed consolidated balance sheets, with an asset recorded in “Prepaid expenses and other current assets” and a refund liability recorded in “Other current liabilities.”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Wholesale Vehicle Revenue</w:t>
      </w:r>
    </w:p>
    <w:p>
      <w:pPr>
        <w:spacing w:after="0" w:line="121" w:lineRule="exact"/>
        <w:rPr>
          <w:sz w:val="20"/>
          <w:szCs w:val="20"/>
          <w:color w:val="auto"/>
        </w:rPr>
      </w:pPr>
    </w:p>
    <w:p>
      <w:pPr>
        <w:ind w:right="60" w:firstLine="762"/>
        <w:spacing w:after="0" w:line="234" w:lineRule="auto"/>
        <w:rPr>
          <w:sz w:val="20"/>
          <w:szCs w:val="20"/>
          <w:color w:val="auto"/>
        </w:rPr>
      </w:pPr>
      <w:r>
        <w:rPr>
          <w:rFonts w:ascii="Arial" w:cs="Arial" w:eastAsia="Arial" w:hAnsi="Arial"/>
          <w:sz w:val="18"/>
          <w:szCs w:val="18"/>
          <w:color w:val="auto"/>
        </w:rPr>
        <w:t>The Company sells vehicles that do not meet its retail sales criteria through wholesale channels. Vehicles sold through wholesale channels are acquired from customers who trade-in their vehicles when making a purchase from the Company, from customers who sell their vehicles to the Company in direct-buy transactions, and from liquidation of vehicles previously listed for retail sale. The transaction price for wholesale vehicles is a fixed amount. The Company satisfies its performance obligation and recognizes revenue for wholesale vehicle sales at a point in time when the vehicle is sold. The transaction price is typically due and collected within a short period of time following the vehicle sales.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Revenue</w:t>
      </w:r>
    </w:p>
    <w:p>
      <w:pPr>
        <w:spacing w:after="0" w:line="121" w:lineRule="exact"/>
        <w:rPr>
          <w:sz w:val="20"/>
          <w:szCs w:val="20"/>
          <w:color w:val="auto"/>
        </w:rPr>
      </w:pPr>
    </w:p>
    <w:p>
      <w:pPr>
        <w:ind w:firstLine="762"/>
        <w:spacing w:after="0" w:line="234" w:lineRule="auto"/>
        <w:rPr>
          <w:sz w:val="20"/>
          <w:szCs w:val="20"/>
          <w:color w:val="auto"/>
        </w:rPr>
      </w:pPr>
      <w:r>
        <w:rPr>
          <w:rFonts w:ascii="Arial" w:cs="Arial" w:eastAsia="Arial" w:hAnsi="Arial"/>
          <w:sz w:val="18"/>
          <w:szCs w:val="18"/>
          <w:color w:val="auto"/>
        </w:rPr>
        <w:t>The Company’s product revenue consists of fees earned on selling vehicle service contracts, guaranteed asset protection (“GAP”) and tire and wheel coverage. The Company sells these products pursuant to arrangements with the third parties that provide these products and are responsible for their fulfillment. The Company concluded that it is an agent for these transactions because it does not control the products before they are transferred to the customer. The Company recognizes product revenues on a net basis when the customer enters into an arrangement for the products, which is typically at the time of a used vehicle sale.</w:t>
      </w:r>
    </w:p>
    <w:p>
      <w:pPr>
        <w:spacing w:after="0" w:line="202" w:lineRule="exact"/>
        <w:rPr>
          <w:sz w:val="20"/>
          <w:szCs w:val="20"/>
          <w:color w:val="auto"/>
        </w:rPr>
      </w:pPr>
    </w:p>
    <w:p>
      <w:pPr>
        <w:ind w:right="480" w:firstLine="762"/>
        <w:spacing w:after="0" w:line="234" w:lineRule="auto"/>
        <w:rPr>
          <w:sz w:val="20"/>
          <w:szCs w:val="20"/>
          <w:color w:val="auto"/>
        </w:rPr>
      </w:pPr>
      <w:r>
        <w:rPr>
          <w:rFonts w:ascii="Arial" w:cs="Arial" w:eastAsia="Arial" w:hAnsi="Arial"/>
          <w:sz w:val="18"/>
          <w:szCs w:val="18"/>
          <w:color w:val="auto"/>
        </w:rPr>
        <w:t>Customers may enter into a retail installment sales contract to finance the purchase of used vehicles. The Company sells these contracts on a non-recourse basis to various financial institutions. The Company receives a fee from the financial institution based on the difference between the interest rate charged to the customer that purchased the used vehicle and the interest rate set by the financial institution. These fees are recognized upon sale and assignment of the installment sales contract to the financial institution, which occurs concurrently at the time of a used vehicle sale.</w:t>
      </w:r>
    </w:p>
    <w:p>
      <w:pPr>
        <w:spacing w:after="0" w:line="202" w:lineRule="exact"/>
        <w:rPr>
          <w:sz w:val="20"/>
          <w:szCs w:val="20"/>
          <w:color w:val="auto"/>
        </w:rPr>
      </w:pPr>
    </w:p>
    <w:p>
      <w:pPr>
        <w:ind w:right="140" w:firstLine="762"/>
        <w:spacing w:after="0" w:line="233" w:lineRule="auto"/>
        <w:rPr>
          <w:sz w:val="20"/>
          <w:szCs w:val="20"/>
          <w:color w:val="auto"/>
        </w:rPr>
      </w:pPr>
      <w:r>
        <w:rPr>
          <w:rFonts w:ascii="Arial" w:cs="Arial" w:eastAsia="Arial" w:hAnsi="Arial"/>
          <w:sz w:val="18"/>
          <w:szCs w:val="18"/>
          <w:color w:val="auto"/>
        </w:rPr>
        <w:t>A portion of the fees earned on these products is subject to chargebacks in the event of early termination, default, or prepayment of the contracts by end-customers. The Company’s exposure for these events is limited to the fees that it receives. An estimated refund liability for chargebacks against the revenue recognized from sales of these products is recorded in the period in which the related revenue is recognized and is based primarily on the Company’s historical chargeback experience. The Company updates its estimates at each reporting date. As of June 30, 2021 and December 31, 2020, the Company’s reserve for chargebacks was $6.9 million and $3.8 million, respectively, of which $3.3 million and $1.7 million, respectively, are included within “Accrued expenses” and $3.6 million and $2.1 million, respectively, are included in “Other long-term liabilities.”</w:t>
      </w:r>
    </w:p>
    <w:p>
      <w:pPr>
        <w:spacing w:after="0" w:line="19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Company also is contractually entitled to receive profit-sharing revenues based on the performance of the vehicle service</w:t>
      </w:r>
    </w:p>
    <w:p>
      <w:pPr>
        <w:spacing w:after="0"/>
        <w:rPr>
          <w:sz w:val="20"/>
          <w:szCs w:val="20"/>
          <w:color w:val="auto"/>
        </w:rPr>
      </w:pPr>
      <w:r>
        <w:rPr>
          <w:rFonts w:ascii="Arial" w:cs="Arial" w:eastAsia="Arial" w:hAnsi="Arial"/>
          <w:sz w:val="17"/>
          <w:szCs w:val="17"/>
          <w:color w:val="auto"/>
        </w:rPr>
        <w:t>policies once a required claims period has passed. The Company recognizes profit-sharing revenues to the extent it is probable that it will not</w:t>
      </w:r>
    </w:p>
    <w:p>
      <w:pPr>
        <w:spacing w:after="0" w:line="236" w:lineRule="auto"/>
        <w:rPr>
          <w:sz w:val="20"/>
          <w:szCs w:val="20"/>
          <w:color w:val="auto"/>
        </w:rPr>
      </w:pPr>
      <w:r>
        <w:rPr>
          <w:rFonts w:ascii="Arial" w:cs="Arial" w:eastAsia="Arial" w:hAnsi="Arial"/>
          <w:sz w:val="18"/>
          <w:szCs w:val="18"/>
          <w:color w:val="auto"/>
        </w:rPr>
        <w:t>result in a significant revenue reversal. The Company estimates the revenue based on historical claims and cancellation data from its</w:t>
      </w:r>
    </w:p>
    <w:p>
      <w:pPr>
        <w:spacing w:after="0" w:line="231" w:lineRule="auto"/>
        <w:rPr>
          <w:sz w:val="20"/>
          <w:szCs w:val="20"/>
          <w:color w:val="auto"/>
        </w:rPr>
      </w:pPr>
      <w:r>
        <w:rPr>
          <w:rFonts w:ascii="Arial" w:cs="Arial" w:eastAsia="Arial" w:hAnsi="Arial"/>
          <w:sz w:val="18"/>
          <w:szCs w:val="18"/>
          <w:color w:val="auto"/>
        </w:rPr>
        <w:t>customers, as well as other qualitative assumptions. The Company reassesses the estimate at each reporting period with any changes</w:t>
      </w:r>
    </w:p>
    <w:p>
      <w:pPr>
        <w:spacing w:after="0" w:line="232" w:lineRule="auto"/>
        <w:rPr>
          <w:sz w:val="20"/>
          <w:szCs w:val="20"/>
          <w:color w:val="auto"/>
        </w:rPr>
      </w:pPr>
      <w:r>
        <w:rPr>
          <w:rFonts w:ascii="Arial" w:cs="Arial" w:eastAsia="Arial" w:hAnsi="Arial"/>
          <w:sz w:val="18"/>
          <w:szCs w:val="18"/>
          <w:color w:val="auto"/>
        </w:rPr>
        <w:t>reflected as an adjustment to revenues in the period identified. As of June 30, 2021 and December 31, 2020, the Company recognized</w:t>
      </w:r>
    </w:p>
    <w:p>
      <w:pPr>
        <w:spacing w:after="0" w:line="231" w:lineRule="auto"/>
        <w:rPr>
          <w:sz w:val="20"/>
          <w:szCs w:val="20"/>
          <w:color w:val="auto"/>
        </w:rPr>
      </w:pPr>
      <w:r>
        <w:rPr>
          <w:rFonts w:ascii="Arial" w:cs="Arial" w:eastAsia="Arial" w:hAnsi="Arial"/>
          <w:sz w:val="18"/>
          <w:szCs w:val="18"/>
          <w:color w:val="auto"/>
        </w:rPr>
        <w:t>$15.1 million and $11.5 million, respectively, related to cumulative profit-sharing payments to which it expects to be entitled, of which $0.9</w:t>
      </w:r>
    </w:p>
    <w:p>
      <w:pPr>
        <w:spacing w:after="0" w:line="232" w:lineRule="auto"/>
        <w:rPr>
          <w:sz w:val="20"/>
          <w:szCs w:val="20"/>
          <w:color w:val="auto"/>
        </w:rPr>
      </w:pPr>
      <w:r>
        <w:rPr>
          <w:rFonts w:ascii="Arial" w:cs="Arial" w:eastAsia="Arial" w:hAnsi="Arial"/>
          <w:sz w:val="18"/>
          <w:szCs w:val="18"/>
          <w:color w:val="auto"/>
        </w:rPr>
        <w:t>million and $0.8 million, respectively, are included within “Prepaid expenses and other current assets” and $14.2 million and $10.7 million,</w:t>
      </w:r>
    </w:p>
    <w:p>
      <w:pPr>
        <w:spacing w:after="0"/>
        <w:rPr>
          <w:sz w:val="20"/>
          <w:szCs w:val="20"/>
          <w:color w:val="auto"/>
        </w:rPr>
      </w:pPr>
      <w:r>
        <w:rPr>
          <w:rFonts w:ascii="Arial" w:cs="Arial" w:eastAsia="Arial" w:hAnsi="Arial"/>
          <w:sz w:val="18"/>
          <w:szCs w:val="18"/>
          <w:color w:val="auto"/>
        </w:rPr>
        <w:t>respectively, are included within “Other assets.”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Revenue</w:t>
      </w:r>
    </w:p>
    <w:p>
      <w:pPr>
        <w:spacing w:after="0" w:line="121" w:lineRule="exact"/>
        <w:rPr>
          <w:sz w:val="20"/>
          <w:szCs w:val="20"/>
          <w:color w:val="auto"/>
        </w:rPr>
      </w:pPr>
    </w:p>
    <w:p>
      <w:pPr>
        <w:ind w:right="260" w:firstLine="762"/>
        <w:spacing w:after="0" w:line="239" w:lineRule="auto"/>
        <w:rPr>
          <w:sz w:val="20"/>
          <w:szCs w:val="20"/>
          <w:color w:val="auto"/>
        </w:rPr>
      </w:pPr>
      <w:r>
        <w:rPr>
          <w:rFonts w:ascii="Arial" w:cs="Arial" w:eastAsia="Arial" w:hAnsi="Arial"/>
          <w:sz w:val="18"/>
          <w:szCs w:val="18"/>
          <w:color w:val="auto"/>
        </w:rPr>
        <w:t>Other revenue consists of labor and parts revenue earned by the Company for vehicle repair services at TDA and, commencing in the first quarter of 2021, revenue from CarStory.</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50800</wp:posOffset>
            </wp:positionV>
            <wp:extent cx="715962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VROOM, INC.</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Costs</w:t>
      </w:r>
    </w:p>
    <w:p>
      <w:pPr>
        <w:spacing w:after="0" w:line="121" w:lineRule="exact"/>
        <w:rPr>
          <w:sz w:val="20"/>
          <w:szCs w:val="20"/>
          <w:color w:val="auto"/>
        </w:rPr>
      </w:pPr>
    </w:p>
    <w:p>
      <w:pPr>
        <w:ind w:right="200" w:firstLine="749"/>
        <w:spacing w:after="0" w:line="261" w:lineRule="auto"/>
        <w:rPr>
          <w:sz w:val="20"/>
          <w:szCs w:val="20"/>
          <w:color w:val="auto"/>
        </w:rPr>
      </w:pPr>
      <w:r>
        <w:rPr>
          <w:rFonts w:ascii="Arial" w:cs="Arial" w:eastAsia="Arial" w:hAnsi="Arial"/>
          <w:sz w:val="17"/>
          <w:szCs w:val="17"/>
          <w:color w:val="auto"/>
        </w:rPr>
        <w:t>The Company has elected, as a practical expedient, to expense sales commissions when incurred because the amortization period would have been less than one year. These costs are recorded within “Selling, general and administrative expenses” in the condensed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statements of operations.</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Acquisition</w:t>
      </w:r>
    </w:p>
    <w:p>
      <w:pPr>
        <w:spacing w:after="0" w:line="121" w:lineRule="exact"/>
        <w:rPr>
          <w:sz w:val="20"/>
          <w:szCs w:val="20"/>
          <w:color w:val="auto"/>
        </w:rPr>
      </w:pPr>
    </w:p>
    <w:p>
      <w:pPr>
        <w:ind w:right="120" w:firstLine="749"/>
        <w:spacing w:after="0" w:line="233" w:lineRule="auto"/>
        <w:rPr>
          <w:sz w:val="20"/>
          <w:szCs w:val="20"/>
          <w:color w:val="auto"/>
        </w:rPr>
      </w:pPr>
      <w:r>
        <w:rPr>
          <w:rFonts w:ascii="Arial" w:cs="Arial" w:eastAsia="Arial" w:hAnsi="Arial"/>
          <w:sz w:val="18"/>
          <w:szCs w:val="18"/>
          <w:color w:val="auto"/>
        </w:rPr>
        <w:t>On January 7, 2021, the Company completed the acquisition of 100% of Vast Holdings, Inc. (d/b/a CarStory), a leader in AI-powered analytics and digital services for automotive retail. Leveraging its machine learning, CarStory brings predictive market data to the Company’s national ecommerce and vehicle operations platform. The Company expects CarStory to continue to offer its digital retailing services to dealers, automotive financial services companies and others in the automotive industry. The financial results of CarStory were included in the condensed consolidated financial statements from the date of acquisition and were not material for the three and six months ended June 30, 2021. The transaction costs associated with its acquisition were not material for the three and six months ended June 30, 2021. Pro forma results of operations have not been presented as the effect of this acquisition was not material to the condensed consolidated financial statements.</w:t>
      </w:r>
    </w:p>
    <w:p>
      <w:pPr>
        <w:spacing w:after="0" w:line="203" w:lineRule="exact"/>
        <w:rPr>
          <w:sz w:val="20"/>
          <w:szCs w:val="20"/>
          <w:color w:val="auto"/>
        </w:rPr>
      </w:pPr>
    </w:p>
    <w:p>
      <w:pPr>
        <w:ind w:right="120" w:firstLine="749"/>
        <w:spacing w:after="0" w:line="239" w:lineRule="auto"/>
        <w:rPr>
          <w:sz w:val="20"/>
          <w:szCs w:val="20"/>
          <w:color w:val="auto"/>
        </w:rPr>
      </w:pPr>
      <w:r>
        <w:rPr>
          <w:rFonts w:ascii="Arial" w:cs="Arial" w:eastAsia="Arial" w:hAnsi="Arial"/>
          <w:sz w:val="18"/>
          <w:szCs w:val="18"/>
          <w:color w:val="auto"/>
        </w:rPr>
        <w:t>The fair value of the consideration transferred to acquire Vast Holdings, Inc. was approximately $117.1 million at the acquisition date and consisted of the following (in thousands):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9240" w:type="dxa"/>
            <w:vAlign w:val="bottom"/>
            <w:tcBorders>
              <w:bottom w:val="single" w:sz="8" w:color="CFF0FC"/>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635"/>
              <w:spacing w:after="0"/>
              <w:rPr>
                <w:sz w:val="20"/>
                <w:szCs w:val="20"/>
                <w:color w:val="auto"/>
              </w:rPr>
            </w:pPr>
            <w:r>
              <w:rPr>
                <w:rFonts w:ascii="Arial" w:cs="Arial" w:eastAsia="Arial" w:hAnsi="Arial"/>
                <w:sz w:val="14"/>
                <w:szCs w:val="14"/>
                <w:b w:val="1"/>
                <w:bCs w:val="1"/>
                <w:color w:val="auto"/>
              </w:rPr>
              <w:t>Fair Value</w:t>
            </w:r>
          </w:p>
        </w:tc>
      </w:tr>
      <w:tr>
        <w:trPr>
          <w:trHeight w:val="212"/>
        </w:trPr>
        <w:tc>
          <w:tcPr>
            <w:tcW w:w="9240" w:type="dxa"/>
            <w:vAlign w:val="bottom"/>
            <w:shd w:val="clear" w:color="auto" w:fill="CFF0FC"/>
          </w:tcPr>
          <w:p>
            <w:pPr>
              <w:spacing w:after="0"/>
              <w:rPr>
                <w:sz w:val="20"/>
                <w:szCs w:val="20"/>
                <w:color w:val="auto"/>
              </w:rPr>
            </w:pPr>
            <w:r>
              <w:rPr>
                <w:rFonts w:ascii="Arial" w:cs="Arial" w:eastAsia="Arial" w:hAnsi="Arial"/>
                <w:sz w:val="18"/>
                <w:szCs w:val="18"/>
                <w:color w:val="auto"/>
              </w:rPr>
              <w:t>Cash</w:t>
            </w:r>
          </w:p>
        </w:tc>
        <w:tc>
          <w:tcPr>
            <w:tcW w:w="360" w:type="dxa"/>
            <w:vAlign w:val="bottom"/>
            <w:shd w:val="clear" w:color="auto" w:fill="CFF0FC"/>
          </w:tcPr>
          <w:p>
            <w:pPr>
              <w:jc w:val="right"/>
              <w:ind w:right="171"/>
              <w:spacing w:after="0"/>
              <w:rPr>
                <w:sz w:val="20"/>
                <w:szCs w:val="20"/>
                <w:color w:val="auto"/>
              </w:rPr>
            </w:pPr>
            <w:r>
              <w:rPr>
                <w:rFonts w:ascii="Arial" w:cs="Arial" w:eastAsia="Arial" w:hAnsi="Arial"/>
                <w:sz w:val="18"/>
                <w:szCs w:val="18"/>
                <w:color w:val="auto"/>
                <w:w w:val="79"/>
              </w:rPr>
              <w:t>$</w:t>
            </w:r>
          </w:p>
        </w:tc>
        <w:tc>
          <w:tcPr>
            <w:tcW w:w="164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77,010</w:t>
            </w:r>
          </w:p>
        </w:tc>
      </w:tr>
      <w:tr>
        <w:trPr>
          <w:trHeight w:val="213"/>
        </w:trPr>
        <w:tc>
          <w:tcPr>
            <w:tcW w:w="9240" w:type="dxa"/>
            <w:vAlign w:val="bottom"/>
          </w:tcPr>
          <w:p>
            <w:pPr>
              <w:spacing w:after="0"/>
              <w:rPr>
                <w:sz w:val="20"/>
                <w:szCs w:val="20"/>
                <w:color w:val="auto"/>
              </w:rPr>
            </w:pPr>
            <w:r>
              <w:rPr>
                <w:rFonts w:ascii="Arial" w:cs="Arial" w:eastAsia="Arial" w:hAnsi="Arial"/>
                <w:sz w:val="18"/>
                <w:szCs w:val="18"/>
                <w:color w:val="auto"/>
              </w:rPr>
              <w:t xml:space="preserve">Common stock issued </w:t>
            </w:r>
            <w:r>
              <w:rPr>
                <w:rFonts w:ascii="Arial" w:cs="Arial" w:eastAsia="Arial" w:hAnsi="Arial"/>
                <w:sz w:val="15"/>
                <w:szCs w:val="15"/>
                <w:color w:val="auto"/>
              </w:rPr>
              <w:t>(1)</w:t>
            </w:r>
          </w:p>
        </w:tc>
        <w:tc>
          <w:tcPr>
            <w:tcW w:w="360" w:type="dxa"/>
            <w:vAlign w:val="bottom"/>
          </w:tcPr>
          <w:p>
            <w:pPr>
              <w:spacing w:after="0"/>
              <w:rPr>
                <w:sz w:val="18"/>
                <w:szCs w:val="18"/>
                <w:color w:val="auto"/>
              </w:rPr>
            </w:pPr>
          </w:p>
        </w:tc>
        <w:tc>
          <w:tcPr>
            <w:tcW w:w="1640" w:type="dxa"/>
            <w:vAlign w:val="bottom"/>
          </w:tcPr>
          <w:p>
            <w:pPr>
              <w:jc w:val="right"/>
              <w:ind w:right="35"/>
              <w:spacing w:after="0"/>
              <w:rPr>
                <w:sz w:val="20"/>
                <w:szCs w:val="20"/>
                <w:color w:val="auto"/>
              </w:rPr>
            </w:pPr>
            <w:r>
              <w:rPr>
                <w:rFonts w:ascii="Arial" w:cs="Arial" w:eastAsia="Arial" w:hAnsi="Arial"/>
                <w:sz w:val="18"/>
                <w:szCs w:val="18"/>
                <w:color w:val="auto"/>
              </w:rPr>
              <w:t>39,030</w:t>
            </w:r>
          </w:p>
        </w:tc>
      </w:tr>
      <w:tr>
        <w:trPr>
          <w:trHeight w:val="213"/>
        </w:trPr>
        <w:tc>
          <w:tcPr>
            <w:tcW w:w="924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Fair value of unvested stock options assumed </w:t>
            </w:r>
            <w:r>
              <w:rPr>
                <w:rFonts w:ascii="Arial" w:cs="Arial" w:eastAsia="Arial" w:hAnsi="Arial"/>
                <w:sz w:val="15"/>
                <w:szCs w:val="15"/>
                <w:color w:val="auto"/>
              </w:rPr>
              <w:t>(2)</w:t>
            </w:r>
          </w:p>
        </w:tc>
        <w:tc>
          <w:tcPr>
            <w:tcW w:w="360" w:type="dxa"/>
            <w:vAlign w:val="bottom"/>
            <w:tcBorders>
              <w:bottom w:val="single" w:sz="8" w:color="auto"/>
            </w:tcBorders>
            <w:shd w:val="clear" w:color="auto" w:fill="CFF0FC"/>
          </w:tcPr>
          <w:p>
            <w:pPr>
              <w:spacing w:after="0"/>
              <w:rPr>
                <w:sz w:val="18"/>
                <w:szCs w:val="18"/>
                <w:color w:val="auto"/>
              </w:rPr>
            </w:pPr>
          </w:p>
        </w:tc>
        <w:tc>
          <w:tcPr>
            <w:tcW w:w="164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1,017</w:t>
            </w:r>
          </w:p>
        </w:tc>
      </w:tr>
      <w:tr>
        <w:trPr>
          <w:trHeight w:val="206"/>
        </w:trPr>
        <w:tc>
          <w:tcPr>
            <w:tcW w:w="9240" w:type="dxa"/>
            <w:vAlign w:val="bottom"/>
          </w:tcPr>
          <w:p>
            <w:pPr>
              <w:ind w:left="12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117,057</w:t>
            </w:r>
          </w:p>
        </w:tc>
      </w:tr>
      <w:tr>
        <w:trPr>
          <w:trHeight w:val="20"/>
        </w:trPr>
        <w:tc>
          <w:tcPr>
            <w:tcW w:w="9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44" w:lineRule="exact"/>
        <w:rPr>
          <w:sz w:val="20"/>
          <w:szCs w:val="20"/>
          <w:color w:val="auto"/>
        </w:rPr>
      </w:pPr>
    </w:p>
    <w:p>
      <w:pPr>
        <w:ind w:left="760" w:right="40" w:hanging="381"/>
        <w:spacing w:after="0" w:line="252" w:lineRule="auto"/>
        <w:tabs>
          <w:tab w:leader="none" w:pos="760" w:val="left"/>
        </w:tabs>
        <w:numPr>
          <w:ilvl w:val="0"/>
          <w:numId w:val="7"/>
        </w:numPr>
        <w:rPr>
          <w:rFonts w:ascii="Arial" w:cs="Arial" w:eastAsia="Arial" w:hAnsi="Arial"/>
          <w:sz w:val="14"/>
          <w:szCs w:val="14"/>
          <w:color w:val="auto"/>
        </w:rPr>
      </w:pPr>
      <w:r>
        <w:rPr>
          <w:rFonts w:ascii="Arial" w:cs="Arial" w:eastAsia="Arial" w:hAnsi="Arial"/>
          <w:sz w:val="14"/>
          <w:szCs w:val="14"/>
          <w:color w:val="auto"/>
        </w:rPr>
        <w:t>The Company issued 1,072,117 shares of common stock. The fair value of common stock was determined based on the closing market price on the date of acquisition discounted for a lack of marketability of 10.0% to account for the 180 day lock up period.</w:t>
      </w:r>
    </w:p>
    <w:p>
      <w:pPr>
        <w:spacing w:after="0" w:line="87" w:lineRule="exact"/>
        <w:rPr>
          <w:rFonts w:ascii="Arial" w:cs="Arial" w:eastAsia="Arial" w:hAnsi="Arial"/>
          <w:sz w:val="14"/>
          <w:szCs w:val="14"/>
          <w:color w:val="auto"/>
        </w:rPr>
      </w:pPr>
    </w:p>
    <w:p>
      <w:pPr>
        <w:ind w:left="760" w:right="220" w:hanging="381"/>
        <w:spacing w:after="0" w:line="252" w:lineRule="auto"/>
        <w:tabs>
          <w:tab w:leader="none" w:pos="760" w:val="left"/>
        </w:tabs>
        <w:numPr>
          <w:ilvl w:val="0"/>
          <w:numId w:val="7"/>
        </w:numPr>
        <w:rPr>
          <w:rFonts w:ascii="Arial" w:cs="Arial" w:eastAsia="Arial" w:hAnsi="Arial"/>
          <w:sz w:val="14"/>
          <w:szCs w:val="14"/>
          <w:color w:val="auto"/>
        </w:rPr>
      </w:pPr>
      <w:r>
        <w:rPr>
          <w:rFonts w:ascii="Arial" w:cs="Arial" w:eastAsia="Arial" w:hAnsi="Arial"/>
          <w:sz w:val="14"/>
          <w:szCs w:val="14"/>
          <w:color w:val="auto"/>
        </w:rPr>
        <w:t>The fair value of the unvested stock options assumed by the Company was determined using the Black-Scholes option pricing model. The share conversion ratio of 0.0392 was applied to convert CarStory’s outstanding equity awards for CarStory's common stock into equity awards for shares of the Company's common stock.</w:t>
      </w:r>
    </w:p>
    <w:p>
      <w:pPr>
        <w:spacing w:after="0" w:line="189" w:lineRule="exact"/>
        <w:rPr>
          <w:sz w:val="20"/>
          <w:szCs w:val="20"/>
          <w:color w:val="auto"/>
        </w:rPr>
      </w:pPr>
    </w:p>
    <w:p>
      <w:pPr>
        <w:ind w:right="300" w:firstLine="749"/>
        <w:spacing w:after="0" w:line="239" w:lineRule="auto"/>
        <w:rPr>
          <w:sz w:val="20"/>
          <w:szCs w:val="20"/>
          <w:color w:val="auto"/>
        </w:rPr>
      </w:pPr>
      <w:r>
        <w:rPr>
          <w:rFonts w:ascii="Arial" w:cs="Arial" w:eastAsia="Arial" w:hAnsi="Arial"/>
          <w:sz w:val="18"/>
          <w:szCs w:val="18"/>
          <w:color w:val="auto"/>
        </w:rPr>
        <w:t>The following table summarizes the fair value of the identified assets acquired and liabilities assumed as of the acquisition date (in thousands):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9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60" w:type="dxa"/>
            <w:vAlign w:val="bottom"/>
          </w:tcPr>
          <w:p>
            <w:pPr>
              <w:jc w:val="right"/>
              <w:ind w:right="573"/>
              <w:spacing w:after="0"/>
              <w:rPr>
                <w:sz w:val="20"/>
                <w:szCs w:val="20"/>
                <w:color w:val="auto"/>
              </w:rPr>
            </w:pPr>
            <w:r>
              <w:rPr>
                <w:rFonts w:ascii="Arial" w:cs="Arial" w:eastAsia="Arial" w:hAnsi="Arial"/>
                <w:sz w:val="14"/>
                <w:szCs w:val="14"/>
                <w:b w:val="1"/>
                <w:bCs w:val="1"/>
                <w:color w:val="auto"/>
              </w:rPr>
              <w:t>Fair Value</w:t>
            </w:r>
          </w:p>
        </w:tc>
      </w:tr>
      <w:tr>
        <w:trPr>
          <w:trHeight w:val="25"/>
        </w:trPr>
        <w:tc>
          <w:tcPr>
            <w:tcW w:w="9360" w:type="dxa"/>
            <w:vAlign w:val="bottom"/>
            <w:tcBorders>
              <w:bottom w:val="single" w:sz="8" w:color="CFF0FC"/>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06"/>
        </w:trPr>
        <w:tc>
          <w:tcPr>
            <w:tcW w:w="936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320" w:type="dxa"/>
            <w:vAlign w:val="bottom"/>
            <w:shd w:val="clear" w:color="auto" w:fill="CFF0FC"/>
          </w:tcPr>
          <w:p>
            <w:pPr>
              <w:jc w:val="right"/>
              <w:ind w:right="131"/>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865</w:t>
            </w:r>
          </w:p>
        </w:tc>
      </w:tr>
      <w:tr>
        <w:trPr>
          <w:trHeight w:val="213"/>
        </w:trPr>
        <w:tc>
          <w:tcPr>
            <w:tcW w:w="9360" w:type="dxa"/>
            <w:vAlign w:val="bottom"/>
          </w:tcPr>
          <w:p>
            <w:pPr>
              <w:spacing w:after="0"/>
              <w:rPr>
                <w:sz w:val="20"/>
                <w:szCs w:val="20"/>
                <w:color w:val="auto"/>
              </w:rPr>
            </w:pPr>
            <w:r>
              <w:rPr>
                <w:rFonts w:ascii="Arial" w:cs="Arial" w:eastAsia="Arial" w:hAnsi="Arial"/>
                <w:sz w:val="18"/>
                <w:szCs w:val="18"/>
                <w:color w:val="auto"/>
              </w:rPr>
              <w:t>Accounts receivable, prepaid expenses and other current assets</w:t>
            </w:r>
          </w:p>
        </w:tc>
        <w:tc>
          <w:tcPr>
            <w:tcW w:w="320" w:type="dxa"/>
            <w:vAlign w:val="bottom"/>
          </w:tcPr>
          <w:p>
            <w:pPr>
              <w:spacing w:after="0"/>
              <w:rPr>
                <w:sz w:val="18"/>
                <w:szCs w:val="18"/>
                <w:color w:val="auto"/>
              </w:rPr>
            </w:pPr>
          </w:p>
        </w:tc>
        <w:tc>
          <w:tcPr>
            <w:tcW w:w="1560" w:type="dxa"/>
            <w:vAlign w:val="bottom"/>
          </w:tcPr>
          <w:p>
            <w:pPr>
              <w:jc w:val="right"/>
              <w:ind w:right="53"/>
              <w:spacing w:after="0"/>
              <w:rPr>
                <w:sz w:val="20"/>
                <w:szCs w:val="20"/>
                <w:color w:val="auto"/>
              </w:rPr>
            </w:pPr>
            <w:r>
              <w:rPr>
                <w:rFonts w:ascii="Arial" w:cs="Arial" w:eastAsia="Arial" w:hAnsi="Arial"/>
                <w:sz w:val="18"/>
                <w:szCs w:val="18"/>
                <w:color w:val="auto"/>
              </w:rPr>
              <w:t>1,330</w:t>
            </w:r>
          </w:p>
        </w:tc>
      </w:tr>
      <w:tr>
        <w:trPr>
          <w:trHeight w:val="213"/>
        </w:trPr>
        <w:tc>
          <w:tcPr>
            <w:tcW w:w="9360" w:type="dxa"/>
            <w:vAlign w:val="bottom"/>
            <w:shd w:val="clear" w:color="auto" w:fill="CFF0FC"/>
          </w:tcPr>
          <w:p>
            <w:pPr>
              <w:spacing w:after="0"/>
              <w:rPr>
                <w:sz w:val="20"/>
                <w:szCs w:val="20"/>
                <w:color w:val="auto"/>
              </w:rPr>
            </w:pPr>
            <w:r>
              <w:rPr>
                <w:rFonts w:ascii="Arial" w:cs="Arial" w:eastAsia="Arial" w:hAnsi="Arial"/>
                <w:sz w:val="18"/>
                <w:szCs w:val="18"/>
                <w:color w:val="auto"/>
              </w:rPr>
              <w:t>Property and equipment and other assets</w:t>
            </w:r>
          </w:p>
        </w:tc>
        <w:tc>
          <w:tcPr>
            <w:tcW w:w="320" w:type="dxa"/>
            <w:vAlign w:val="bottom"/>
            <w:shd w:val="clear" w:color="auto" w:fill="CFF0FC"/>
          </w:tcPr>
          <w:p>
            <w:pPr>
              <w:spacing w:after="0"/>
              <w:rPr>
                <w:sz w:val="18"/>
                <w:szCs w:val="18"/>
                <w:color w:val="auto"/>
              </w:rPr>
            </w:pPr>
          </w:p>
        </w:tc>
        <w:tc>
          <w:tcPr>
            <w:tcW w:w="156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371</w:t>
            </w:r>
          </w:p>
        </w:tc>
      </w:tr>
      <w:tr>
        <w:trPr>
          <w:trHeight w:val="213"/>
        </w:trPr>
        <w:tc>
          <w:tcPr>
            <w:tcW w:w="9360" w:type="dxa"/>
            <w:vAlign w:val="bottom"/>
          </w:tcPr>
          <w:p>
            <w:pPr>
              <w:spacing w:after="0"/>
              <w:rPr>
                <w:sz w:val="20"/>
                <w:szCs w:val="20"/>
                <w:color w:val="auto"/>
              </w:rPr>
            </w:pPr>
            <w:r>
              <w:rPr>
                <w:rFonts w:ascii="Arial" w:cs="Arial" w:eastAsia="Arial" w:hAnsi="Arial"/>
                <w:sz w:val="18"/>
                <w:szCs w:val="18"/>
                <w:color w:val="auto"/>
              </w:rPr>
              <w:t>Intangible Assets</w:t>
            </w:r>
          </w:p>
        </w:tc>
        <w:tc>
          <w:tcPr>
            <w:tcW w:w="320" w:type="dxa"/>
            <w:vAlign w:val="bottom"/>
          </w:tcPr>
          <w:p>
            <w:pPr>
              <w:spacing w:after="0"/>
              <w:rPr>
                <w:sz w:val="18"/>
                <w:szCs w:val="18"/>
                <w:color w:val="auto"/>
              </w:rPr>
            </w:pPr>
          </w:p>
        </w:tc>
        <w:tc>
          <w:tcPr>
            <w:tcW w:w="1560" w:type="dxa"/>
            <w:vAlign w:val="bottom"/>
          </w:tcPr>
          <w:p>
            <w:pPr>
              <w:jc w:val="right"/>
              <w:ind w:right="53"/>
              <w:spacing w:after="0"/>
              <w:rPr>
                <w:sz w:val="20"/>
                <w:szCs w:val="20"/>
                <w:color w:val="auto"/>
              </w:rPr>
            </w:pPr>
            <w:r>
              <w:rPr>
                <w:rFonts w:ascii="Arial" w:cs="Arial" w:eastAsia="Arial" w:hAnsi="Arial"/>
                <w:sz w:val="18"/>
                <w:szCs w:val="18"/>
                <w:color w:val="auto"/>
              </w:rPr>
              <w:t>34,300</w:t>
            </w:r>
          </w:p>
        </w:tc>
      </w:tr>
      <w:tr>
        <w:trPr>
          <w:trHeight w:val="213"/>
        </w:trPr>
        <w:tc>
          <w:tcPr>
            <w:tcW w:w="9360" w:type="dxa"/>
            <w:vAlign w:val="bottom"/>
            <w:shd w:val="clear" w:color="auto" w:fill="CFF0FC"/>
          </w:tcPr>
          <w:p>
            <w:pPr>
              <w:spacing w:after="0"/>
              <w:rPr>
                <w:sz w:val="20"/>
                <w:szCs w:val="20"/>
                <w:color w:val="auto"/>
              </w:rPr>
            </w:pPr>
            <w:r>
              <w:rPr>
                <w:rFonts w:ascii="Arial" w:cs="Arial" w:eastAsia="Arial" w:hAnsi="Arial"/>
                <w:sz w:val="18"/>
                <w:szCs w:val="18"/>
                <w:color w:val="auto"/>
              </w:rPr>
              <w:t>Goodwill</w:t>
            </w:r>
          </w:p>
        </w:tc>
        <w:tc>
          <w:tcPr>
            <w:tcW w:w="320" w:type="dxa"/>
            <w:vAlign w:val="bottom"/>
            <w:shd w:val="clear" w:color="auto" w:fill="CFF0FC"/>
          </w:tcPr>
          <w:p>
            <w:pPr>
              <w:spacing w:after="0"/>
              <w:rPr>
                <w:sz w:val="18"/>
                <w:szCs w:val="18"/>
                <w:color w:val="auto"/>
              </w:rPr>
            </w:pPr>
          </w:p>
        </w:tc>
        <w:tc>
          <w:tcPr>
            <w:tcW w:w="156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81,134</w:t>
            </w:r>
          </w:p>
        </w:tc>
      </w:tr>
      <w:tr>
        <w:trPr>
          <w:trHeight w:val="213"/>
        </w:trPr>
        <w:tc>
          <w:tcPr>
            <w:tcW w:w="93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Current liabilities</w:t>
            </w:r>
          </w:p>
        </w:tc>
        <w:tc>
          <w:tcPr>
            <w:tcW w:w="3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(943)</w:t>
            </w:r>
          </w:p>
        </w:tc>
      </w:tr>
      <w:tr>
        <w:trPr>
          <w:trHeight w:val="206"/>
        </w:trPr>
        <w:tc>
          <w:tcPr>
            <w:tcW w:w="936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Net assets acquired</w:t>
            </w:r>
          </w:p>
        </w:tc>
        <w:tc>
          <w:tcPr>
            <w:tcW w:w="320" w:type="dxa"/>
            <w:vAlign w:val="bottom"/>
            <w:tcBorders>
              <w:bottom w:val="single" w:sz="8" w:color="auto"/>
            </w:tcBorders>
            <w:shd w:val="clear" w:color="auto" w:fill="CFF0FC"/>
          </w:tcPr>
          <w:p>
            <w:pPr>
              <w:jc w:val="right"/>
              <w:ind w:right="131"/>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shd w:val="clear" w:color="auto" w:fill="CFF0FC"/>
          </w:tcPr>
          <w:p>
            <w:pPr>
              <w:jc w:val="right"/>
              <w:ind w:right="53"/>
              <w:spacing w:after="0"/>
              <w:rPr>
                <w:sz w:val="20"/>
                <w:szCs w:val="20"/>
                <w:color w:val="auto"/>
              </w:rPr>
            </w:pPr>
            <w:r>
              <w:rPr>
                <w:rFonts w:ascii="Arial" w:cs="Arial" w:eastAsia="Arial" w:hAnsi="Arial"/>
                <w:sz w:val="18"/>
                <w:szCs w:val="18"/>
                <w:color w:val="auto"/>
              </w:rPr>
              <w:t>117,057</w:t>
            </w:r>
          </w:p>
        </w:tc>
      </w:tr>
      <w:tr>
        <w:trPr>
          <w:trHeight w:val="20"/>
        </w:trPr>
        <w:tc>
          <w:tcPr>
            <w:tcW w:w="93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180" w:firstLine="749"/>
        <w:spacing w:after="0" w:line="235" w:lineRule="auto"/>
        <w:rPr>
          <w:sz w:val="20"/>
          <w:szCs w:val="20"/>
          <w:color w:val="auto"/>
        </w:rPr>
      </w:pPr>
      <w:r>
        <w:rPr>
          <w:rFonts w:ascii="Arial" w:cs="Arial" w:eastAsia="Arial" w:hAnsi="Arial"/>
          <w:sz w:val="18"/>
          <w:szCs w:val="18"/>
          <w:color w:val="auto"/>
        </w:rPr>
        <w:t>The excess of purchase consideration over the fair value of net tangible and identifiable intangible assets acquired was recorded as goodwill which is not deductible for tax purposes. Goodwill is primarily attributable to the workforce of the acquired business and benefits related to expanded market opportunities from integrating CarStory's technology with the Company's ecommerce offerings. All of the goodwill was assigned to the ecommerce reportable segment.</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50800</wp:posOffset>
            </wp:positionV>
            <wp:extent cx="715962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VROOM, INC.</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19" w:lineRule="exact"/>
        <w:rPr>
          <w:sz w:val="20"/>
          <w:szCs w:val="20"/>
          <w:color w:val="auto"/>
        </w:rPr>
      </w:pPr>
    </w:p>
    <w:p>
      <w:pPr>
        <w:ind w:right="260" w:firstLine="749"/>
        <w:spacing w:after="0" w:line="239" w:lineRule="auto"/>
        <w:rPr>
          <w:sz w:val="20"/>
          <w:szCs w:val="20"/>
          <w:color w:val="auto"/>
        </w:rPr>
      </w:pPr>
      <w:r>
        <w:rPr>
          <w:rFonts w:ascii="Arial" w:cs="Arial" w:eastAsia="Arial" w:hAnsi="Arial"/>
          <w:sz w:val="18"/>
          <w:szCs w:val="18"/>
          <w:color w:val="auto"/>
        </w:rPr>
        <w:t>The following table summarizes the preliminary identifiable intangible assets acquired and their estimated weighted average useful life at the date of acquisition (in thousands):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98"/>
              </w:rPr>
              <w:t>Weighted</w:t>
            </w:r>
          </w:p>
        </w:tc>
      </w:tr>
      <w:tr>
        <w:trPr>
          <w:trHeight w:val="160"/>
        </w:trPr>
        <w:tc>
          <w:tcPr>
            <w:tcW w:w="78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680" w:type="dxa"/>
            <w:vAlign w:val="bottom"/>
          </w:tcPr>
          <w:p>
            <w:pPr>
              <w:jc w:val="center"/>
              <w:spacing w:after="0" w:line="160" w:lineRule="exact"/>
              <w:rPr>
                <w:sz w:val="20"/>
                <w:szCs w:val="20"/>
                <w:color w:val="auto"/>
              </w:rPr>
            </w:pPr>
            <w:r>
              <w:rPr>
                <w:rFonts w:ascii="Arial" w:cs="Arial" w:eastAsia="Arial" w:hAnsi="Arial"/>
                <w:sz w:val="14"/>
                <w:szCs w:val="14"/>
                <w:b w:val="1"/>
                <w:bCs w:val="1"/>
                <w:color w:val="auto"/>
              </w:rPr>
              <w:t>Average Useful</w:t>
            </w:r>
          </w:p>
        </w:tc>
      </w:tr>
      <w:tr>
        <w:trPr>
          <w:trHeight w:val="173"/>
        </w:trPr>
        <w:tc>
          <w:tcPr>
            <w:tcW w:w="7860" w:type="dxa"/>
            <w:vAlign w:val="bottom"/>
            <w:tcBorders>
              <w:bottom w:val="single" w:sz="8" w:color="CFF0FC"/>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Fair Value</w:t>
            </w: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Life</w:t>
            </w:r>
          </w:p>
        </w:tc>
      </w:tr>
      <w:tr>
        <w:trPr>
          <w:trHeight w:val="206"/>
        </w:trPr>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Developed technology</w:t>
            </w:r>
          </w:p>
        </w:tc>
        <w:tc>
          <w:tcPr>
            <w:tcW w:w="280" w:type="dxa"/>
            <w:vAlign w:val="bottom"/>
            <w:shd w:val="clear" w:color="auto" w:fill="CFF0FC"/>
          </w:tcPr>
          <w:p>
            <w:pPr>
              <w:jc w:val="right"/>
              <w:ind w:right="91"/>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25,700</w:t>
            </w:r>
          </w:p>
        </w:tc>
        <w:tc>
          <w:tcPr>
            <w:tcW w:w="16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5</w:t>
            </w:r>
          </w:p>
        </w:tc>
      </w:tr>
      <w:tr>
        <w:trPr>
          <w:trHeight w:val="213"/>
        </w:trPr>
        <w:tc>
          <w:tcPr>
            <w:tcW w:w="7860" w:type="dxa"/>
            <w:vAlign w:val="bottom"/>
          </w:tcPr>
          <w:p>
            <w:pPr>
              <w:spacing w:after="0"/>
              <w:rPr>
                <w:sz w:val="20"/>
                <w:szCs w:val="20"/>
                <w:color w:val="auto"/>
              </w:rPr>
            </w:pPr>
            <w:r>
              <w:rPr>
                <w:rFonts w:ascii="Arial" w:cs="Arial" w:eastAsia="Arial" w:hAnsi="Arial"/>
                <w:sz w:val="18"/>
                <w:szCs w:val="18"/>
                <w:color w:val="auto"/>
              </w:rPr>
              <w:t>Trademarks</w:t>
            </w:r>
          </w:p>
        </w:tc>
        <w:tc>
          <w:tcPr>
            <w:tcW w:w="280" w:type="dxa"/>
            <w:vAlign w:val="bottom"/>
          </w:tcPr>
          <w:p>
            <w:pPr>
              <w:spacing w:after="0"/>
              <w:rPr>
                <w:sz w:val="18"/>
                <w:szCs w:val="18"/>
                <w:color w:val="auto"/>
              </w:rPr>
            </w:pPr>
          </w:p>
        </w:tc>
        <w:tc>
          <w:tcPr>
            <w:tcW w:w="1420" w:type="dxa"/>
            <w:vAlign w:val="bottom"/>
          </w:tcPr>
          <w:p>
            <w:pPr>
              <w:jc w:val="right"/>
              <w:ind w:right="35"/>
              <w:spacing w:after="0"/>
              <w:rPr>
                <w:sz w:val="20"/>
                <w:szCs w:val="20"/>
                <w:color w:val="auto"/>
              </w:rPr>
            </w:pPr>
            <w:r>
              <w:rPr>
                <w:rFonts w:ascii="Arial" w:cs="Arial" w:eastAsia="Arial" w:hAnsi="Arial"/>
                <w:sz w:val="18"/>
                <w:szCs w:val="18"/>
                <w:color w:val="auto"/>
              </w:rPr>
              <w:t>5,200</w:t>
            </w:r>
          </w:p>
        </w:tc>
        <w:tc>
          <w:tcPr>
            <w:tcW w:w="1680" w:type="dxa"/>
            <w:vAlign w:val="bottom"/>
          </w:tcPr>
          <w:p>
            <w:pPr>
              <w:jc w:val="center"/>
              <w:spacing w:after="0"/>
              <w:rPr>
                <w:sz w:val="20"/>
                <w:szCs w:val="20"/>
                <w:color w:val="auto"/>
              </w:rPr>
            </w:pPr>
            <w:r>
              <w:rPr>
                <w:rFonts w:ascii="Arial" w:cs="Arial" w:eastAsia="Arial" w:hAnsi="Arial"/>
                <w:sz w:val="18"/>
                <w:szCs w:val="18"/>
                <w:color w:val="auto"/>
                <w:w w:val="99"/>
              </w:rPr>
              <w:t>8</w:t>
            </w:r>
          </w:p>
        </w:tc>
      </w:tr>
      <w:tr>
        <w:trPr>
          <w:trHeight w:val="213"/>
        </w:trPr>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Customer relationships</w:t>
            </w:r>
          </w:p>
        </w:tc>
        <w:tc>
          <w:tcPr>
            <w:tcW w:w="28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3,400</w:t>
            </w:r>
          </w:p>
        </w:tc>
        <w:tc>
          <w:tcPr>
            <w:tcW w:w="16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8</w:t>
            </w:r>
          </w:p>
        </w:tc>
      </w:tr>
      <w:tr>
        <w:trPr>
          <w:trHeight w:val="206"/>
        </w:trPr>
        <w:tc>
          <w:tcPr>
            <w:tcW w:w="7860" w:type="dxa"/>
            <w:vAlign w:val="bottom"/>
          </w:tcPr>
          <w:p>
            <w:pPr>
              <w:ind w:left="120"/>
              <w:spacing w:after="0"/>
              <w:rPr>
                <w:sz w:val="20"/>
                <w:szCs w:val="20"/>
                <w:color w:val="auto"/>
              </w:rPr>
            </w:pPr>
            <w:r>
              <w:rPr>
                <w:rFonts w:ascii="Arial" w:cs="Arial" w:eastAsia="Arial" w:hAnsi="Arial"/>
                <w:sz w:val="18"/>
                <w:szCs w:val="18"/>
                <w:color w:val="auto"/>
              </w:rPr>
              <w:t>Total intangible assets subject to amortization</w:t>
            </w:r>
          </w:p>
        </w:tc>
        <w:tc>
          <w:tcPr>
            <w:tcW w:w="28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34,300</w:t>
            </w:r>
          </w:p>
        </w:tc>
        <w:tc>
          <w:tcPr>
            <w:tcW w:w="1680" w:type="dxa"/>
            <w:vAlign w:val="bottom"/>
          </w:tcPr>
          <w:p>
            <w:pPr>
              <w:spacing w:after="0"/>
              <w:rPr>
                <w:sz w:val="17"/>
                <w:szCs w:val="17"/>
                <w:color w:val="auto"/>
              </w:rPr>
            </w:pPr>
          </w:p>
        </w:tc>
      </w:tr>
      <w:tr>
        <w:trPr>
          <w:trHeight w:val="20"/>
        </w:trPr>
        <w:tc>
          <w:tcPr>
            <w:tcW w:w="78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bl>
    <w:p>
      <w:pPr>
        <w:spacing w:after="0" w:line="252" w:lineRule="exact"/>
        <w:rPr>
          <w:sz w:val="20"/>
          <w:szCs w:val="20"/>
          <w:color w:val="auto"/>
        </w:rPr>
      </w:pPr>
    </w:p>
    <w:p>
      <w:pPr>
        <w:ind w:right="380" w:firstLine="749"/>
        <w:spacing w:after="0" w:line="239" w:lineRule="auto"/>
        <w:rPr>
          <w:sz w:val="20"/>
          <w:szCs w:val="20"/>
          <w:color w:val="auto"/>
        </w:rPr>
      </w:pPr>
      <w:r>
        <w:rPr>
          <w:rFonts w:ascii="Arial" w:cs="Arial" w:eastAsia="Arial" w:hAnsi="Arial"/>
          <w:sz w:val="18"/>
          <w:szCs w:val="18"/>
          <w:color w:val="auto"/>
        </w:rPr>
        <w:t>Developed technology, most of which is protected by a patent portfolio, represents the fair value of CarStory’s industry-specific AI powered analytics software. Trademarks represent the CarStory trademarks, trade names and domain names.</w:t>
      </w:r>
    </w:p>
    <w:p>
      <w:pPr>
        <w:spacing w:after="0" w:line="200" w:lineRule="exact"/>
        <w:rPr>
          <w:sz w:val="20"/>
          <w:szCs w:val="20"/>
          <w:color w:val="auto"/>
        </w:rPr>
      </w:pPr>
    </w:p>
    <w:p>
      <w:pPr>
        <w:ind w:right="20" w:firstLine="749"/>
        <w:spacing w:after="0" w:line="234" w:lineRule="auto"/>
        <w:rPr>
          <w:sz w:val="20"/>
          <w:szCs w:val="20"/>
          <w:color w:val="auto"/>
        </w:rPr>
      </w:pPr>
      <w:r>
        <w:rPr>
          <w:rFonts w:ascii="Arial" w:cs="Arial" w:eastAsia="Arial" w:hAnsi="Arial"/>
          <w:sz w:val="18"/>
          <w:szCs w:val="18"/>
          <w:color w:val="auto"/>
        </w:rPr>
        <w:t>The fair values assigned to tangible and intangible assets acquired and liabilities assumed are based on management’s estimates and assumptions and may be subject to change as additional information is received. The estimated fair value of the intangible assets acquired was determined using a discounted cash flow (DCF) method under the income approach. Under this approach, the Company estimates future cash flows and discounts these cash flows at a rate of return that reflects the Company’s relative risk. The allocation of the total consideration transferred to the assets acquired, including intangible assets and goodwill, as well as the liabilities assumed is preliminary, pending the receipt of the final third-party valuation report.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Inventory</w:t>
      </w:r>
    </w:p>
    <w:p>
      <w:pPr>
        <w:spacing w:after="0" w:line="12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Inventory consisted of the following (in thousands):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080" w:type="dxa"/>
            <w:vAlign w:val="bottom"/>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June 30,</w:t>
            </w:r>
          </w:p>
        </w:tc>
        <w:tc>
          <w:tcPr>
            <w:tcW w:w="76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tcPr>
          <w:p>
            <w:pPr>
              <w:jc w:val="right"/>
              <w:ind w:right="518"/>
              <w:spacing w:after="0"/>
              <w:rPr>
                <w:sz w:val="20"/>
                <w:szCs w:val="20"/>
                <w:color w:val="auto"/>
              </w:rPr>
            </w:pPr>
            <w:r>
              <w:rPr>
                <w:rFonts w:ascii="Arial" w:cs="Arial" w:eastAsia="Arial" w:hAnsi="Arial"/>
                <w:sz w:val="14"/>
                <w:szCs w:val="14"/>
                <w:b w:val="1"/>
                <w:bCs w:val="1"/>
                <w:color w:val="auto"/>
              </w:rPr>
              <w:t>December 31,</w:t>
            </w:r>
          </w:p>
        </w:tc>
      </w:tr>
      <w:tr>
        <w:trPr>
          <w:trHeight w:val="166"/>
        </w:trPr>
        <w:tc>
          <w:tcPr>
            <w:tcW w:w="7080" w:type="dxa"/>
            <w:vAlign w:val="bottom"/>
            <w:tcBorders>
              <w:bottom w:val="single" w:sz="8" w:color="CFF0FC"/>
            </w:tcBorders>
          </w:tcPr>
          <w:p>
            <w:pPr>
              <w:spacing w:after="0"/>
              <w:rPr>
                <w:sz w:val="14"/>
                <w:szCs w:val="14"/>
                <w:color w:val="auto"/>
              </w:rPr>
            </w:pPr>
          </w:p>
        </w:tc>
        <w:tc>
          <w:tcPr>
            <w:tcW w:w="1220" w:type="dxa"/>
            <w:vAlign w:val="bottom"/>
            <w:tcBorders>
              <w:bottom w:val="single" w:sz="8" w:color="auto"/>
            </w:tcBorders>
          </w:tcPr>
          <w:p>
            <w:pPr>
              <w:jc w:val="right"/>
              <w:ind w:right="60"/>
              <w:spacing w:after="0"/>
              <w:rPr>
                <w:sz w:val="20"/>
                <w:szCs w:val="20"/>
                <w:color w:val="auto"/>
              </w:rPr>
            </w:pPr>
            <w:r>
              <w:rPr>
                <w:rFonts w:ascii="Arial" w:cs="Arial" w:eastAsia="Arial" w:hAnsi="Arial"/>
                <w:sz w:val="14"/>
                <w:szCs w:val="14"/>
                <w:b w:val="1"/>
                <w:bCs w:val="1"/>
                <w:color w:val="auto"/>
              </w:rPr>
              <w:t>2021</w:t>
            </w:r>
          </w:p>
        </w:tc>
        <w:tc>
          <w:tcPr>
            <w:tcW w:w="760" w:type="dxa"/>
            <w:vAlign w:val="bottom"/>
            <w:tcBorders>
              <w:bottom w:val="single" w:sz="8" w:color="auto"/>
            </w:tcBorders>
          </w:tcPr>
          <w:p>
            <w:pPr>
              <w:spacing w:after="0"/>
              <w:rPr>
                <w:sz w:val="14"/>
                <w:szCs w:val="14"/>
                <w:color w:val="auto"/>
              </w:rPr>
            </w:pPr>
          </w:p>
        </w:tc>
        <w:tc>
          <w:tcPr>
            <w:tcW w:w="18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tcPr>
          <w:p>
            <w:pPr>
              <w:jc w:val="right"/>
              <w:ind w:right="818"/>
              <w:spacing w:after="0"/>
              <w:rPr>
                <w:sz w:val="20"/>
                <w:szCs w:val="20"/>
                <w:color w:val="auto"/>
              </w:rPr>
            </w:pPr>
            <w:r>
              <w:rPr>
                <w:rFonts w:ascii="Arial" w:cs="Arial" w:eastAsia="Arial" w:hAnsi="Arial"/>
                <w:sz w:val="14"/>
                <w:szCs w:val="14"/>
                <w:b w:val="1"/>
                <w:bCs w:val="1"/>
                <w:color w:val="auto"/>
              </w:rPr>
              <w:t>2020</w:t>
            </w:r>
          </w:p>
        </w:tc>
      </w:tr>
      <w:tr>
        <w:trPr>
          <w:trHeight w:val="206"/>
        </w:trPr>
        <w:tc>
          <w:tcPr>
            <w:tcW w:w="7080" w:type="dxa"/>
            <w:vAlign w:val="bottom"/>
            <w:shd w:val="clear" w:color="auto" w:fill="CFF0FC"/>
          </w:tcPr>
          <w:p>
            <w:pPr>
              <w:spacing w:after="0"/>
              <w:rPr>
                <w:sz w:val="20"/>
                <w:szCs w:val="20"/>
                <w:color w:val="auto"/>
              </w:rPr>
            </w:pPr>
            <w:r>
              <w:rPr>
                <w:rFonts w:ascii="Arial" w:cs="Arial" w:eastAsia="Arial" w:hAnsi="Arial"/>
                <w:sz w:val="18"/>
                <w:szCs w:val="18"/>
                <w:color w:val="auto"/>
              </w:rPr>
              <w:t>Vehicles</w:t>
            </w:r>
          </w:p>
        </w:tc>
        <w:tc>
          <w:tcPr>
            <w:tcW w:w="1220" w:type="dxa"/>
            <w:vAlign w:val="bottom"/>
            <w:shd w:val="clear" w:color="auto" w:fill="CFF0FC"/>
          </w:tcPr>
          <w:p>
            <w:pPr>
              <w:jc w:val="right"/>
              <w:ind w:right="104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w w:val="95"/>
              </w:rPr>
              <w:t>518,331</w:t>
            </w:r>
          </w:p>
        </w:tc>
        <w:tc>
          <w:tcPr>
            <w:tcW w:w="180" w:type="dxa"/>
            <w:vAlign w:val="bottom"/>
            <w:shd w:val="clear" w:color="auto" w:fill="CFF0FC"/>
          </w:tcPr>
          <w:p>
            <w:pPr>
              <w:spacing w:after="0"/>
              <w:rPr>
                <w:sz w:val="17"/>
                <w:szCs w:val="17"/>
                <w:color w:val="auto"/>
              </w:rPr>
            </w:pPr>
          </w:p>
        </w:tc>
        <w:tc>
          <w:tcPr>
            <w:tcW w:w="280" w:type="dxa"/>
            <w:vAlign w:val="bottom"/>
            <w:shd w:val="clear" w:color="auto" w:fill="CFF0FC"/>
          </w:tcPr>
          <w:p>
            <w:pPr>
              <w:jc w:val="right"/>
              <w:ind w:right="91"/>
              <w:spacing w:after="0"/>
              <w:rPr>
                <w:sz w:val="20"/>
                <w:szCs w:val="20"/>
                <w:color w:val="auto"/>
              </w:rPr>
            </w:pPr>
            <w:r>
              <w:rPr>
                <w:rFonts w:ascii="Arial" w:cs="Arial" w:eastAsia="Arial" w:hAnsi="Arial"/>
                <w:sz w:val="18"/>
                <w:szCs w:val="18"/>
                <w:color w:val="auto"/>
                <w:w w:val="79"/>
              </w:rPr>
              <w:t>$</w:t>
            </w:r>
          </w:p>
        </w:tc>
        <w:tc>
          <w:tcPr>
            <w:tcW w:w="1720" w:type="dxa"/>
            <w:vAlign w:val="bottom"/>
            <w:shd w:val="clear" w:color="auto" w:fill="CFF0FC"/>
          </w:tcPr>
          <w:p>
            <w:pPr>
              <w:jc w:val="right"/>
              <w:ind w:right="58"/>
              <w:spacing w:after="0"/>
              <w:rPr>
                <w:sz w:val="20"/>
                <w:szCs w:val="20"/>
                <w:color w:val="auto"/>
              </w:rPr>
            </w:pPr>
            <w:r>
              <w:rPr>
                <w:rFonts w:ascii="Arial" w:cs="Arial" w:eastAsia="Arial" w:hAnsi="Arial"/>
                <w:sz w:val="18"/>
                <w:szCs w:val="18"/>
                <w:color w:val="auto"/>
              </w:rPr>
              <w:t>421,458</w:t>
            </w:r>
          </w:p>
        </w:tc>
      </w:tr>
      <w:tr>
        <w:trPr>
          <w:trHeight w:val="213"/>
        </w:trPr>
        <w:tc>
          <w:tcPr>
            <w:tcW w:w="70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Parts and accessories</w:t>
            </w:r>
          </w:p>
        </w:tc>
        <w:tc>
          <w:tcPr>
            <w:tcW w:w="1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1,635</w:t>
            </w:r>
          </w:p>
        </w:tc>
        <w:tc>
          <w:tcPr>
            <w:tcW w:w="18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ind w:right="58"/>
              <w:spacing w:after="0"/>
              <w:rPr>
                <w:sz w:val="20"/>
                <w:szCs w:val="20"/>
                <w:color w:val="auto"/>
              </w:rPr>
            </w:pPr>
            <w:r>
              <w:rPr>
                <w:rFonts w:ascii="Arial" w:cs="Arial" w:eastAsia="Arial" w:hAnsi="Arial"/>
                <w:sz w:val="18"/>
                <w:szCs w:val="18"/>
                <w:color w:val="auto"/>
              </w:rPr>
              <w:t>2,189</w:t>
            </w:r>
          </w:p>
        </w:tc>
      </w:tr>
      <w:tr>
        <w:trPr>
          <w:trHeight w:val="206"/>
        </w:trPr>
        <w:tc>
          <w:tcPr>
            <w:tcW w:w="708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inventory</w:t>
            </w:r>
          </w:p>
        </w:tc>
        <w:tc>
          <w:tcPr>
            <w:tcW w:w="1220" w:type="dxa"/>
            <w:vAlign w:val="bottom"/>
            <w:tcBorders>
              <w:bottom w:val="single" w:sz="8" w:color="auto"/>
            </w:tcBorders>
            <w:shd w:val="clear" w:color="auto" w:fill="CFF0FC"/>
          </w:tcPr>
          <w:p>
            <w:pPr>
              <w:jc w:val="right"/>
              <w:ind w:right="104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w w:val="95"/>
              </w:rPr>
              <w:t>519,966</w:t>
            </w:r>
          </w:p>
        </w:tc>
        <w:tc>
          <w:tcPr>
            <w:tcW w:w="18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jc w:val="right"/>
              <w:ind w:right="91"/>
              <w:spacing w:after="0"/>
              <w:rPr>
                <w:sz w:val="20"/>
                <w:szCs w:val="20"/>
                <w:color w:val="auto"/>
              </w:rPr>
            </w:pPr>
            <w:r>
              <w:rPr>
                <w:rFonts w:ascii="Arial" w:cs="Arial" w:eastAsia="Arial" w:hAnsi="Arial"/>
                <w:sz w:val="18"/>
                <w:szCs w:val="18"/>
                <w:color w:val="auto"/>
                <w:w w:val="79"/>
              </w:rPr>
              <w:t>$</w:t>
            </w:r>
          </w:p>
        </w:tc>
        <w:tc>
          <w:tcPr>
            <w:tcW w:w="1720" w:type="dxa"/>
            <w:vAlign w:val="bottom"/>
            <w:tcBorders>
              <w:bottom w:val="single" w:sz="8" w:color="auto"/>
            </w:tcBorders>
            <w:shd w:val="clear" w:color="auto" w:fill="CFF0FC"/>
          </w:tcPr>
          <w:p>
            <w:pPr>
              <w:jc w:val="right"/>
              <w:ind w:right="58"/>
              <w:spacing w:after="0"/>
              <w:rPr>
                <w:sz w:val="20"/>
                <w:szCs w:val="20"/>
                <w:color w:val="auto"/>
              </w:rPr>
            </w:pPr>
            <w:r>
              <w:rPr>
                <w:rFonts w:ascii="Arial" w:cs="Arial" w:eastAsia="Arial" w:hAnsi="Arial"/>
                <w:sz w:val="18"/>
                <w:szCs w:val="18"/>
                <w:color w:val="auto"/>
              </w:rPr>
              <w:t>423,647</w:t>
            </w:r>
          </w:p>
        </w:tc>
      </w:tr>
      <w:tr>
        <w:trPr>
          <w:trHeight w:val="20"/>
        </w:trPr>
        <w:tc>
          <w:tcPr>
            <w:tcW w:w="708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right="240" w:firstLine="749"/>
        <w:spacing w:after="0" w:line="268" w:lineRule="auto"/>
        <w:rPr>
          <w:sz w:val="20"/>
          <w:szCs w:val="20"/>
          <w:color w:val="auto"/>
        </w:rPr>
      </w:pPr>
      <w:r>
        <w:rPr>
          <w:rFonts w:ascii="Arial" w:cs="Arial" w:eastAsia="Arial" w:hAnsi="Arial"/>
          <w:sz w:val="18"/>
          <w:szCs w:val="18"/>
          <w:color w:val="auto"/>
        </w:rPr>
        <w:t>As of June 30, 2021 and December 31, 2020, “Inventory” includes an adjustment of $16.0 million and $12.9 million, respectively, to record the balances at the lower of cost or net realizable value.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Property and Equipment, Net</w:t>
      </w:r>
    </w:p>
    <w:p>
      <w:pPr>
        <w:spacing w:after="0" w:line="12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Property and equipment, net consisted of the following (in thousands):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46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0" w:type="dxa"/>
            <w:vAlign w:val="bottom"/>
            <w:gridSpan w:val="2"/>
          </w:tcPr>
          <w:p>
            <w:pPr>
              <w:ind w:left="280"/>
              <w:spacing w:after="0"/>
              <w:rPr>
                <w:sz w:val="20"/>
                <w:szCs w:val="20"/>
                <w:color w:val="auto"/>
              </w:rPr>
            </w:pPr>
            <w:r>
              <w:rPr>
                <w:rFonts w:ascii="Arial" w:cs="Arial" w:eastAsia="Arial" w:hAnsi="Arial"/>
                <w:sz w:val="14"/>
                <w:szCs w:val="14"/>
                <w:b w:val="1"/>
                <w:bCs w:val="1"/>
                <w:color w:val="auto"/>
              </w:rPr>
              <w:t>June 30,</w:t>
            </w:r>
          </w:p>
        </w:tc>
        <w:tc>
          <w:tcPr>
            <w:tcW w:w="300" w:type="dxa"/>
            <w:vAlign w:val="bottom"/>
          </w:tcPr>
          <w:p>
            <w:pPr>
              <w:spacing w:after="0"/>
              <w:rPr>
                <w:sz w:val="15"/>
                <w:szCs w:val="15"/>
                <w:color w:val="auto"/>
              </w:rPr>
            </w:pPr>
          </w:p>
        </w:tc>
        <w:tc>
          <w:tcPr>
            <w:tcW w:w="1700" w:type="dxa"/>
            <w:vAlign w:val="bottom"/>
          </w:tcPr>
          <w:p>
            <w:pPr>
              <w:jc w:val="right"/>
              <w:ind w:right="515"/>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6"/>
        </w:trPr>
        <w:tc>
          <w:tcPr>
            <w:tcW w:w="4460" w:type="dxa"/>
            <w:vAlign w:val="bottom"/>
            <w:tcBorders>
              <w:bottom w:val="single" w:sz="8" w:color="CFF0FC"/>
            </w:tcBorders>
          </w:tcPr>
          <w:p>
            <w:pPr>
              <w:spacing w:after="0"/>
              <w:rPr>
                <w:sz w:val="14"/>
                <w:szCs w:val="14"/>
                <w:color w:val="auto"/>
              </w:rPr>
            </w:pPr>
          </w:p>
        </w:tc>
        <w:tc>
          <w:tcPr>
            <w:tcW w:w="2620" w:type="dxa"/>
            <w:vAlign w:val="bottom"/>
            <w:tcBorders>
              <w:bottom w:val="single" w:sz="8" w:color="CFF0FC"/>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620" w:type="dxa"/>
            <w:vAlign w:val="bottom"/>
            <w:tcBorders>
              <w:top w:val="single" w:sz="8" w:color="auto"/>
              <w:bottom w:val="single" w:sz="8" w:color="auto"/>
            </w:tcBorders>
          </w:tcPr>
          <w:p>
            <w:pPr>
              <w:jc w:val="right"/>
              <w:ind w:right="815"/>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FF0FC"/>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700" w:type="dxa"/>
            <w:vAlign w:val="bottom"/>
            <w:tcBorders>
              <w:top w:val="single" w:sz="8" w:color="auto"/>
              <w:bottom w:val="single" w:sz="8" w:color="auto"/>
            </w:tcBorders>
          </w:tcPr>
          <w:p>
            <w:pPr>
              <w:jc w:val="right"/>
              <w:ind w:right="815"/>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06"/>
        </w:trPr>
        <w:tc>
          <w:tcPr>
            <w:tcW w:w="4460" w:type="dxa"/>
            <w:vAlign w:val="bottom"/>
            <w:shd w:val="clear" w:color="auto" w:fill="CFF0FC"/>
          </w:tcPr>
          <w:p>
            <w:pPr>
              <w:spacing w:after="0"/>
              <w:rPr>
                <w:sz w:val="20"/>
                <w:szCs w:val="20"/>
                <w:color w:val="auto"/>
              </w:rPr>
            </w:pPr>
            <w:r>
              <w:rPr>
                <w:rFonts w:ascii="Arial" w:cs="Arial" w:eastAsia="Arial" w:hAnsi="Arial"/>
                <w:sz w:val="18"/>
                <w:szCs w:val="18"/>
                <w:color w:val="auto"/>
              </w:rPr>
              <w:t>Equipment</w:t>
            </w:r>
          </w:p>
        </w:tc>
        <w:tc>
          <w:tcPr>
            <w:tcW w:w="29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62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1,011</w:t>
            </w:r>
          </w:p>
        </w:tc>
        <w:tc>
          <w:tcPr>
            <w:tcW w:w="18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111"/>
              <w:spacing w:after="0"/>
              <w:rPr>
                <w:sz w:val="20"/>
                <w:szCs w:val="20"/>
                <w:color w:val="auto"/>
              </w:rPr>
            </w:pPr>
            <w:r>
              <w:rPr>
                <w:rFonts w:ascii="Arial" w:cs="Arial" w:eastAsia="Arial" w:hAnsi="Arial"/>
                <w:sz w:val="18"/>
                <w:szCs w:val="18"/>
                <w:color w:val="auto"/>
                <w:w w:val="79"/>
              </w:rPr>
              <w:t>$</w:t>
            </w:r>
          </w:p>
        </w:tc>
        <w:tc>
          <w:tcPr>
            <w:tcW w:w="170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1,061</w:t>
            </w:r>
          </w:p>
        </w:tc>
        <w:tc>
          <w:tcPr>
            <w:tcW w:w="0" w:type="dxa"/>
            <w:vAlign w:val="bottom"/>
          </w:tcPr>
          <w:p>
            <w:pPr>
              <w:spacing w:after="0"/>
              <w:rPr>
                <w:sz w:val="1"/>
                <w:szCs w:val="1"/>
                <w:color w:val="auto"/>
              </w:rPr>
            </w:pPr>
          </w:p>
        </w:tc>
      </w:tr>
      <w:tr>
        <w:trPr>
          <w:trHeight w:val="213"/>
        </w:trPr>
        <w:tc>
          <w:tcPr>
            <w:tcW w:w="4460" w:type="dxa"/>
            <w:vAlign w:val="bottom"/>
          </w:tcPr>
          <w:p>
            <w:pPr>
              <w:spacing w:after="0"/>
              <w:rPr>
                <w:sz w:val="20"/>
                <w:szCs w:val="20"/>
                <w:color w:val="auto"/>
              </w:rPr>
            </w:pPr>
            <w:r>
              <w:rPr>
                <w:rFonts w:ascii="Arial" w:cs="Arial" w:eastAsia="Arial" w:hAnsi="Arial"/>
                <w:sz w:val="18"/>
                <w:szCs w:val="18"/>
                <w:color w:val="auto"/>
              </w:rPr>
              <w:t>Furniture and fixtures</w:t>
            </w:r>
          </w:p>
        </w:tc>
        <w:tc>
          <w:tcPr>
            <w:tcW w:w="2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20" w:type="dxa"/>
            <w:vAlign w:val="bottom"/>
          </w:tcPr>
          <w:p>
            <w:pPr>
              <w:jc w:val="right"/>
              <w:ind w:right="35"/>
              <w:spacing w:after="0"/>
              <w:rPr>
                <w:sz w:val="20"/>
                <w:szCs w:val="20"/>
                <w:color w:val="auto"/>
              </w:rPr>
            </w:pPr>
            <w:r>
              <w:rPr>
                <w:rFonts w:ascii="Arial" w:cs="Arial" w:eastAsia="Arial" w:hAnsi="Arial"/>
                <w:sz w:val="18"/>
                <w:szCs w:val="18"/>
                <w:color w:val="auto"/>
              </w:rPr>
              <w:t>1,921</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tcPr>
          <w:p>
            <w:pPr>
              <w:jc w:val="right"/>
              <w:ind w:right="35"/>
              <w:spacing w:after="0"/>
              <w:rPr>
                <w:sz w:val="20"/>
                <w:szCs w:val="20"/>
                <w:color w:val="auto"/>
              </w:rPr>
            </w:pPr>
            <w:r>
              <w:rPr>
                <w:rFonts w:ascii="Arial" w:cs="Arial" w:eastAsia="Arial" w:hAnsi="Arial"/>
                <w:sz w:val="18"/>
                <w:szCs w:val="18"/>
                <w:color w:val="auto"/>
              </w:rPr>
              <w:t>1,746</w:t>
            </w:r>
          </w:p>
        </w:tc>
        <w:tc>
          <w:tcPr>
            <w:tcW w:w="0" w:type="dxa"/>
            <w:vAlign w:val="bottom"/>
          </w:tcPr>
          <w:p>
            <w:pPr>
              <w:spacing w:after="0"/>
              <w:rPr>
                <w:sz w:val="1"/>
                <w:szCs w:val="1"/>
                <w:color w:val="auto"/>
              </w:rPr>
            </w:pPr>
          </w:p>
        </w:tc>
      </w:tr>
      <w:tr>
        <w:trPr>
          <w:trHeight w:val="213"/>
        </w:trPr>
        <w:tc>
          <w:tcPr>
            <w:tcW w:w="4460" w:type="dxa"/>
            <w:vAlign w:val="bottom"/>
            <w:shd w:val="clear" w:color="auto" w:fill="CFF0FC"/>
          </w:tcPr>
          <w:p>
            <w:pPr>
              <w:spacing w:after="0"/>
              <w:rPr>
                <w:sz w:val="20"/>
                <w:szCs w:val="20"/>
                <w:color w:val="auto"/>
              </w:rPr>
            </w:pPr>
            <w:r>
              <w:rPr>
                <w:rFonts w:ascii="Arial" w:cs="Arial" w:eastAsia="Arial" w:hAnsi="Arial"/>
                <w:sz w:val="18"/>
                <w:szCs w:val="18"/>
                <w:color w:val="auto"/>
              </w:rPr>
              <w:t>Company vehicles</w:t>
            </w:r>
          </w:p>
        </w:tc>
        <w:tc>
          <w:tcPr>
            <w:tcW w:w="26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62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7,807</w:t>
            </w: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70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5,002</w:t>
            </w:r>
          </w:p>
        </w:tc>
        <w:tc>
          <w:tcPr>
            <w:tcW w:w="0" w:type="dxa"/>
            <w:vAlign w:val="bottom"/>
          </w:tcPr>
          <w:p>
            <w:pPr>
              <w:spacing w:after="0"/>
              <w:rPr>
                <w:sz w:val="1"/>
                <w:szCs w:val="1"/>
                <w:color w:val="auto"/>
              </w:rPr>
            </w:pPr>
          </w:p>
        </w:tc>
      </w:tr>
      <w:tr>
        <w:trPr>
          <w:trHeight w:val="213"/>
        </w:trPr>
        <w:tc>
          <w:tcPr>
            <w:tcW w:w="4460" w:type="dxa"/>
            <w:vAlign w:val="bottom"/>
          </w:tcPr>
          <w:p>
            <w:pPr>
              <w:spacing w:after="0"/>
              <w:rPr>
                <w:sz w:val="20"/>
                <w:szCs w:val="20"/>
                <w:color w:val="auto"/>
              </w:rPr>
            </w:pPr>
            <w:r>
              <w:rPr>
                <w:rFonts w:ascii="Arial" w:cs="Arial" w:eastAsia="Arial" w:hAnsi="Arial"/>
                <w:sz w:val="18"/>
                <w:szCs w:val="18"/>
                <w:color w:val="auto"/>
              </w:rPr>
              <w:t>Leasehold improvements</w:t>
            </w:r>
          </w:p>
        </w:tc>
        <w:tc>
          <w:tcPr>
            <w:tcW w:w="2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20" w:type="dxa"/>
            <w:vAlign w:val="bottom"/>
          </w:tcPr>
          <w:p>
            <w:pPr>
              <w:jc w:val="right"/>
              <w:ind w:right="35"/>
              <w:spacing w:after="0"/>
              <w:rPr>
                <w:sz w:val="20"/>
                <w:szCs w:val="20"/>
                <w:color w:val="auto"/>
              </w:rPr>
            </w:pPr>
            <w:r>
              <w:rPr>
                <w:rFonts w:ascii="Arial" w:cs="Arial" w:eastAsia="Arial" w:hAnsi="Arial"/>
                <w:sz w:val="18"/>
                <w:szCs w:val="18"/>
                <w:color w:val="auto"/>
              </w:rPr>
              <w:t>7,161</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tcPr>
          <w:p>
            <w:pPr>
              <w:jc w:val="right"/>
              <w:ind w:right="35"/>
              <w:spacing w:after="0"/>
              <w:rPr>
                <w:sz w:val="20"/>
                <w:szCs w:val="20"/>
                <w:color w:val="auto"/>
              </w:rPr>
            </w:pPr>
            <w:r>
              <w:rPr>
                <w:rFonts w:ascii="Arial" w:cs="Arial" w:eastAsia="Arial" w:hAnsi="Arial"/>
                <w:sz w:val="18"/>
                <w:szCs w:val="18"/>
                <w:color w:val="auto"/>
              </w:rPr>
              <w:t>7,068</w:t>
            </w:r>
          </w:p>
        </w:tc>
        <w:tc>
          <w:tcPr>
            <w:tcW w:w="0" w:type="dxa"/>
            <w:vAlign w:val="bottom"/>
          </w:tcPr>
          <w:p>
            <w:pPr>
              <w:spacing w:after="0"/>
              <w:rPr>
                <w:sz w:val="1"/>
                <w:szCs w:val="1"/>
                <w:color w:val="auto"/>
              </w:rPr>
            </w:pPr>
          </w:p>
        </w:tc>
      </w:tr>
      <w:tr>
        <w:trPr>
          <w:trHeight w:val="213"/>
        </w:trPr>
        <w:tc>
          <w:tcPr>
            <w:tcW w:w="4460" w:type="dxa"/>
            <w:vAlign w:val="bottom"/>
            <w:shd w:val="clear" w:color="auto" w:fill="CFF0FC"/>
          </w:tcPr>
          <w:p>
            <w:pPr>
              <w:spacing w:after="0"/>
              <w:rPr>
                <w:sz w:val="20"/>
                <w:szCs w:val="20"/>
                <w:color w:val="auto"/>
              </w:rPr>
            </w:pPr>
            <w:r>
              <w:rPr>
                <w:rFonts w:ascii="Arial" w:cs="Arial" w:eastAsia="Arial" w:hAnsi="Arial"/>
                <w:sz w:val="18"/>
                <w:szCs w:val="18"/>
                <w:color w:val="auto"/>
              </w:rPr>
              <w:t>Internal-use software</w:t>
            </w:r>
          </w:p>
        </w:tc>
        <w:tc>
          <w:tcPr>
            <w:tcW w:w="26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62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13,885</w:t>
            </w: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70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10,552</w:t>
            </w:r>
          </w:p>
        </w:tc>
        <w:tc>
          <w:tcPr>
            <w:tcW w:w="0" w:type="dxa"/>
            <w:vAlign w:val="bottom"/>
          </w:tcPr>
          <w:p>
            <w:pPr>
              <w:spacing w:after="0"/>
              <w:rPr>
                <w:sz w:val="1"/>
                <w:szCs w:val="1"/>
                <w:color w:val="auto"/>
              </w:rPr>
            </w:pPr>
          </w:p>
        </w:tc>
      </w:tr>
      <w:tr>
        <w:trPr>
          <w:trHeight w:val="213"/>
        </w:trPr>
        <w:tc>
          <w:tcPr>
            <w:tcW w:w="44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262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5,957</w:t>
            </w:r>
          </w:p>
        </w:tc>
        <w:tc>
          <w:tcPr>
            <w:tcW w:w="18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2,997</w:t>
            </w:r>
          </w:p>
        </w:tc>
        <w:tc>
          <w:tcPr>
            <w:tcW w:w="0" w:type="dxa"/>
            <w:vAlign w:val="bottom"/>
          </w:tcPr>
          <w:p>
            <w:pPr>
              <w:spacing w:after="0"/>
              <w:rPr>
                <w:sz w:val="1"/>
                <w:szCs w:val="1"/>
                <w:color w:val="auto"/>
              </w:rPr>
            </w:pPr>
          </w:p>
        </w:tc>
      </w:tr>
      <w:tr>
        <w:trPr>
          <w:trHeight w:val="206"/>
        </w:trPr>
        <w:tc>
          <w:tcPr>
            <w:tcW w:w="4460" w:type="dxa"/>
            <w:vAlign w:val="bottom"/>
            <w:shd w:val="clear" w:color="auto" w:fill="CFF0FC"/>
          </w:tcPr>
          <w:p>
            <w:pPr>
              <w:spacing w:after="0"/>
              <w:rPr>
                <w:sz w:val="17"/>
                <w:szCs w:val="17"/>
                <w:color w:val="auto"/>
              </w:rPr>
            </w:pPr>
          </w:p>
        </w:tc>
        <w:tc>
          <w:tcPr>
            <w:tcW w:w="26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62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37,742</w:t>
            </w:r>
          </w:p>
        </w:tc>
        <w:tc>
          <w:tcPr>
            <w:tcW w:w="1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70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28,426</w:t>
            </w:r>
          </w:p>
        </w:tc>
        <w:tc>
          <w:tcPr>
            <w:tcW w:w="0" w:type="dxa"/>
            <w:vAlign w:val="bottom"/>
          </w:tcPr>
          <w:p>
            <w:pPr>
              <w:spacing w:after="0"/>
              <w:rPr>
                <w:sz w:val="1"/>
                <w:szCs w:val="1"/>
                <w:color w:val="auto"/>
              </w:rPr>
            </w:pPr>
          </w:p>
        </w:tc>
      </w:tr>
      <w:tr>
        <w:trPr>
          <w:trHeight w:val="213"/>
        </w:trPr>
        <w:tc>
          <w:tcPr>
            <w:tcW w:w="44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Accumulated depreciation and amortization</w:t>
            </w:r>
          </w:p>
        </w:tc>
        <w:tc>
          <w:tcPr>
            <w:tcW w:w="262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(16,345)</w:t>
            </w:r>
          </w:p>
        </w:tc>
        <w:tc>
          <w:tcPr>
            <w:tcW w:w="18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(13,334)</w:t>
            </w:r>
          </w:p>
        </w:tc>
        <w:tc>
          <w:tcPr>
            <w:tcW w:w="0" w:type="dxa"/>
            <w:vAlign w:val="bottom"/>
          </w:tcPr>
          <w:p>
            <w:pPr>
              <w:spacing w:after="0"/>
              <w:rPr>
                <w:sz w:val="1"/>
                <w:szCs w:val="1"/>
                <w:color w:val="auto"/>
              </w:rPr>
            </w:pPr>
          </w:p>
        </w:tc>
      </w:tr>
      <w:tr>
        <w:trPr>
          <w:trHeight w:val="206"/>
        </w:trPr>
        <w:tc>
          <w:tcPr>
            <w:tcW w:w="44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Property and equipment, net</w:t>
            </w:r>
          </w:p>
        </w:tc>
        <w:tc>
          <w:tcPr>
            <w:tcW w:w="29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62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21,397</w:t>
            </w:r>
          </w:p>
        </w:tc>
        <w:tc>
          <w:tcPr>
            <w:tcW w:w="18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111"/>
              <w:spacing w:after="0"/>
              <w:rPr>
                <w:sz w:val="20"/>
                <w:szCs w:val="20"/>
                <w:color w:val="auto"/>
              </w:rPr>
            </w:pPr>
            <w:r>
              <w:rPr>
                <w:rFonts w:ascii="Arial" w:cs="Arial" w:eastAsia="Arial" w:hAnsi="Arial"/>
                <w:sz w:val="18"/>
                <w:szCs w:val="18"/>
                <w:color w:val="auto"/>
                <w:w w:val="79"/>
              </w:rPr>
              <w:t>$</w:t>
            </w:r>
          </w:p>
        </w:tc>
        <w:tc>
          <w:tcPr>
            <w:tcW w:w="170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15,092</w:t>
            </w:r>
          </w:p>
        </w:tc>
        <w:tc>
          <w:tcPr>
            <w:tcW w:w="0" w:type="dxa"/>
            <w:vAlign w:val="bottom"/>
          </w:tcPr>
          <w:p>
            <w:pPr>
              <w:spacing w:after="0"/>
              <w:rPr>
                <w:sz w:val="1"/>
                <w:szCs w:val="1"/>
                <w:color w:val="auto"/>
              </w:rPr>
            </w:pPr>
          </w:p>
        </w:tc>
      </w:tr>
      <w:tr>
        <w:trPr>
          <w:trHeight w:val="20"/>
        </w:trPr>
        <w:tc>
          <w:tcPr>
            <w:tcW w:w="4460" w:type="dxa"/>
            <w:vAlign w:val="bottom"/>
            <w:tcBorders>
              <w:top w:val="single" w:sz="8" w:color="CFF0FC"/>
            </w:tcBorders>
          </w:tcPr>
          <w:p>
            <w:pPr>
              <w:spacing w:after="0" w:line="20" w:lineRule="exact"/>
              <w:rPr>
                <w:sz w:val="1"/>
                <w:szCs w:val="1"/>
                <w:color w:val="auto"/>
              </w:rPr>
            </w:pPr>
          </w:p>
        </w:tc>
        <w:tc>
          <w:tcPr>
            <w:tcW w:w="2620" w:type="dxa"/>
            <w:vAlign w:val="bottom"/>
            <w:tcBorders>
              <w:top w:val="single" w:sz="8" w:color="CFF0FC"/>
              <w:bottom w:val="single" w:sz="8" w:color="CFF0FC"/>
            </w:tcBorders>
            <w:vMerge w:val="restart"/>
          </w:tcPr>
          <w:p>
            <w:pPr>
              <w:jc w:val="right"/>
              <w:ind w:right="1271"/>
              <w:spacing w:after="0"/>
              <w:rPr>
                <w:sz w:val="20"/>
                <w:szCs w:val="20"/>
                <w:color w:val="auto"/>
              </w:rPr>
            </w:pPr>
            <w:r>
              <w:rPr>
                <w:rFonts w:ascii="Arial" w:cs="Arial" w:eastAsia="Arial" w:hAnsi="Arial"/>
                <w:sz w:val="18"/>
                <w:szCs w:val="18"/>
                <w:color w:val="auto"/>
              </w:rPr>
              <w:t>15</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4"/>
        </w:trPr>
        <w:tc>
          <w:tcPr>
            <w:tcW w:w="4460" w:type="dxa"/>
            <w:vAlign w:val="bottom"/>
          </w:tcPr>
          <w:p>
            <w:pPr>
              <w:spacing w:after="0"/>
              <w:rPr>
                <w:sz w:val="24"/>
                <w:szCs w:val="24"/>
                <w:color w:val="auto"/>
              </w:rPr>
            </w:pPr>
          </w:p>
        </w:tc>
        <w:tc>
          <w:tcPr>
            <w:tcW w:w="262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4460" w:type="dxa"/>
            <w:vAlign w:val="bottom"/>
            <w:tcBorders>
              <w:bottom w:val="single" w:sz="8" w:color="9A9A9A"/>
            </w:tcBorders>
          </w:tcPr>
          <w:p>
            <w:pPr>
              <w:spacing w:after="0"/>
              <w:rPr>
                <w:sz w:val="8"/>
                <w:szCs w:val="8"/>
                <w:color w:val="auto"/>
              </w:rPr>
            </w:pPr>
          </w:p>
        </w:tc>
        <w:tc>
          <w:tcPr>
            <w:tcW w:w="262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162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7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VROOM, INC.</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32" w:lineRule="exact"/>
        <w:rPr>
          <w:sz w:val="20"/>
          <w:szCs w:val="20"/>
          <w:color w:val="auto"/>
        </w:rPr>
      </w:pPr>
    </w:p>
    <w:p>
      <w:pPr>
        <w:ind w:right="200" w:firstLine="749"/>
        <w:spacing w:after="0" w:line="235" w:lineRule="auto"/>
        <w:rPr>
          <w:sz w:val="20"/>
          <w:szCs w:val="20"/>
          <w:color w:val="auto"/>
        </w:rPr>
      </w:pPr>
      <w:r>
        <w:rPr>
          <w:rFonts w:ascii="Arial" w:cs="Arial" w:eastAsia="Arial" w:hAnsi="Arial"/>
          <w:sz w:val="18"/>
          <w:szCs w:val="18"/>
          <w:color w:val="auto"/>
        </w:rPr>
        <w:t>Depreciation and amortization expense was $1.5 million and $1.0 million for the three months ended June 30, 2021 and 2020, respectively, and $3.0 million and $1.8 million for the six months ended June 30, 2021 and 2020, respectively. Depreciation and amortization expense included within “Cost of sales” in the condensed consolidated statements of operations for the three and six months ended June 30, 2021 and 2020 was not material.</w:t>
      </w:r>
    </w:p>
    <w:p>
      <w:pPr>
        <w:spacing w:after="0" w:line="201" w:lineRule="exact"/>
        <w:rPr>
          <w:sz w:val="20"/>
          <w:szCs w:val="20"/>
          <w:color w:val="auto"/>
        </w:rPr>
      </w:pPr>
    </w:p>
    <w:p>
      <w:pPr>
        <w:ind w:right="80" w:firstLine="749"/>
        <w:spacing w:after="0" w:line="234" w:lineRule="auto"/>
        <w:rPr>
          <w:sz w:val="20"/>
          <w:szCs w:val="20"/>
          <w:color w:val="auto"/>
        </w:rPr>
      </w:pPr>
      <w:r>
        <w:rPr>
          <w:rFonts w:ascii="Arial" w:cs="Arial" w:eastAsia="Arial" w:hAnsi="Arial"/>
          <w:sz w:val="18"/>
          <w:szCs w:val="18"/>
          <w:color w:val="auto"/>
        </w:rPr>
        <w:t>Implementation costs capitalized and accumulated amortization related to the Company’s cloud computing arrangements were $4.5 million and $1.5 million as of June 30, 2021, respectively, and $3.6 million and $1.0 million as of December 31, 2020, respectively, and were included within “Other assets” in the condensed consolidated balance sheets. Amortization expense of $0.3 million and $0.1 million was included within “Selling, general and administrative expenses” in the condensed statements of operations for the three months ended June 30, 2021 and 2020, respectively, and $0.6 million and $0.3 million for the six months ended June 30, 2021 and 2020, respectively.</w:t>
      </w:r>
    </w:p>
    <w:p>
      <w:pPr>
        <w:spacing w:after="0" w:line="287" w:lineRule="exact"/>
        <w:rPr>
          <w:sz w:val="20"/>
          <w:szCs w:val="20"/>
          <w:color w:val="auto"/>
        </w:rPr>
      </w:pPr>
    </w:p>
    <w:p>
      <w:pPr>
        <w:ind w:right="8400" w:firstLine="6"/>
        <w:spacing w:after="0" w:line="367" w:lineRule="auto"/>
        <w:tabs>
          <w:tab w:leader="none" w:pos="197"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Goodwill and Intangible Assets </w:t>
      </w:r>
      <w:r>
        <w:rPr>
          <w:rFonts w:ascii="Arial" w:cs="Arial" w:eastAsia="Arial" w:hAnsi="Arial"/>
          <w:sz w:val="18"/>
          <w:szCs w:val="18"/>
          <w:b w:val="1"/>
          <w:bCs w:val="1"/>
          <w:i w:val="1"/>
          <w:iCs w:val="1"/>
          <w:color w:val="auto"/>
        </w:rPr>
        <w:t>Goodwill</w:t>
      </w:r>
    </w:p>
    <w:p>
      <w:pPr>
        <w:spacing w:after="0" w:line="1" w:lineRule="exact"/>
        <w:rPr>
          <w:sz w:val="20"/>
          <w:szCs w:val="20"/>
          <w:color w:val="auto"/>
        </w:rPr>
      </w:pPr>
    </w:p>
    <w:p>
      <w:pPr>
        <w:ind w:right="520" w:firstLine="762"/>
        <w:spacing w:after="0" w:line="268" w:lineRule="auto"/>
        <w:rPr>
          <w:sz w:val="20"/>
          <w:szCs w:val="20"/>
          <w:color w:val="auto"/>
        </w:rPr>
      </w:pPr>
      <w:r>
        <w:rPr>
          <w:rFonts w:ascii="Arial" w:cs="Arial" w:eastAsia="Arial" w:hAnsi="Arial"/>
          <w:sz w:val="18"/>
          <w:szCs w:val="18"/>
          <w:color w:val="auto"/>
        </w:rPr>
        <w:t>The following table summarizes the activity in the carrying value of goodwill by reportable segment for the three and six months ended June 30, 2021 and 2020 (in thousands):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800" w:type="dxa"/>
            <w:vAlign w:val="bottom"/>
            <w:tcBorders>
              <w:bottom w:val="single" w:sz="8" w:color="CFF0FC"/>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Ecommerce</w:t>
            </w:r>
          </w:p>
        </w:tc>
        <w:tc>
          <w:tcPr>
            <w:tcW w:w="180" w:type="dxa"/>
            <w:vAlign w:val="bottom"/>
            <w:tcBorders>
              <w:bottom w:val="single" w:sz="8" w:color="CFF0FC"/>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Wholesale</w:t>
            </w:r>
          </w:p>
        </w:tc>
        <w:tc>
          <w:tcPr>
            <w:tcW w:w="560" w:type="dxa"/>
            <w:vAlign w:val="bottom"/>
            <w:tcBorders>
              <w:bottom w:val="single" w:sz="8" w:color="auto"/>
            </w:tcBorders>
          </w:tcPr>
          <w:p>
            <w:pPr>
              <w:spacing w:after="0"/>
              <w:rPr>
                <w:sz w:val="15"/>
                <w:szCs w:val="15"/>
                <w:color w:val="auto"/>
              </w:rPr>
            </w:pPr>
          </w:p>
        </w:tc>
        <w:tc>
          <w:tcPr>
            <w:tcW w:w="180" w:type="dxa"/>
            <w:vAlign w:val="bottom"/>
            <w:tcBorders>
              <w:bottom w:val="single" w:sz="8" w:color="CFF0FC"/>
            </w:tcBorders>
          </w:tcPr>
          <w:p>
            <w:pPr>
              <w:spacing w:after="0"/>
              <w:rPr>
                <w:sz w:val="15"/>
                <w:szCs w:val="15"/>
                <w:color w:val="auto"/>
              </w:rPr>
            </w:pPr>
          </w:p>
        </w:tc>
        <w:tc>
          <w:tcPr>
            <w:tcW w:w="1060" w:type="dxa"/>
            <w:vAlign w:val="bottom"/>
            <w:tcBorders>
              <w:bottom w:val="single" w:sz="8" w:color="auto"/>
            </w:tcBorders>
          </w:tcPr>
          <w:p>
            <w:pPr>
              <w:jc w:val="right"/>
              <w:ind w:right="20"/>
              <w:spacing w:after="0"/>
              <w:rPr>
                <w:sz w:val="20"/>
                <w:szCs w:val="20"/>
                <w:color w:val="auto"/>
              </w:rPr>
            </w:pPr>
            <w:r>
              <w:rPr>
                <w:rFonts w:ascii="Arial" w:cs="Arial" w:eastAsia="Arial" w:hAnsi="Arial"/>
                <w:sz w:val="14"/>
                <w:szCs w:val="14"/>
                <w:b w:val="1"/>
                <w:bCs w:val="1"/>
                <w:color w:val="auto"/>
              </w:rPr>
              <w:t>TDA</w:t>
            </w:r>
          </w:p>
        </w:tc>
        <w:tc>
          <w:tcPr>
            <w:tcW w:w="660" w:type="dxa"/>
            <w:vAlign w:val="bottom"/>
            <w:tcBorders>
              <w:bottom w:val="single" w:sz="8" w:color="auto"/>
            </w:tcBorders>
          </w:tcPr>
          <w:p>
            <w:pPr>
              <w:spacing w:after="0"/>
              <w:rPr>
                <w:sz w:val="15"/>
                <w:szCs w:val="15"/>
                <w:color w:val="auto"/>
              </w:rPr>
            </w:pPr>
          </w:p>
        </w:tc>
        <w:tc>
          <w:tcPr>
            <w:tcW w:w="200" w:type="dxa"/>
            <w:vAlign w:val="bottom"/>
            <w:tcBorders>
              <w:bottom w:val="single" w:sz="8" w:color="CFF0FC"/>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0"/>
        </w:trPr>
        <w:tc>
          <w:tcPr>
            <w:tcW w:w="38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Balance as of December 31, 2019</w:t>
            </w:r>
          </w:p>
        </w:tc>
        <w:tc>
          <w:tcPr>
            <w:tcW w:w="240" w:type="dxa"/>
            <w:vAlign w:val="bottom"/>
            <w:shd w:val="clear" w:color="auto" w:fill="CFF0FC"/>
          </w:tcPr>
          <w:p>
            <w:pPr>
              <w:jc w:val="right"/>
              <w:ind w:right="51"/>
              <w:spacing w:after="0"/>
              <w:rPr>
                <w:sz w:val="20"/>
                <w:szCs w:val="20"/>
                <w:color w:val="auto"/>
              </w:rPr>
            </w:pPr>
            <w:r>
              <w:rPr>
                <w:rFonts w:ascii="Arial" w:cs="Arial" w:eastAsia="Arial" w:hAnsi="Arial"/>
                <w:sz w:val="18"/>
                <w:szCs w:val="18"/>
                <w:b w:val="1"/>
                <w:bCs w:val="1"/>
                <w:color w:val="auto"/>
                <w:w w:val="79"/>
              </w:rPr>
              <w:t>$</w:t>
            </w:r>
          </w:p>
        </w:tc>
        <w:tc>
          <w:tcPr>
            <w:tcW w:w="1480" w:type="dxa"/>
            <w:vAlign w:val="bottom"/>
            <w:shd w:val="clear" w:color="auto" w:fill="CFF0FC"/>
          </w:tcPr>
          <w:p>
            <w:pPr>
              <w:jc w:val="right"/>
              <w:ind w:right="34"/>
              <w:spacing w:after="0"/>
              <w:rPr>
                <w:sz w:val="20"/>
                <w:szCs w:val="20"/>
                <w:color w:val="auto"/>
              </w:rPr>
            </w:pPr>
            <w:r>
              <w:rPr>
                <w:rFonts w:ascii="Arial" w:cs="Arial" w:eastAsia="Arial" w:hAnsi="Arial"/>
                <w:sz w:val="18"/>
                <w:szCs w:val="18"/>
                <w:b w:val="1"/>
                <w:bCs w:val="1"/>
                <w:color w:val="auto"/>
              </w:rPr>
              <w:t>72,231</w:t>
            </w:r>
          </w:p>
        </w:tc>
        <w:tc>
          <w:tcPr>
            <w:tcW w:w="1340" w:type="dxa"/>
            <w:vAlign w:val="bottom"/>
            <w:gridSpan w:val="2"/>
            <w:shd w:val="clear" w:color="auto" w:fill="CFF0FC"/>
          </w:tcPr>
          <w:p>
            <w:pPr>
              <w:jc w:val="right"/>
              <w:ind w:right="980"/>
              <w:spacing w:after="0"/>
              <w:rPr>
                <w:sz w:val="20"/>
                <w:szCs w:val="20"/>
                <w:color w:val="auto"/>
              </w:rPr>
            </w:pPr>
            <w:r>
              <w:rPr>
                <w:rFonts w:ascii="Arial" w:cs="Arial" w:eastAsia="Arial" w:hAnsi="Arial"/>
                <w:sz w:val="18"/>
                <w:szCs w:val="18"/>
                <w:b w:val="1"/>
                <w:bCs w:val="1"/>
                <w:color w:val="auto"/>
              </w:rPr>
              <w:t>$</w:t>
            </w:r>
          </w:p>
        </w:tc>
        <w:tc>
          <w:tcPr>
            <w:tcW w:w="560" w:type="dxa"/>
            <w:vAlign w:val="bottom"/>
            <w:shd w:val="clear" w:color="auto" w:fill="CFF0FC"/>
          </w:tcPr>
          <w:p>
            <w:pPr>
              <w:jc w:val="right"/>
              <w:ind w:right="31"/>
              <w:spacing w:after="0"/>
              <w:rPr>
                <w:sz w:val="20"/>
                <w:szCs w:val="20"/>
                <w:color w:val="auto"/>
              </w:rPr>
            </w:pPr>
            <w:r>
              <w:rPr>
                <w:rFonts w:ascii="Arial" w:cs="Arial" w:eastAsia="Arial" w:hAnsi="Arial"/>
                <w:sz w:val="18"/>
                <w:szCs w:val="18"/>
                <w:b w:val="1"/>
                <w:bCs w:val="1"/>
                <w:color w:val="auto"/>
                <w:w w:val="93"/>
              </w:rPr>
              <w:t>1,720</w:t>
            </w:r>
          </w:p>
        </w:tc>
        <w:tc>
          <w:tcPr>
            <w:tcW w:w="1240" w:type="dxa"/>
            <w:vAlign w:val="bottom"/>
            <w:gridSpan w:val="2"/>
            <w:shd w:val="clear" w:color="auto" w:fill="CFF0FC"/>
          </w:tcPr>
          <w:p>
            <w:pPr>
              <w:jc w:val="right"/>
              <w:ind w:right="880"/>
              <w:spacing w:after="0"/>
              <w:rPr>
                <w:sz w:val="20"/>
                <w:szCs w:val="20"/>
                <w:color w:val="auto"/>
              </w:rPr>
            </w:pPr>
            <w:r>
              <w:rPr>
                <w:rFonts w:ascii="Arial" w:cs="Arial" w:eastAsia="Arial" w:hAnsi="Arial"/>
                <w:sz w:val="18"/>
                <w:szCs w:val="18"/>
                <w:b w:val="1"/>
                <w:bCs w:val="1"/>
                <w:color w:val="auto"/>
              </w:rPr>
              <w:t>$</w:t>
            </w:r>
          </w:p>
        </w:tc>
        <w:tc>
          <w:tcPr>
            <w:tcW w:w="660" w:type="dxa"/>
            <w:vAlign w:val="bottom"/>
            <w:shd w:val="clear" w:color="auto" w:fill="CFF0FC"/>
          </w:tcPr>
          <w:p>
            <w:pPr>
              <w:jc w:val="right"/>
              <w:ind w:right="31"/>
              <w:spacing w:after="0"/>
              <w:rPr>
                <w:sz w:val="20"/>
                <w:szCs w:val="20"/>
                <w:color w:val="auto"/>
              </w:rPr>
            </w:pPr>
            <w:r>
              <w:rPr>
                <w:rFonts w:ascii="Arial" w:cs="Arial" w:eastAsia="Arial" w:hAnsi="Arial"/>
                <w:sz w:val="18"/>
                <w:szCs w:val="18"/>
                <w:b w:val="1"/>
                <w:bCs w:val="1"/>
                <w:color w:val="auto"/>
              </w:rPr>
              <w:t>4,221</w:t>
            </w: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208"/>
              <w:spacing w:after="0"/>
              <w:rPr>
                <w:sz w:val="20"/>
                <w:szCs w:val="20"/>
                <w:color w:val="auto"/>
              </w:rPr>
            </w:pPr>
            <w:r>
              <w:rPr>
                <w:rFonts w:ascii="Arial" w:cs="Arial" w:eastAsia="Arial" w:hAnsi="Arial"/>
                <w:sz w:val="14"/>
                <w:szCs w:val="14"/>
                <w:b w:val="1"/>
                <w:bCs w:val="1"/>
                <w:color w:val="auto"/>
                <w:w w:val="76"/>
              </w:rPr>
              <w:t>$</w:t>
            </w:r>
          </w:p>
        </w:tc>
        <w:tc>
          <w:tcPr>
            <w:tcW w:w="1360" w:type="dxa"/>
            <w:vAlign w:val="bottom"/>
            <w:shd w:val="clear" w:color="auto" w:fill="CFF0FC"/>
          </w:tcPr>
          <w:p>
            <w:pPr>
              <w:jc w:val="right"/>
              <w:ind w:right="54"/>
              <w:spacing w:after="0"/>
              <w:rPr>
                <w:sz w:val="20"/>
                <w:szCs w:val="20"/>
                <w:color w:val="auto"/>
              </w:rPr>
            </w:pPr>
            <w:r>
              <w:rPr>
                <w:rFonts w:ascii="Arial" w:cs="Arial" w:eastAsia="Arial" w:hAnsi="Arial"/>
                <w:sz w:val="18"/>
                <w:szCs w:val="18"/>
                <w:b w:val="1"/>
                <w:bCs w:val="1"/>
                <w:color w:val="auto"/>
              </w:rPr>
              <w:t>78,172</w:t>
            </w:r>
          </w:p>
        </w:tc>
        <w:tc>
          <w:tcPr>
            <w:tcW w:w="0" w:type="dxa"/>
            <w:vAlign w:val="bottom"/>
          </w:tcPr>
          <w:p>
            <w:pPr>
              <w:spacing w:after="0"/>
              <w:rPr>
                <w:sz w:val="1"/>
                <w:szCs w:val="1"/>
                <w:color w:val="auto"/>
              </w:rPr>
            </w:pPr>
          </w:p>
        </w:tc>
      </w:tr>
      <w:tr>
        <w:trPr>
          <w:trHeight w:val="240"/>
        </w:trPr>
        <w:tc>
          <w:tcPr>
            <w:tcW w:w="38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Change in carrying amount</w:t>
            </w:r>
          </w:p>
        </w:tc>
        <w:tc>
          <w:tcPr>
            <w:tcW w:w="2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3"/>
        </w:trPr>
        <w:tc>
          <w:tcPr>
            <w:tcW w:w="38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as of June 30, 2020</w:t>
            </w:r>
          </w:p>
        </w:tc>
        <w:tc>
          <w:tcPr>
            <w:tcW w:w="24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b w:val="1"/>
                <w:bCs w:val="1"/>
                <w:color w:val="auto"/>
                <w:w w:val="79"/>
              </w:rPr>
              <w:t>$</w:t>
            </w:r>
          </w:p>
        </w:tc>
        <w:tc>
          <w:tcPr>
            <w:tcW w:w="148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b w:val="1"/>
                <w:bCs w:val="1"/>
                <w:color w:val="auto"/>
              </w:rPr>
              <w:t>72,231</w:t>
            </w:r>
          </w:p>
        </w:tc>
        <w:tc>
          <w:tcPr>
            <w:tcW w:w="180" w:type="dxa"/>
            <w:vAlign w:val="bottom"/>
            <w:tcBorders>
              <w:bottom w:val="single" w:sz="8" w:color="CFF0FC"/>
            </w:tcBorders>
            <w:shd w:val="clear" w:color="auto" w:fill="CFF0FC"/>
          </w:tcPr>
          <w:p>
            <w:pPr>
              <w:spacing w:after="0"/>
              <w:rPr>
                <w:sz w:val="20"/>
                <w:szCs w:val="20"/>
                <w:color w:val="auto"/>
              </w:rPr>
            </w:pPr>
          </w:p>
        </w:tc>
        <w:tc>
          <w:tcPr>
            <w:tcW w:w="1160" w:type="dxa"/>
            <w:vAlign w:val="bottom"/>
            <w:tcBorders>
              <w:bottom w:val="single" w:sz="8" w:color="auto"/>
            </w:tcBorders>
            <w:shd w:val="clear" w:color="auto" w:fill="CFF0FC"/>
          </w:tcPr>
          <w:p>
            <w:pPr>
              <w:jc w:val="right"/>
              <w:ind w:right="980"/>
              <w:spacing w:after="0"/>
              <w:rPr>
                <w:sz w:val="20"/>
                <w:szCs w:val="20"/>
                <w:color w:val="auto"/>
              </w:rPr>
            </w:pPr>
            <w:r>
              <w:rPr>
                <w:rFonts w:ascii="Arial" w:cs="Arial" w:eastAsia="Arial" w:hAnsi="Arial"/>
                <w:sz w:val="18"/>
                <w:szCs w:val="18"/>
                <w:b w:val="1"/>
                <w:bCs w:val="1"/>
                <w:color w:val="auto"/>
                <w:w w:val="79"/>
              </w:rPr>
              <w:t>$</w:t>
            </w:r>
          </w:p>
        </w:tc>
        <w:tc>
          <w:tcPr>
            <w:tcW w:w="56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b w:val="1"/>
                <w:bCs w:val="1"/>
                <w:color w:val="auto"/>
                <w:w w:val="93"/>
              </w:rPr>
              <w:t>1,720</w:t>
            </w:r>
          </w:p>
        </w:tc>
        <w:tc>
          <w:tcPr>
            <w:tcW w:w="180" w:type="dxa"/>
            <w:vAlign w:val="bottom"/>
            <w:tcBorders>
              <w:bottom w:val="single" w:sz="8" w:color="CFF0FC"/>
            </w:tcBorders>
            <w:shd w:val="clear" w:color="auto" w:fill="CFF0FC"/>
          </w:tcPr>
          <w:p>
            <w:pPr>
              <w:spacing w:after="0"/>
              <w:rPr>
                <w:sz w:val="20"/>
                <w:szCs w:val="20"/>
                <w:color w:val="auto"/>
              </w:rPr>
            </w:pPr>
          </w:p>
        </w:tc>
        <w:tc>
          <w:tcPr>
            <w:tcW w:w="1060" w:type="dxa"/>
            <w:vAlign w:val="bottom"/>
            <w:tcBorders>
              <w:bottom w:val="single" w:sz="8" w:color="auto"/>
            </w:tcBorders>
            <w:shd w:val="clear" w:color="auto" w:fill="CFF0FC"/>
          </w:tcPr>
          <w:p>
            <w:pPr>
              <w:jc w:val="right"/>
              <w:ind w:right="880"/>
              <w:spacing w:after="0"/>
              <w:rPr>
                <w:sz w:val="20"/>
                <w:szCs w:val="20"/>
                <w:color w:val="auto"/>
              </w:rPr>
            </w:pPr>
            <w:r>
              <w:rPr>
                <w:rFonts w:ascii="Arial" w:cs="Arial" w:eastAsia="Arial" w:hAnsi="Arial"/>
                <w:sz w:val="18"/>
                <w:szCs w:val="18"/>
                <w:b w:val="1"/>
                <w:bCs w:val="1"/>
                <w:color w:val="auto"/>
                <w:w w:val="79"/>
              </w:rPr>
              <w:t>$</w:t>
            </w:r>
          </w:p>
        </w:tc>
        <w:tc>
          <w:tcPr>
            <w:tcW w:w="66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b w:val="1"/>
                <w:bCs w:val="1"/>
                <w:color w:val="auto"/>
              </w:rPr>
              <w:t>4,221</w:t>
            </w:r>
          </w:p>
        </w:tc>
        <w:tc>
          <w:tcPr>
            <w:tcW w:w="20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jc w:val="right"/>
              <w:ind w:right="208"/>
              <w:spacing w:after="0"/>
              <w:rPr>
                <w:sz w:val="20"/>
                <w:szCs w:val="20"/>
                <w:color w:val="auto"/>
              </w:rPr>
            </w:pPr>
            <w:r>
              <w:rPr>
                <w:rFonts w:ascii="Arial" w:cs="Arial" w:eastAsia="Arial" w:hAnsi="Arial"/>
                <w:sz w:val="14"/>
                <w:szCs w:val="14"/>
                <w:b w:val="1"/>
                <w:bCs w:val="1"/>
                <w:color w:val="auto"/>
                <w:w w:val="76"/>
              </w:rPr>
              <w:t>$</w:t>
            </w:r>
          </w:p>
        </w:tc>
        <w:tc>
          <w:tcPr>
            <w:tcW w:w="1360" w:type="dxa"/>
            <w:vAlign w:val="bottom"/>
            <w:tcBorders>
              <w:bottom w:val="single" w:sz="8" w:color="auto"/>
            </w:tcBorders>
            <w:shd w:val="clear" w:color="auto" w:fill="CFF0FC"/>
          </w:tcPr>
          <w:p>
            <w:pPr>
              <w:jc w:val="right"/>
              <w:ind w:right="54"/>
              <w:spacing w:after="0"/>
              <w:rPr>
                <w:sz w:val="20"/>
                <w:szCs w:val="20"/>
                <w:color w:val="auto"/>
              </w:rPr>
            </w:pPr>
            <w:r>
              <w:rPr>
                <w:rFonts w:ascii="Arial" w:cs="Arial" w:eastAsia="Arial" w:hAnsi="Arial"/>
                <w:sz w:val="18"/>
                <w:szCs w:val="18"/>
                <w:b w:val="1"/>
                <w:bCs w:val="1"/>
                <w:color w:val="auto"/>
              </w:rPr>
              <w:t>78,172</w:t>
            </w:r>
          </w:p>
        </w:tc>
        <w:tc>
          <w:tcPr>
            <w:tcW w:w="0" w:type="dxa"/>
            <w:vAlign w:val="bottom"/>
          </w:tcPr>
          <w:p>
            <w:pPr>
              <w:spacing w:after="0"/>
              <w:rPr>
                <w:sz w:val="1"/>
                <w:szCs w:val="1"/>
                <w:color w:val="auto"/>
              </w:rPr>
            </w:pPr>
          </w:p>
        </w:tc>
      </w:tr>
      <w:tr>
        <w:trPr>
          <w:trHeight w:val="20"/>
        </w:trPr>
        <w:tc>
          <w:tcPr>
            <w:tcW w:w="3800" w:type="dxa"/>
            <w:vAlign w:val="bottom"/>
            <w:vMerge w:val="restart"/>
          </w:tcPr>
          <w:p>
            <w:pPr>
              <w:spacing w:after="0"/>
              <w:rPr>
                <w:sz w:val="20"/>
                <w:szCs w:val="20"/>
                <w:color w:val="auto"/>
              </w:rPr>
            </w:pPr>
            <w:r>
              <w:rPr>
                <w:rFonts w:ascii="Arial" w:cs="Arial" w:eastAsia="Arial" w:hAnsi="Arial"/>
                <w:sz w:val="18"/>
                <w:szCs w:val="18"/>
                <w:b w:val="1"/>
                <w:bCs w:val="1"/>
                <w:color w:val="auto"/>
              </w:rPr>
              <w:t>Balance as of December 31, 2020</w:t>
            </w: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3800" w:type="dxa"/>
            <w:vAlign w:val="bottom"/>
            <w:vMerge w:val="continue"/>
          </w:tcPr>
          <w:p>
            <w:pPr>
              <w:spacing w:after="0"/>
              <w:rPr>
                <w:sz w:val="19"/>
                <w:szCs w:val="19"/>
                <w:color w:val="auto"/>
              </w:rPr>
            </w:pPr>
          </w:p>
        </w:tc>
        <w:tc>
          <w:tcPr>
            <w:tcW w:w="240" w:type="dxa"/>
            <w:vAlign w:val="bottom"/>
          </w:tcPr>
          <w:p>
            <w:pPr>
              <w:jc w:val="right"/>
              <w:ind w:right="51"/>
              <w:spacing w:after="0"/>
              <w:rPr>
                <w:sz w:val="20"/>
                <w:szCs w:val="20"/>
                <w:color w:val="auto"/>
              </w:rPr>
            </w:pPr>
            <w:r>
              <w:rPr>
                <w:rFonts w:ascii="Arial" w:cs="Arial" w:eastAsia="Arial" w:hAnsi="Arial"/>
                <w:sz w:val="18"/>
                <w:szCs w:val="18"/>
                <w:b w:val="1"/>
                <w:bCs w:val="1"/>
                <w:color w:val="auto"/>
                <w:w w:val="79"/>
              </w:rPr>
              <w:t>$</w:t>
            </w:r>
          </w:p>
        </w:tc>
        <w:tc>
          <w:tcPr>
            <w:tcW w:w="1480" w:type="dxa"/>
            <w:vAlign w:val="bottom"/>
          </w:tcPr>
          <w:p>
            <w:pPr>
              <w:jc w:val="right"/>
              <w:ind w:right="34"/>
              <w:spacing w:after="0"/>
              <w:rPr>
                <w:sz w:val="20"/>
                <w:szCs w:val="20"/>
                <w:color w:val="auto"/>
              </w:rPr>
            </w:pPr>
            <w:r>
              <w:rPr>
                <w:rFonts w:ascii="Arial" w:cs="Arial" w:eastAsia="Arial" w:hAnsi="Arial"/>
                <w:sz w:val="18"/>
                <w:szCs w:val="18"/>
                <w:b w:val="1"/>
                <w:bCs w:val="1"/>
                <w:color w:val="auto"/>
              </w:rPr>
              <w:t>72,231</w:t>
            </w:r>
          </w:p>
        </w:tc>
        <w:tc>
          <w:tcPr>
            <w:tcW w:w="1340" w:type="dxa"/>
            <w:vAlign w:val="bottom"/>
            <w:gridSpan w:val="2"/>
          </w:tcPr>
          <w:p>
            <w:pPr>
              <w:jc w:val="right"/>
              <w:ind w:right="980"/>
              <w:spacing w:after="0"/>
              <w:rPr>
                <w:sz w:val="20"/>
                <w:szCs w:val="20"/>
                <w:color w:val="auto"/>
              </w:rPr>
            </w:pPr>
            <w:r>
              <w:rPr>
                <w:rFonts w:ascii="Arial" w:cs="Arial" w:eastAsia="Arial" w:hAnsi="Arial"/>
                <w:sz w:val="18"/>
                <w:szCs w:val="18"/>
                <w:b w:val="1"/>
                <w:bCs w:val="1"/>
                <w:color w:val="auto"/>
              </w:rPr>
              <w:t>$</w:t>
            </w:r>
          </w:p>
        </w:tc>
        <w:tc>
          <w:tcPr>
            <w:tcW w:w="560" w:type="dxa"/>
            <w:vAlign w:val="bottom"/>
          </w:tcPr>
          <w:p>
            <w:pPr>
              <w:jc w:val="right"/>
              <w:ind w:right="31"/>
              <w:spacing w:after="0"/>
              <w:rPr>
                <w:sz w:val="20"/>
                <w:szCs w:val="20"/>
                <w:color w:val="auto"/>
              </w:rPr>
            </w:pPr>
            <w:r>
              <w:rPr>
                <w:rFonts w:ascii="Arial" w:cs="Arial" w:eastAsia="Arial" w:hAnsi="Arial"/>
                <w:sz w:val="18"/>
                <w:szCs w:val="18"/>
                <w:b w:val="1"/>
                <w:bCs w:val="1"/>
                <w:color w:val="auto"/>
                <w:w w:val="93"/>
              </w:rPr>
              <w:t>1,720</w:t>
            </w:r>
          </w:p>
        </w:tc>
        <w:tc>
          <w:tcPr>
            <w:tcW w:w="1240" w:type="dxa"/>
            <w:vAlign w:val="bottom"/>
            <w:gridSpan w:val="2"/>
          </w:tcPr>
          <w:p>
            <w:pPr>
              <w:jc w:val="right"/>
              <w:ind w:right="880"/>
              <w:spacing w:after="0"/>
              <w:rPr>
                <w:sz w:val="20"/>
                <w:szCs w:val="20"/>
                <w:color w:val="auto"/>
              </w:rPr>
            </w:pPr>
            <w:r>
              <w:rPr>
                <w:rFonts w:ascii="Arial" w:cs="Arial" w:eastAsia="Arial" w:hAnsi="Arial"/>
                <w:sz w:val="18"/>
                <w:szCs w:val="18"/>
                <w:b w:val="1"/>
                <w:bCs w:val="1"/>
                <w:color w:val="auto"/>
              </w:rPr>
              <w:t>$</w:t>
            </w:r>
          </w:p>
        </w:tc>
        <w:tc>
          <w:tcPr>
            <w:tcW w:w="660" w:type="dxa"/>
            <w:vAlign w:val="bottom"/>
          </w:tcPr>
          <w:p>
            <w:pPr>
              <w:jc w:val="right"/>
              <w:ind w:right="31"/>
              <w:spacing w:after="0"/>
              <w:rPr>
                <w:sz w:val="20"/>
                <w:szCs w:val="20"/>
                <w:color w:val="auto"/>
              </w:rPr>
            </w:pPr>
            <w:r>
              <w:rPr>
                <w:rFonts w:ascii="Arial" w:cs="Arial" w:eastAsia="Arial" w:hAnsi="Arial"/>
                <w:sz w:val="18"/>
                <w:szCs w:val="18"/>
                <w:b w:val="1"/>
                <w:bCs w:val="1"/>
                <w:color w:val="auto"/>
              </w:rPr>
              <w:t>4,221</w:t>
            </w:r>
          </w:p>
        </w:tc>
        <w:tc>
          <w:tcPr>
            <w:tcW w:w="200" w:type="dxa"/>
            <w:vAlign w:val="bottom"/>
          </w:tcPr>
          <w:p>
            <w:pPr>
              <w:spacing w:after="0"/>
              <w:rPr>
                <w:sz w:val="19"/>
                <w:szCs w:val="19"/>
                <w:color w:val="auto"/>
              </w:rPr>
            </w:pPr>
          </w:p>
        </w:tc>
        <w:tc>
          <w:tcPr>
            <w:tcW w:w="360" w:type="dxa"/>
            <w:vAlign w:val="bottom"/>
          </w:tcPr>
          <w:p>
            <w:pPr>
              <w:jc w:val="right"/>
              <w:ind w:right="208"/>
              <w:spacing w:after="0"/>
              <w:rPr>
                <w:sz w:val="20"/>
                <w:szCs w:val="20"/>
                <w:color w:val="auto"/>
              </w:rPr>
            </w:pPr>
            <w:r>
              <w:rPr>
                <w:rFonts w:ascii="Arial" w:cs="Arial" w:eastAsia="Arial" w:hAnsi="Arial"/>
                <w:sz w:val="14"/>
                <w:szCs w:val="14"/>
                <w:b w:val="1"/>
                <w:bCs w:val="1"/>
                <w:color w:val="auto"/>
                <w:w w:val="76"/>
              </w:rPr>
              <w:t>$</w:t>
            </w:r>
          </w:p>
        </w:tc>
        <w:tc>
          <w:tcPr>
            <w:tcW w:w="1360" w:type="dxa"/>
            <w:vAlign w:val="bottom"/>
          </w:tcPr>
          <w:p>
            <w:pPr>
              <w:jc w:val="right"/>
              <w:ind w:right="54"/>
              <w:spacing w:after="0"/>
              <w:rPr>
                <w:sz w:val="20"/>
                <w:szCs w:val="20"/>
                <w:color w:val="auto"/>
              </w:rPr>
            </w:pPr>
            <w:r>
              <w:rPr>
                <w:rFonts w:ascii="Arial" w:cs="Arial" w:eastAsia="Arial" w:hAnsi="Arial"/>
                <w:sz w:val="18"/>
                <w:szCs w:val="18"/>
                <w:b w:val="1"/>
                <w:bCs w:val="1"/>
                <w:color w:val="auto"/>
              </w:rPr>
              <w:t>78,172</w:t>
            </w:r>
          </w:p>
        </w:tc>
        <w:tc>
          <w:tcPr>
            <w:tcW w:w="0" w:type="dxa"/>
            <w:vAlign w:val="bottom"/>
          </w:tcPr>
          <w:p>
            <w:pPr>
              <w:spacing w:after="0"/>
              <w:rPr>
                <w:sz w:val="1"/>
                <w:szCs w:val="1"/>
                <w:color w:val="auto"/>
              </w:rPr>
            </w:pPr>
          </w:p>
        </w:tc>
      </w:tr>
      <w:tr>
        <w:trPr>
          <w:trHeight w:val="240"/>
        </w:trPr>
        <w:tc>
          <w:tcPr>
            <w:tcW w:w="3800" w:type="dxa"/>
            <w:vAlign w:val="bottom"/>
            <w:shd w:val="clear" w:color="auto" w:fill="CFF0FC"/>
          </w:tcPr>
          <w:p>
            <w:pPr>
              <w:spacing w:after="0"/>
              <w:rPr>
                <w:sz w:val="20"/>
                <w:szCs w:val="20"/>
                <w:color w:val="auto"/>
              </w:rPr>
            </w:pPr>
            <w:r>
              <w:rPr>
                <w:rFonts w:ascii="Arial" w:cs="Arial" w:eastAsia="Arial" w:hAnsi="Arial"/>
                <w:sz w:val="18"/>
                <w:szCs w:val="18"/>
                <w:color w:val="auto"/>
              </w:rPr>
              <w:t>Acquisition</w:t>
            </w:r>
          </w:p>
        </w:tc>
        <w:tc>
          <w:tcPr>
            <w:tcW w:w="240" w:type="dxa"/>
            <w:vAlign w:val="bottom"/>
            <w:tcBorders>
              <w:bottom w:val="single" w:sz="8" w:color="auto"/>
            </w:tcBorders>
            <w:shd w:val="clear" w:color="auto" w:fill="CFF0FC"/>
          </w:tcPr>
          <w:p>
            <w:pPr>
              <w:spacing w:after="0"/>
              <w:rPr>
                <w:sz w:val="20"/>
                <w:szCs w:val="20"/>
                <w:color w:val="auto"/>
              </w:rPr>
            </w:pPr>
          </w:p>
        </w:tc>
        <w:tc>
          <w:tcPr>
            <w:tcW w:w="148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81,134</w:t>
            </w:r>
          </w:p>
        </w:tc>
        <w:tc>
          <w:tcPr>
            <w:tcW w:w="180" w:type="dxa"/>
            <w:vAlign w:val="bottom"/>
            <w:shd w:val="clear" w:color="auto" w:fill="CFF0FC"/>
          </w:tcPr>
          <w:p>
            <w:pPr>
              <w:spacing w:after="0"/>
              <w:rPr>
                <w:sz w:val="20"/>
                <w:szCs w:val="20"/>
                <w:color w:val="auto"/>
              </w:rPr>
            </w:pPr>
          </w:p>
        </w:tc>
        <w:tc>
          <w:tcPr>
            <w:tcW w:w="1160" w:type="dxa"/>
            <w:vAlign w:val="bottom"/>
            <w:tcBorders>
              <w:bottom w:val="single" w:sz="8" w:color="auto"/>
            </w:tcBorders>
            <w:shd w:val="clear" w:color="auto" w:fill="CFF0FC"/>
          </w:tcPr>
          <w:p>
            <w:pPr>
              <w:spacing w:after="0"/>
              <w:rPr>
                <w:sz w:val="20"/>
                <w:szCs w:val="20"/>
                <w:color w:val="auto"/>
              </w:rPr>
            </w:pPr>
          </w:p>
        </w:tc>
        <w:tc>
          <w:tcPr>
            <w:tcW w:w="56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0"/>
                <w:szCs w:val="20"/>
                <w:color w:val="auto"/>
              </w:rPr>
            </w:pPr>
          </w:p>
        </w:tc>
        <w:tc>
          <w:tcPr>
            <w:tcW w:w="1060" w:type="dxa"/>
            <w:vAlign w:val="bottom"/>
            <w:tcBorders>
              <w:bottom w:val="single" w:sz="8" w:color="auto"/>
            </w:tcBorders>
            <w:shd w:val="clear" w:color="auto" w:fill="CFF0FC"/>
          </w:tcPr>
          <w:p>
            <w:pPr>
              <w:spacing w:after="0"/>
              <w:rPr>
                <w:sz w:val="20"/>
                <w:szCs w:val="20"/>
                <w:color w:val="auto"/>
              </w:rPr>
            </w:pPr>
          </w:p>
        </w:tc>
        <w:tc>
          <w:tcPr>
            <w:tcW w:w="66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1360" w:type="dxa"/>
            <w:vAlign w:val="bottom"/>
            <w:tcBorders>
              <w:bottom w:val="single" w:sz="8" w:color="auto"/>
            </w:tcBorders>
            <w:shd w:val="clear" w:color="auto" w:fill="CFF0FC"/>
          </w:tcPr>
          <w:p>
            <w:pPr>
              <w:jc w:val="right"/>
              <w:ind w:right="54"/>
              <w:spacing w:after="0"/>
              <w:rPr>
                <w:sz w:val="20"/>
                <w:szCs w:val="20"/>
                <w:color w:val="auto"/>
              </w:rPr>
            </w:pPr>
            <w:r>
              <w:rPr>
                <w:rFonts w:ascii="Arial" w:cs="Arial" w:eastAsia="Arial" w:hAnsi="Arial"/>
                <w:sz w:val="18"/>
                <w:szCs w:val="18"/>
                <w:color w:val="auto"/>
              </w:rPr>
              <w:t>81,134</w:t>
            </w:r>
          </w:p>
        </w:tc>
        <w:tc>
          <w:tcPr>
            <w:tcW w:w="0" w:type="dxa"/>
            <w:vAlign w:val="bottom"/>
          </w:tcPr>
          <w:p>
            <w:pPr>
              <w:spacing w:after="0"/>
              <w:rPr>
                <w:sz w:val="1"/>
                <w:szCs w:val="1"/>
                <w:color w:val="auto"/>
              </w:rPr>
            </w:pPr>
          </w:p>
        </w:tc>
      </w:tr>
      <w:tr>
        <w:trPr>
          <w:trHeight w:val="233"/>
        </w:trPr>
        <w:tc>
          <w:tcPr>
            <w:tcW w:w="3800" w:type="dxa"/>
            <w:vAlign w:val="bottom"/>
          </w:tcPr>
          <w:p>
            <w:pPr>
              <w:spacing w:after="0"/>
              <w:rPr>
                <w:sz w:val="20"/>
                <w:szCs w:val="20"/>
                <w:color w:val="auto"/>
              </w:rPr>
            </w:pPr>
            <w:r>
              <w:rPr>
                <w:rFonts w:ascii="Arial" w:cs="Arial" w:eastAsia="Arial" w:hAnsi="Arial"/>
                <w:sz w:val="18"/>
                <w:szCs w:val="18"/>
                <w:b w:val="1"/>
                <w:bCs w:val="1"/>
                <w:color w:val="auto"/>
              </w:rPr>
              <w:t>Balance as of June 30, 2021</w:t>
            </w:r>
          </w:p>
        </w:tc>
        <w:tc>
          <w:tcPr>
            <w:tcW w:w="240" w:type="dxa"/>
            <w:vAlign w:val="bottom"/>
          </w:tcPr>
          <w:p>
            <w:pPr>
              <w:jc w:val="right"/>
              <w:ind w:right="51"/>
              <w:spacing w:after="0"/>
              <w:rPr>
                <w:sz w:val="20"/>
                <w:szCs w:val="20"/>
                <w:color w:val="auto"/>
              </w:rPr>
            </w:pPr>
            <w:r>
              <w:rPr>
                <w:rFonts w:ascii="Arial" w:cs="Arial" w:eastAsia="Arial" w:hAnsi="Arial"/>
                <w:sz w:val="18"/>
                <w:szCs w:val="18"/>
                <w:b w:val="1"/>
                <w:bCs w:val="1"/>
                <w:color w:val="auto"/>
                <w:w w:val="79"/>
              </w:rPr>
              <w:t>$</w:t>
            </w:r>
          </w:p>
        </w:tc>
        <w:tc>
          <w:tcPr>
            <w:tcW w:w="1480" w:type="dxa"/>
            <w:vAlign w:val="bottom"/>
          </w:tcPr>
          <w:p>
            <w:pPr>
              <w:jc w:val="right"/>
              <w:ind w:right="34"/>
              <w:spacing w:after="0"/>
              <w:rPr>
                <w:sz w:val="20"/>
                <w:szCs w:val="20"/>
                <w:color w:val="auto"/>
              </w:rPr>
            </w:pPr>
            <w:r>
              <w:rPr>
                <w:rFonts w:ascii="Arial" w:cs="Arial" w:eastAsia="Arial" w:hAnsi="Arial"/>
                <w:sz w:val="18"/>
                <w:szCs w:val="18"/>
                <w:b w:val="1"/>
                <w:bCs w:val="1"/>
                <w:color w:val="auto"/>
              </w:rPr>
              <w:t>153,365</w:t>
            </w:r>
          </w:p>
        </w:tc>
        <w:tc>
          <w:tcPr>
            <w:tcW w:w="1340" w:type="dxa"/>
            <w:vAlign w:val="bottom"/>
            <w:gridSpan w:val="2"/>
          </w:tcPr>
          <w:p>
            <w:pPr>
              <w:jc w:val="right"/>
              <w:ind w:right="980"/>
              <w:spacing w:after="0"/>
              <w:rPr>
                <w:sz w:val="20"/>
                <w:szCs w:val="20"/>
                <w:color w:val="auto"/>
              </w:rPr>
            </w:pPr>
            <w:r>
              <w:rPr>
                <w:rFonts w:ascii="Arial" w:cs="Arial" w:eastAsia="Arial" w:hAnsi="Arial"/>
                <w:sz w:val="18"/>
                <w:szCs w:val="18"/>
                <w:b w:val="1"/>
                <w:bCs w:val="1"/>
                <w:color w:val="auto"/>
              </w:rPr>
              <w:t>$</w:t>
            </w:r>
          </w:p>
        </w:tc>
        <w:tc>
          <w:tcPr>
            <w:tcW w:w="560" w:type="dxa"/>
            <w:vAlign w:val="bottom"/>
          </w:tcPr>
          <w:p>
            <w:pPr>
              <w:jc w:val="right"/>
              <w:ind w:right="31"/>
              <w:spacing w:after="0"/>
              <w:rPr>
                <w:sz w:val="20"/>
                <w:szCs w:val="20"/>
                <w:color w:val="auto"/>
              </w:rPr>
            </w:pPr>
            <w:r>
              <w:rPr>
                <w:rFonts w:ascii="Arial" w:cs="Arial" w:eastAsia="Arial" w:hAnsi="Arial"/>
                <w:sz w:val="18"/>
                <w:szCs w:val="18"/>
                <w:b w:val="1"/>
                <w:bCs w:val="1"/>
                <w:color w:val="auto"/>
                <w:w w:val="93"/>
              </w:rPr>
              <w:t>1,720</w:t>
            </w:r>
          </w:p>
        </w:tc>
        <w:tc>
          <w:tcPr>
            <w:tcW w:w="1240" w:type="dxa"/>
            <w:vAlign w:val="bottom"/>
            <w:gridSpan w:val="2"/>
          </w:tcPr>
          <w:p>
            <w:pPr>
              <w:jc w:val="right"/>
              <w:ind w:right="880"/>
              <w:spacing w:after="0"/>
              <w:rPr>
                <w:sz w:val="20"/>
                <w:szCs w:val="20"/>
                <w:color w:val="auto"/>
              </w:rPr>
            </w:pPr>
            <w:r>
              <w:rPr>
                <w:rFonts w:ascii="Arial" w:cs="Arial" w:eastAsia="Arial" w:hAnsi="Arial"/>
                <w:sz w:val="18"/>
                <w:szCs w:val="18"/>
                <w:b w:val="1"/>
                <w:bCs w:val="1"/>
                <w:color w:val="auto"/>
              </w:rPr>
              <w:t>$</w:t>
            </w:r>
          </w:p>
        </w:tc>
        <w:tc>
          <w:tcPr>
            <w:tcW w:w="660" w:type="dxa"/>
            <w:vAlign w:val="bottom"/>
          </w:tcPr>
          <w:p>
            <w:pPr>
              <w:jc w:val="right"/>
              <w:ind w:right="31"/>
              <w:spacing w:after="0"/>
              <w:rPr>
                <w:sz w:val="20"/>
                <w:szCs w:val="20"/>
                <w:color w:val="auto"/>
              </w:rPr>
            </w:pPr>
            <w:r>
              <w:rPr>
                <w:rFonts w:ascii="Arial" w:cs="Arial" w:eastAsia="Arial" w:hAnsi="Arial"/>
                <w:sz w:val="18"/>
                <w:szCs w:val="18"/>
                <w:b w:val="1"/>
                <w:bCs w:val="1"/>
                <w:color w:val="auto"/>
              </w:rPr>
              <w:t>4,221</w:t>
            </w:r>
          </w:p>
        </w:tc>
        <w:tc>
          <w:tcPr>
            <w:tcW w:w="200" w:type="dxa"/>
            <w:vAlign w:val="bottom"/>
          </w:tcPr>
          <w:p>
            <w:pPr>
              <w:spacing w:after="0"/>
              <w:rPr>
                <w:sz w:val="20"/>
                <w:szCs w:val="20"/>
                <w:color w:val="auto"/>
              </w:rPr>
            </w:pPr>
          </w:p>
        </w:tc>
        <w:tc>
          <w:tcPr>
            <w:tcW w:w="360" w:type="dxa"/>
            <w:vAlign w:val="bottom"/>
          </w:tcPr>
          <w:p>
            <w:pPr>
              <w:jc w:val="right"/>
              <w:ind w:right="208"/>
              <w:spacing w:after="0"/>
              <w:rPr>
                <w:sz w:val="20"/>
                <w:szCs w:val="20"/>
                <w:color w:val="auto"/>
              </w:rPr>
            </w:pPr>
            <w:r>
              <w:rPr>
                <w:rFonts w:ascii="Arial" w:cs="Arial" w:eastAsia="Arial" w:hAnsi="Arial"/>
                <w:sz w:val="14"/>
                <w:szCs w:val="14"/>
                <w:b w:val="1"/>
                <w:bCs w:val="1"/>
                <w:color w:val="auto"/>
                <w:w w:val="76"/>
              </w:rPr>
              <w:t>$</w:t>
            </w:r>
          </w:p>
        </w:tc>
        <w:tc>
          <w:tcPr>
            <w:tcW w:w="1360" w:type="dxa"/>
            <w:vAlign w:val="bottom"/>
          </w:tcPr>
          <w:p>
            <w:pPr>
              <w:jc w:val="right"/>
              <w:ind w:right="54"/>
              <w:spacing w:after="0"/>
              <w:rPr>
                <w:sz w:val="20"/>
                <w:szCs w:val="20"/>
                <w:color w:val="auto"/>
              </w:rPr>
            </w:pPr>
            <w:r>
              <w:rPr>
                <w:rFonts w:ascii="Arial" w:cs="Arial" w:eastAsia="Arial" w:hAnsi="Arial"/>
                <w:sz w:val="18"/>
                <w:szCs w:val="18"/>
                <w:b w:val="1"/>
                <w:bCs w:val="1"/>
                <w:color w:val="auto"/>
              </w:rPr>
              <w:t>159,306</w:t>
            </w: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Refer to Note 4 – Acquisition for more information related to the acquisition that occurred in the six months ended June 30, 2021.</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12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Intangibles assets, net consisted of the following (in thousands):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56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800" w:type="dxa"/>
            <w:vAlign w:val="bottom"/>
            <w:gridSpan w:val="2"/>
          </w:tcPr>
          <w:p>
            <w:pPr>
              <w:ind w:left="260"/>
              <w:spacing w:after="0"/>
              <w:rPr>
                <w:sz w:val="20"/>
                <w:szCs w:val="20"/>
                <w:color w:val="auto"/>
              </w:rPr>
            </w:pPr>
            <w:r>
              <w:rPr>
                <w:rFonts w:ascii="Arial" w:cs="Arial" w:eastAsia="Arial" w:hAnsi="Arial"/>
                <w:sz w:val="14"/>
                <w:szCs w:val="14"/>
                <w:b w:val="1"/>
                <w:bCs w:val="1"/>
                <w:color w:val="auto"/>
              </w:rPr>
              <w:t>June 30,</w:t>
            </w:r>
          </w:p>
        </w:tc>
        <w:tc>
          <w:tcPr>
            <w:tcW w:w="280" w:type="dxa"/>
            <w:vAlign w:val="bottom"/>
          </w:tcPr>
          <w:p>
            <w:pPr>
              <w:spacing w:after="0"/>
              <w:rPr>
                <w:sz w:val="15"/>
                <w:szCs w:val="15"/>
                <w:color w:val="auto"/>
              </w:rPr>
            </w:pPr>
          </w:p>
        </w:tc>
        <w:tc>
          <w:tcPr>
            <w:tcW w:w="1720" w:type="dxa"/>
            <w:vAlign w:val="bottom"/>
          </w:tcPr>
          <w:p>
            <w:pPr>
              <w:jc w:val="right"/>
              <w:ind w:right="515"/>
              <w:spacing w:after="0"/>
              <w:rPr>
                <w:sz w:val="20"/>
                <w:szCs w:val="20"/>
                <w:color w:val="auto"/>
              </w:rPr>
            </w:pPr>
            <w:r>
              <w:rPr>
                <w:rFonts w:ascii="Arial" w:cs="Arial" w:eastAsia="Arial" w:hAnsi="Arial"/>
                <w:sz w:val="14"/>
                <w:szCs w:val="14"/>
                <w:b w:val="1"/>
                <w:bCs w:val="1"/>
                <w:color w:val="auto"/>
              </w:rPr>
              <w:t>December 31,</w:t>
            </w:r>
          </w:p>
        </w:tc>
      </w:tr>
      <w:tr>
        <w:trPr>
          <w:trHeight w:val="166"/>
        </w:trPr>
        <w:tc>
          <w:tcPr>
            <w:tcW w:w="4560" w:type="dxa"/>
            <w:vAlign w:val="bottom"/>
            <w:tcBorders>
              <w:bottom w:val="single" w:sz="8" w:color="CFF0FC"/>
            </w:tcBorders>
          </w:tcPr>
          <w:p>
            <w:pPr>
              <w:spacing w:after="0"/>
              <w:rPr>
                <w:sz w:val="14"/>
                <w:szCs w:val="14"/>
                <w:color w:val="auto"/>
              </w:rPr>
            </w:pPr>
          </w:p>
        </w:tc>
        <w:tc>
          <w:tcPr>
            <w:tcW w:w="2500" w:type="dxa"/>
            <w:vAlign w:val="bottom"/>
            <w:tcBorders>
              <w:bottom w:val="single" w:sz="8" w:color="CFF0FC"/>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600" w:type="dxa"/>
            <w:vAlign w:val="bottom"/>
            <w:tcBorders>
              <w:top w:val="single" w:sz="8" w:color="auto"/>
              <w:bottom w:val="single" w:sz="8" w:color="auto"/>
            </w:tcBorders>
          </w:tcPr>
          <w:p>
            <w:pPr>
              <w:jc w:val="right"/>
              <w:ind w:right="795"/>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FF0FC"/>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1720" w:type="dxa"/>
            <w:vAlign w:val="bottom"/>
            <w:tcBorders>
              <w:top w:val="single" w:sz="8" w:color="auto"/>
              <w:bottom w:val="single" w:sz="8" w:color="auto"/>
            </w:tcBorders>
          </w:tcPr>
          <w:p>
            <w:pPr>
              <w:jc w:val="right"/>
              <w:ind w:right="815"/>
              <w:spacing w:after="0"/>
              <w:rPr>
                <w:sz w:val="20"/>
                <w:szCs w:val="20"/>
                <w:color w:val="auto"/>
              </w:rPr>
            </w:pPr>
            <w:r>
              <w:rPr>
                <w:rFonts w:ascii="Arial" w:cs="Arial" w:eastAsia="Arial" w:hAnsi="Arial"/>
                <w:sz w:val="14"/>
                <w:szCs w:val="14"/>
                <w:b w:val="1"/>
                <w:bCs w:val="1"/>
                <w:color w:val="auto"/>
              </w:rPr>
              <w:t>2020</w:t>
            </w:r>
          </w:p>
        </w:tc>
      </w:tr>
      <w:tr>
        <w:trPr>
          <w:trHeight w:val="206"/>
        </w:trPr>
        <w:tc>
          <w:tcPr>
            <w:tcW w:w="4560" w:type="dxa"/>
            <w:vAlign w:val="bottom"/>
            <w:shd w:val="clear" w:color="auto" w:fill="CFF0FC"/>
          </w:tcPr>
          <w:p>
            <w:pPr>
              <w:spacing w:after="0"/>
              <w:rPr>
                <w:sz w:val="20"/>
                <w:szCs w:val="20"/>
                <w:color w:val="auto"/>
              </w:rPr>
            </w:pPr>
            <w:r>
              <w:rPr>
                <w:rFonts w:ascii="Arial" w:cs="Arial" w:eastAsia="Arial" w:hAnsi="Arial"/>
                <w:sz w:val="18"/>
                <w:szCs w:val="18"/>
                <w:color w:val="auto"/>
              </w:rPr>
              <w:t>Developed Technology</w:t>
            </w:r>
          </w:p>
        </w:tc>
        <w:tc>
          <w:tcPr>
            <w:tcW w:w="28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25,700</w:t>
            </w:r>
          </w:p>
        </w:tc>
        <w:tc>
          <w:tcPr>
            <w:tcW w:w="200" w:type="dxa"/>
            <w:vAlign w:val="bottom"/>
            <w:shd w:val="clear" w:color="auto" w:fill="CFF0FC"/>
          </w:tcPr>
          <w:p>
            <w:pPr>
              <w:spacing w:after="0"/>
              <w:rPr>
                <w:sz w:val="17"/>
                <w:szCs w:val="17"/>
                <w:color w:val="auto"/>
              </w:rPr>
            </w:pPr>
          </w:p>
        </w:tc>
        <w:tc>
          <w:tcPr>
            <w:tcW w:w="280" w:type="dxa"/>
            <w:vAlign w:val="bottom"/>
            <w:shd w:val="clear" w:color="auto" w:fill="CFF0FC"/>
          </w:tcPr>
          <w:p>
            <w:pPr>
              <w:jc w:val="right"/>
              <w:ind w:right="91"/>
              <w:spacing w:after="0"/>
              <w:rPr>
                <w:sz w:val="20"/>
                <w:szCs w:val="20"/>
                <w:color w:val="auto"/>
              </w:rPr>
            </w:pPr>
            <w:r>
              <w:rPr>
                <w:rFonts w:ascii="Arial" w:cs="Arial" w:eastAsia="Arial" w:hAnsi="Arial"/>
                <w:sz w:val="18"/>
                <w:szCs w:val="18"/>
                <w:color w:val="auto"/>
                <w:w w:val="79"/>
              </w:rPr>
              <w:t>$</w:t>
            </w:r>
          </w:p>
        </w:tc>
        <w:tc>
          <w:tcPr>
            <w:tcW w:w="1720" w:type="dxa"/>
            <w:vAlign w:val="bottom"/>
            <w:shd w:val="clear" w:color="auto" w:fill="CFF0FC"/>
          </w:tcPr>
          <w:p>
            <w:pPr>
              <w:jc w:val="right"/>
              <w:ind w:right="55"/>
              <w:spacing w:after="0"/>
              <w:rPr>
                <w:sz w:val="20"/>
                <w:szCs w:val="20"/>
                <w:color w:val="auto"/>
              </w:rPr>
            </w:pPr>
            <w:r>
              <w:rPr>
                <w:rFonts w:ascii="Arial" w:cs="Arial" w:eastAsia="Arial" w:hAnsi="Arial"/>
                <w:sz w:val="18"/>
                <w:szCs w:val="18"/>
                <w:color w:val="auto"/>
              </w:rPr>
              <w:t>—</w:t>
            </w:r>
          </w:p>
        </w:tc>
      </w:tr>
      <w:tr>
        <w:trPr>
          <w:trHeight w:val="213"/>
        </w:trPr>
        <w:tc>
          <w:tcPr>
            <w:tcW w:w="4560" w:type="dxa"/>
            <w:vAlign w:val="bottom"/>
          </w:tcPr>
          <w:p>
            <w:pPr>
              <w:spacing w:after="0"/>
              <w:rPr>
                <w:sz w:val="20"/>
                <w:szCs w:val="20"/>
                <w:color w:val="auto"/>
              </w:rPr>
            </w:pPr>
            <w:r>
              <w:rPr>
                <w:rFonts w:ascii="Arial" w:cs="Arial" w:eastAsia="Arial" w:hAnsi="Arial"/>
                <w:sz w:val="18"/>
                <w:szCs w:val="18"/>
                <w:color w:val="auto"/>
              </w:rPr>
              <w:t>Trademarks</w:t>
            </w:r>
          </w:p>
        </w:tc>
        <w:tc>
          <w:tcPr>
            <w:tcW w:w="2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0" w:type="dxa"/>
            <w:vAlign w:val="bottom"/>
          </w:tcPr>
          <w:p>
            <w:pPr>
              <w:jc w:val="right"/>
              <w:ind w:right="35"/>
              <w:spacing w:after="0"/>
              <w:rPr>
                <w:sz w:val="20"/>
                <w:szCs w:val="20"/>
                <w:color w:val="auto"/>
              </w:rPr>
            </w:pPr>
            <w:r>
              <w:rPr>
                <w:rFonts w:ascii="Arial" w:cs="Arial" w:eastAsia="Arial" w:hAnsi="Arial"/>
                <w:sz w:val="18"/>
                <w:szCs w:val="18"/>
                <w:color w:val="auto"/>
              </w:rPr>
              <w:t>5,240</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20" w:type="dxa"/>
            <w:vAlign w:val="bottom"/>
          </w:tcPr>
          <w:p>
            <w:pPr>
              <w:jc w:val="right"/>
              <w:ind w:right="55"/>
              <w:spacing w:after="0"/>
              <w:rPr>
                <w:sz w:val="20"/>
                <w:szCs w:val="20"/>
                <w:color w:val="auto"/>
              </w:rPr>
            </w:pPr>
            <w:r>
              <w:rPr>
                <w:rFonts w:ascii="Arial" w:cs="Arial" w:eastAsia="Arial" w:hAnsi="Arial"/>
                <w:sz w:val="18"/>
                <w:szCs w:val="18"/>
                <w:color w:val="auto"/>
              </w:rPr>
              <w:t>40</w:t>
            </w:r>
          </w:p>
        </w:tc>
      </w:tr>
      <w:tr>
        <w:trPr>
          <w:trHeight w:val="240"/>
        </w:trPr>
        <w:tc>
          <w:tcPr>
            <w:tcW w:w="4560" w:type="dxa"/>
            <w:vAlign w:val="bottom"/>
            <w:shd w:val="clear" w:color="auto" w:fill="CFF0FC"/>
          </w:tcPr>
          <w:p>
            <w:pPr>
              <w:spacing w:after="0"/>
              <w:rPr>
                <w:sz w:val="20"/>
                <w:szCs w:val="20"/>
                <w:color w:val="auto"/>
              </w:rPr>
            </w:pPr>
            <w:r>
              <w:rPr>
                <w:rFonts w:ascii="Arial" w:cs="Arial" w:eastAsia="Arial" w:hAnsi="Arial"/>
                <w:sz w:val="18"/>
                <w:szCs w:val="18"/>
                <w:color w:val="auto"/>
              </w:rPr>
              <w:t>Customer Relationships</w:t>
            </w:r>
          </w:p>
        </w:tc>
        <w:tc>
          <w:tcPr>
            <w:tcW w:w="250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60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3,400</w:t>
            </w:r>
          </w:p>
        </w:tc>
        <w:tc>
          <w:tcPr>
            <w:tcW w:w="2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720" w:type="dxa"/>
            <w:vAlign w:val="bottom"/>
            <w:shd w:val="clear" w:color="auto" w:fill="CFF0FC"/>
          </w:tcPr>
          <w:p>
            <w:pPr>
              <w:jc w:val="right"/>
              <w:ind w:right="55"/>
              <w:spacing w:after="0"/>
              <w:rPr>
                <w:sz w:val="20"/>
                <w:szCs w:val="20"/>
                <w:color w:val="auto"/>
              </w:rPr>
            </w:pPr>
            <w:r>
              <w:rPr>
                <w:rFonts w:ascii="Arial" w:cs="Arial" w:eastAsia="Arial" w:hAnsi="Arial"/>
                <w:sz w:val="18"/>
                <w:szCs w:val="18"/>
                <w:color w:val="auto"/>
              </w:rPr>
              <w:t>—</w:t>
            </w:r>
          </w:p>
        </w:tc>
      </w:tr>
      <w:tr>
        <w:trPr>
          <w:trHeight w:val="213"/>
        </w:trPr>
        <w:tc>
          <w:tcPr>
            <w:tcW w:w="45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2500" w:type="dxa"/>
            <w:vAlign w:val="bottom"/>
            <w:tcBorders>
              <w:bottom w:val="single" w:sz="8" w:color="CFF0FC"/>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252</w:t>
            </w:r>
          </w:p>
        </w:tc>
        <w:tc>
          <w:tcPr>
            <w:tcW w:w="20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252</w:t>
            </w:r>
          </w:p>
        </w:tc>
      </w:tr>
      <w:tr>
        <w:trPr>
          <w:trHeight w:val="206"/>
        </w:trPr>
        <w:tc>
          <w:tcPr>
            <w:tcW w:w="4560" w:type="dxa"/>
            <w:vAlign w:val="bottom"/>
            <w:shd w:val="clear" w:color="auto" w:fill="CFF0FC"/>
          </w:tcPr>
          <w:p>
            <w:pPr>
              <w:spacing w:after="0"/>
              <w:rPr>
                <w:sz w:val="17"/>
                <w:szCs w:val="17"/>
                <w:color w:val="auto"/>
              </w:rPr>
            </w:pPr>
          </w:p>
        </w:tc>
        <w:tc>
          <w:tcPr>
            <w:tcW w:w="250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60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34,592</w:t>
            </w:r>
          </w:p>
        </w:tc>
        <w:tc>
          <w:tcPr>
            <w:tcW w:w="2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720" w:type="dxa"/>
            <w:vAlign w:val="bottom"/>
            <w:shd w:val="clear" w:color="auto" w:fill="CFF0FC"/>
          </w:tcPr>
          <w:p>
            <w:pPr>
              <w:jc w:val="right"/>
              <w:ind w:right="55"/>
              <w:spacing w:after="0"/>
              <w:rPr>
                <w:sz w:val="20"/>
                <w:szCs w:val="20"/>
                <w:color w:val="auto"/>
              </w:rPr>
            </w:pPr>
            <w:r>
              <w:rPr>
                <w:rFonts w:ascii="Arial" w:cs="Arial" w:eastAsia="Arial" w:hAnsi="Arial"/>
                <w:sz w:val="18"/>
                <w:szCs w:val="18"/>
                <w:color w:val="auto"/>
              </w:rPr>
              <w:t>292</w:t>
            </w:r>
          </w:p>
        </w:tc>
      </w:tr>
      <w:tr>
        <w:trPr>
          <w:trHeight w:val="213"/>
        </w:trPr>
        <w:tc>
          <w:tcPr>
            <w:tcW w:w="45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Accumulated Amortization</w:t>
            </w:r>
          </w:p>
        </w:tc>
        <w:tc>
          <w:tcPr>
            <w:tcW w:w="2500" w:type="dxa"/>
            <w:vAlign w:val="bottom"/>
            <w:tcBorders>
              <w:bottom w:val="single" w:sz="8" w:color="CFF0FC"/>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(3,274)</w:t>
            </w:r>
          </w:p>
        </w:tc>
        <w:tc>
          <w:tcPr>
            <w:tcW w:w="20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w:t>
            </w:r>
          </w:p>
        </w:tc>
      </w:tr>
      <w:tr>
        <w:trPr>
          <w:trHeight w:val="206"/>
        </w:trPr>
        <w:tc>
          <w:tcPr>
            <w:tcW w:w="45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Intangible assets, net</w:t>
            </w:r>
          </w:p>
        </w:tc>
        <w:tc>
          <w:tcPr>
            <w:tcW w:w="28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31,318</w:t>
            </w:r>
          </w:p>
        </w:tc>
        <w:tc>
          <w:tcPr>
            <w:tcW w:w="200" w:type="dxa"/>
            <w:vAlign w:val="bottom"/>
            <w:shd w:val="clear" w:color="auto" w:fill="CFF0FC"/>
          </w:tcPr>
          <w:p>
            <w:pPr>
              <w:spacing w:after="0"/>
              <w:rPr>
                <w:sz w:val="17"/>
                <w:szCs w:val="17"/>
                <w:color w:val="auto"/>
              </w:rPr>
            </w:pPr>
          </w:p>
        </w:tc>
        <w:tc>
          <w:tcPr>
            <w:tcW w:w="280" w:type="dxa"/>
            <w:vAlign w:val="bottom"/>
            <w:shd w:val="clear" w:color="auto" w:fill="CFF0FC"/>
          </w:tcPr>
          <w:p>
            <w:pPr>
              <w:jc w:val="right"/>
              <w:ind w:right="91"/>
              <w:spacing w:after="0"/>
              <w:rPr>
                <w:sz w:val="20"/>
                <w:szCs w:val="20"/>
                <w:color w:val="auto"/>
              </w:rPr>
            </w:pPr>
            <w:r>
              <w:rPr>
                <w:rFonts w:ascii="Arial" w:cs="Arial" w:eastAsia="Arial" w:hAnsi="Arial"/>
                <w:sz w:val="18"/>
                <w:szCs w:val="18"/>
                <w:color w:val="auto"/>
                <w:w w:val="79"/>
              </w:rPr>
              <w:t>$</w:t>
            </w:r>
          </w:p>
        </w:tc>
        <w:tc>
          <w:tcPr>
            <w:tcW w:w="1720" w:type="dxa"/>
            <w:vAlign w:val="bottom"/>
            <w:shd w:val="clear" w:color="auto" w:fill="CFF0FC"/>
          </w:tcPr>
          <w:p>
            <w:pPr>
              <w:jc w:val="right"/>
              <w:ind w:right="55"/>
              <w:spacing w:after="0"/>
              <w:rPr>
                <w:sz w:val="20"/>
                <w:szCs w:val="20"/>
                <w:color w:val="auto"/>
              </w:rPr>
            </w:pPr>
            <w:r>
              <w:rPr>
                <w:rFonts w:ascii="Arial" w:cs="Arial" w:eastAsia="Arial" w:hAnsi="Arial"/>
                <w:sz w:val="18"/>
                <w:szCs w:val="18"/>
                <w:color w:val="auto"/>
              </w:rPr>
              <w:t>34</w:t>
            </w:r>
          </w:p>
        </w:tc>
      </w:tr>
      <w:tr>
        <w:trPr>
          <w:trHeight w:val="20"/>
        </w:trPr>
        <w:tc>
          <w:tcPr>
            <w:tcW w:w="4560" w:type="dxa"/>
            <w:vAlign w:val="bottom"/>
            <w:tcBorders>
              <w:top w:val="single" w:sz="8" w:color="CFF0FC"/>
            </w:tcBorders>
          </w:tcPr>
          <w:p>
            <w:pPr>
              <w:spacing w:after="0" w:line="20" w:lineRule="exact"/>
              <w:rPr>
                <w:sz w:val="1"/>
                <w:szCs w:val="1"/>
                <w:color w:val="auto"/>
              </w:rPr>
            </w:pPr>
          </w:p>
        </w:tc>
        <w:tc>
          <w:tcPr>
            <w:tcW w:w="250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r>
    </w:tbl>
    <w:p>
      <w:pPr>
        <w:spacing w:after="0" w:line="23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Refer to Note 4 – Acquisition for more information related to the acquisition that occurred in the six months ended June 30, 2021.</w:t>
      </w:r>
    </w:p>
    <w:p>
      <w:pPr>
        <w:spacing w:after="0" w:line="206" w:lineRule="exact"/>
        <w:rPr>
          <w:sz w:val="20"/>
          <w:szCs w:val="20"/>
          <w:color w:val="auto"/>
        </w:rPr>
      </w:pPr>
    </w:p>
    <w:p>
      <w:pPr>
        <w:ind w:right="340" w:firstLine="762"/>
        <w:spacing w:after="0" w:line="239" w:lineRule="auto"/>
        <w:rPr>
          <w:sz w:val="20"/>
          <w:szCs w:val="20"/>
          <w:color w:val="auto"/>
        </w:rPr>
      </w:pPr>
      <w:r>
        <w:rPr>
          <w:rFonts w:ascii="Arial" w:cs="Arial" w:eastAsia="Arial" w:hAnsi="Arial"/>
          <w:sz w:val="18"/>
          <w:szCs w:val="18"/>
          <w:color w:val="auto"/>
        </w:rPr>
        <w:t>Amortization expense for intangible assets was $1.6 million and $0.1 million for the three months ended June 30, 2021 and 2020, respectively, and $3.0 million and $0.3 million for the six months ended June 30, 2021 and 2020, respectively.</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50800</wp:posOffset>
            </wp:positionV>
            <wp:extent cx="715962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VROOM, INC.</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1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estimated amortization expense for intangible assets subsequent to June 30, 2021 consists of the following (in thousands):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0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Year Ending December 31:</w:t>
            </w:r>
          </w:p>
        </w:tc>
        <w:tc>
          <w:tcPr>
            <w:tcW w:w="3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240" w:type="dxa"/>
            <w:vAlign w:val="bottom"/>
            <w:tcBorders>
              <w:bottom w:val="single" w:sz="8" w:color="CFF0FC"/>
            </w:tcBorders>
          </w:tcPr>
          <w:p>
            <w:pPr>
              <w:spacing w:after="0"/>
              <w:rPr>
                <w:sz w:val="15"/>
                <w:szCs w:val="15"/>
                <w:color w:val="auto"/>
              </w:rPr>
            </w:pPr>
          </w:p>
        </w:tc>
        <w:tc>
          <w:tcPr>
            <w:tcW w:w="280" w:type="dxa"/>
            <w:vAlign w:val="bottom"/>
            <w:tcBorders>
              <w:bottom w:val="single" w:sz="8" w:color="CFF0FC"/>
            </w:tcBorders>
          </w:tcPr>
          <w:p>
            <w:pPr>
              <w:spacing w:after="0"/>
              <w:rPr>
                <w:sz w:val="15"/>
                <w:szCs w:val="15"/>
                <w:color w:val="auto"/>
              </w:rPr>
            </w:pPr>
          </w:p>
        </w:tc>
        <w:tc>
          <w:tcPr>
            <w:tcW w:w="180" w:type="dxa"/>
            <w:vAlign w:val="bottom"/>
            <w:tcBorders>
              <w:bottom w:val="single" w:sz="8" w:color="CFF0FC"/>
            </w:tcBorders>
          </w:tcPr>
          <w:p>
            <w:pPr>
              <w:spacing w:after="0"/>
              <w:rPr>
                <w:sz w:val="15"/>
                <w:szCs w:val="15"/>
                <w:color w:val="auto"/>
              </w:rPr>
            </w:pPr>
          </w:p>
        </w:tc>
        <w:tc>
          <w:tcPr>
            <w:tcW w:w="300" w:type="dxa"/>
            <w:vAlign w:val="bottom"/>
            <w:tcBorders>
              <w:bottom w:val="single" w:sz="8" w:color="CFF0FC"/>
            </w:tcBorders>
          </w:tcPr>
          <w:p>
            <w:pPr>
              <w:spacing w:after="0"/>
              <w:rPr>
                <w:sz w:val="15"/>
                <w:szCs w:val="15"/>
                <w:color w:val="auto"/>
              </w:rPr>
            </w:pPr>
          </w:p>
        </w:tc>
        <w:tc>
          <w:tcPr>
            <w:tcW w:w="170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7080" w:type="dxa"/>
            <w:vAlign w:val="bottom"/>
            <w:shd w:val="clear" w:color="auto" w:fill="CFF0FC"/>
          </w:tcPr>
          <w:p>
            <w:pPr>
              <w:spacing w:after="0"/>
              <w:rPr>
                <w:sz w:val="20"/>
                <w:szCs w:val="20"/>
                <w:color w:val="auto"/>
              </w:rPr>
            </w:pPr>
            <w:r>
              <w:rPr>
                <w:rFonts w:ascii="Arial" w:cs="Arial" w:eastAsia="Arial" w:hAnsi="Arial"/>
                <w:sz w:val="18"/>
                <w:szCs w:val="18"/>
                <w:color w:val="auto"/>
              </w:rPr>
              <w:t>For remainder of 2021</w:t>
            </w:r>
          </w:p>
        </w:tc>
        <w:tc>
          <w:tcPr>
            <w:tcW w:w="360" w:type="dxa"/>
            <w:vAlign w:val="bottom"/>
            <w:shd w:val="clear" w:color="auto" w:fill="CFF0FC"/>
          </w:tcPr>
          <w:p>
            <w:pPr>
              <w:spacing w:after="0"/>
              <w:rPr>
                <w:sz w:val="17"/>
                <w:szCs w:val="17"/>
                <w:color w:val="auto"/>
              </w:rPr>
            </w:pPr>
          </w:p>
        </w:tc>
        <w:tc>
          <w:tcPr>
            <w:tcW w:w="1620" w:type="dxa"/>
            <w:vAlign w:val="bottom"/>
            <w:gridSpan w:val="3"/>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7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3,111</w:t>
            </w:r>
          </w:p>
        </w:tc>
        <w:tc>
          <w:tcPr>
            <w:tcW w:w="0" w:type="dxa"/>
            <w:vAlign w:val="bottom"/>
          </w:tcPr>
          <w:p>
            <w:pPr>
              <w:spacing w:after="0"/>
              <w:rPr>
                <w:sz w:val="1"/>
                <w:szCs w:val="1"/>
                <w:color w:val="auto"/>
              </w:rPr>
            </w:pPr>
          </w:p>
        </w:tc>
      </w:tr>
      <w:tr>
        <w:trPr>
          <w:trHeight w:val="213"/>
        </w:trPr>
        <w:tc>
          <w:tcPr>
            <w:tcW w:w="7080" w:type="dxa"/>
            <w:vAlign w:val="bottom"/>
          </w:tcPr>
          <w:p>
            <w:pPr>
              <w:spacing w:after="0"/>
              <w:rPr>
                <w:sz w:val="20"/>
                <w:szCs w:val="20"/>
                <w:color w:val="auto"/>
              </w:rPr>
            </w:pPr>
            <w:r>
              <w:rPr>
                <w:rFonts w:ascii="Arial" w:cs="Arial" w:eastAsia="Arial" w:hAnsi="Arial"/>
                <w:sz w:val="18"/>
                <w:szCs w:val="18"/>
                <w:color w:val="auto"/>
              </w:rPr>
              <w:t>2022</w:t>
            </w: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tcPr>
          <w:p>
            <w:pPr>
              <w:jc w:val="right"/>
              <w:ind w:right="33"/>
              <w:spacing w:after="0"/>
              <w:rPr>
                <w:sz w:val="20"/>
                <w:szCs w:val="20"/>
                <w:color w:val="auto"/>
              </w:rPr>
            </w:pPr>
            <w:r>
              <w:rPr>
                <w:rFonts w:ascii="Arial" w:cs="Arial" w:eastAsia="Arial" w:hAnsi="Arial"/>
                <w:sz w:val="18"/>
                <w:szCs w:val="18"/>
                <w:color w:val="auto"/>
              </w:rPr>
              <w:t>6,220</w:t>
            </w:r>
          </w:p>
        </w:tc>
        <w:tc>
          <w:tcPr>
            <w:tcW w:w="0" w:type="dxa"/>
            <w:vAlign w:val="bottom"/>
          </w:tcPr>
          <w:p>
            <w:pPr>
              <w:spacing w:after="0"/>
              <w:rPr>
                <w:sz w:val="1"/>
                <w:szCs w:val="1"/>
                <w:color w:val="auto"/>
              </w:rPr>
            </w:pPr>
          </w:p>
        </w:tc>
      </w:tr>
      <w:tr>
        <w:trPr>
          <w:trHeight w:val="213"/>
        </w:trPr>
        <w:tc>
          <w:tcPr>
            <w:tcW w:w="708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3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7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6,215</w:t>
            </w:r>
          </w:p>
        </w:tc>
        <w:tc>
          <w:tcPr>
            <w:tcW w:w="0" w:type="dxa"/>
            <w:vAlign w:val="bottom"/>
          </w:tcPr>
          <w:p>
            <w:pPr>
              <w:spacing w:after="0"/>
              <w:rPr>
                <w:sz w:val="1"/>
                <w:szCs w:val="1"/>
                <w:color w:val="auto"/>
              </w:rPr>
            </w:pPr>
          </w:p>
        </w:tc>
      </w:tr>
      <w:tr>
        <w:trPr>
          <w:trHeight w:val="213"/>
        </w:trPr>
        <w:tc>
          <w:tcPr>
            <w:tcW w:w="7080" w:type="dxa"/>
            <w:vAlign w:val="bottom"/>
          </w:tcPr>
          <w:p>
            <w:pPr>
              <w:spacing w:after="0"/>
              <w:rPr>
                <w:sz w:val="20"/>
                <w:szCs w:val="20"/>
                <w:color w:val="auto"/>
              </w:rPr>
            </w:pPr>
            <w:r>
              <w:rPr>
                <w:rFonts w:ascii="Arial" w:cs="Arial" w:eastAsia="Arial" w:hAnsi="Arial"/>
                <w:sz w:val="18"/>
                <w:szCs w:val="18"/>
                <w:color w:val="auto"/>
              </w:rPr>
              <w:t>2024</w:t>
            </w: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tcPr>
          <w:p>
            <w:pPr>
              <w:jc w:val="right"/>
              <w:ind w:right="33"/>
              <w:spacing w:after="0"/>
              <w:rPr>
                <w:sz w:val="20"/>
                <w:szCs w:val="20"/>
                <w:color w:val="auto"/>
              </w:rPr>
            </w:pPr>
            <w:r>
              <w:rPr>
                <w:rFonts w:ascii="Arial" w:cs="Arial" w:eastAsia="Arial" w:hAnsi="Arial"/>
                <w:sz w:val="18"/>
                <w:szCs w:val="18"/>
                <w:color w:val="auto"/>
              </w:rPr>
              <w:t>6,215</w:t>
            </w:r>
          </w:p>
        </w:tc>
        <w:tc>
          <w:tcPr>
            <w:tcW w:w="0" w:type="dxa"/>
            <w:vAlign w:val="bottom"/>
          </w:tcPr>
          <w:p>
            <w:pPr>
              <w:spacing w:after="0"/>
              <w:rPr>
                <w:sz w:val="1"/>
                <w:szCs w:val="1"/>
                <w:color w:val="auto"/>
              </w:rPr>
            </w:pPr>
          </w:p>
        </w:tc>
      </w:tr>
      <w:tr>
        <w:trPr>
          <w:trHeight w:val="213"/>
        </w:trPr>
        <w:tc>
          <w:tcPr>
            <w:tcW w:w="7080" w:type="dxa"/>
            <w:vAlign w:val="bottom"/>
            <w:shd w:val="clear" w:color="auto" w:fill="CFF0FC"/>
          </w:tcPr>
          <w:p>
            <w:pPr>
              <w:spacing w:after="0"/>
              <w:rPr>
                <w:sz w:val="20"/>
                <w:szCs w:val="20"/>
                <w:color w:val="auto"/>
              </w:rPr>
            </w:pPr>
            <w:r>
              <w:rPr>
                <w:rFonts w:ascii="Arial" w:cs="Arial" w:eastAsia="Arial" w:hAnsi="Arial"/>
                <w:sz w:val="18"/>
                <w:szCs w:val="18"/>
                <w:color w:val="auto"/>
              </w:rPr>
              <w:t>2025</w:t>
            </w:r>
          </w:p>
        </w:tc>
        <w:tc>
          <w:tcPr>
            <w:tcW w:w="3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7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6,215</w:t>
            </w:r>
          </w:p>
        </w:tc>
        <w:tc>
          <w:tcPr>
            <w:tcW w:w="0" w:type="dxa"/>
            <w:vAlign w:val="bottom"/>
          </w:tcPr>
          <w:p>
            <w:pPr>
              <w:spacing w:after="0"/>
              <w:rPr>
                <w:sz w:val="1"/>
                <w:szCs w:val="1"/>
                <w:color w:val="auto"/>
              </w:rPr>
            </w:pPr>
          </w:p>
        </w:tc>
      </w:tr>
      <w:tr>
        <w:trPr>
          <w:trHeight w:val="213"/>
        </w:trPr>
        <w:tc>
          <w:tcPr>
            <w:tcW w:w="70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Thereafter</w:t>
            </w:r>
          </w:p>
        </w:tc>
        <w:tc>
          <w:tcPr>
            <w:tcW w:w="360" w:type="dxa"/>
            <w:vAlign w:val="bottom"/>
            <w:tcBorders>
              <w:bottom w:val="single" w:sz="8" w:color="CFF0FC"/>
            </w:tcBorders>
          </w:tcPr>
          <w:p>
            <w:pPr>
              <w:spacing w:after="0"/>
              <w:rPr>
                <w:sz w:val="18"/>
                <w:szCs w:val="18"/>
                <w:color w:val="auto"/>
              </w:rPr>
            </w:pPr>
          </w:p>
        </w:tc>
        <w:tc>
          <w:tcPr>
            <w:tcW w:w="1100" w:type="dxa"/>
            <w:vAlign w:val="bottom"/>
            <w:tcBorders>
              <w:bottom w:val="single" w:sz="8" w:color="CFF0FC"/>
            </w:tcBorders>
          </w:tcPr>
          <w:p>
            <w:pPr>
              <w:spacing w:after="0"/>
              <w:rPr>
                <w:sz w:val="18"/>
                <w:szCs w:val="18"/>
                <w:color w:val="auto"/>
              </w:rPr>
            </w:pPr>
          </w:p>
        </w:tc>
        <w:tc>
          <w:tcPr>
            <w:tcW w:w="24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3,342</w:t>
            </w:r>
          </w:p>
        </w:tc>
        <w:tc>
          <w:tcPr>
            <w:tcW w:w="0" w:type="dxa"/>
            <w:vAlign w:val="bottom"/>
          </w:tcPr>
          <w:p>
            <w:pPr>
              <w:spacing w:after="0"/>
              <w:rPr>
                <w:sz w:val="1"/>
                <w:szCs w:val="1"/>
                <w:color w:val="auto"/>
              </w:rPr>
            </w:pPr>
          </w:p>
        </w:tc>
      </w:tr>
      <w:tr>
        <w:trPr>
          <w:trHeight w:val="206"/>
        </w:trPr>
        <w:tc>
          <w:tcPr>
            <w:tcW w:w="70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620" w:type="dxa"/>
            <w:vAlign w:val="bottom"/>
            <w:gridSpan w:val="3"/>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7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31,318</w:t>
            </w:r>
          </w:p>
        </w:tc>
        <w:tc>
          <w:tcPr>
            <w:tcW w:w="0" w:type="dxa"/>
            <w:vAlign w:val="bottom"/>
          </w:tcPr>
          <w:p>
            <w:pPr>
              <w:spacing w:after="0"/>
              <w:rPr>
                <w:sz w:val="1"/>
                <w:szCs w:val="1"/>
                <w:color w:val="auto"/>
              </w:rPr>
            </w:pPr>
          </w:p>
        </w:tc>
      </w:tr>
      <w:tr>
        <w:trPr>
          <w:trHeight w:val="20"/>
        </w:trPr>
        <w:tc>
          <w:tcPr>
            <w:tcW w:w="708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b w:val="1"/>
                <w:bCs w:val="1"/>
                <w:color w:val="auto"/>
              </w:rPr>
              <w:t>8. Accrued Expenses and Other Current Liabilities</w:t>
            </w:r>
          </w:p>
        </w:tc>
        <w:tc>
          <w:tcPr>
            <w:tcW w:w="360" w:type="dxa"/>
            <w:vAlign w:val="bottom"/>
            <w:tcBorders>
              <w:top w:val="single" w:sz="8" w:color="CFF0FC"/>
            </w:tcBorders>
          </w:tcPr>
          <w:p>
            <w:pPr>
              <w:spacing w:after="0" w:line="20" w:lineRule="exact"/>
              <w:rPr>
                <w:sz w:val="1"/>
                <w:szCs w:val="1"/>
                <w:color w:val="auto"/>
              </w:rPr>
            </w:pPr>
          </w:p>
        </w:tc>
        <w:tc>
          <w:tcPr>
            <w:tcW w:w="11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1"/>
        </w:trPr>
        <w:tc>
          <w:tcPr>
            <w:tcW w:w="708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7080" w:type="dxa"/>
            <w:vAlign w:val="bottom"/>
          </w:tcPr>
          <w:p>
            <w:pPr>
              <w:ind w:left="760"/>
              <w:spacing w:after="0"/>
              <w:rPr>
                <w:sz w:val="20"/>
                <w:szCs w:val="20"/>
                <w:color w:val="auto"/>
              </w:rPr>
            </w:pPr>
            <w:r>
              <w:rPr>
                <w:rFonts w:ascii="Arial" w:cs="Arial" w:eastAsia="Arial" w:hAnsi="Arial"/>
                <w:sz w:val="18"/>
                <w:szCs w:val="18"/>
                <w:color w:val="auto"/>
              </w:rPr>
              <w:t>The Company’s accrued expenses consisted of the following (in thousands):</w:t>
            </w: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4"/>
        </w:trPr>
        <w:tc>
          <w:tcPr>
            <w:tcW w:w="7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0" w:type="dxa"/>
            <w:vAlign w:val="bottom"/>
            <w:gridSpan w:val="4"/>
          </w:tcPr>
          <w:p>
            <w:pPr>
              <w:jc w:val="center"/>
              <w:ind w:right="660"/>
              <w:spacing w:after="0"/>
              <w:rPr>
                <w:sz w:val="20"/>
                <w:szCs w:val="20"/>
                <w:color w:val="auto"/>
              </w:rPr>
            </w:pPr>
            <w:r>
              <w:rPr>
                <w:rFonts w:ascii="Arial" w:cs="Arial" w:eastAsia="Arial" w:hAnsi="Arial"/>
                <w:sz w:val="14"/>
                <w:szCs w:val="14"/>
                <w:b w:val="1"/>
                <w:bCs w:val="1"/>
                <w:color w:val="auto"/>
              </w:rPr>
              <w:t>June 30,</w:t>
            </w:r>
          </w:p>
        </w:tc>
        <w:tc>
          <w:tcPr>
            <w:tcW w:w="300" w:type="dxa"/>
            <w:vAlign w:val="bottom"/>
          </w:tcPr>
          <w:p>
            <w:pPr>
              <w:spacing w:after="0"/>
              <w:rPr>
                <w:sz w:val="24"/>
                <w:szCs w:val="24"/>
                <w:color w:val="auto"/>
              </w:rPr>
            </w:pPr>
          </w:p>
        </w:tc>
        <w:tc>
          <w:tcPr>
            <w:tcW w:w="1700" w:type="dxa"/>
            <w:vAlign w:val="bottom"/>
          </w:tcPr>
          <w:p>
            <w:pPr>
              <w:jc w:val="right"/>
              <w:ind w:right="513"/>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6"/>
        </w:trPr>
        <w:tc>
          <w:tcPr>
            <w:tcW w:w="7080" w:type="dxa"/>
            <w:vAlign w:val="bottom"/>
            <w:tcBorders>
              <w:bottom w:val="single" w:sz="8" w:color="CFF0FC"/>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top w:val="single" w:sz="8" w:color="auto"/>
              <w:bottom w:val="single" w:sz="8" w:color="auto"/>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180" w:type="dxa"/>
            <w:vAlign w:val="bottom"/>
            <w:tcBorders>
              <w:bottom w:val="single" w:sz="8" w:color="CFF0FC"/>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700" w:type="dxa"/>
            <w:vAlign w:val="bottom"/>
            <w:tcBorders>
              <w:top w:val="single" w:sz="8" w:color="auto"/>
              <w:bottom w:val="single" w:sz="8" w:color="auto"/>
            </w:tcBorders>
          </w:tcPr>
          <w:p>
            <w:pPr>
              <w:jc w:val="right"/>
              <w:ind w:right="813"/>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06"/>
        </w:trPr>
        <w:tc>
          <w:tcPr>
            <w:tcW w:w="7080" w:type="dxa"/>
            <w:vAlign w:val="bottom"/>
            <w:shd w:val="clear" w:color="auto" w:fill="CFF0FC"/>
          </w:tcPr>
          <w:p>
            <w:pPr>
              <w:spacing w:after="0"/>
              <w:rPr>
                <w:sz w:val="20"/>
                <w:szCs w:val="20"/>
                <w:color w:val="auto"/>
              </w:rPr>
            </w:pPr>
            <w:r>
              <w:rPr>
                <w:rFonts w:ascii="Arial" w:cs="Arial" w:eastAsia="Arial" w:hAnsi="Arial"/>
                <w:sz w:val="18"/>
                <w:szCs w:val="18"/>
                <w:color w:val="auto"/>
              </w:rPr>
              <w:t>Accrued marketing expenses</w:t>
            </w:r>
          </w:p>
        </w:tc>
        <w:tc>
          <w:tcPr>
            <w:tcW w:w="360" w:type="dxa"/>
            <w:vAlign w:val="bottom"/>
            <w:shd w:val="clear" w:color="auto" w:fill="CFF0FC"/>
          </w:tcPr>
          <w:p>
            <w:pPr>
              <w:jc w:val="right"/>
              <w:ind w:right="171"/>
              <w:spacing w:after="0"/>
              <w:rPr>
                <w:sz w:val="20"/>
                <w:szCs w:val="20"/>
                <w:color w:val="auto"/>
              </w:rPr>
            </w:pPr>
            <w:r>
              <w:rPr>
                <w:rFonts w:ascii="Arial" w:cs="Arial" w:eastAsia="Arial" w:hAnsi="Arial"/>
                <w:sz w:val="18"/>
                <w:szCs w:val="18"/>
                <w:color w:val="auto"/>
                <w:w w:val="79"/>
              </w:rPr>
              <w:t>$</w:t>
            </w:r>
          </w:p>
        </w:tc>
        <w:tc>
          <w:tcPr>
            <w:tcW w:w="162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12,168</w:t>
            </w:r>
          </w:p>
        </w:tc>
        <w:tc>
          <w:tcPr>
            <w:tcW w:w="18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111"/>
              <w:spacing w:after="0"/>
              <w:rPr>
                <w:sz w:val="20"/>
                <w:szCs w:val="20"/>
                <w:color w:val="auto"/>
              </w:rPr>
            </w:pPr>
            <w:r>
              <w:rPr>
                <w:rFonts w:ascii="Arial" w:cs="Arial" w:eastAsia="Arial" w:hAnsi="Arial"/>
                <w:sz w:val="18"/>
                <w:szCs w:val="18"/>
                <w:color w:val="auto"/>
                <w:w w:val="79"/>
              </w:rPr>
              <w:t>$</w:t>
            </w:r>
          </w:p>
        </w:tc>
        <w:tc>
          <w:tcPr>
            <w:tcW w:w="17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9,106</w:t>
            </w:r>
          </w:p>
        </w:tc>
        <w:tc>
          <w:tcPr>
            <w:tcW w:w="0" w:type="dxa"/>
            <w:vAlign w:val="bottom"/>
          </w:tcPr>
          <w:p>
            <w:pPr>
              <w:spacing w:after="0"/>
              <w:rPr>
                <w:sz w:val="1"/>
                <w:szCs w:val="1"/>
                <w:color w:val="auto"/>
              </w:rPr>
            </w:pPr>
          </w:p>
        </w:tc>
      </w:tr>
      <w:tr>
        <w:trPr>
          <w:trHeight w:val="213"/>
        </w:trPr>
        <w:tc>
          <w:tcPr>
            <w:tcW w:w="7080" w:type="dxa"/>
            <w:vAlign w:val="bottom"/>
          </w:tcPr>
          <w:p>
            <w:pPr>
              <w:spacing w:after="0"/>
              <w:rPr>
                <w:sz w:val="20"/>
                <w:szCs w:val="20"/>
                <w:color w:val="auto"/>
              </w:rPr>
            </w:pPr>
            <w:r>
              <w:rPr>
                <w:rFonts w:ascii="Arial" w:cs="Arial" w:eastAsia="Arial" w:hAnsi="Arial"/>
                <w:sz w:val="18"/>
                <w:szCs w:val="18"/>
                <w:color w:val="auto"/>
              </w:rPr>
              <w:t>Vehicle related expenses</w:t>
            </w:r>
          </w:p>
        </w:tc>
        <w:tc>
          <w:tcPr>
            <w:tcW w:w="360" w:type="dxa"/>
            <w:vAlign w:val="bottom"/>
          </w:tcPr>
          <w:p>
            <w:pPr>
              <w:spacing w:after="0"/>
              <w:rPr>
                <w:sz w:val="18"/>
                <w:szCs w:val="18"/>
                <w:color w:val="auto"/>
              </w:rPr>
            </w:pPr>
          </w:p>
        </w:tc>
        <w:tc>
          <w:tcPr>
            <w:tcW w:w="1620" w:type="dxa"/>
            <w:vAlign w:val="bottom"/>
            <w:gridSpan w:val="3"/>
          </w:tcPr>
          <w:p>
            <w:pPr>
              <w:jc w:val="right"/>
              <w:ind w:right="120"/>
              <w:spacing w:after="0"/>
              <w:rPr>
                <w:sz w:val="20"/>
                <w:szCs w:val="20"/>
                <w:color w:val="auto"/>
              </w:rPr>
            </w:pPr>
            <w:r>
              <w:rPr>
                <w:rFonts w:ascii="Arial" w:cs="Arial" w:eastAsia="Arial" w:hAnsi="Arial"/>
                <w:sz w:val="18"/>
                <w:szCs w:val="18"/>
                <w:color w:val="auto"/>
              </w:rPr>
              <w:t>23,023</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tcPr>
          <w:p>
            <w:pPr>
              <w:jc w:val="right"/>
              <w:ind w:right="33"/>
              <w:spacing w:after="0"/>
              <w:rPr>
                <w:sz w:val="20"/>
                <w:szCs w:val="20"/>
                <w:color w:val="auto"/>
              </w:rPr>
            </w:pPr>
            <w:r>
              <w:rPr>
                <w:rFonts w:ascii="Arial" w:cs="Arial" w:eastAsia="Arial" w:hAnsi="Arial"/>
                <w:sz w:val="18"/>
                <w:szCs w:val="18"/>
                <w:color w:val="auto"/>
              </w:rPr>
              <w:t>13,062</w:t>
            </w:r>
          </w:p>
        </w:tc>
        <w:tc>
          <w:tcPr>
            <w:tcW w:w="0" w:type="dxa"/>
            <w:vAlign w:val="bottom"/>
          </w:tcPr>
          <w:p>
            <w:pPr>
              <w:spacing w:after="0"/>
              <w:rPr>
                <w:sz w:val="1"/>
                <w:szCs w:val="1"/>
                <w:color w:val="auto"/>
              </w:rPr>
            </w:pPr>
          </w:p>
        </w:tc>
      </w:tr>
      <w:tr>
        <w:trPr>
          <w:trHeight w:val="213"/>
        </w:trPr>
        <w:tc>
          <w:tcPr>
            <w:tcW w:w="7080" w:type="dxa"/>
            <w:vAlign w:val="bottom"/>
            <w:shd w:val="clear" w:color="auto" w:fill="CFF0FC"/>
          </w:tcPr>
          <w:p>
            <w:pPr>
              <w:spacing w:after="0"/>
              <w:rPr>
                <w:sz w:val="20"/>
                <w:szCs w:val="20"/>
                <w:color w:val="auto"/>
              </w:rPr>
            </w:pPr>
            <w:r>
              <w:rPr>
                <w:rFonts w:ascii="Arial" w:cs="Arial" w:eastAsia="Arial" w:hAnsi="Arial"/>
                <w:sz w:val="18"/>
                <w:szCs w:val="18"/>
                <w:color w:val="auto"/>
              </w:rPr>
              <w:t>Sales taxes</w:t>
            </w:r>
          </w:p>
        </w:tc>
        <w:tc>
          <w:tcPr>
            <w:tcW w:w="360" w:type="dxa"/>
            <w:vAlign w:val="bottom"/>
            <w:shd w:val="clear" w:color="auto" w:fill="CFF0FC"/>
          </w:tcPr>
          <w:p>
            <w:pPr>
              <w:spacing w:after="0"/>
              <w:rPr>
                <w:sz w:val="18"/>
                <w:szCs w:val="18"/>
                <w:color w:val="auto"/>
              </w:rPr>
            </w:pPr>
          </w:p>
        </w:tc>
        <w:tc>
          <w:tcPr>
            <w:tcW w:w="162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28,409</w:t>
            </w: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7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15,443</w:t>
            </w:r>
          </w:p>
        </w:tc>
        <w:tc>
          <w:tcPr>
            <w:tcW w:w="0" w:type="dxa"/>
            <w:vAlign w:val="bottom"/>
          </w:tcPr>
          <w:p>
            <w:pPr>
              <w:spacing w:after="0"/>
              <w:rPr>
                <w:sz w:val="1"/>
                <w:szCs w:val="1"/>
                <w:color w:val="auto"/>
              </w:rPr>
            </w:pPr>
          </w:p>
        </w:tc>
      </w:tr>
      <w:tr>
        <w:trPr>
          <w:trHeight w:val="213"/>
        </w:trPr>
        <w:tc>
          <w:tcPr>
            <w:tcW w:w="7080" w:type="dxa"/>
            <w:vAlign w:val="bottom"/>
          </w:tcPr>
          <w:p>
            <w:pPr>
              <w:spacing w:after="0"/>
              <w:rPr>
                <w:sz w:val="20"/>
                <w:szCs w:val="20"/>
                <w:color w:val="auto"/>
              </w:rPr>
            </w:pPr>
            <w:r>
              <w:rPr>
                <w:rFonts w:ascii="Arial" w:cs="Arial" w:eastAsia="Arial" w:hAnsi="Arial"/>
                <w:sz w:val="18"/>
                <w:szCs w:val="18"/>
                <w:color w:val="auto"/>
              </w:rPr>
              <w:t>Accrued compensation and benefits</w:t>
            </w:r>
          </w:p>
        </w:tc>
        <w:tc>
          <w:tcPr>
            <w:tcW w:w="360" w:type="dxa"/>
            <w:vAlign w:val="bottom"/>
          </w:tcPr>
          <w:p>
            <w:pPr>
              <w:spacing w:after="0"/>
              <w:rPr>
                <w:sz w:val="18"/>
                <w:szCs w:val="18"/>
                <w:color w:val="auto"/>
              </w:rPr>
            </w:pPr>
          </w:p>
        </w:tc>
        <w:tc>
          <w:tcPr>
            <w:tcW w:w="1620" w:type="dxa"/>
            <w:vAlign w:val="bottom"/>
            <w:gridSpan w:val="3"/>
          </w:tcPr>
          <w:p>
            <w:pPr>
              <w:jc w:val="right"/>
              <w:ind w:right="120"/>
              <w:spacing w:after="0"/>
              <w:rPr>
                <w:sz w:val="20"/>
                <w:szCs w:val="20"/>
                <w:color w:val="auto"/>
              </w:rPr>
            </w:pPr>
            <w:r>
              <w:rPr>
                <w:rFonts w:ascii="Arial" w:cs="Arial" w:eastAsia="Arial" w:hAnsi="Arial"/>
                <w:sz w:val="18"/>
                <w:szCs w:val="18"/>
                <w:color w:val="auto"/>
              </w:rPr>
              <w:t>7,242</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tcPr>
          <w:p>
            <w:pPr>
              <w:jc w:val="right"/>
              <w:ind w:right="33"/>
              <w:spacing w:after="0"/>
              <w:rPr>
                <w:sz w:val="20"/>
                <w:szCs w:val="20"/>
                <w:color w:val="auto"/>
              </w:rPr>
            </w:pPr>
            <w:r>
              <w:rPr>
                <w:rFonts w:ascii="Arial" w:cs="Arial" w:eastAsia="Arial" w:hAnsi="Arial"/>
                <w:sz w:val="18"/>
                <w:szCs w:val="18"/>
                <w:color w:val="auto"/>
              </w:rPr>
              <w:t>5,749</w:t>
            </w:r>
          </w:p>
        </w:tc>
        <w:tc>
          <w:tcPr>
            <w:tcW w:w="0" w:type="dxa"/>
            <w:vAlign w:val="bottom"/>
          </w:tcPr>
          <w:p>
            <w:pPr>
              <w:spacing w:after="0"/>
              <w:rPr>
                <w:sz w:val="1"/>
                <w:szCs w:val="1"/>
                <w:color w:val="auto"/>
              </w:rPr>
            </w:pPr>
          </w:p>
        </w:tc>
      </w:tr>
      <w:tr>
        <w:trPr>
          <w:trHeight w:val="213"/>
        </w:trPr>
        <w:tc>
          <w:tcPr>
            <w:tcW w:w="7080" w:type="dxa"/>
            <w:vAlign w:val="bottom"/>
            <w:shd w:val="clear" w:color="auto" w:fill="CFF0FC"/>
          </w:tcPr>
          <w:p>
            <w:pPr>
              <w:spacing w:after="0"/>
              <w:rPr>
                <w:sz w:val="20"/>
                <w:szCs w:val="20"/>
                <w:color w:val="auto"/>
              </w:rPr>
            </w:pPr>
            <w:r>
              <w:rPr>
                <w:rFonts w:ascii="Arial" w:cs="Arial" w:eastAsia="Arial" w:hAnsi="Arial"/>
                <w:sz w:val="18"/>
                <w:szCs w:val="18"/>
                <w:color w:val="auto"/>
              </w:rPr>
              <w:t>Accrued professional services</w:t>
            </w:r>
          </w:p>
        </w:tc>
        <w:tc>
          <w:tcPr>
            <w:tcW w:w="360" w:type="dxa"/>
            <w:vAlign w:val="bottom"/>
            <w:shd w:val="clear" w:color="auto" w:fill="CFF0FC"/>
          </w:tcPr>
          <w:p>
            <w:pPr>
              <w:spacing w:after="0"/>
              <w:rPr>
                <w:sz w:val="18"/>
                <w:szCs w:val="18"/>
                <w:color w:val="auto"/>
              </w:rPr>
            </w:pPr>
          </w:p>
        </w:tc>
        <w:tc>
          <w:tcPr>
            <w:tcW w:w="162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3,831</w:t>
            </w: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7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4,890</w:t>
            </w:r>
          </w:p>
        </w:tc>
        <w:tc>
          <w:tcPr>
            <w:tcW w:w="0" w:type="dxa"/>
            <w:vAlign w:val="bottom"/>
          </w:tcPr>
          <w:p>
            <w:pPr>
              <w:spacing w:after="0"/>
              <w:rPr>
                <w:sz w:val="1"/>
                <w:szCs w:val="1"/>
                <w:color w:val="auto"/>
              </w:rPr>
            </w:pPr>
          </w:p>
        </w:tc>
      </w:tr>
      <w:tr>
        <w:trPr>
          <w:trHeight w:val="213"/>
        </w:trPr>
        <w:tc>
          <w:tcPr>
            <w:tcW w:w="70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8"/>
                <w:szCs w:val="18"/>
                <w:color w:val="auto"/>
              </w:rPr>
              <w:t>11,655</w:t>
            </w:r>
          </w:p>
        </w:tc>
        <w:tc>
          <w:tcPr>
            <w:tcW w:w="18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11,155</w:t>
            </w:r>
          </w:p>
        </w:tc>
        <w:tc>
          <w:tcPr>
            <w:tcW w:w="0" w:type="dxa"/>
            <w:vAlign w:val="bottom"/>
          </w:tcPr>
          <w:p>
            <w:pPr>
              <w:spacing w:after="0"/>
              <w:rPr>
                <w:sz w:val="1"/>
                <w:szCs w:val="1"/>
                <w:color w:val="auto"/>
              </w:rPr>
            </w:pPr>
          </w:p>
        </w:tc>
      </w:tr>
      <w:tr>
        <w:trPr>
          <w:trHeight w:val="206"/>
        </w:trPr>
        <w:tc>
          <w:tcPr>
            <w:tcW w:w="708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accrued expenses</w:t>
            </w:r>
          </w:p>
        </w:tc>
        <w:tc>
          <w:tcPr>
            <w:tcW w:w="360" w:type="dxa"/>
            <w:vAlign w:val="bottom"/>
            <w:tcBorders>
              <w:bottom w:val="single" w:sz="8" w:color="auto"/>
            </w:tcBorders>
            <w:shd w:val="clear" w:color="auto" w:fill="CFF0FC"/>
          </w:tcPr>
          <w:p>
            <w:pPr>
              <w:jc w:val="right"/>
              <w:ind w:right="171"/>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86,328</w:t>
            </w:r>
          </w:p>
        </w:tc>
        <w:tc>
          <w:tcPr>
            <w:tcW w:w="18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jc w:val="right"/>
              <w:ind w:right="111"/>
              <w:spacing w:after="0"/>
              <w:rPr>
                <w:sz w:val="20"/>
                <w:szCs w:val="20"/>
                <w:color w:val="auto"/>
              </w:rPr>
            </w:pPr>
            <w:r>
              <w:rPr>
                <w:rFonts w:ascii="Arial" w:cs="Arial" w:eastAsia="Arial" w:hAnsi="Arial"/>
                <w:sz w:val="18"/>
                <w:szCs w:val="18"/>
                <w:color w:val="auto"/>
                <w:w w:val="79"/>
              </w:rPr>
              <w:t>$</w:t>
            </w:r>
          </w:p>
        </w:tc>
        <w:tc>
          <w:tcPr>
            <w:tcW w:w="170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59,405</w:t>
            </w: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Company’s other current liabilities consisted of the following (in thousands):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080" w:type="dxa"/>
            <w:vAlign w:val="bottom"/>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June 30,</w:t>
            </w:r>
          </w:p>
        </w:tc>
        <w:tc>
          <w:tcPr>
            <w:tcW w:w="72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jc w:val="right"/>
              <w:ind w:right="518"/>
              <w:spacing w:after="0"/>
              <w:rPr>
                <w:sz w:val="20"/>
                <w:szCs w:val="20"/>
                <w:color w:val="auto"/>
              </w:rPr>
            </w:pPr>
            <w:r>
              <w:rPr>
                <w:rFonts w:ascii="Arial" w:cs="Arial" w:eastAsia="Arial" w:hAnsi="Arial"/>
                <w:sz w:val="14"/>
                <w:szCs w:val="14"/>
                <w:b w:val="1"/>
                <w:bCs w:val="1"/>
                <w:color w:val="auto"/>
              </w:rPr>
              <w:t>December 31,</w:t>
            </w:r>
          </w:p>
        </w:tc>
      </w:tr>
      <w:tr>
        <w:trPr>
          <w:trHeight w:val="166"/>
        </w:trPr>
        <w:tc>
          <w:tcPr>
            <w:tcW w:w="7080" w:type="dxa"/>
            <w:vAlign w:val="bottom"/>
            <w:tcBorders>
              <w:bottom w:val="single" w:sz="8" w:color="CFF0FC"/>
            </w:tcBorders>
          </w:tcPr>
          <w:p>
            <w:pPr>
              <w:spacing w:after="0"/>
              <w:rPr>
                <w:sz w:val="14"/>
                <w:szCs w:val="14"/>
                <w:color w:val="auto"/>
              </w:rPr>
            </w:pPr>
          </w:p>
        </w:tc>
        <w:tc>
          <w:tcPr>
            <w:tcW w:w="1260" w:type="dxa"/>
            <w:vAlign w:val="bottom"/>
            <w:tcBorders>
              <w:bottom w:val="single" w:sz="8" w:color="auto"/>
            </w:tcBorders>
          </w:tcPr>
          <w:p>
            <w:pPr>
              <w:jc w:val="right"/>
              <w:ind w:right="100"/>
              <w:spacing w:after="0"/>
              <w:rPr>
                <w:sz w:val="20"/>
                <w:szCs w:val="20"/>
                <w:color w:val="auto"/>
              </w:rPr>
            </w:pPr>
            <w:r>
              <w:rPr>
                <w:rFonts w:ascii="Arial" w:cs="Arial" w:eastAsia="Arial" w:hAnsi="Arial"/>
                <w:sz w:val="14"/>
                <w:szCs w:val="14"/>
                <w:b w:val="1"/>
                <w:bCs w:val="1"/>
                <w:color w:val="auto"/>
              </w:rPr>
              <w:t>2021</w:t>
            </w:r>
          </w:p>
        </w:tc>
        <w:tc>
          <w:tcPr>
            <w:tcW w:w="720" w:type="dxa"/>
            <w:vAlign w:val="bottom"/>
            <w:tcBorders>
              <w:bottom w:val="single" w:sz="8" w:color="auto"/>
            </w:tcBorders>
          </w:tcPr>
          <w:p>
            <w:pPr>
              <w:spacing w:after="0"/>
              <w:rPr>
                <w:sz w:val="14"/>
                <w:szCs w:val="14"/>
                <w:color w:val="auto"/>
              </w:rPr>
            </w:pPr>
          </w:p>
        </w:tc>
        <w:tc>
          <w:tcPr>
            <w:tcW w:w="18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tcPr>
          <w:p>
            <w:pPr>
              <w:jc w:val="right"/>
              <w:ind w:right="818"/>
              <w:spacing w:after="0"/>
              <w:rPr>
                <w:sz w:val="20"/>
                <w:szCs w:val="20"/>
                <w:color w:val="auto"/>
              </w:rPr>
            </w:pPr>
            <w:r>
              <w:rPr>
                <w:rFonts w:ascii="Arial" w:cs="Arial" w:eastAsia="Arial" w:hAnsi="Arial"/>
                <w:sz w:val="14"/>
                <w:szCs w:val="14"/>
                <w:b w:val="1"/>
                <w:bCs w:val="1"/>
                <w:color w:val="auto"/>
              </w:rPr>
              <w:t>2020</w:t>
            </w:r>
          </w:p>
        </w:tc>
      </w:tr>
      <w:tr>
        <w:trPr>
          <w:trHeight w:val="206"/>
        </w:trPr>
        <w:tc>
          <w:tcPr>
            <w:tcW w:w="7080" w:type="dxa"/>
            <w:vAlign w:val="bottom"/>
            <w:shd w:val="clear" w:color="auto" w:fill="CFF0FC"/>
          </w:tcPr>
          <w:p>
            <w:pPr>
              <w:spacing w:after="0"/>
              <w:rPr>
                <w:sz w:val="20"/>
                <w:szCs w:val="20"/>
                <w:color w:val="auto"/>
              </w:rPr>
            </w:pPr>
            <w:r>
              <w:rPr>
                <w:rFonts w:ascii="Arial" w:cs="Arial" w:eastAsia="Arial" w:hAnsi="Arial"/>
                <w:sz w:val="18"/>
                <w:szCs w:val="18"/>
                <w:color w:val="auto"/>
              </w:rPr>
              <w:t>Vehicle payable</w:t>
            </w:r>
          </w:p>
        </w:tc>
        <w:tc>
          <w:tcPr>
            <w:tcW w:w="1260" w:type="dxa"/>
            <w:vAlign w:val="bottom"/>
            <w:shd w:val="clear" w:color="auto" w:fill="CFF0FC"/>
          </w:tcPr>
          <w:p>
            <w:pPr>
              <w:jc w:val="right"/>
              <w:ind w:right="108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68,737</w:t>
            </w:r>
          </w:p>
        </w:tc>
        <w:tc>
          <w:tcPr>
            <w:tcW w:w="18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111"/>
              <w:spacing w:after="0"/>
              <w:rPr>
                <w:sz w:val="20"/>
                <w:szCs w:val="20"/>
                <w:color w:val="auto"/>
              </w:rPr>
            </w:pPr>
            <w:r>
              <w:rPr>
                <w:rFonts w:ascii="Arial" w:cs="Arial" w:eastAsia="Arial" w:hAnsi="Arial"/>
                <w:sz w:val="18"/>
                <w:szCs w:val="18"/>
                <w:color w:val="auto"/>
                <w:w w:val="79"/>
              </w:rPr>
              <w:t>$</w:t>
            </w:r>
          </w:p>
        </w:tc>
        <w:tc>
          <w:tcPr>
            <w:tcW w:w="1700" w:type="dxa"/>
            <w:vAlign w:val="bottom"/>
            <w:shd w:val="clear" w:color="auto" w:fill="CFF0FC"/>
          </w:tcPr>
          <w:p>
            <w:pPr>
              <w:jc w:val="right"/>
              <w:ind w:right="38"/>
              <w:spacing w:after="0"/>
              <w:rPr>
                <w:sz w:val="20"/>
                <w:szCs w:val="20"/>
                <w:color w:val="auto"/>
              </w:rPr>
            </w:pPr>
            <w:r>
              <w:rPr>
                <w:rFonts w:ascii="Arial" w:cs="Arial" w:eastAsia="Arial" w:hAnsi="Arial"/>
                <w:sz w:val="18"/>
                <w:szCs w:val="18"/>
                <w:color w:val="auto"/>
              </w:rPr>
              <w:t>25,086</w:t>
            </w:r>
          </w:p>
        </w:tc>
      </w:tr>
      <w:tr>
        <w:trPr>
          <w:trHeight w:val="213"/>
        </w:trPr>
        <w:tc>
          <w:tcPr>
            <w:tcW w:w="70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12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22,249</w:t>
            </w:r>
          </w:p>
        </w:tc>
        <w:tc>
          <w:tcPr>
            <w:tcW w:w="18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ind w:right="38"/>
              <w:spacing w:after="0"/>
              <w:rPr>
                <w:sz w:val="20"/>
                <w:szCs w:val="20"/>
                <w:color w:val="auto"/>
              </w:rPr>
            </w:pPr>
            <w:r>
              <w:rPr>
                <w:rFonts w:ascii="Arial" w:cs="Arial" w:eastAsia="Arial" w:hAnsi="Arial"/>
                <w:sz w:val="18"/>
                <w:szCs w:val="18"/>
                <w:color w:val="auto"/>
              </w:rPr>
              <w:t>5,189</w:t>
            </w:r>
          </w:p>
        </w:tc>
      </w:tr>
      <w:tr>
        <w:trPr>
          <w:trHeight w:val="206"/>
        </w:trPr>
        <w:tc>
          <w:tcPr>
            <w:tcW w:w="708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other current liabilities</w:t>
            </w:r>
          </w:p>
        </w:tc>
        <w:tc>
          <w:tcPr>
            <w:tcW w:w="1260" w:type="dxa"/>
            <w:vAlign w:val="bottom"/>
            <w:tcBorders>
              <w:bottom w:val="single" w:sz="8" w:color="auto"/>
            </w:tcBorders>
            <w:shd w:val="clear" w:color="auto" w:fill="CFF0FC"/>
          </w:tcPr>
          <w:p>
            <w:pPr>
              <w:jc w:val="right"/>
              <w:ind w:right="108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90,986</w:t>
            </w:r>
          </w:p>
        </w:tc>
        <w:tc>
          <w:tcPr>
            <w:tcW w:w="18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jc w:val="right"/>
              <w:ind w:right="111"/>
              <w:spacing w:after="0"/>
              <w:rPr>
                <w:sz w:val="20"/>
                <w:szCs w:val="20"/>
                <w:color w:val="auto"/>
              </w:rPr>
            </w:pPr>
            <w:r>
              <w:rPr>
                <w:rFonts w:ascii="Arial" w:cs="Arial" w:eastAsia="Arial" w:hAnsi="Arial"/>
                <w:sz w:val="18"/>
                <w:szCs w:val="18"/>
                <w:color w:val="auto"/>
                <w:w w:val="79"/>
              </w:rPr>
              <w:t>$</w:t>
            </w:r>
          </w:p>
        </w:tc>
        <w:tc>
          <w:tcPr>
            <w:tcW w:w="1700" w:type="dxa"/>
            <w:vAlign w:val="bottom"/>
            <w:tcBorders>
              <w:bottom w:val="single" w:sz="8" w:color="auto"/>
            </w:tcBorders>
            <w:shd w:val="clear" w:color="auto" w:fill="CFF0FC"/>
          </w:tcPr>
          <w:p>
            <w:pPr>
              <w:jc w:val="right"/>
              <w:ind w:right="38"/>
              <w:spacing w:after="0"/>
              <w:rPr>
                <w:sz w:val="20"/>
                <w:szCs w:val="20"/>
                <w:color w:val="auto"/>
              </w:rPr>
            </w:pPr>
            <w:r>
              <w:rPr>
                <w:rFonts w:ascii="Arial" w:cs="Arial" w:eastAsia="Arial" w:hAnsi="Arial"/>
                <w:sz w:val="18"/>
                <w:szCs w:val="18"/>
                <w:color w:val="auto"/>
              </w:rPr>
              <w:t>30,275</w:t>
            </w:r>
          </w:p>
        </w:tc>
      </w:tr>
      <w:tr>
        <w:trPr>
          <w:trHeight w:val="20"/>
        </w:trPr>
        <w:tc>
          <w:tcPr>
            <w:tcW w:w="70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Vehicle Floorplan Facilities</w:t>
      </w:r>
    </w:p>
    <w:p>
      <w:pPr>
        <w:spacing w:after="0" w:line="121" w:lineRule="exact"/>
        <w:rPr>
          <w:sz w:val="20"/>
          <w:szCs w:val="20"/>
          <w:color w:val="auto"/>
        </w:rPr>
      </w:pPr>
    </w:p>
    <w:p>
      <w:pPr>
        <w:ind w:firstLine="762"/>
        <w:spacing w:after="0" w:line="234" w:lineRule="auto"/>
        <w:rPr>
          <w:sz w:val="20"/>
          <w:szCs w:val="20"/>
          <w:color w:val="auto"/>
        </w:rPr>
      </w:pPr>
      <w:r>
        <w:rPr>
          <w:rFonts w:ascii="Arial" w:cs="Arial" w:eastAsia="Arial" w:hAnsi="Arial"/>
          <w:sz w:val="18"/>
          <w:szCs w:val="18"/>
          <w:color w:val="auto"/>
        </w:rPr>
        <w:t>In 2020, the Company entered into a new vehicle floorplan facility with Ally Bank and Ally Financial (the “2020 Vehicle Floorplan Facility”). The 2020 Vehicle Floorplan Facility provides a committed credit line of up to $450.0 million which is scheduled to expire in September 30, 2022.The amount of credit available is determined on a monthly basis based on a calculation that considers average outstanding borrowings and vehicle units paid off by the Company within the immediately preceding three-month period. As of June 30, 2021, the borrowing capacity of the 2020 Vehicle Floorplan Facility was $450.0 million, of which $86.4 million was unutilized.</w:t>
      </w:r>
    </w:p>
    <w:p>
      <w:pPr>
        <w:spacing w:after="0" w:line="202" w:lineRule="exact"/>
        <w:rPr>
          <w:sz w:val="20"/>
          <w:szCs w:val="20"/>
          <w:color w:val="auto"/>
        </w:rPr>
      </w:pPr>
    </w:p>
    <w:p>
      <w:pPr>
        <w:ind w:right="220" w:firstLine="762"/>
        <w:spacing w:after="0" w:line="233" w:lineRule="auto"/>
        <w:rPr>
          <w:sz w:val="20"/>
          <w:szCs w:val="20"/>
          <w:color w:val="auto"/>
        </w:rPr>
      </w:pPr>
      <w:r>
        <w:rPr>
          <w:rFonts w:ascii="Arial" w:cs="Arial" w:eastAsia="Arial" w:hAnsi="Arial"/>
          <w:sz w:val="18"/>
          <w:szCs w:val="18"/>
          <w:color w:val="auto"/>
        </w:rPr>
        <w:t>Outstanding borrowings related to the 2020 Vehicle Floorplan Facility are due as the vehicles financed are sold, or in any event, on the maturity date. The 2020 Vehicle Floorplan Facility bears interest at a rate equal to the 1-Month LIBOR rate applicable in the immediately preceding month plus a spread of 425 basis points. The 2020 Vehicle Floorplan Facility is collateralized by the Company’s vehicle inventory and certain other assets and the Company is subject to covenants that require it to maintain a certain level of equity in the vehicles that are financed, to maintain at least 7.5% of the outstanding borrowings in cash and cash equivalents, and to maintain 10% of the daily floorplan principal balance outstanding on deposit with Ally Bank. The Company is required to pay an availability fee each quarter on the average unused capacity from the prior quarter if it was greater than 50% of the calculated floorplan allowance, as defined.</w:t>
      </w:r>
    </w:p>
    <w:p>
      <w:pPr>
        <w:spacing w:after="0" w:line="204" w:lineRule="exact"/>
        <w:rPr>
          <w:sz w:val="20"/>
          <w:szCs w:val="20"/>
          <w:color w:val="auto"/>
        </w:rPr>
      </w:pPr>
    </w:p>
    <w:p>
      <w:pPr>
        <w:ind w:right="80" w:firstLine="762"/>
        <w:spacing w:after="0" w:line="239" w:lineRule="auto"/>
        <w:rPr>
          <w:sz w:val="20"/>
          <w:szCs w:val="20"/>
          <w:color w:val="auto"/>
        </w:rPr>
      </w:pPr>
      <w:r>
        <w:rPr>
          <w:rFonts w:ascii="Arial" w:cs="Arial" w:eastAsia="Arial" w:hAnsi="Arial"/>
          <w:sz w:val="18"/>
          <w:szCs w:val="18"/>
          <w:color w:val="auto"/>
        </w:rPr>
        <w:t>As of June 30, 2021 and December 31, 2020, outstanding borrowings on the 2020 Vehicle Floorplan Facility were $363.6 million and $329.2 million, respectively.</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50800</wp:posOffset>
            </wp:positionV>
            <wp:extent cx="715962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VROOM, INC.</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19" w:lineRule="exact"/>
        <w:rPr>
          <w:sz w:val="20"/>
          <w:szCs w:val="20"/>
          <w:color w:val="auto"/>
        </w:rPr>
      </w:pPr>
    </w:p>
    <w:p>
      <w:pPr>
        <w:jc w:val="both"/>
        <w:ind w:right="420" w:firstLine="764"/>
        <w:spacing w:after="0" w:line="252" w:lineRule="auto"/>
        <w:rPr>
          <w:sz w:val="20"/>
          <w:szCs w:val="20"/>
          <w:color w:val="auto"/>
        </w:rPr>
      </w:pPr>
      <w:r>
        <w:rPr>
          <w:rFonts w:ascii="Arial" w:cs="Arial" w:eastAsia="Arial" w:hAnsi="Arial"/>
          <w:sz w:val="17"/>
          <w:szCs w:val="17"/>
          <w:color w:val="auto"/>
        </w:rPr>
        <w:t>Interest expense incurred by the Company for the 2020 Vehicle Floorplan Facility was $3.6 million and $1.0 million for the three months ended June 30, 2021 and 2020, respectively, and $7.4 million and $ 3.7 million for the six months ended June 30, 2021 and 2020, respectively, which are recorded within “Interest expense” in the condensed consolidated statements of operations. The weighted average interest rate on the vehicle floorplan borrowings was 4.35% and 4.39% as of June 30, 2021 and December 31, 2020, respectively.</w:t>
      </w:r>
    </w:p>
    <w:p>
      <w:pPr>
        <w:spacing w:after="0" w:line="217" w:lineRule="exact"/>
        <w:rPr>
          <w:sz w:val="20"/>
          <w:szCs w:val="20"/>
          <w:color w:val="auto"/>
        </w:rPr>
      </w:pPr>
    </w:p>
    <w:p>
      <w:pPr>
        <w:ind w:right="680" w:firstLine="762"/>
        <w:spacing w:after="0" w:line="239" w:lineRule="auto"/>
        <w:rPr>
          <w:sz w:val="20"/>
          <w:szCs w:val="20"/>
          <w:color w:val="auto"/>
        </w:rPr>
      </w:pPr>
      <w:r>
        <w:rPr>
          <w:rFonts w:ascii="Arial" w:cs="Arial" w:eastAsia="Arial" w:hAnsi="Arial"/>
          <w:sz w:val="18"/>
          <w:szCs w:val="18"/>
          <w:color w:val="auto"/>
        </w:rPr>
        <w:t>As of June 30, 2021 and December 31, 2020, the Company was in compliance with all covenants related to the 2020 Vehicle Floorplan Facility.</w:t>
      </w:r>
    </w:p>
    <w:p>
      <w:pPr>
        <w:spacing w:after="0" w:line="200" w:lineRule="exact"/>
        <w:rPr>
          <w:sz w:val="20"/>
          <w:szCs w:val="20"/>
          <w:color w:val="auto"/>
        </w:rPr>
      </w:pPr>
    </w:p>
    <w:p>
      <w:pPr>
        <w:ind w:right="40" w:firstLine="749"/>
        <w:spacing w:after="0" w:line="234" w:lineRule="auto"/>
        <w:rPr>
          <w:sz w:val="20"/>
          <w:szCs w:val="20"/>
          <w:color w:val="auto"/>
        </w:rPr>
      </w:pPr>
      <w:r>
        <w:rPr>
          <w:rFonts w:ascii="Arial" w:cs="Arial" w:eastAsia="Arial" w:hAnsi="Arial"/>
          <w:sz w:val="18"/>
          <w:szCs w:val="18"/>
          <w:color w:val="auto"/>
        </w:rPr>
        <w:t>In connection with the 2020 Vehicle Floorplan Facility, the Company entered into credit balance agreements with Ally Bank and Ally Financial that permit the Company to deposit cash with the bank for the purpose of reducing the amount of interest payable for borrowings. Interest credits earned by the Company were $2.0 million and $ 0.7 million for the three months ended June 30, 2021 and 2020, respectively, and $4.2 million and $2.4 million for the six months ended June 30, 2021 and 2020, respectively, which are recorded within “Interest income” in the condensed consolidated statements of operations.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Long-term Debt</w:t>
      </w:r>
    </w:p>
    <w:p>
      <w:pPr>
        <w:spacing w:after="0" w:line="228" w:lineRule="exact"/>
        <w:rPr>
          <w:sz w:val="20"/>
          <w:szCs w:val="20"/>
          <w:color w:val="auto"/>
        </w:rPr>
      </w:pPr>
    </w:p>
    <w:p>
      <w:pPr>
        <w:ind w:right="20" w:firstLine="749"/>
        <w:spacing w:after="0" w:line="235" w:lineRule="auto"/>
        <w:rPr>
          <w:sz w:val="20"/>
          <w:szCs w:val="20"/>
          <w:color w:val="auto"/>
        </w:rPr>
      </w:pPr>
      <w:r>
        <w:rPr>
          <w:rFonts w:ascii="Arial" w:cs="Arial" w:eastAsia="Arial" w:hAnsi="Arial"/>
          <w:sz w:val="18"/>
          <w:szCs w:val="18"/>
          <w:color w:val="auto"/>
        </w:rPr>
        <w:t>On June 18, 2021, the Company issued $625.0 million aggregate principal amount of 0.75% unsecured Convertible Senior Notes due 2026 (the “Notes”), including $75.0 million aggregate principal amount of such notes pursuant to the exercise in full of the overallotment option granted to the initial purchasers. The Notes were issued pursuant to an indenture (the “Indenture”), between the Company and U.S. Bank National Association, as trustee.</w:t>
      </w:r>
    </w:p>
    <w:p>
      <w:pPr>
        <w:spacing w:after="0" w:line="201" w:lineRule="exact"/>
        <w:rPr>
          <w:sz w:val="20"/>
          <w:szCs w:val="20"/>
          <w:color w:val="auto"/>
        </w:rPr>
      </w:pPr>
    </w:p>
    <w:p>
      <w:pPr>
        <w:ind w:right="300" w:firstLine="749"/>
        <w:spacing w:after="0" w:line="235" w:lineRule="auto"/>
        <w:rPr>
          <w:sz w:val="20"/>
          <w:szCs w:val="20"/>
          <w:color w:val="auto"/>
        </w:rPr>
      </w:pPr>
      <w:r>
        <w:rPr>
          <w:rFonts w:ascii="Arial" w:cs="Arial" w:eastAsia="Arial" w:hAnsi="Arial"/>
          <w:sz w:val="18"/>
          <w:szCs w:val="18"/>
          <w:color w:val="auto"/>
        </w:rPr>
        <w:t>The Notes bear interest at a rate of 0.75% per annum, payable semiannually in arrears on January 1 and July 1 of each year, beginning on January 1, 2022. The Notes will mature on July 1, 2026, subject to earlier repurchase, redemption or conversion. The total net proceeds from the offering, after deducting commissions paid to the initial purchasers and debt issuance costs paid to third-parties, were approximately $608.8 million.</w:t>
      </w:r>
    </w:p>
    <w:p>
      <w:pPr>
        <w:spacing w:after="0" w:line="201" w:lineRule="exact"/>
        <w:rPr>
          <w:sz w:val="20"/>
          <w:szCs w:val="20"/>
          <w:color w:val="auto"/>
        </w:rPr>
      </w:pPr>
    </w:p>
    <w:p>
      <w:pPr>
        <w:jc w:val="both"/>
        <w:ind w:right="80" w:firstLine="749"/>
        <w:spacing w:after="0" w:line="235" w:lineRule="auto"/>
        <w:rPr>
          <w:sz w:val="20"/>
          <w:szCs w:val="20"/>
          <w:color w:val="auto"/>
        </w:rPr>
      </w:pPr>
      <w:r>
        <w:rPr>
          <w:rFonts w:ascii="Arial" w:cs="Arial" w:eastAsia="Arial" w:hAnsi="Arial"/>
          <w:sz w:val="18"/>
          <w:szCs w:val="18"/>
          <w:color w:val="auto"/>
        </w:rPr>
        <w:t>Each $ 1,000 principal amount of the Notes will initially be convertible into 17.8527 shares of the Company’s common stock, which is equivalent to an initial conversion price of approximately $ 56.01 per share, subject to adjustment upon the occurrence of specified events. The Notes are convertible, at the option of the noteholders, on or after April 1, 2026. Prior to April 1, 2026, the Notes are convertible only under the following circumstances:</w:t>
      </w:r>
    </w:p>
    <w:p>
      <w:pPr>
        <w:spacing w:after="0" w:line="201" w:lineRule="exact"/>
        <w:rPr>
          <w:sz w:val="20"/>
          <w:szCs w:val="20"/>
          <w:color w:val="auto"/>
        </w:rPr>
      </w:pPr>
    </w:p>
    <w:p>
      <w:pPr>
        <w:ind w:left="760" w:right="120" w:hanging="381"/>
        <w:spacing w:after="0" w:line="235" w:lineRule="auto"/>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During any fiscal quarter commencing after the fiscal quarter ending on September 30, 2021 (and only during such fiscal quarter), if the last reported sale price of the Company’s common stock for at least 20 trading days (whether or not consecutive) during a period of 30 consecutive trading days ending on the last trading day of the immediately preceding fiscal quarter is greater than or equal to 130% of the conversion price of the Notes on each applicable trading day;</w:t>
      </w:r>
    </w:p>
    <w:p>
      <w:pPr>
        <w:spacing w:after="0" w:line="94" w:lineRule="exact"/>
        <w:rPr>
          <w:rFonts w:ascii="Arial" w:cs="Arial" w:eastAsia="Arial" w:hAnsi="Arial"/>
          <w:sz w:val="18"/>
          <w:szCs w:val="18"/>
          <w:color w:val="auto"/>
        </w:rPr>
      </w:pPr>
    </w:p>
    <w:p>
      <w:pPr>
        <w:jc w:val="both"/>
        <w:ind w:left="760" w:right="320" w:hanging="381"/>
        <w:spacing w:after="0" w:line="236" w:lineRule="auto"/>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During the five consecutive business day period after any ten consecutive trading day period in which the trading price per $1,000 principal amount of the Notes for each day of that ten consecutive trading day period was less than 98% of the product of the last reported sale price of the Company’s common stock and the conversion rate of the Notes on such trading day;</w:t>
      </w:r>
    </w:p>
    <w:p>
      <w:pPr>
        <w:spacing w:after="0" w:line="94" w:lineRule="exact"/>
        <w:rPr>
          <w:rFonts w:ascii="Arial" w:cs="Arial" w:eastAsia="Arial" w:hAnsi="Arial"/>
          <w:sz w:val="18"/>
          <w:szCs w:val="18"/>
          <w:color w:val="auto"/>
        </w:rPr>
      </w:pPr>
    </w:p>
    <w:p>
      <w:pPr>
        <w:ind w:left="760" w:hanging="381"/>
        <w:spacing w:after="0"/>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the Company calls any or all of the Notes for redemption; or</w:t>
      </w:r>
    </w:p>
    <w:p>
      <w:pPr>
        <w:spacing w:after="0" w:line="139" w:lineRule="exact"/>
        <w:rPr>
          <w:rFonts w:ascii="Arial" w:cs="Arial" w:eastAsia="Arial" w:hAnsi="Arial"/>
          <w:sz w:val="18"/>
          <w:szCs w:val="18"/>
          <w:color w:val="auto"/>
        </w:rPr>
      </w:pPr>
    </w:p>
    <w:p>
      <w:pPr>
        <w:ind w:left="760" w:right="920" w:hanging="381"/>
        <w:spacing w:after="0" w:line="239" w:lineRule="auto"/>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Upon the occurrence of specific corporate events such as a change in control or certain beneficial distributions to common stockholders (as set forth in the Indenture).</w:t>
      </w:r>
    </w:p>
    <w:p>
      <w:pPr>
        <w:spacing w:after="0" w:line="200" w:lineRule="exact"/>
        <w:rPr>
          <w:sz w:val="20"/>
          <w:szCs w:val="20"/>
          <w:color w:val="auto"/>
        </w:rPr>
      </w:pPr>
    </w:p>
    <w:p>
      <w:pPr>
        <w:ind w:right="220" w:firstLine="374"/>
        <w:spacing w:after="0" w:line="239" w:lineRule="auto"/>
        <w:rPr>
          <w:sz w:val="20"/>
          <w:szCs w:val="20"/>
          <w:color w:val="auto"/>
        </w:rPr>
      </w:pPr>
      <w:r>
        <w:rPr>
          <w:rFonts w:ascii="Arial" w:cs="Arial" w:eastAsia="Arial" w:hAnsi="Arial"/>
          <w:sz w:val="18"/>
          <w:szCs w:val="18"/>
          <w:color w:val="auto"/>
        </w:rPr>
        <w:t>The Company may settle conversions by paying or delivering, as applicable, cash, shares of its common stock or a combination of cash and shares of its common stock, at the Company’s election.</w:t>
      </w:r>
    </w:p>
    <w:p>
      <w:pPr>
        <w:spacing w:after="0" w:line="200" w:lineRule="exact"/>
        <w:rPr>
          <w:sz w:val="20"/>
          <w:szCs w:val="20"/>
          <w:color w:val="auto"/>
        </w:rPr>
      </w:pPr>
    </w:p>
    <w:p>
      <w:pPr>
        <w:ind w:firstLine="374"/>
        <w:spacing w:after="0" w:line="235" w:lineRule="auto"/>
        <w:rPr>
          <w:sz w:val="20"/>
          <w:szCs w:val="20"/>
          <w:color w:val="auto"/>
        </w:rPr>
      </w:pPr>
      <w:r>
        <w:rPr>
          <w:rFonts w:ascii="Arial" w:cs="Arial" w:eastAsia="Arial" w:hAnsi="Arial"/>
          <w:sz w:val="18"/>
          <w:szCs w:val="18"/>
          <w:color w:val="auto"/>
        </w:rPr>
        <w:t>The Company may not redeem the Notes prior to July 6, 2024. On or after July 6, 2024, the Company may redeem all or any portion of the Notes for cash equal to 100% of the principal amount of the Notes being redeemed plus any accrued and unpaid interest if the last reported sale price of the Company’s common stock has been at least 130% of the conversion price then in effect for at least 20 trading days (whether or not consecutive) during any 30 consecutive trading day period.</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50800</wp:posOffset>
            </wp:positionV>
            <wp:extent cx="715962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VROOM, INC.</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32" w:lineRule="exact"/>
        <w:rPr>
          <w:sz w:val="20"/>
          <w:szCs w:val="20"/>
          <w:color w:val="auto"/>
        </w:rPr>
      </w:pPr>
    </w:p>
    <w:p>
      <w:pPr>
        <w:ind w:right="40" w:firstLine="374"/>
        <w:spacing w:after="0" w:line="234" w:lineRule="auto"/>
        <w:rPr>
          <w:sz w:val="20"/>
          <w:szCs w:val="20"/>
          <w:color w:val="auto"/>
        </w:rPr>
      </w:pPr>
      <w:r>
        <w:rPr>
          <w:rFonts w:ascii="Arial" w:cs="Arial" w:eastAsia="Arial" w:hAnsi="Arial"/>
          <w:sz w:val="18"/>
          <w:szCs w:val="18"/>
          <w:color w:val="auto"/>
        </w:rPr>
        <w:t>If the Company undergoes a fundamental change (as defined in the Indenture), subject to certain conditions, holders of the Notes may require the Company to repurchase for cash all or any portion of their Notes at a repurchase price equal to 100% of the principal amount of the Notes plus any accrued and unpaid interest. In addition, if specific corporate events occur prior to the maturity date or if the Company issues a notice of redemption, the Company will increase the conversion rate by pre-defined amounts for a holder who elects to convert their Notes in connection with such a corporate event. During the three months ended June 30, 2021, the conditions allowing holders of the Notes to convert were not met.</w:t>
      </w:r>
    </w:p>
    <w:p>
      <w:pPr>
        <w:spacing w:after="0" w:line="200" w:lineRule="exact"/>
        <w:rPr>
          <w:sz w:val="20"/>
          <w:szCs w:val="20"/>
          <w:color w:val="auto"/>
        </w:rPr>
      </w:pPr>
    </w:p>
    <w:p>
      <w:pPr>
        <w:ind w:right="20" w:firstLine="374"/>
        <w:spacing w:after="0" w:line="235" w:lineRule="auto"/>
        <w:rPr>
          <w:sz w:val="20"/>
          <w:szCs w:val="20"/>
          <w:color w:val="auto"/>
        </w:rPr>
      </w:pPr>
      <w:r>
        <w:rPr>
          <w:rFonts w:ascii="Arial" w:cs="Arial" w:eastAsia="Arial" w:hAnsi="Arial"/>
          <w:sz w:val="18"/>
          <w:szCs w:val="18"/>
          <w:color w:val="auto"/>
        </w:rPr>
        <w:t>We account for the Notes as a single liability-classified instrument measured at amortized cost. As of June 30, 2021, the unamortized debt discount and debt issuance costs was $ 16.0 million and the net carrying value was $609.0 million. The total estimated fair value of the Notes as of June 30, 2021 was approximately $ 644.0 million. The fair value was determined using commonly employed valuation methodologies applying observable market inputs and is classified within Level 2 of the fair value hierarchy.</w:t>
      </w:r>
    </w:p>
    <w:p>
      <w:pPr>
        <w:spacing w:after="0" w:line="201" w:lineRule="exact"/>
        <w:rPr>
          <w:sz w:val="20"/>
          <w:szCs w:val="20"/>
          <w:color w:val="auto"/>
        </w:rPr>
      </w:pPr>
    </w:p>
    <w:p>
      <w:pPr>
        <w:ind w:right="180" w:firstLine="374"/>
        <w:spacing w:after="0" w:line="236" w:lineRule="auto"/>
        <w:rPr>
          <w:sz w:val="20"/>
          <w:szCs w:val="20"/>
          <w:color w:val="auto"/>
        </w:rPr>
      </w:pPr>
      <w:r>
        <w:rPr>
          <w:rFonts w:ascii="Arial" w:cs="Arial" w:eastAsia="Arial" w:hAnsi="Arial"/>
          <w:sz w:val="18"/>
          <w:szCs w:val="18"/>
          <w:color w:val="auto"/>
        </w:rPr>
        <w:t>The Notes were issued at par value and fees associated with the issuance of these Notes are amortized to interest expense using the effective interest method over the contractual term of the Notes. The interest expense for the three and six months ended June 30, 2021 was not material. The effective interest rate of the Notes is 1.3%.</w:t>
      </w:r>
    </w:p>
    <w:p>
      <w:pPr>
        <w:spacing w:after="0" w:line="286" w:lineRule="exact"/>
        <w:rPr>
          <w:sz w:val="20"/>
          <w:szCs w:val="20"/>
          <w:color w:val="auto"/>
        </w:rPr>
      </w:pPr>
    </w:p>
    <w:p>
      <w:pPr>
        <w:ind w:right="8100" w:firstLine="6"/>
        <w:spacing w:after="0" w:line="367" w:lineRule="auto"/>
        <w:tabs>
          <w:tab w:leader="none" w:pos="296"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b w:val="1"/>
          <w:bCs w:val="1"/>
          <w:i w:val="1"/>
          <w:iCs w:val="1"/>
          <w:color w:val="auto"/>
        </w:rPr>
        <w:t>Litigation</w:t>
      </w:r>
    </w:p>
    <w:p>
      <w:pPr>
        <w:spacing w:after="0" w:line="1" w:lineRule="exact"/>
        <w:rPr>
          <w:sz w:val="20"/>
          <w:szCs w:val="20"/>
          <w:color w:val="auto"/>
        </w:rPr>
      </w:pPr>
    </w:p>
    <w:p>
      <w:pPr>
        <w:ind w:right="40" w:firstLine="762"/>
        <w:spacing w:after="0" w:line="233" w:lineRule="auto"/>
        <w:rPr>
          <w:sz w:val="20"/>
          <w:szCs w:val="20"/>
          <w:color w:val="auto"/>
        </w:rPr>
      </w:pPr>
      <w:r>
        <w:rPr>
          <w:rFonts w:ascii="Arial" w:cs="Arial" w:eastAsia="Arial" w:hAnsi="Arial"/>
          <w:sz w:val="18"/>
          <w:szCs w:val="18"/>
          <w:color w:val="auto"/>
        </w:rPr>
        <w:t>From time to time, the Company is involved in various claims and legal actions that arise in the ordinary course of business and an unfavorable resolution of any of these matters could materially affect the Company’s future results of operations, cash flows or financial position. The Company is also party to various disputes that the Company considers routine and incidental to its business. The Company does not expect the results of any of these routine actions to have a material effect on the Company’s business, results of operations, financial condition, or cash flows. The Company accrues a liability when a loss is considered probable and the amount can be reasonably estimated. When a material loss contingency is reasonably possible but not probable, the Company does not record a liability, but instead discloses the nature and the amount of the claim, and an estimate of the loss or range of loss, if such an estimate can be made. Legal fees are expensed as incurred.</w:t>
      </w:r>
    </w:p>
    <w:p>
      <w:pPr>
        <w:spacing w:after="0" w:line="229" w:lineRule="exact"/>
        <w:rPr>
          <w:sz w:val="20"/>
          <w:szCs w:val="20"/>
          <w:color w:val="auto"/>
        </w:rPr>
      </w:pPr>
    </w:p>
    <w:p>
      <w:pPr>
        <w:ind w:firstLine="762"/>
        <w:spacing w:after="0" w:line="232" w:lineRule="auto"/>
        <w:rPr>
          <w:sz w:val="20"/>
          <w:szCs w:val="20"/>
          <w:color w:val="auto"/>
        </w:rPr>
      </w:pPr>
      <w:r>
        <w:rPr>
          <w:rFonts w:ascii="Arial" w:cs="Arial" w:eastAsia="Arial" w:hAnsi="Arial"/>
          <w:sz w:val="18"/>
          <w:szCs w:val="18"/>
          <w:color w:val="auto"/>
        </w:rPr>
        <w:t>Beginning in March 2021, multiple putative class actions were filed in the U.S. District Court for the Southern District of New York by certain of the Company’s stockholders against the Company and certain of the Company’s officers alleging violations of federal securities laws. The lawsuits are captioned Zawatsky et al. v. Vroom, Inc. et al., Case No. 21-cv-2477; Holbrook v. Vroom, Inc. et al., Case No. 21-cv-2551; and Hudda v. Vroom, Inc. et al., Case No. 21-cv-3296. All three of the lawsuits assert similar claims under Sections 10(b) and 20(a) of the Exchange Act, and SEC Rule 10b-5. The complaints seek damages purportedly caused by alleged materially misleading statements and/or omissions by the Company and the named individual officers. In each case, the named plaintiff(s) seek to represent a proposed class of all persons who purchased or otherwise acquired the Company’s securities during a period from June 9, 2020 to March 3, 2021 (in the case of Holbrook and Hudda), or November 11, 2020 to March 3, 2021 (in the case of Zawatsky). In August 2021, the Court consolidated the cases, appointed a lead plaintiff and lead counsel and ordered a consolidated amended complaint to be filed. The consolidated case is in preliminary stages, and the Company has not yet responded. The Company believes these lawsuits are without merit and intends to vigorously contest these claims. While the outcome of any complex legal proceeding is inherently unpredictable and subject to significant uncertainties, based upon information presently known to management, the Company believes that the potential liability, if any, will not have a material adverse effect on the Company’s financial condition, cash flows, or results of operations.</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Letters of Credit</w:t>
      </w:r>
    </w:p>
    <w:p>
      <w:pPr>
        <w:spacing w:after="0" w:line="134" w:lineRule="exact"/>
        <w:rPr>
          <w:sz w:val="20"/>
          <w:szCs w:val="20"/>
          <w:color w:val="auto"/>
        </w:rPr>
      </w:pPr>
    </w:p>
    <w:p>
      <w:pPr>
        <w:jc w:val="both"/>
        <w:ind w:right="100" w:firstLine="762"/>
        <w:spacing w:after="0" w:line="255" w:lineRule="auto"/>
        <w:rPr>
          <w:sz w:val="20"/>
          <w:szCs w:val="20"/>
          <w:color w:val="auto"/>
        </w:rPr>
      </w:pPr>
      <w:r>
        <w:rPr>
          <w:rFonts w:ascii="Arial" w:cs="Arial" w:eastAsia="Arial" w:hAnsi="Arial"/>
          <w:sz w:val="17"/>
          <w:szCs w:val="17"/>
          <w:color w:val="auto"/>
        </w:rPr>
        <w:t>The Company obtained stand-by letters of credit to satisfy conditions under three lease agreements. The Company was required to maintain a cash deposit of $1.8 million and $2.2 million with the financial institution that issued the stand-by letters of credit, which is classified as “Restricted cash” within the condensed consolidated balance sheets as of June 30, 2021 and December 31, 2020, respectively.</w:t>
      </w: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50800</wp:posOffset>
            </wp:positionV>
            <wp:extent cx="715962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VROOM, INC.</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Matters</w:t>
      </w:r>
    </w:p>
    <w:p>
      <w:pPr>
        <w:spacing w:after="0" w:line="11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Company enters into agreements with third parties in the ordinary course of business that may contain indemnification</w:t>
      </w:r>
    </w:p>
    <w:p>
      <w:pPr>
        <w:ind w:right="100"/>
        <w:spacing w:after="0" w:line="298" w:lineRule="auto"/>
        <w:rPr>
          <w:sz w:val="20"/>
          <w:szCs w:val="20"/>
          <w:color w:val="auto"/>
        </w:rPr>
      </w:pPr>
      <w:r>
        <w:rPr>
          <w:rFonts w:ascii="Arial" w:cs="Arial" w:eastAsia="Arial" w:hAnsi="Arial"/>
          <w:sz w:val="17"/>
          <w:szCs w:val="17"/>
          <w:color w:val="auto"/>
        </w:rPr>
        <w:t>provisions. In the event that an indemnification claim is asserted, the Company’s liability, if any, would be limited by the terms of the applicable agreement. Historically, the Company has not incurred material costs to defend lawsuits or settle claims related to indemnification provisions.</w:t>
      </w:r>
    </w:p>
    <w:p>
      <w:pPr>
        <w:spacing w:after="0" w:line="251" w:lineRule="exact"/>
        <w:rPr>
          <w:sz w:val="20"/>
          <w:szCs w:val="20"/>
          <w:color w:val="auto"/>
        </w:rPr>
      </w:pPr>
    </w:p>
    <w:p>
      <w:pPr>
        <w:ind w:right="5300" w:firstLine="6"/>
        <w:spacing w:after="0" w:line="367" w:lineRule="auto"/>
        <w:tabs>
          <w:tab w:leader="none" w:pos="296"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Redeemable Convertible Preferred Stock and Stockholders’ Equity </w:t>
      </w:r>
      <w:r>
        <w:rPr>
          <w:rFonts w:ascii="Arial" w:cs="Arial" w:eastAsia="Arial" w:hAnsi="Arial"/>
          <w:sz w:val="18"/>
          <w:szCs w:val="18"/>
          <w:b w:val="1"/>
          <w:bCs w:val="1"/>
          <w:i w:val="1"/>
          <w:iCs w:val="1"/>
          <w:color w:val="auto"/>
        </w:rPr>
        <w:t>Redeemable Convertible Preferred Stock</w:t>
      </w:r>
    </w:p>
    <w:p>
      <w:pPr>
        <w:spacing w:after="0" w:line="1" w:lineRule="exact"/>
        <w:rPr>
          <w:sz w:val="20"/>
          <w:szCs w:val="20"/>
          <w:color w:val="auto"/>
        </w:rPr>
      </w:pPr>
    </w:p>
    <w:p>
      <w:pPr>
        <w:ind w:right="400" w:firstLine="762"/>
        <w:spacing w:after="0" w:line="236" w:lineRule="auto"/>
        <w:rPr>
          <w:sz w:val="20"/>
          <w:szCs w:val="20"/>
          <w:color w:val="auto"/>
        </w:rPr>
      </w:pPr>
      <w:r>
        <w:rPr>
          <w:rFonts w:ascii="Arial" w:cs="Arial" w:eastAsia="Arial" w:hAnsi="Arial"/>
          <w:sz w:val="18"/>
          <w:szCs w:val="18"/>
          <w:color w:val="auto"/>
        </w:rPr>
        <w:t>On January 8, 2020, the Company completed an additional closing of its Series H Preferred Stock whereby it sold and issued an aggregate of 1,964,766 shares of Series H Preferred Stock in exchange for gross proceeds of $26.7 million. The proceeds were used for general corporate purposes and business development.</w:t>
      </w:r>
    </w:p>
    <w:p>
      <w:pPr>
        <w:spacing w:after="0" w:line="201" w:lineRule="exact"/>
        <w:rPr>
          <w:sz w:val="20"/>
          <w:szCs w:val="20"/>
          <w:color w:val="auto"/>
        </w:rPr>
      </w:pPr>
    </w:p>
    <w:p>
      <w:pPr>
        <w:ind w:right="100" w:firstLine="762"/>
        <w:spacing w:after="0" w:line="255" w:lineRule="auto"/>
        <w:rPr>
          <w:sz w:val="20"/>
          <w:szCs w:val="20"/>
          <w:color w:val="auto"/>
        </w:rPr>
      </w:pPr>
      <w:r>
        <w:rPr>
          <w:rFonts w:ascii="Arial" w:cs="Arial" w:eastAsia="Arial" w:hAnsi="Arial"/>
          <w:sz w:val="17"/>
          <w:szCs w:val="17"/>
          <w:color w:val="auto"/>
        </w:rPr>
        <w:t>Immediately upon closing of the IPO, the Company’s outstanding preferred stock was automatically converted into an aggregate of 85,533,394 shares of the Company’s common stock. On June 11, 2020, the Company amended its certificate of incorporation to authorize the issuance of up to 10,000,000 shares of Preferred Stock. As of June 30, 2021, there was no preferred stock issued or outstanding.</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121" w:lineRule="exact"/>
        <w:rPr>
          <w:sz w:val="20"/>
          <w:szCs w:val="20"/>
          <w:color w:val="auto"/>
        </w:rPr>
      </w:pPr>
    </w:p>
    <w:p>
      <w:pPr>
        <w:ind w:firstLine="762"/>
        <w:spacing w:after="0" w:line="235" w:lineRule="auto"/>
        <w:rPr>
          <w:sz w:val="20"/>
          <w:szCs w:val="20"/>
          <w:color w:val="auto"/>
        </w:rPr>
      </w:pPr>
      <w:r>
        <w:rPr>
          <w:rFonts w:ascii="Arial" w:cs="Arial" w:eastAsia="Arial" w:hAnsi="Arial"/>
          <w:sz w:val="18"/>
          <w:szCs w:val="18"/>
          <w:color w:val="auto"/>
        </w:rPr>
        <w:t>On June 11, 2020, the Company amended its certificate of incorporation to effect a 2-for-1 forward stock split of shares of the Company’s outstanding common stock, such that each share of common stock, $0.001 par value became two shares of common stock, $0.001 par value per share. The shares of common stock authorized for issuance was increased to 500,000,000. Each share of common stock entitles the holder to one vote on all matters submitted to a vote of the Company’s stockholders.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Warrants</w:t>
      </w:r>
    </w:p>
    <w:p>
      <w:pPr>
        <w:spacing w:after="0" w:line="121" w:lineRule="exact"/>
        <w:rPr>
          <w:sz w:val="20"/>
          <w:szCs w:val="20"/>
          <w:color w:val="auto"/>
        </w:rPr>
      </w:pPr>
    </w:p>
    <w:p>
      <w:pPr>
        <w:ind w:right="20" w:firstLine="762"/>
        <w:spacing w:after="0" w:line="234" w:lineRule="auto"/>
        <w:rPr>
          <w:sz w:val="20"/>
          <w:szCs w:val="20"/>
          <w:color w:val="auto"/>
        </w:rPr>
      </w:pPr>
      <w:r>
        <w:rPr>
          <w:rFonts w:ascii="Arial" w:cs="Arial" w:eastAsia="Arial" w:hAnsi="Arial"/>
          <w:sz w:val="18"/>
          <w:szCs w:val="18"/>
          <w:color w:val="auto"/>
        </w:rPr>
        <w:t>In connection with the offering of shares of Series B Preferred Stock, the Company issued warrants to an investor in return for providing ongoing advisory services (“Series B Warrants”). The Series B Warrants allowed the investor to purchase up to 161,136 shares of common stock with an exercise price of $0.72 per share. The Series B Warrants vested in equal monthly installments through October 1, 2017. Upon the closing of the IPO, all of the Series B Warrants were exercised on a cashless basis by the holder which resulted in the net issuance of 155,862 shares of the Company’s common stock.</w:t>
      </w:r>
    </w:p>
    <w:p>
      <w:pPr>
        <w:spacing w:after="0" w:line="202" w:lineRule="exact"/>
        <w:rPr>
          <w:sz w:val="20"/>
          <w:szCs w:val="20"/>
          <w:color w:val="auto"/>
        </w:rPr>
      </w:pPr>
    </w:p>
    <w:p>
      <w:pPr>
        <w:jc w:val="both"/>
        <w:ind w:firstLine="762"/>
        <w:spacing w:after="0" w:line="250" w:lineRule="auto"/>
        <w:rPr>
          <w:sz w:val="20"/>
          <w:szCs w:val="20"/>
          <w:color w:val="auto"/>
        </w:rPr>
      </w:pPr>
      <w:r>
        <w:rPr>
          <w:rFonts w:ascii="Arial" w:cs="Arial" w:eastAsia="Arial" w:hAnsi="Arial"/>
          <w:sz w:val="17"/>
          <w:szCs w:val="17"/>
          <w:color w:val="auto"/>
        </w:rPr>
        <w:t>In August 2017, the Company issued a warrant (the “Series F Preferred Stock Warrant”) which allowed the holders to purchase up to 589,970 shares of the Company’s Series F Preferred Stock, or common stock upon conversion of the Company’s preferred stock into common stock, with an exercise price of $8.53 per share. The holders exercised the warrant on June 23, 2020 on a cashless basis, which resulted in the net issuance of 480,250 shares of the Company’s common stock. Prior to the conversion of the Company’s preferred stock into common stock, the Series F Preferred Stock Warrant was classified as a liability due to the contingent redemption features of the Series F Preferred Stock and</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was measured at fair value at each reporting date.</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Stock-based Compensation</w:t>
      </w:r>
    </w:p>
    <w:p>
      <w:pPr>
        <w:spacing w:after="0" w:line="121" w:lineRule="exact"/>
        <w:rPr>
          <w:sz w:val="20"/>
          <w:szCs w:val="20"/>
          <w:color w:val="auto"/>
        </w:rPr>
      </w:pPr>
    </w:p>
    <w:p>
      <w:pPr>
        <w:ind w:right="80" w:firstLine="762"/>
        <w:spacing w:after="0" w:line="252" w:lineRule="auto"/>
        <w:rPr>
          <w:sz w:val="20"/>
          <w:szCs w:val="20"/>
          <w:color w:val="auto"/>
        </w:rPr>
      </w:pPr>
      <w:r>
        <w:rPr>
          <w:rFonts w:ascii="Arial" w:cs="Arial" w:eastAsia="Arial" w:hAnsi="Arial"/>
          <w:sz w:val="17"/>
          <w:szCs w:val="17"/>
          <w:color w:val="auto"/>
        </w:rPr>
        <w:t>On May 28, 2020, the Company adopted the 2020 Incentive Award Plan (“the 2020 Plan”), which authorized the issuance of (i) up to 3,019,108 shares of the Company’s common stock, (ii) up to the number of shares representing a 4% annual increase on the first day of each year beginning on January 1, 2022 and ending on January 1, 2030, and (iii) any shares of the Company’s common stock subject to awards under the 2014 Plan which are forfeited or lapse unexercised and which following the effective date are not issued under the 2014 Plan.</w:t>
      </w:r>
    </w:p>
    <w:p>
      <w:pPr>
        <w:spacing w:after="0" w:line="4"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Awards may be issued in the form of restricted stock units, restricted stock, stock appreciation rights, and stock options. As of June 30, 2021, there were 2,778,836 shares available for future issuance under the 2020 Plan.</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50800</wp:posOffset>
            </wp:positionV>
            <wp:extent cx="715962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VROOM, INC.</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34" w:lineRule="exact"/>
        <w:rPr>
          <w:sz w:val="20"/>
          <w:szCs w:val="20"/>
          <w:color w:val="auto"/>
        </w:rPr>
      </w:pPr>
    </w:p>
    <w:p>
      <w:pPr>
        <w:ind w:right="40" w:firstLine="762"/>
        <w:spacing w:after="0" w:line="235" w:lineRule="auto"/>
        <w:rPr>
          <w:sz w:val="20"/>
          <w:szCs w:val="20"/>
          <w:color w:val="auto"/>
        </w:rPr>
      </w:pPr>
      <w:r>
        <w:rPr>
          <w:rFonts w:ascii="Arial" w:cs="Arial" w:eastAsia="Arial" w:hAnsi="Arial"/>
          <w:sz w:val="18"/>
          <w:szCs w:val="18"/>
          <w:color w:val="auto"/>
        </w:rPr>
        <w:t>The Company recognized $0.6 million of stock-based compensation expense related to stock options for the three months ended June 30, 2021 and 2020, and $1.2 million for the six months ended June 30, 2021 and 2020. As of June 30, 2021 and December 31, 2020, the Company had $4.0 million and $3.5 million, respectively, of unrecognized stock-based compensation expense that is expected to be recognized over a weighted-average period of 2.1 years and 2.2 years, respectively.</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RSUs</w:t>
      </w:r>
    </w:p>
    <w:p>
      <w:pPr>
        <w:spacing w:after="0" w:line="134" w:lineRule="exact"/>
        <w:rPr>
          <w:sz w:val="20"/>
          <w:szCs w:val="20"/>
          <w:color w:val="auto"/>
        </w:rPr>
      </w:pPr>
    </w:p>
    <w:p>
      <w:pPr>
        <w:ind w:right="100" w:firstLine="762"/>
        <w:spacing w:after="0" w:line="252" w:lineRule="auto"/>
        <w:rPr>
          <w:sz w:val="20"/>
          <w:szCs w:val="20"/>
          <w:color w:val="auto"/>
        </w:rPr>
      </w:pPr>
      <w:r>
        <w:rPr>
          <w:rFonts w:ascii="Arial" w:cs="Arial" w:eastAsia="Arial" w:hAnsi="Arial"/>
          <w:sz w:val="17"/>
          <w:szCs w:val="17"/>
          <w:color w:val="auto"/>
        </w:rPr>
        <w:t>The Company recognized $4.8 million and $3.3 million of stock-based compensation expense related to RSUs for the three months ended June 30, 2021 and 2020, respectively, and $7.0 million and $3.3 million for the six months ended June 30, 2021 and 2020, respectively. As of June 30, 2021 and December 31, 2020, the Company had $39.8 million and $15.4 million, respectively, of unrecognized stock-based compensation expense that is expected to be recognized over a weighted-average period of 1.9 years and 1.8 years, respectively.</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Financial Instruments and Fair Value Measurements</w:t>
      </w:r>
    </w:p>
    <w:p>
      <w:pPr>
        <w:spacing w:after="0" w:line="134" w:lineRule="exact"/>
        <w:rPr>
          <w:sz w:val="20"/>
          <w:szCs w:val="20"/>
          <w:color w:val="auto"/>
        </w:rPr>
      </w:pPr>
    </w:p>
    <w:p>
      <w:pPr>
        <w:ind w:right="140" w:firstLine="762"/>
        <w:spacing w:after="0" w:line="250" w:lineRule="auto"/>
        <w:rPr>
          <w:sz w:val="20"/>
          <w:szCs w:val="20"/>
          <w:color w:val="auto"/>
        </w:rPr>
      </w:pPr>
      <w:r>
        <w:rPr>
          <w:rFonts w:ascii="Arial" w:cs="Arial" w:eastAsia="Arial" w:hAnsi="Arial"/>
          <w:sz w:val="17"/>
          <w:szCs w:val="17"/>
          <w:color w:val="auto"/>
        </w:rPr>
        <w:t>U.S. GAAP defines fair value as the price that would be received from selling an asset or paid to transfer a liability in the principal or most advantageous market for the asset or liability in an orderly transaction between market participants at the measurement date. These estimates are subjective in nature and involve uncertainties and matters of judgment, and therefore cannot be determined with precision. U.S. GAAP establishes a fair value hierarchy which requires an entity to maximize the use of observable inputs and minimize the use of unobservable inputs when measuring fair value and establishes the following three levels of inputs that may be used to measure fair value:</w:t>
      </w:r>
    </w:p>
    <w:p>
      <w:pPr>
        <w:spacing w:after="0" w:line="8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Level 1—Quoted prices in active markets for identical assets or liabilities</w:t>
      </w:r>
    </w:p>
    <w:p>
      <w:pPr>
        <w:spacing w:after="0" w:line="99" w:lineRule="exact"/>
        <w:rPr>
          <w:sz w:val="20"/>
          <w:szCs w:val="20"/>
          <w:color w:val="auto"/>
        </w:rPr>
      </w:pPr>
    </w:p>
    <w:p>
      <w:pPr>
        <w:jc w:val="both"/>
        <w:ind w:left="760" w:right="280"/>
        <w:spacing w:after="0" w:line="236" w:lineRule="auto"/>
        <w:rPr>
          <w:sz w:val="20"/>
          <w:szCs w:val="20"/>
          <w:color w:val="auto"/>
        </w:rPr>
      </w:pPr>
      <w:r>
        <w:rPr>
          <w:rFonts w:ascii="Arial" w:cs="Arial" w:eastAsia="Arial" w:hAnsi="Arial"/>
          <w:sz w:val="18"/>
          <w:szCs w:val="18"/>
          <w:color w:val="auto"/>
        </w:rPr>
        <w:t>Level 2—Observable inputs other than Level 1 prices such as quoted prices for similar assets or liabilities; quoted market prices in markets that are not active; or model-derived valuations or other inputs that are observable or can be corroborated by observable market data for substantially the full term of the assets or liabilities</w:t>
      </w:r>
    </w:p>
    <w:p>
      <w:pPr>
        <w:spacing w:after="0" w:line="95" w:lineRule="exact"/>
        <w:rPr>
          <w:sz w:val="20"/>
          <w:szCs w:val="20"/>
          <w:color w:val="auto"/>
        </w:rPr>
      </w:pPr>
    </w:p>
    <w:p>
      <w:pPr>
        <w:ind w:left="760" w:right="20"/>
        <w:spacing w:after="0" w:line="239" w:lineRule="auto"/>
        <w:rPr>
          <w:sz w:val="20"/>
          <w:szCs w:val="20"/>
          <w:color w:val="auto"/>
        </w:rPr>
      </w:pPr>
      <w:r>
        <w:rPr>
          <w:rFonts w:ascii="Arial" w:cs="Arial" w:eastAsia="Arial" w:hAnsi="Arial"/>
          <w:sz w:val="18"/>
          <w:szCs w:val="18"/>
          <w:color w:val="auto"/>
        </w:rPr>
        <w:t>Level 3—Unobservable inputs that are supported by little or no market activity and that are significant to the fair value of the assets or liabilities</w:t>
      </w: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Items Measured at Fair Value on a Recurring Basis</w:t>
      </w:r>
    </w:p>
    <w:p>
      <w:pPr>
        <w:spacing w:after="0" w:line="134" w:lineRule="exact"/>
        <w:rPr>
          <w:sz w:val="20"/>
          <w:szCs w:val="20"/>
          <w:color w:val="auto"/>
        </w:rPr>
      </w:pPr>
    </w:p>
    <w:p>
      <w:pPr>
        <w:ind w:left="760"/>
        <w:spacing w:after="0"/>
        <w:rPr>
          <w:sz w:val="20"/>
          <w:szCs w:val="20"/>
          <w:color w:val="auto"/>
        </w:rPr>
      </w:pPr>
      <w:r>
        <w:rPr>
          <w:rFonts w:ascii="Arial" w:cs="Arial" w:eastAsia="Arial" w:hAnsi="Arial"/>
          <w:sz w:val="17"/>
          <w:szCs w:val="17"/>
          <w:color w:val="auto"/>
        </w:rPr>
        <w:t>The following tables present the Company’s financial assets and liabilities measured at fair value on a recurring basis (in thousands):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500" w:type="dxa"/>
            <w:vAlign w:val="bottom"/>
          </w:tcPr>
          <w:p>
            <w:pPr>
              <w:spacing w:after="0"/>
              <w:rPr>
                <w:sz w:val="15"/>
                <w:szCs w:val="15"/>
                <w:color w:val="auto"/>
              </w:rPr>
            </w:pPr>
          </w:p>
        </w:tc>
        <w:tc>
          <w:tcPr>
            <w:tcW w:w="3320" w:type="dxa"/>
            <w:vAlign w:val="bottom"/>
          </w:tcPr>
          <w:p>
            <w:pPr>
              <w:jc w:val="right"/>
              <w:ind w:right="2876"/>
              <w:spacing w:after="0"/>
              <w:rPr>
                <w:sz w:val="20"/>
                <w:szCs w:val="20"/>
                <w:color w:val="auto"/>
              </w:rPr>
            </w:pPr>
            <w:r>
              <w:rPr>
                <w:rFonts w:ascii="Arial" w:cs="Arial" w:eastAsia="Arial" w:hAnsi="Arial"/>
                <w:sz w:val="14"/>
                <w:szCs w:val="14"/>
                <w:b w:val="1"/>
                <w:bCs w:val="1"/>
                <w:color w:val="auto"/>
              </w:rPr>
              <w:t>`</w:t>
            </w:r>
          </w:p>
        </w:tc>
        <w:tc>
          <w:tcPr>
            <w:tcW w:w="2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As of June 30, 2021</w:t>
            </w:r>
          </w:p>
        </w:tc>
        <w:tc>
          <w:tcPr>
            <w:tcW w:w="3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250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ind w:left="120"/>
              <w:spacing w:after="0"/>
              <w:rPr>
                <w:sz w:val="20"/>
                <w:szCs w:val="20"/>
                <w:color w:val="auto"/>
              </w:rPr>
            </w:pPr>
            <w:r>
              <w:rPr>
                <w:rFonts w:ascii="Arial" w:cs="Arial" w:eastAsia="Arial" w:hAnsi="Arial"/>
                <w:sz w:val="14"/>
                <w:szCs w:val="14"/>
                <w:b w:val="1"/>
                <w:bCs w:val="1"/>
                <w:color w:val="auto"/>
              </w:rPr>
              <w:t>Level 1</w:t>
            </w:r>
          </w:p>
        </w:tc>
        <w:tc>
          <w:tcPr>
            <w:tcW w:w="200" w:type="dxa"/>
            <w:vAlign w:val="bottom"/>
          </w:tcPr>
          <w:p>
            <w:pPr>
              <w:spacing w:after="0"/>
              <w:rPr>
                <w:sz w:val="14"/>
                <w:szCs w:val="14"/>
                <w:color w:val="auto"/>
              </w:rPr>
            </w:pPr>
          </w:p>
        </w:tc>
        <w:tc>
          <w:tcPr>
            <w:tcW w:w="1180" w:type="dxa"/>
            <w:vAlign w:val="bottom"/>
            <w:gridSpan w:val="2"/>
          </w:tcPr>
          <w:p>
            <w:pPr>
              <w:ind w:left="120"/>
              <w:spacing w:after="0"/>
              <w:rPr>
                <w:sz w:val="20"/>
                <w:szCs w:val="20"/>
                <w:color w:val="auto"/>
              </w:rPr>
            </w:pPr>
            <w:r>
              <w:rPr>
                <w:rFonts w:ascii="Arial" w:cs="Arial" w:eastAsia="Arial" w:hAnsi="Arial"/>
                <w:sz w:val="14"/>
                <w:szCs w:val="14"/>
                <w:b w:val="1"/>
                <w:bCs w:val="1"/>
                <w:color w:val="auto"/>
              </w:rPr>
              <w:t>Level 2</w:t>
            </w: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Level 3</w:t>
            </w: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jc w:val="right"/>
              <w:ind w:right="437"/>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6"/>
        </w:trPr>
        <w:tc>
          <w:tcPr>
            <w:tcW w:w="25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Financial Assets</w:t>
            </w:r>
          </w:p>
        </w:tc>
        <w:tc>
          <w:tcPr>
            <w:tcW w:w="332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880" w:type="dxa"/>
            <w:vAlign w:val="bottom"/>
            <w:tcBorders>
              <w:top w:val="single" w:sz="8" w:color="auto"/>
            </w:tcBorders>
            <w:shd w:val="clear" w:color="auto" w:fill="CFF0FC"/>
          </w:tcPr>
          <w:p>
            <w:pPr>
              <w:spacing w:after="0"/>
              <w:rPr>
                <w:sz w:val="17"/>
                <w:szCs w:val="17"/>
                <w:color w:val="auto"/>
              </w:rPr>
            </w:pPr>
          </w:p>
        </w:tc>
        <w:tc>
          <w:tcPr>
            <w:tcW w:w="38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50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3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5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Money market funds</w:t>
            </w:r>
          </w:p>
        </w:tc>
        <w:tc>
          <w:tcPr>
            <w:tcW w:w="35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1,192,696</w:t>
            </w: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FF0FC"/>
          </w:tcPr>
          <w:p>
            <w:pPr>
              <w:ind w:left="7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ind w:right="697"/>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FF0FC"/>
          </w:tcPr>
          <w:p>
            <w:pPr>
              <w:ind w:left="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1,192,696</w:t>
            </w:r>
          </w:p>
        </w:tc>
        <w:tc>
          <w:tcPr>
            <w:tcW w:w="0" w:type="dxa"/>
            <w:vAlign w:val="bottom"/>
          </w:tcPr>
          <w:p>
            <w:pPr>
              <w:spacing w:after="0"/>
              <w:rPr>
                <w:sz w:val="1"/>
                <w:szCs w:val="1"/>
                <w:color w:val="auto"/>
              </w:rPr>
            </w:pPr>
          </w:p>
        </w:tc>
      </w:tr>
      <w:tr>
        <w:trPr>
          <w:trHeight w:val="20"/>
        </w:trPr>
        <w:tc>
          <w:tcPr>
            <w:tcW w:w="250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2500" w:type="dxa"/>
            <w:vAlign w:val="bottom"/>
          </w:tcPr>
          <w:p>
            <w:pPr>
              <w:ind w:left="500"/>
              <w:spacing w:after="0"/>
              <w:rPr>
                <w:sz w:val="20"/>
                <w:szCs w:val="20"/>
                <w:color w:val="auto"/>
              </w:rPr>
            </w:pPr>
            <w:r>
              <w:rPr>
                <w:rFonts w:ascii="Arial" w:cs="Arial" w:eastAsia="Arial" w:hAnsi="Arial"/>
                <w:sz w:val="18"/>
                <w:szCs w:val="18"/>
                <w:color w:val="auto"/>
              </w:rPr>
              <w:t>Total financial assets</w:t>
            </w:r>
          </w:p>
        </w:tc>
        <w:tc>
          <w:tcPr>
            <w:tcW w:w="35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7"/>
              <w:spacing w:after="0"/>
              <w:rPr>
                <w:sz w:val="20"/>
                <w:szCs w:val="20"/>
                <w:color w:val="auto"/>
              </w:rPr>
            </w:pPr>
            <w:r>
              <w:rPr>
                <w:rFonts w:ascii="Arial" w:cs="Arial" w:eastAsia="Arial" w:hAnsi="Arial"/>
                <w:sz w:val="18"/>
                <w:szCs w:val="18"/>
                <w:color w:val="auto"/>
              </w:rPr>
              <w:t>1,192,696</w:t>
            </w:r>
          </w:p>
        </w:tc>
        <w:tc>
          <w:tcPr>
            <w:tcW w:w="140" w:type="dxa"/>
            <w:vAlign w:val="bottom"/>
          </w:tcPr>
          <w:p>
            <w:pPr>
              <w:spacing w:after="0"/>
              <w:rPr>
                <w:sz w:val="17"/>
                <w:szCs w:val="17"/>
                <w:color w:val="auto"/>
              </w:rPr>
            </w:pPr>
          </w:p>
        </w:tc>
        <w:tc>
          <w:tcPr>
            <w:tcW w:w="200" w:type="dxa"/>
            <w:vAlign w:val="bottom"/>
          </w:tcPr>
          <w:p>
            <w:pPr>
              <w:jc w:val="right"/>
              <w:ind w:right="11"/>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697"/>
              <w:spacing w:after="0"/>
              <w:rPr>
                <w:sz w:val="20"/>
                <w:szCs w:val="20"/>
                <w:color w:val="auto"/>
              </w:rPr>
            </w:pPr>
            <w:r>
              <w:rPr>
                <w:rFonts w:ascii="Arial" w:cs="Arial" w:eastAsia="Arial" w:hAnsi="Arial"/>
                <w:sz w:val="18"/>
                <w:szCs w:val="18"/>
                <w:color w:val="auto"/>
                <w:w w:val="79"/>
              </w:rPr>
              <w:t>$</w:t>
            </w:r>
          </w:p>
        </w:tc>
        <w:tc>
          <w:tcPr>
            <w:tcW w:w="5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1"/>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7"/>
              <w:spacing w:after="0"/>
              <w:rPr>
                <w:sz w:val="20"/>
                <w:szCs w:val="20"/>
                <w:color w:val="auto"/>
              </w:rPr>
            </w:pPr>
            <w:r>
              <w:rPr>
                <w:rFonts w:ascii="Arial" w:cs="Arial" w:eastAsia="Arial" w:hAnsi="Arial"/>
                <w:sz w:val="18"/>
                <w:szCs w:val="18"/>
                <w:color w:val="auto"/>
              </w:rPr>
              <w:t>1,192,696</w:t>
            </w:r>
          </w:p>
        </w:tc>
        <w:tc>
          <w:tcPr>
            <w:tcW w:w="0" w:type="dxa"/>
            <w:vAlign w:val="bottom"/>
          </w:tcPr>
          <w:p>
            <w:pPr>
              <w:spacing w:after="0"/>
              <w:rPr>
                <w:sz w:val="1"/>
                <w:szCs w:val="1"/>
                <w:color w:val="auto"/>
              </w:rPr>
            </w:pPr>
          </w:p>
        </w:tc>
      </w:tr>
      <w:tr>
        <w:trPr>
          <w:trHeight w:val="20"/>
        </w:trPr>
        <w:tc>
          <w:tcPr>
            <w:tcW w:w="250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6"/>
        </w:trPr>
        <w:tc>
          <w:tcPr>
            <w:tcW w:w="2500" w:type="dxa"/>
            <w:vAlign w:val="bottom"/>
          </w:tcPr>
          <w:p>
            <w:pPr>
              <w:spacing w:after="0"/>
              <w:rPr>
                <w:sz w:val="24"/>
                <w:szCs w:val="24"/>
                <w:color w:val="auto"/>
              </w:rPr>
            </w:pPr>
          </w:p>
        </w:tc>
        <w:tc>
          <w:tcPr>
            <w:tcW w:w="3320" w:type="dxa"/>
            <w:vAlign w:val="bottom"/>
          </w:tcPr>
          <w:p>
            <w:pPr>
              <w:jc w:val="right"/>
              <w:ind w:right="2876"/>
              <w:spacing w:after="0"/>
              <w:rPr>
                <w:sz w:val="20"/>
                <w:szCs w:val="20"/>
                <w:color w:val="auto"/>
              </w:rPr>
            </w:pPr>
            <w:r>
              <w:rPr>
                <w:rFonts w:ascii="Arial" w:cs="Arial" w:eastAsia="Arial" w:hAnsi="Arial"/>
                <w:sz w:val="14"/>
                <w:szCs w:val="14"/>
                <w:b w:val="1"/>
                <w:bCs w:val="1"/>
                <w:color w:val="auto"/>
              </w:rPr>
              <w:t>`</w:t>
            </w: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As of December 31, 2020</w:t>
            </w:r>
          </w:p>
        </w:tc>
        <w:tc>
          <w:tcPr>
            <w:tcW w:w="3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250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ind w:left="120"/>
              <w:spacing w:after="0"/>
              <w:rPr>
                <w:sz w:val="20"/>
                <w:szCs w:val="20"/>
                <w:color w:val="auto"/>
              </w:rPr>
            </w:pPr>
            <w:r>
              <w:rPr>
                <w:rFonts w:ascii="Arial" w:cs="Arial" w:eastAsia="Arial" w:hAnsi="Arial"/>
                <w:sz w:val="14"/>
                <w:szCs w:val="14"/>
                <w:b w:val="1"/>
                <w:bCs w:val="1"/>
                <w:color w:val="auto"/>
              </w:rPr>
              <w:t>Level 1</w:t>
            </w:r>
          </w:p>
        </w:tc>
        <w:tc>
          <w:tcPr>
            <w:tcW w:w="200" w:type="dxa"/>
            <w:vAlign w:val="bottom"/>
          </w:tcPr>
          <w:p>
            <w:pPr>
              <w:spacing w:after="0"/>
              <w:rPr>
                <w:sz w:val="14"/>
                <w:szCs w:val="14"/>
                <w:color w:val="auto"/>
              </w:rPr>
            </w:pPr>
          </w:p>
        </w:tc>
        <w:tc>
          <w:tcPr>
            <w:tcW w:w="1180" w:type="dxa"/>
            <w:vAlign w:val="bottom"/>
            <w:gridSpan w:val="2"/>
          </w:tcPr>
          <w:p>
            <w:pPr>
              <w:ind w:left="120"/>
              <w:spacing w:after="0"/>
              <w:rPr>
                <w:sz w:val="20"/>
                <w:szCs w:val="20"/>
                <w:color w:val="auto"/>
              </w:rPr>
            </w:pPr>
            <w:r>
              <w:rPr>
                <w:rFonts w:ascii="Arial" w:cs="Arial" w:eastAsia="Arial" w:hAnsi="Arial"/>
                <w:sz w:val="14"/>
                <w:szCs w:val="14"/>
                <w:b w:val="1"/>
                <w:bCs w:val="1"/>
                <w:color w:val="auto"/>
              </w:rPr>
              <w:t>Level 2</w:t>
            </w: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Level 3</w:t>
            </w: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jc w:val="right"/>
              <w:ind w:right="437"/>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6"/>
        </w:trPr>
        <w:tc>
          <w:tcPr>
            <w:tcW w:w="25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Financial Assets</w:t>
            </w:r>
          </w:p>
        </w:tc>
        <w:tc>
          <w:tcPr>
            <w:tcW w:w="332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880" w:type="dxa"/>
            <w:vAlign w:val="bottom"/>
            <w:tcBorders>
              <w:top w:val="single" w:sz="8" w:color="auto"/>
            </w:tcBorders>
            <w:shd w:val="clear" w:color="auto" w:fill="CFF0FC"/>
          </w:tcPr>
          <w:p>
            <w:pPr>
              <w:spacing w:after="0"/>
              <w:rPr>
                <w:sz w:val="17"/>
                <w:szCs w:val="17"/>
                <w:color w:val="auto"/>
              </w:rPr>
            </w:pPr>
          </w:p>
        </w:tc>
        <w:tc>
          <w:tcPr>
            <w:tcW w:w="38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50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3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5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Money market funds</w:t>
            </w:r>
          </w:p>
        </w:tc>
        <w:tc>
          <w:tcPr>
            <w:tcW w:w="35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814,681</w:t>
            </w: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FF0FC"/>
          </w:tcPr>
          <w:p>
            <w:pPr>
              <w:ind w:left="7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ind w:right="697"/>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FF0FC"/>
          </w:tcPr>
          <w:p>
            <w:pPr>
              <w:ind w:left="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814,681</w:t>
            </w:r>
          </w:p>
        </w:tc>
        <w:tc>
          <w:tcPr>
            <w:tcW w:w="0" w:type="dxa"/>
            <w:vAlign w:val="bottom"/>
          </w:tcPr>
          <w:p>
            <w:pPr>
              <w:spacing w:after="0"/>
              <w:rPr>
                <w:sz w:val="1"/>
                <w:szCs w:val="1"/>
                <w:color w:val="auto"/>
              </w:rPr>
            </w:pPr>
          </w:p>
        </w:tc>
      </w:tr>
      <w:tr>
        <w:trPr>
          <w:trHeight w:val="20"/>
        </w:trPr>
        <w:tc>
          <w:tcPr>
            <w:tcW w:w="250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2500" w:type="dxa"/>
            <w:vAlign w:val="bottom"/>
          </w:tcPr>
          <w:p>
            <w:pPr>
              <w:ind w:left="500"/>
              <w:spacing w:after="0"/>
              <w:rPr>
                <w:sz w:val="20"/>
                <w:szCs w:val="20"/>
                <w:color w:val="auto"/>
              </w:rPr>
            </w:pPr>
            <w:r>
              <w:rPr>
                <w:rFonts w:ascii="Arial" w:cs="Arial" w:eastAsia="Arial" w:hAnsi="Arial"/>
                <w:sz w:val="18"/>
                <w:szCs w:val="18"/>
                <w:color w:val="auto"/>
              </w:rPr>
              <w:t>Total financial assets</w:t>
            </w:r>
          </w:p>
        </w:tc>
        <w:tc>
          <w:tcPr>
            <w:tcW w:w="35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7"/>
              <w:spacing w:after="0"/>
              <w:rPr>
                <w:sz w:val="20"/>
                <w:szCs w:val="20"/>
                <w:color w:val="auto"/>
              </w:rPr>
            </w:pPr>
            <w:r>
              <w:rPr>
                <w:rFonts w:ascii="Arial" w:cs="Arial" w:eastAsia="Arial" w:hAnsi="Arial"/>
                <w:sz w:val="18"/>
                <w:szCs w:val="18"/>
                <w:color w:val="auto"/>
              </w:rPr>
              <w:t>814,681</w:t>
            </w:r>
          </w:p>
        </w:tc>
        <w:tc>
          <w:tcPr>
            <w:tcW w:w="140" w:type="dxa"/>
            <w:vAlign w:val="bottom"/>
          </w:tcPr>
          <w:p>
            <w:pPr>
              <w:spacing w:after="0"/>
              <w:rPr>
                <w:sz w:val="17"/>
                <w:szCs w:val="17"/>
                <w:color w:val="auto"/>
              </w:rPr>
            </w:pPr>
          </w:p>
        </w:tc>
        <w:tc>
          <w:tcPr>
            <w:tcW w:w="200" w:type="dxa"/>
            <w:vAlign w:val="bottom"/>
          </w:tcPr>
          <w:p>
            <w:pPr>
              <w:jc w:val="right"/>
              <w:ind w:right="11"/>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697"/>
              <w:spacing w:after="0"/>
              <w:rPr>
                <w:sz w:val="20"/>
                <w:szCs w:val="20"/>
                <w:color w:val="auto"/>
              </w:rPr>
            </w:pPr>
            <w:r>
              <w:rPr>
                <w:rFonts w:ascii="Arial" w:cs="Arial" w:eastAsia="Arial" w:hAnsi="Arial"/>
                <w:sz w:val="18"/>
                <w:szCs w:val="18"/>
                <w:color w:val="auto"/>
                <w:w w:val="79"/>
              </w:rPr>
              <w:t>$</w:t>
            </w:r>
          </w:p>
        </w:tc>
        <w:tc>
          <w:tcPr>
            <w:tcW w:w="5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1"/>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7"/>
              <w:spacing w:after="0"/>
              <w:rPr>
                <w:sz w:val="20"/>
                <w:szCs w:val="20"/>
                <w:color w:val="auto"/>
              </w:rPr>
            </w:pPr>
            <w:r>
              <w:rPr>
                <w:rFonts w:ascii="Arial" w:cs="Arial" w:eastAsia="Arial" w:hAnsi="Arial"/>
                <w:sz w:val="18"/>
                <w:szCs w:val="18"/>
                <w:color w:val="auto"/>
              </w:rPr>
              <w:t>814,681</w:t>
            </w:r>
          </w:p>
        </w:tc>
        <w:tc>
          <w:tcPr>
            <w:tcW w:w="0" w:type="dxa"/>
            <w:vAlign w:val="bottom"/>
          </w:tcPr>
          <w:p>
            <w:pPr>
              <w:spacing w:after="0"/>
              <w:rPr>
                <w:sz w:val="1"/>
                <w:szCs w:val="1"/>
                <w:color w:val="auto"/>
              </w:rPr>
            </w:pPr>
          </w:p>
        </w:tc>
      </w:tr>
      <w:tr>
        <w:trPr>
          <w:trHeight w:val="20"/>
        </w:trPr>
        <w:tc>
          <w:tcPr>
            <w:tcW w:w="2500" w:type="dxa"/>
            <w:vAlign w:val="bottom"/>
          </w:tcPr>
          <w:p>
            <w:pPr>
              <w:spacing w:after="0" w:line="20" w:lineRule="exact"/>
              <w:rPr>
                <w:sz w:val="1"/>
                <w:szCs w:val="1"/>
                <w:color w:val="auto"/>
              </w:rPr>
            </w:pPr>
          </w:p>
        </w:tc>
        <w:tc>
          <w:tcPr>
            <w:tcW w:w="3320" w:type="dxa"/>
            <w:vAlign w:val="bottom"/>
            <w:vMerge w:val="restart"/>
          </w:tcPr>
          <w:p>
            <w:pPr>
              <w:jc w:val="right"/>
              <w:ind w:right="16"/>
              <w:spacing w:after="0"/>
              <w:rPr>
                <w:sz w:val="20"/>
                <w:szCs w:val="20"/>
                <w:color w:val="auto"/>
              </w:rPr>
            </w:pPr>
            <w:r>
              <w:rPr>
                <w:rFonts w:ascii="Arial" w:cs="Arial" w:eastAsia="Arial" w:hAnsi="Arial"/>
                <w:sz w:val="18"/>
                <w:szCs w:val="18"/>
                <w:color w:val="auto"/>
              </w:rPr>
              <w:t>21</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4"/>
        </w:trPr>
        <w:tc>
          <w:tcPr>
            <w:tcW w:w="2500" w:type="dxa"/>
            <w:vAlign w:val="bottom"/>
          </w:tcPr>
          <w:p>
            <w:pPr>
              <w:spacing w:after="0"/>
              <w:rPr>
                <w:sz w:val="24"/>
                <w:szCs w:val="24"/>
                <w:color w:val="auto"/>
              </w:rPr>
            </w:pPr>
          </w:p>
        </w:tc>
        <w:tc>
          <w:tcPr>
            <w:tcW w:w="332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2500" w:type="dxa"/>
            <w:vAlign w:val="bottom"/>
            <w:tcBorders>
              <w:bottom w:val="single" w:sz="8" w:color="9A9A9A"/>
            </w:tcBorders>
          </w:tcPr>
          <w:p>
            <w:pPr>
              <w:spacing w:after="0"/>
              <w:rPr>
                <w:sz w:val="8"/>
                <w:szCs w:val="8"/>
                <w:color w:val="auto"/>
              </w:rPr>
            </w:pPr>
          </w:p>
        </w:tc>
        <w:tc>
          <w:tcPr>
            <w:tcW w:w="332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04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04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88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04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VROOM, INC.</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34" w:lineRule="exact"/>
        <w:rPr>
          <w:sz w:val="20"/>
          <w:szCs w:val="20"/>
          <w:color w:val="auto"/>
        </w:rPr>
      </w:pPr>
    </w:p>
    <w:p>
      <w:pPr>
        <w:ind w:right="60" w:firstLine="749"/>
        <w:spacing w:after="0" w:line="261" w:lineRule="auto"/>
        <w:rPr>
          <w:sz w:val="20"/>
          <w:szCs w:val="20"/>
          <w:color w:val="auto"/>
        </w:rPr>
      </w:pPr>
      <w:r>
        <w:rPr>
          <w:rFonts w:ascii="Arial" w:cs="Arial" w:eastAsia="Arial" w:hAnsi="Arial"/>
          <w:sz w:val="17"/>
          <w:szCs w:val="17"/>
          <w:color w:val="auto"/>
        </w:rPr>
        <w:t>The carrying amounts of restricted cash, accounts receivable, accounts payable and accrued liabilities approximate fair value due to their short-term nature. The carrying value of the 2020 Vehicle Floorplan Facility was determined to approximate fair value due to its short-term</w:t>
      </w:r>
    </w:p>
    <w:p>
      <w:pPr>
        <w:spacing w:after="0" w:line="1"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duration and variable interest rate that approximates prevailing interest rates as of each reporting period. Refer to Note 10 – Long-term debt for further discussion related to the fair value of our convertible debt issuance.</w:t>
      </w:r>
    </w:p>
    <w:p>
      <w:pPr>
        <w:spacing w:after="0" w:line="216" w:lineRule="exact"/>
        <w:rPr>
          <w:sz w:val="20"/>
          <w:szCs w:val="20"/>
          <w:color w:val="auto"/>
        </w:rPr>
      </w:pPr>
    </w:p>
    <w:p>
      <w:pPr>
        <w:ind w:right="80" w:firstLine="749"/>
        <w:spacing w:after="0" w:line="239" w:lineRule="auto"/>
        <w:rPr>
          <w:sz w:val="20"/>
          <w:szCs w:val="20"/>
          <w:color w:val="auto"/>
        </w:rPr>
      </w:pPr>
      <w:r>
        <w:rPr>
          <w:rFonts w:ascii="Arial" w:cs="Arial" w:eastAsia="Arial" w:hAnsi="Arial"/>
          <w:sz w:val="18"/>
          <w:szCs w:val="18"/>
          <w:color w:val="auto"/>
        </w:rPr>
        <w:t>Assets and liabilities acquired as part of a business combination are recorded at fair value on a nonrecurring basis. Refer to Note 4 – Acquisition for additional information.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Segment Information</w:t>
      </w:r>
    </w:p>
    <w:p>
      <w:pPr>
        <w:spacing w:after="0" w:line="121" w:lineRule="exact"/>
        <w:rPr>
          <w:sz w:val="20"/>
          <w:szCs w:val="20"/>
          <w:color w:val="auto"/>
        </w:rPr>
      </w:pPr>
    </w:p>
    <w:p>
      <w:pPr>
        <w:ind w:right="140" w:firstLine="762"/>
        <w:spacing w:after="0" w:line="233" w:lineRule="auto"/>
        <w:rPr>
          <w:sz w:val="20"/>
          <w:szCs w:val="20"/>
          <w:color w:val="auto"/>
        </w:rPr>
      </w:pPr>
      <w:r>
        <w:rPr>
          <w:rFonts w:ascii="Arial" w:cs="Arial" w:eastAsia="Arial" w:hAnsi="Arial"/>
          <w:sz w:val="18"/>
          <w:szCs w:val="18"/>
          <w:color w:val="auto"/>
        </w:rPr>
        <w:t>The Company has three reportable segments: Ecommerce, Wholesale, and TDA. No operating segments have been aggregated to form the reportable segments. The Company determined its operating segments based on how the chief operating decision maker (“CODM”) reviews the Company’s operating results in assessing performance and allocating resources. The CODM reviews revenue and gross profit for each of the reportable segments. Gross profit is defined as revenue less cost of sales incurred by the segment. The CODM does not evaluate operating segments using asset information as these are managed on an enterprise-wide group basis. Accordingly, the Company does not report segment asset information. As of June 30, 2021 and December 31, 2020, long-lived assets were predominantly located in the United States.</w:t>
      </w:r>
    </w:p>
    <w:p>
      <w:pPr>
        <w:spacing w:after="0" w:line="204" w:lineRule="exact"/>
        <w:rPr>
          <w:sz w:val="20"/>
          <w:szCs w:val="20"/>
          <w:color w:val="auto"/>
        </w:rPr>
      </w:pPr>
    </w:p>
    <w:p>
      <w:pPr>
        <w:ind w:firstLine="762"/>
        <w:spacing w:after="0" w:line="234" w:lineRule="auto"/>
        <w:rPr>
          <w:sz w:val="20"/>
          <w:szCs w:val="20"/>
          <w:color w:val="auto"/>
        </w:rPr>
      </w:pPr>
      <w:r>
        <w:rPr>
          <w:rFonts w:ascii="Arial" w:cs="Arial" w:eastAsia="Arial" w:hAnsi="Arial"/>
          <w:sz w:val="18"/>
          <w:szCs w:val="18"/>
          <w:color w:val="auto"/>
        </w:rPr>
        <w:t>The Ecommerce reportable segment represents retail sales of used vehicles through the Company’s ecommerce platform and fees earned on sales of value-added products associated with those vehicle sales. The Wholesale reportable segment represents sales of used vehicles through wholesale channels. The TDA reportable segment represents retail sales of used vehicles from TDA and fees earned on sales of value-added products associated with those vehicle sales. Revenues within the “All Other” category consist of the CarStory business and vehicle repair services at TDA.</w:t>
      </w:r>
    </w:p>
    <w:p>
      <w:pPr>
        <w:spacing w:after="0" w:line="20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Information about the Company’s segments are as follows (in thousands):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5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840" w:type="dxa"/>
            <w:vAlign w:val="bottom"/>
            <w:tcBorders>
              <w:bottom w:val="single" w:sz="8" w:color="auto"/>
            </w:tcBorders>
            <w:gridSpan w:val="7"/>
          </w:tcPr>
          <w:p>
            <w:pPr>
              <w:jc w:val="center"/>
              <w:ind w:right="159"/>
              <w:spacing w:after="0"/>
              <w:rPr>
                <w:sz w:val="20"/>
                <w:szCs w:val="20"/>
                <w:color w:val="auto"/>
              </w:rPr>
            </w:pPr>
            <w:r>
              <w:rPr>
                <w:rFonts w:ascii="Arial" w:cs="Arial" w:eastAsia="Arial" w:hAnsi="Arial"/>
                <w:sz w:val="14"/>
                <w:szCs w:val="14"/>
                <w:b w:val="1"/>
                <w:bCs w:val="1"/>
                <w:color w:val="auto"/>
              </w:rPr>
              <w:t>Three Months Ended June 30, 2021</w:t>
            </w:r>
          </w:p>
        </w:tc>
        <w:tc>
          <w:tcPr>
            <w:tcW w:w="1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r>
      <w:tr>
        <w:trPr>
          <w:trHeight w:val="166"/>
        </w:trPr>
        <w:tc>
          <w:tcPr>
            <w:tcW w:w="450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Ecommerce</w:t>
            </w:r>
          </w:p>
        </w:tc>
        <w:tc>
          <w:tcPr>
            <w:tcW w:w="12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Wholesale</w:t>
            </w:r>
          </w:p>
        </w:tc>
        <w:tc>
          <w:tcPr>
            <w:tcW w:w="10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317"/>
              <w:spacing w:after="0"/>
              <w:rPr>
                <w:sz w:val="20"/>
                <w:szCs w:val="20"/>
                <w:color w:val="auto"/>
              </w:rPr>
            </w:pPr>
            <w:r>
              <w:rPr>
                <w:rFonts w:ascii="Arial" w:cs="Arial" w:eastAsia="Arial" w:hAnsi="Arial"/>
                <w:sz w:val="14"/>
                <w:szCs w:val="14"/>
                <w:b w:val="1"/>
                <w:bCs w:val="1"/>
                <w:color w:val="auto"/>
                <w:w w:val="97"/>
              </w:rPr>
              <w:t>TDA</w:t>
            </w:r>
          </w:p>
        </w:tc>
        <w:tc>
          <w:tcPr>
            <w:tcW w:w="10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center"/>
              <w:ind w:right="159"/>
              <w:spacing w:after="0"/>
              <w:rPr>
                <w:sz w:val="20"/>
                <w:szCs w:val="20"/>
                <w:color w:val="auto"/>
              </w:rPr>
            </w:pPr>
            <w:r>
              <w:rPr>
                <w:rFonts w:ascii="Arial" w:cs="Arial" w:eastAsia="Arial" w:hAnsi="Arial"/>
                <w:sz w:val="14"/>
                <w:szCs w:val="14"/>
                <w:b w:val="1"/>
                <w:bCs w:val="1"/>
                <w:color w:val="auto"/>
              </w:rPr>
              <w:t>All Other</w:t>
            </w:r>
          </w:p>
        </w:tc>
        <w:tc>
          <w:tcPr>
            <w:tcW w:w="12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Total</w:t>
            </w:r>
          </w:p>
        </w:tc>
      </w:tr>
      <w:tr>
        <w:trPr>
          <w:trHeight w:val="206"/>
        </w:trPr>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Revenues from external customers</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579,663</w:t>
            </w:r>
          </w:p>
        </w:tc>
        <w:tc>
          <w:tcPr>
            <w:tcW w:w="2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ind w:right="40"/>
              <w:spacing w:after="0"/>
              <w:rPr>
                <w:sz w:val="20"/>
                <w:szCs w:val="20"/>
                <w:color w:val="auto"/>
              </w:rPr>
            </w:pPr>
            <w:r>
              <w:rPr>
                <w:rFonts w:ascii="Arial" w:cs="Arial" w:eastAsia="Arial" w:hAnsi="Arial"/>
                <w:sz w:val="18"/>
                <w:szCs w:val="18"/>
                <w:color w:val="auto"/>
              </w:rPr>
              <w:t>128,108</w:t>
            </w:r>
          </w:p>
        </w:tc>
        <w:tc>
          <w:tcPr>
            <w:tcW w:w="3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50,759</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3,360</w:t>
            </w:r>
          </w:p>
        </w:tc>
        <w:tc>
          <w:tcPr>
            <w:tcW w:w="3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ind w:right="57"/>
              <w:spacing w:after="0"/>
              <w:rPr>
                <w:sz w:val="20"/>
                <w:szCs w:val="20"/>
                <w:color w:val="auto"/>
              </w:rPr>
            </w:pPr>
            <w:r>
              <w:rPr>
                <w:rFonts w:ascii="Arial" w:cs="Arial" w:eastAsia="Arial" w:hAnsi="Arial"/>
                <w:sz w:val="18"/>
                <w:szCs w:val="18"/>
                <w:color w:val="auto"/>
              </w:rPr>
              <w:t>761,890</w:t>
            </w:r>
          </w:p>
        </w:tc>
      </w:tr>
      <w:tr>
        <w:trPr>
          <w:trHeight w:val="225"/>
        </w:trPr>
        <w:tc>
          <w:tcPr>
            <w:tcW w:w="4500" w:type="dxa"/>
            <w:vAlign w:val="bottom"/>
          </w:tcPr>
          <w:p>
            <w:pPr>
              <w:spacing w:after="0"/>
              <w:rPr>
                <w:sz w:val="20"/>
                <w:szCs w:val="20"/>
                <w:color w:val="auto"/>
              </w:rPr>
            </w:pPr>
            <w:r>
              <w:rPr>
                <w:rFonts w:ascii="Arial" w:cs="Arial" w:eastAsia="Arial" w:hAnsi="Arial"/>
                <w:sz w:val="18"/>
                <w:szCs w:val="18"/>
                <w:color w:val="auto"/>
              </w:rPr>
              <w:t>Gross profit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37"/>
              <w:spacing w:after="0"/>
              <w:rPr>
                <w:sz w:val="20"/>
                <w:szCs w:val="20"/>
                <w:color w:val="auto"/>
              </w:rPr>
            </w:pPr>
            <w:r>
              <w:rPr>
                <w:rFonts w:ascii="Arial" w:cs="Arial" w:eastAsia="Arial" w:hAnsi="Arial"/>
                <w:sz w:val="18"/>
                <w:szCs w:val="18"/>
                <w:color w:val="auto"/>
              </w:rPr>
              <w:t>49,638</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40"/>
              <w:spacing w:after="0"/>
              <w:rPr>
                <w:sz w:val="20"/>
                <w:szCs w:val="20"/>
                <w:color w:val="auto"/>
              </w:rPr>
            </w:pPr>
            <w:r>
              <w:rPr>
                <w:rFonts w:ascii="Arial" w:cs="Arial" w:eastAsia="Arial" w:hAnsi="Arial"/>
                <w:sz w:val="18"/>
                <w:szCs w:val="18"/>
                <w:color w:val="auto"/>
              </w:rPr>
              <w:t>8,516</w:t>
            </w: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7"/>
              <w:spacing w:after="0"/>
              <w:rPr>
                <w:sz w:val="20"/>
                <w:szCs w:val="20"/>
                <w:color w:val="auto"/>
              </w:rPr>
            </w:pPr>
            <w:r>
              <w:rPr>
                <w:rFonts w:ascii="Arial" w:cs="Arial" w:eastAsia="Arial" w:hAnsi="Arial"/>
                <w:sz w:val="18"/>
                <w:szCs w:val="18"/>
                <w:color w:val="auto"/>
              </w:rPr>
              <w:t>3,148</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39"/>
              <w:spacing w:after="0"/>
              <w:rPr>
                <w:sz w:val="20"/>
                <w:szCs w:val="20"/>
                <w:color w:val="auto"/>
              </w:rPr>
            </w:pPr>
            <w:r>
              <w:rPr>
                <w:rFonts w:ascii="Arial" w:cs="Arial" w:eastAsia="Arial" w:hAnsi="Arial"/>
                <w:sz w:val="18"/>
                <w:szCs w:val="18"/>
                <w:color w:val="auto"/>
              </w:rPr>
              <w:t>1,826</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57"/>
              <w:spacing w:after="0"/>
              <w:rPr>
                <w:sz w:val="20"/>
                <w:szCs w:val="20"/>
                <w:color w:val="auto"/>
              </w:rPr>
            </w:pPr>
            <w:r>
              <w:rPr>
                <w:rFonts w:ascii="Arial" w:cs="Arial" w:eastAsia="Arial" w:hAnsi="Arial"/>
                <w:sz w:val="18"/>
                <w:szCs w:val="18"/>
                <w:color w:val="auto"/>
              </w:rPr>
              <w:t>63,128</w:t>
            </w:r>
          </w:p>
        </w:tc>
      </w:tr>
      <w:tr>
        <w:trPr>
          <w:trHeight w:val="401"/>
        </w:trPr>
        <w:tc>
          <w:tcPr>
            <w:tcW w:w="45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840" w:type="dxa"/>
            <w:vAlign w:val="bottom"/>
            <w:tcBorders>
              <w:bottom w:val="single" w:sz="8" w:color="auto"/>
            </w:tcBorders>
            <w:gridSpan w:val="7"/>
          </w:tcPr>
          <w:p>
            <w:pPr>
              <w:jc w:val="center"/>
              <w:ind w:right="159"/>
              <w:spacing w:after="0"/>
              <w:rPr>
                <w:sz w:val="20"/>
                <w:szCs w:val="20"/>
                <w:color w:val="auto"/>
              </w:rPr>
            </w:pPr>
            <w:r>
              <w:rPr>
                <w:rFonts w:ascii="Arial" w:cs="Arial" w:eastAsia="Arial" w:hAnsi="Arial"/>
                <w:sz w:val="14"/>
                <w:szCs w:val="14"/>
                <w:b w:val="1"/>
                <w:bCs w:val="1"/>
                <w:color w:val="auto"/>
              </w:rPr>
              <w:t>Three Months Ended June 30, 2020</w:t>
            </w: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r>
      <w:tr>
        <w:trPr>
          <w:trHeight w:val="166"/>
        </w:trPr>
        <w:tc>
          <w:tcPr>
            <w:tcW w:w="450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Ecommerce</w:t>
            </w:r>
          </w:p>
        </w:tc>
        <w:tc>
          <w:tcPr>
            <w:tcW w:w="12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Wholesale</w:t>
            </w:r>
          </w:p>
        </w:tc>
        <w:tc>
          <w:tcPr>
            <w:tcW w:w="10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317"/>
              <w:spacing w:after="0"/>
              <w:rPr>
                <w:sz w:val="20"/>
                <w:szCs w:val="20"/>
                <w:color w:val="auto"/>
              </w:rPr>
            </w:pPr>
            <w:r>
              <w:rPr>
                <w:rFonts w:ascii="Arial" w:cs="Arial" w:eastAsia="Arial" w:hAnsi="Arial"/>
                <w:sz w:val="14"/>
                <w:szCs w:val="14"/>
                <w:b w:val="1"/>
                <w:bCs w:val="1"/>
                <w:color w:val="auto"/>
                <w:w w:val="97"/>
              </w:rPr>
              <w:t>TDA</w:t>
            </w:r>
          </w:p>
        </w:tc>
        <w:tc>
          <w:tcPr>
            <w:tcW w:w="10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center"/>
              <w:ind w:right="179"/>
              <w:spacing w:after="0" w:line="166" w:lineRule="exact"/>
              <w:rPr>
                <w:sz w:val="20"/>
                <w:szCs w:val="20"/>
                <w:color w:val="auto"/>
              </w:rPr>
            </w:pPr>
            <w:r>
              <w:rPr>
                <w:rFonts w:ascii="Arial" w:cs="Arial" w:eastAsia="Arial" w:hAnsi="Arial"/>
                <w:sz w:val="12"/>
                <w:szCs w:val="12"/>
                <w:b w:val="1"/>
                <w:bCs w:val="1"/>
                <w:color w:val="auto"/>
              </w:rPr>
              <w:t xml:space="preserve">All Other </w:t>
            </w:r>
            <w:r>
              <w:rPr>
                <w:rFonts w:ascii="Arial" w:cs="Arial" w:eastAsia="Arial" w:hAnsi="Arial"/>
                <w:sz w:val="19"/>
                <w:szCs w:val="19"/>
                <w:b w:val="1"/>
                <w:bCs w:val="1"/>
                <w:color w:val="auto"/>
                <w:vertAlign w:val="superscript"/>
              </w:rPr>
              <w:t>(1)</w:t>
            </w:r>
          </w:p>
        </w:tc>
        <w:tc>
          <w:tcPr>
            <w:tcW w:w="12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Total</w:t>
            </w:r>
          </w:p>
        </w:tc>
      </w:tr>
      <w:tr>
        <w:trPr>
          <w:trHeight w:val="206"/>
        </w:trPr>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Revenues from external customers</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175,568</w:t>
            </w:r>
          </w:p>
        </w:tc>
        <w:tc>
          <w:tcPr>
            <w:tcW w:w="2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ind w:right="40"/>
              <w:spacing w:after="0"/>
              <w:rPr>
                <w:sz w:val="20"/>
                <w:szCs w:val="20"/>
                <w:color w:val="auto"/>
              </w:rPr>
            </w:pPr>
            <w:r>
              <w:rPr>
                <w:rFonts w:ascii="Arial" w:cs="Arial" w:eastAsia="Arial" w:hAnsi="Arial"/>
                <w:sz w:val="18"/>
                <w:szCs w:val="18"/>
                <w:color w:val="auto"/>
              </w:rPr>
              <w:t>50,921</w:t>
            </w:r>
          </w:p>
        </w:tc>
        <w:tc>
          <w:tcPr>
            <w:tcW w:w="3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26,318</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286</w:t>
            </w:r>
          </w:p>
        </w:tc>
        <w:tc>
          <w:tcPr>
            <w:tcW w:w="3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ind w:right="57"/>
              <w:spacing w:after="0"/>
              <w:rPr>
                <w:sz w:val="20"/>
                <w:szCs w:val="20"/>
                <w:color w:val="auto"/>
              </w:rPr>
            </w:pPr>
            <w:r>
              <w:rPr>
                <w:rFonts w:ascii="Arial" w:cs="Arial" w:eastAsia="Arial" w:hAnsi="Arial"/>
                <w:sz w:val="18"/>
                <w:szCs w:val="18"/>
                <w:color w:val="auto"/>
              </w:rPr>
              <w:t>253,093</w:t>
            </w:r>
          </w:p>
        </w:tc>
      </w:tr>
      <w:tr>
        <w:trPr>
          <w:trHeight w:val="225"/>
        </w:trPr>
        <w:tc>
          <w:tcPr>
            <w:tcW w:w="4500" w:type="dxa"/>
            <w:vAlign w:val="bottom"/>
          </w:tcPr>
          <w:p>
            <w:pPr>
              <w:spacing w:after="0"/>
              <w:rPr>
                <w:sz w:val="20"/>
                <w:szCs w:val="20"/>
                <w:color w:val="auto"/>
              </w:rPr>
            </w:pPr>
            <w:r>
              <w:rPr>
                <w:rFonts w:ascii="Arial" w:cs="Arial" w:eastAsia="Arial" w:hAnsi="Arial"/>
                <w:sz w:val="18"/>
                <w:szCs w:val="18"/>
                <w:color w:val="auto"/>
              </w:rPr>
              <w:t>Gross profit (loss)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37"/>
              <w:spacing w:after="0"/>
              <w:rPr>
                <w:sz w:val="20"/>
                <w:szCs w:val="20"/>
                <w:color w:val="auto"/>
              </w:rPr>
            </w:pPr>
            <w:r>
              <w:rPr>
                <w:rFonts w:ascii="Arial" w:cs="Arial" w:eastAsia="Arial" w:hAnsi="Arial"/>
                <w:sz w:val="18"/>
                <w:szCs w:val="18"/>
                <w:color w:val="auto"/>
              </w:rPr>
              <w:t>7,219</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(543)</w:t>
            </w: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7"/>
              <w:spacing w:after="0"/>
              <w:rPr>
                <w:sz w:val="20"/>
                <w:szCs w:val="20"/>
                <w:color w:val="auto"/>
              </w:rPr>
            </w:pPr>
            <w:r>
              <w:rPr>
                <w:rFonts w:ascii="Arial" w:cs="Arial" w:eastAsia="Arial" w:hAnsi="Arial"/>
                <w:sz w:val="18"/>
                <w:szCs w:val="18"/>
                <w:color w:val="auto"/>
              </w:rPr>
              <w:t>864</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39"/>
              <w:spacing w:after="0"/>
              <w:rPr>
                <w:sz w:val="20"/>
                <w:szCs w:val="20"/>
                <w:color w:val="auto"/>
              </w:rPr>
            </w:pPr>
            <w:r>
              <w:rPr>
                <w:rFonts w:ascii="Arial" w:cs="Arial" w:eastAsia="Arial" w:hAnsi="Arial"/>
                <w:sz w:val="18"/>
                <w:szCs w:val="18"/>
                <w:color w:val="auto"/>
              </w:rPr>
              <w:t>67</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57"/>
              <w:spacing w:after="0"/>
              <w:rPr>
                <w:sz w:val="20"/>
                <w:szCs w:val="20"/>
                <w:color w:val="auto"/>
              </w:rPr>
            </w:pPr>
            <w:r>
              <w:rPr>
                <w:rFonts w:ascii="Arial" w:cs="Arial" w:eastAsia="Arial" w:hAnsi="Arial"/>
                <w:sz w:val="18"/>
                <w:szCs w:val="18"/>
                <w:color w:val="auto"/>
              </w:rPr>
              <w:t>7,607</w:t>
            </w:r>
          </w:p>
        </w:tc>
      </w:tr>
      <w:tr>
        <w:trPr>
          <w:trHeight w:val="401"/>
        </w:trPr>
        <w:tc>
          <w:tcPr>
            <w:tcW w:w="45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840" w:type="dxa"/>
            <w:vAlign w:val="bottom"/>
            <w:tcBorders>
              <w:bottom w:val="single" w:sz="8" w:color="auto"/>
            </w:tcBorders>
            <w:gridSpan w:val="7"/>
          </w:tcPr>
          <w:p>
            <w:pPr>
              <w:jc w:val="center"/>
              <w:ind w:right="159"/>
              <w:spacing w:after="0"/>
              <w:rPr>
                <w:sz w:val="20"/>
                <w:szCs w:val="20"/>
                <w:color w:val="auto"/>
              </w:rPr>
            </w:pPr>
            <w:r>
              <w:rPr>
                <w:rFonts w:ascii="Arial" w:cs="Arial" w:eastAsia="Arial" w:hAnsi="Arial"/>
                <w:sz w:val="14"/>
                <w:szCs w:val="14"/>
                <w:b w:val="1"/>
                <w:bCs w:val="1"/>
                <w:color w:val="auto"/>
              </w:rPr>
              <w:t>Six Months Ended June 30, 2021</w:t>
            </w: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r>
      <w:tr>
        <w:trPr>
          <w:trHeight w:val="166"/>
        </w:trPr>
        <w:tc>
          <w:tcPr>
            <w:tcW w:w="450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Ecommerce</w:t>
            </w:r>
          </w:p>
        </w:tc>
        <w:tc>
          <w:tcPr>
            <w:tcW w:w="12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Wholesale</w:t>
            </w:r>
          </w:p>
        </w:tc>
        <w:tc>
          <w:tcPr>
            <w:tcW w:w="10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317"/>
              <w:spacing w:after="0"/>
              <w:rPr>
                <w:sz w:val="20"/>
                <w:szCs w:val="20"/>
                <w:color w:val="auto"/>
              </w:rPr>
            </w:pPr>
            <w:r>
              <w:rPr>
                <w:rFonts w:ascii="Arial" w:cs="Arial" w:eastAsia="Arial" w:hAnsi="Arial"/>
                <w:sz w:val="14"/>
                <w:szCs w:val="14"/>
                <w:b w:val="1"/>
                <w:bCs w:val="1"/>
                <w:color w:val="auto"/>
                <w:w w:val="97"/>
              </w:rPr>
              <w:t>TDA</w:t>
            </w:r>
          </w:p>
        </w:tc>
        <w:tc>
          <w:tcPr>
            <w:tcW w:w="10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center"/>
              <w:ind w:right="159"/>
              <w:spacing w:after="0"/>
              <w:rPr>
                <w:sz w:val="20"/>
                <w:szCs w:val="20"/>
                <w:color w:val="auto"/>
              </w:rPr>
            </w:pPr>
            <w:r>
              <w:rPr>
                <w:rFonts w:ascii="Arial" w:cs="Arial" w:eastAsia="Arial" w:hAnsi="Arial"/>
                <w:sz w:val="14"/>
                <w:szCs w:val="14"/>
                <w:b w:val="1"/>
                <w:bCs w:val="1"/>
                <w:color w:val="auto"/>
              </w:rPr>
              <w:t>All Other</w:t>
            </w:r>
          </w:p>
        </w:tc>
        <w:tc>
          <w:tcPr>
            <w:tcW w:w="12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Total</w:t>
            </w:r>
          </w:p>
        </w:tc>
      </w:tr>
      <w:tr>
        <w:trPr>
          <w:trHeight w:val="206"/>
        </w:trPr>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Revenues from external customers</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1,001,971</w:t>
            </w:r>
          </w:p>
        </w:tc>
        <w:tc>
          <w:tcPr>
            <w:tcW w:w="2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ind w:right="40"/>
              <w:spacing w:after="0"/>
              <w:rPr>
                <w:sz w:val="20"/>
                <w:szCs w:val="20"/>
                <w:color w:val="auto"/>
              </w:rPr>
            </w:pPr>
            <w:r>
              <w:rPr>
                <w:rFonts w:ascii="Arial" w:cs="Arial" w:eastAsia="Arial" w:hAnsi="Arial"/>
                <w:sz w:val="18"/>
                <w:szCs w:val="18"/>
                <w:color w:val="auto"/>
              </w:rPr>
              <w:t>246,132</w:t>
            </w:r>
          </w:p>
        </w:tc>
        <w:tc>
          <w:tcPr>
            <w:tcW w:w="3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98,346</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6,559</w:t>
            </w:r>
          </w:p>
        </w:tc>
        <w:tc>
          <w:tcPr>
            <w:tcW w:w="3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ind w:right="57"/>
              <w:spacing w:after="0"/>
              <w:rPr>
                <w:sz w:val="20"/>
                <w:szCs w:val="20"/>
                <w:color w:val="auto"/>
              </w:rPr>
            </w:pPr>
            <w:r>
              <w:rPr>
                <w:rFonts w:ascii="Arial" w:cs="Arial" w:eastAsia="Arial" w:hAnsi="Arial"/>
                <w:sz w:val="18"/>
                <w:szCs w:val="18"/>
                <w:color w:val="auto"/>
              </w:rPr>
              <w:t>1,353,008</w:t>
            </w:r>
          </w:p>
        </w:tc>
      </w:tr>
      <w:tr>
        <w:trPr>
          <w:trHeight w:val="225"/>
        </w:trPr>
        <w:tc>
          <w:tcPr>
            <w:tcW w:w="4500" w:type="dxa"/>
            <w:vAlign w:val="bottom"/>
          </w:tcPr>
          <w:p>
            <w:pPr>
              <w:spacing w:after="0"/>
              <w:rPr>
                <w:sz w:val="20"/>
                <w:szCs w:val="20"/>
                <w:color w:val="auto"/>
              </w:rPr>
            </w:pPr>
            <w:r>
              <w:rPr>
                <w:rFonts w:ascii="Arial" w:cs="Arial" w:eastAsia="Arial" w:hAnsi="Arial"/>
                <w:sz w:val="18"/>
                <w:szCs w:val="18"/>
                <w:color w:val="auto"/>
              </w:rPr>
              <w:t>Gross profit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37"/>
              <w:spacing w:after="0"/>
              <w:rPr>
                <w:sz w:val="20"/>
                <w:szCs w:val="20"/>
                <w:color w:val="auto"/>
              </w:rPr>
            </w:pPr>
            <w:r>
              <w:rPr>
                <w:rFonts w:ascii="Arial" w:cs="Arial" w:eastAsia="Arial" w:hAnsi="Arial"/>
                <w:sz w:val="18"/>
                <w:szCs w:val="18"/>
                <w:color w:val="auto"/>
              </w:rPr>
              <w:t>81,475</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40"/>
              <w:spacing w:after="0"/>
              <w:rPr>
                <w:sz w:val="20"/>
                <w:szCs w:val="20"/>
                <w:color w:val="auto"/>
              </w:rPr>
            </w:pPr>
            <w:r>
              <w:rPr>
                <w:rFonts w:ascii="Arial" w:cs="Arial" w:eastAsia="Arial" w:hAnsi="Arial"/>
                <w:sz w:val="18"/>
                <w:szCs w:val="18"/>
                <w:color w:val="auto"/>
              </w:rPr>
              <w:t>8,234</w:t>
            </w: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7"/>
              <w:spacing w:after="0"/>
              <w:rPr>
                <w:sz w:val="20"/>
                <w:szCs w:val="20"/>
                <w:color w:val="auto"/>
              </w:rPr>
            </w:pPr>
            <w:r>
              <w:rPr>
                <w:rFonts w:ascii="Arial" w:cs="Arial" w:eastAsia="Arial" w:hAnsi="Arial"/>
                <w:sz w:val="18"/>
                <w:szCs w:val="18"/>
                <w:color w:val="auto"/>
              </w:rPr>
              <w:t>5,939</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39"/>
              <w:spacing w:after="0"/>
              <w:rPr>
                <w:sz w:val="20"/>
                <w:szCs w:val="20"/>
                <w:color w:val="auto"/>
              </w:rPr>
            </w:pPr>
            <w:r>
              <w:rPr>
                <w:rFonts w:ascii="Arial" w:cs="Arial" w:eastAsia="Arial" w:hAnsi="Arial"/>
                <w:sz w:val="18"/>
                <w:szCs w:val="18"/>
                <w:color w:val="auto"/>
              </w:rPr>
              <w:t>3,656</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57"/>
              <w:spacing w:after="0"/>
              <w:rPr>
                <w:sz w:val="20"/>
                <w:szCs w:val="20"/>
                <w:color w:val="auto"/>
              </w:rPr>
            </w:pPr>
            <w:r>
              <w:rPr>
                <w:rFonts w:ascii="Arial" w:cs="Arial" w:eastAsia="Arial" w:hAnsi="Arial"/>
                <w:sz w:val="18"/>
                <w:szCs w:val="18"/>
                <w:color w:val="auto"/>
              </w:rPr>
              <w:t>99,304</w:t>
            </w:r>
          </w:p>
        </w:tc>
      </w:tr>
      <w:tr>
        <w:trPr>
          <w:trHeight w:val="401"/>
        </w:trPr>
        <w:tc>
          <w:tcPr>
            <w:tcW w:w="45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840" w:type="dxa"/>
            <w:vAlign w:val="bottom"/>
            <w:tcBorders>
              <w:bottom w:val="single" w:sz="8" w:color="auto"/>
            </w:tcBorders>
            <w:gridSpan w:val="7"/>
          </w:tcPr>
          <w:p>
            <w:pPr>
              <w:jc w:val="center"/>
              <w:ind w:right="159"/>
              <w:spacing w:after="0"/>
              <w:rPr>
                <w:sz w:val="20"/>
                <w:szCs w:val="20"/>
                <w:color w:val="auto"/>
              </w:rPr>
            </w:pPr>
            <w:r>
              <w:rPr>
                <w:rFonts w:ascii="Arial" w:cs="Arial" w:eastAsia="Arial" w:hAnsi="Arial"/>
                <w:sz w:val="14"/>
                <w:szCs w:val="14"/>
                <w:b w:val="1"/>
                <w:bCs w:val="1"/>
                <w:color w:val="auto"/>
              </w:rPr>
              <w:t>Six Months Ended June 30, 2020</w:t>
            </w: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r>
      <w:tr>
        <w:trPr>
          <w:trHeight w:val="166"/>
        </w:trPr>
        <w:tc>
          <w:tcPr>
            <w:tcW w:w="450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Ecommerce</w:t>
            </w:r>
          </w:p>
        </w:tc>
        <w:tc>
          <w:tcPr>
            <w:tcW w:w="12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Wholesale</w:t>
            </w:r>
          </w:p>
        </w:tc>
        <w:tc>
          <w:tcPr>
            <w:tcW w:w="10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317"/>
              <w:spacing w:after="0"/>
              <w:rPr>
                <w:sz w:val="20"/>
                <w:szCs w:val="20"/>
                <w:color w:val="auto"/>
              </w:rPr>
            </w:pPr>
            <w:r>
              <w:rPr>
                <w:rFonts w:ascii="Arial" w:cs="Arial" w:eastAsia="Arial" w:hAnsi="Arial"/>
                <w:sz w:val="14"/>
                <w:szCs w:val="14"/>
                <w:b w:val="1"/>
                <w:bCs w:val="1"/>
                <w:color w:val="auto"/>
                <w:w w:val="97"/>
              </w:rPr>
              <w:t>TDA</w:t>
            </w:r>
          </w:p>
        </w:tc>
        <w:tc>
          <w:tcPr>
            <w:tcW w:w="10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center"/>
              <w:ind w:right="179"/>
              <w:spacing w:after="0" w:line="166" w:lineRule="exact"/>
              <w:rPr>
                <w:sz w:val="20"/>
                <w:szCs w:val="20"/>
                <w:color w:val="auto"/>
              </w:rPr>
            </w:pPr>
            <w:r>
              <w:rPr>
                <w:rFonts w:ascii="Arial" w:cs="Arial" w:eastAsia="Arial" w:hAnsi="Arial"/>
                <w:sz w:val="12"/>
                <w:szCs w:val="12"/>
                <w:b w:val="1"/>
                <w:bCs w:val="1"/>
                <w:color w:val="auto"/>
              </w:rPr>
              <w:t xml:space="preserve">All Other </w:t>
            </w:r>
            <w:r>
              <w:rPr>
                <w:rFonts w:ascii="Arial" w:cs="Arial" w:eastAsia="Arial" w:hAnsi="Arial"/>
                <w:sz w:val="19"/>
                <w:szCs w:val="19"/>
                <w:b w:val="1"/>
                <w:bCs w:val="1"/>
                <w:color w:val="auto"/>
                <w:vertAlign w:val="superscript"/>
              </w:rPr>
              <w:t>(1)</w:t>
            </w:r>
          </w:p>
        </w:tc>
        <w:tc>
          <w:tcPr>
            <w:tcW w:w="12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Total</w:t>
            </w:r>
          </w:p>
        </w:tc>
      </w:tr>
      <w:tr>
        <w:trPr>
          <w:trHeight w:val="206"/>
        </w:trPr>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Revenues from external customers</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408,740</w:t>
            </w:r>
          </w:p>
        </w:tc>
        <w:tc>
          <w:tcPr>
            <w:tcW w:w="2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ind w:right="40"/>
              <w:spacing w:after="0"/>
              <w:rPr>
                <w:sz w:val="20"/>
                <w:szCs w:val="20"/>
                <w:color w:val="auto"/>
              </w:rPr>
            </w:pPr>
            <w:r>
              <w:rPr>
                <w:rFonts w:ascii="Arial" w:cs="Arial" w:eastAsia="Arial" w:hAnsi="Arial"/>
                <w:sz w:val="18"/>
                <w:szCs w:val="18"/>
                <w:color w:val="auto"/>
              </w:rPr>
              <w:t>106,497</w:t>
            </w:r>
          </w:p>
        </w:tc>
        <w:tc>
          <w:tcPr>
            <w:tcW w:w="3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112,902</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726</w:t>
            </w:r>
          </w:p>
        </w:tc>
        <w:tc>
          <w:tcPr>
            <w:tcW w:w="3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ind w:right="57"/>
              <w:spacing w:after="0"/>
              <w:rPr>
                <w:sz w:val="20"/>
                <w:szCs w:val="20"/>
                <w:color w:val="auto"/>
              </w:rPr>
            </w:pPr>
            <w:r>
              <w:rPr>
                <w:rFonts w:ascii="Arial" w:cs="Arial" w:eastAsia="Arial" w:hAnsi="Arial"/>
                <w:sz w:val="18"/>
                <w:szCs w:val="18"/>
                <w:color w:val="auto"/>
              </w:rPr>
              <w:t>628,865</w:t>
            </w:r>
          </w:p>
        </w:tc>
      </w:tr>
      <w:tr>
        <w:trPr>
          <w:trHeight w:val="225"/>
        </w:trPr>
        <w:tc>
          <w:tcPr>
            <w:tcW w:w="4500" w:type="dxa"/>
            <w:vAlign w:val="bottom"/>
          </w:tcPr>
          <w:p>
            <w:pPr>
              <w:spacing w:after="0"/>
              <w:rPr>
                <w:sz w:val="20"/>
                <w:szCs w:val="20"/>
                <w:color w:val="auto"/>
              </w:rPr>
            </w:pPr>
            <w:r>
              <w:rPr>
                <w:rFonts w:ascii="Arial" w:cs="Arial" w:eastAsia="Arial" w:hAnsi="Arial"/>
                <w:sz w:val="18"/>
                <w:szCs w:val="18"/>
                <w:color w:val="auto"/>
              </w:rPr>
              <w:t>Gross profit (loss)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37"/>
              <w:spacing w:after="0"/>
              <w:rPr>
                <w:sz w:val="20"/>
                <w:szCs w:val="20"/>
                <w:color w:val="auto"/>
              </w:rPr>
            </w:pPr>
            <w:r>
              <w:rPr>
                <w:rFonts w:ascii="Arial" w:cs="Arial" w:eastAsia="Arial" w:hAnsi="Arial"/>
                <w:sz w:val="18"/>
                <w:szCs w:val="18"/>
                <w:color w:val="auto"/>
              </w:rPr>
              <w:t>21,486</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(1,838)</w:t>
            </w: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7"/>
              <w:spacing w:after="0"/>
              <w:rPr>
                <w:sz w:val="20"/>
                <w:szCs w:val="20"/>
                <w:color w:val="auto"/>
              </w:rPr>
            </w:pPr>
            <w:r>
              <w:rPr>
                <w:rFonts w:ascii="Arial" w:cs="Arial" w:eastAsia="Arial" w:hAnsi="Arial"/>
                <w:sz w:val="18"/>
                <w:szCs w:val="18"/>
                <w:color w:val="auto"/>
              </w:rPr>
              <w:t>6,124</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39"/>
              <w:spacing w:after="0"/>
              <w:rPr>
                <w:sz w:val="20"/>
                <w:szCs w:val="20"/>
                <w:color w:val="auto"/>
              </w:rPr>
            </w:pPr>
            <w:r>
              <w:rPr>
                <w:rFonts w:ascii="Arial" w:cs="Arial" w:eastAsia="Arial" w:hAnsi="Arial"/>
                <w:sz w:val="18"/>
                <w:szCs w:val="18"/>
                <w:color w:val="auto"/>
              </w:rPr>
              <w:t>222</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57"/>
              <w:spacing w:after="0"/>
              <w:rPr>
                <w:sz w:val="20"/>
                <w:szCs w:val="20"/>
                <w:color w:val="auto"/>
              </w:rPr>
            </w:pPr>
            <w:r>
              <w:rPr>
                <w:rFonts w:ascii="Arial" w:cs="Arial" w:eastAsia="Arial" w:hAnsi="Arial"/>
                <w:sz w:val="18"/>
                <w:szCs w:val="18"/>
                <w:color w:val="auto"/>
              </w:rPr>
              <w:t>25,994</w:t>
            </w:r>
          </w:p>
        </w:tc>
      </w:tr>
    </w:tbl>
    <w:p>
      <w:pPr>
        <w:spacing w:after="0" w:line="99" w:lineRule="exact"/>
        <w:rPr>
          <w:sz w:val="20"/>
          <w:szCs w:val="20"/>
          <w:color w:val="auto"/>
        </w:rPr>
      </w:pPr>
    </w:p>
    <w:p>
      <w:pPr>
        <w:ind w:left="1120" w:right="240" w:hanging="368"/>
        <w:spacing w:after="0" w:line="181" w:lineRule="auto"/>
        <w:tabs>
          <w:tab w:leader="none" w:pos="1120" w:val="left"/>
        </w:tabs>
        <w:numPr>
          <w:ilvl w:val="0"/>
          <w:numId w:val="12"/>
        </w:numPr>
        <w:rPr>
          <w:rFonts w:ascii="Arial" w:cs="Arial" w:eastAsia="Arial" w:hAnsi="Arial"/>
          <w:sz w:val="24"/>
          <w:szCs w:val="24"/>
          <w:color w:val="auto"/>
          <w:vertAlign w:val="superscript"/>
        </w:rPr>
      </w:pPr>
      <w:r>
        <w:rPr>
          <w:rFonts w:ascii="Arial" w:cs="Arial" w:eastAsia="Arial" w:hAnsi="Arial"/>
          <w:sz w:val="14"/>
          <w:szCs w:val="14"/>
          <w:color w:val="auto"/>
        </w:rPr>
        <w:t>The Company reclassified other revenue and other gross profit related to the vehicle repair service at TDA from the TDA reportable segment to the ”All Other” category to conform to current year presentation.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50800</wp:posOffset>
            </wp:positionV>
            <wp:extent cx="715962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VROOM, INC.</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right="540" w:firstLine="762"/>
        <w:spacing w:after="0" w:line="239" w:lineRule="auto"/>
        <w:rPr>
          <w:sz w:val="20"/>
          <w:szCs w:val="20"/>
          <w:color w:val="auto"/>
        </w:rPr>
      </w:pPr>
      <w:r>
        <w:rPr>
          <w:rFonts w:ascii="Arial" w:cs="Arial" w:eastAsia="Arial" w:hAnsi="Arial"/>
          <w:sz w:val="18"/>
          <w:szCs w:val="18"/>
          <w:color w:val="auto"/>
        </w:rPr>
        <w:t>Reconciliations of total reportable segment revenue and gross profit to consolidated total revenue and consolidated loss before provision for income taxes are as follows (in thousands):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20" w:type="dxa"/>
            <w:vAlign w:val="bottom"/>
            <w:gridSpan w:val="5"/>
          </w:tcPr>
          <w:p>
            <w:pPr>
              <w:ind w:left="44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4"/>
                <w:szCs w:val="14"/>
                <w:color w:val="auto"/>
              </w:rPr>
            </w:pPr>
          </w:p>
        </w:tc>
        <w:tc>
          <w:tcPr>
            <w:tcW w:w="176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960" w:type="dxa"/>
            <w:vAlign w:val="bottom"/>
          </w:tcPr>
          <w:p>
            <w:pPr>
              <w:spacing w:after="0"/>
              <w:rPr>
                <w:sz w:val="14"/>
                <w:szCs w:val="14"/>
                <w:color w:val="auto"/>
              </w:rPr>
            </w:pPr>
          </w:p>
        </w:tc>
      </w:tr>
      <w:tr>
        <w:trPr>
          <w:trHeight w:val="173"/>
        </w:trPr>
        <w:tc>
          <w:tcPr>
            <w:tcW w:w="4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3"/>
          </w:tcPr>
          <w:p>
            <w:pPr>
              <w:jc w:val="right"/>
              <w:ind w:right="71"/>
              <w:spacing w:after="0"/>
              <w:rPr>
                <w:sz w:val="20"/>
                <w:szCs w:val="20"/>
                <w:color w:val="auto"/>
              </w:rPr>
            </w:pPr>
            <w:r>
              <w:rPr>
                <w:rFonts w:ascii="Arial" w:cs="Arial" w:eastAsia="Arial" w:hAnsi="Arial"/>
                <w:sz w:val="14"/>
                <w:szCs w:val="14"/>
                <w:b w:val="1"/>
                <w:bCs w:val="1"/>
                <w:color w:val="auto"/>
              </w:rPr>
              <w:t>June 30,</w:t>
            </w:r>
          </w:p>
        </w:tc>
        <w:tc>
          <w:tcPr>
            <w:tcW w:w="110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3"/>
          </w:tcPr>
          <w:p>
            <w:pPr>
              <w:jc w:val="right"/>
              <w:ind w:right="268"/>
              <w:spacing w:after="0"/>
              <w:rPr>
                <w:sz w:val="20"/>
                <w:szCs w:val="20"/>
                <w:color w:val="auto"/>
              </w:rPr>
            </w:pPr>
            <w:r>
              <w:rPr>
                <w:rFonts w:ascii="Arial" w:cs="Arial" w:eastAsia="Arial" w:hAnsi="Arial"/>
                <w:sz w:val="14"/>
                <w:szCs w:val="14"/>
                <w:b w:val="1"/>
                <w:bCs w:val="1"/>
                <w:color w:val="auto"/>
              </w:rPr>
              <w:t>June 30,</w:t>
            </w:r>
          </w:p>
        </w:tc>
        <w:tc>
          <w:tcPr>
            <w:tcW w:w="960" w:type="dxa"/>
            <w:vAlign w:val="bottom"/>
            <w:tcBorders>
              <w:bottom w:val="single" w:sz="8" w:color="auto"/>
            </w:tcBorders>
          </w:tcPr>
          <w:p>
            <w:pPr>
              <w:spacing w:after="0"/>
              <w:rPr>
                <w:sz w:val="15"/>
                <w:szCs w:val="15"/>
                <w:color w:val="auto"/>
              </w:rPr>
            </w:pPr>
          </w:p>
        </w:tc>
      </w:tr>
      <w:tr>
        <w:trPr>
          <w:trHeight w:val="166"/>
        </w:trPr>
        <w:tc>
          <w:tcPr>
            <w:tcW w:w="4900" w:type="dxa"/>
            <w:vAlign w:val="bottom"/>
            <w:tcBorders>
              <w:bottom w:val="single" w:sz="8" w:color="CFF0FC"/>
            </w:tcBorders>
          </w:tcPr>
          <w:p>
            <w:pPr>
              <w:spacing w:after="0"/>
              <w:rPr>
                <w:sz w:val="14"/>
                <w:szCs w:val="14"/>
                <w:color w:val="auto"/>
              </w:rPr>
            </w:pPr>
          </w:p>
        </w:tc>
        <w:tc>
          <w:tcPr>
            <w:tcW w:w="20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FF0FC"/>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FF0FC"/>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w w:val="96"/>
              </w:rPr>
              <w:t>2020</w:t>
            </w:r>
          </w:p>
        </w:tc>
      </w:tr>
      <w:tr>
        <w:trPr>
          <w:trHeight w:val="206"/>
        </w:trPr>
        <w:tc>
          <w:tcPr>
            <w:tcW w:w="49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Reconciliation to consolidated total revenue</w:t>
            </w:r>
          </w:p>
        </w:tc>
        <w:tc>
          <w:tcPr>
            <w:tcW w:w="2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r>
      <w:tr>
        <w:trPr>
          <w:trHeight w:val="213"/>
        </w:trPr>
        <w:tc>
          <w:tcPr>
            <w:tcW w:w="4900" w:type="dxa"/>
            <w:vAlign w:val="bottom"/>
          </w:tcPr>
          <w:p>
            <w:pPr>
              <w:spacing w:after="0"/>
              <w:rPr>
                <w:sz w:val="20"/>
                <w:szCs w:val="20"/>
                <w:color w:val="auto"/>
              </w:rPr>
            </w:pPr>
            <w:r>
              <w:rPr>
                <w:rFonts w:ascii="Arial" w:cs="Arial" w:eastAsia="Arial" w:hAnsi="Arial"/>
                <w:sz w:val="18"/>
                <w:szCs w:val="18"/>
                <w:color w:val="auto"/>
              </w:rPr>
              <w:t>Total reportable segment revenue</w:t>
            </w:r>
          </w:p>
        </w:tc>
        <w:tc>
          <w:tcPr>
            <w:tcW w:w="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5"/>
              <w:spacing w:after="0"/>
              <w:rPr>
                <w:sz w:val="20"/>
                <w:szCs w:val="20"/>
                <w:color w:val="auto"/>
              </w:rPr>
            </w:pPr>
            <w:r>
              <w:rPr>
                <w:rFonts w:ascii="Arial" w:cs="Arial" w:eastAsia="Arial" w:hAnsi="Arial"/>
                <w:sz w:val="18"/>
                <w:szCs w:val="18"/>
                <w:color w:val="auto"/>
              </w:rPr>
              <w:t>758,530</w:t>
            </w:r>
          </w:p>
        </w:tc>
        <w:tc>
          <w:tcPr>
            <w:tcW w:w="120" w:type="dxa"/>
            <w:vAlign w:val="bottom"/>
          </w:tcPr>
          <w:p>
            <w:pPr>
              <w:spacing w:after="0"/>
              <w:rPr>
                <w:sz w:val="18"/>
                <w:szCs w:val="18"/>
                <w:color w:val="auto"/>
              </w:rPr>
            </w:pPr>
          </w:p>
        </w:tc>
        <w:tc>
          <w:tcPr>
            <w:tcW w:w="320" w:type="dxa"/>
            <w:vAlign w:val="bottom"/>
          </w:tcPr>
          <w:p>
            <w:pPr>
              <w:jc w:val="right"/>
              <w:ind w:right="131"/>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252,807</w:t>
            </w:r>
          </w:p>
        </w:tc>
        <w:tc>
          <w:tcPr>
            <w:tcW w:w="140" w:type="dxa"/>
            <w:vAlign w:val="bottom"/>
          </w:tcPr>
          <w:p>
            <w:pPr>
              <w:spacing w:after="0"/>
              <w:rPr>
                <w:sz w:val="18"/>
                <w:szCs w:val="18"/>
                <w:color w:val="auto"/>
              </w:rPr>
            </w:pPr>
          </w:p>
        </w:tc>
        <w:tc>
          <w:tcPr>
            <w:tcW w:w="300" w:type="dxa"/>
            <w:vAlign w:val="bottom"/>
          </w:tcPr>
          <w:p>
            <w:pPr>
              <w:jc w:val="right"/>
              <w:ind w:right="111"/>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35"/>
              <w:spacing w:after="0"/>
              <w:rPr>
                <w:sz w:val="20"/>
                <w:szCs w:val="20"/>
                <w:color w:val="auto"/>
              </w:rPr>
            </w:pPr>
            <w:r>
              <w:rPr>
                <w:rFonts w:ascii="Arial" w:cs="Arial" w:eastAsia="Arial" w:hAnsi="Arial"/>
                <w:sz w:val="18"/>
                <w:szCs w:val="18"/>
                <w:color w:val="auto"/>
              </w:rPr>
              <w:t>1,346,449</w:t>
            </w:r>
          </w:p>
        </w:tc>
        <w:tc>
          <w:tcPr>
            <w:tcW w:w="140" w:type="dxa"/>
            <w:vAlign w:val="bottom"/>
          </w:tcPr>
          <w:p>
            <w:pPr>
              <w:spacing w:after="0"/>
              <w:rPr>
                <w:sz w:val="18"/>
                <w:szCs w:val="18"/>
                <w:color w:val="auto"/>
              </w:rPr>
            </w:pPr>
          </w:p>
        </w:tc>
        <w:tc>
          <w:tcPr>
            <w:tcW w:w="480" w:type="dxa"/>
            <w:vAlign w:val="bottom"/>
          </w:tcPr>
          <w:p>
            <w:pPr>
              <w:jc w:val="right"/>
              <w:ind w:right="328"/>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ind w:right="53"/>
              <w:spacing w:after="0"/>
              <w:rPr>
                <w:sz w:val="20"/>
                <w:szCs w:val="20"/>
                <w:color w:val="auto"/>
              </w:rPr>
            </w:pPr>
            <w:r>
              <w:rPr>
                <w:rFonts w:ascii="Arial" w:cs="Arial" w:eastAsia="Arial" w:hAnsi="Arial"/>
                <w:sz w:val="18"/>
                <w:szCs w:val="18"/>
                <w:color w:val="auto"/>
              </w:rPr>
              <w:t>628,139</w:t>
            </w:r>
          </w:p>
        </w:tc>
      </w:tr>
      <w:tr>
        <w:trPr>
          <w:trHeight w:val="213"/>
        </w:trPr>
        <w:tc>
          <w:tcPr>
            <w:tcW w:w="4900" w:type="dxa"/>
            <w:vAlign w:val="bottom"/>
            <w:shd w:val="clear" w:color="auto" w:fill="CFF0FC"/>
          </w:tcPr>
          <w:p>
            <w:pPr>
              <w:spacing w:after="0"/>
              <w:rPr>
                <w:sz w:val="20"/>
                <w:szCs w:val="20"/>
                <w:color w:val="auto"/>
              </w:rPr>
            </w:pPr>
            <w:r>
              <w:rPr>
                <w:rFonts w:ascii="Arial" w:cs="Arial" w:eastAsia="Arial" w:hAnsi="Arial"/>
                <w:sz w:val="18"/>
                <w:szCs w:val="18"/>
                <w:color w:val="auto"/>
              </w:rPr>
              <w:t>All Other revenues</w:t>
            </w:r>
          </w:p>
        </w:tc>
        <w:tc>
          <w:tcPr>
            <w:tcW w:w="20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3,360</w:t>
            </w:r>
          </w:p>
        </w:tc>
        <w:tc>
          <w:tcPr>
            <w:tcW w:w="120" w:type="dxa"/>
            <w:vAlign w:val="bottom"/>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286</w:t>
            </w:r>
          </w:p>
        </w:tc>
        <w:tc>
          <w:tcPr>
            <w:tcW w:w="14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6,559</w:t>
            </w:r>
          </w:p>
        </w:tc>
        <w:tc>
          <w:tcPr>
            <w:tcW w:w="140" w:type="dxa"/>
            <w:vAlign w:val="bottom"/>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ind w:right="53"/>
              <w:spacing w:after="0"/>
              <w:rPr>
                <w:sz w:val="20"/>
                <w:szCs w:val="20"/>
                <w:color w:val="auto"/>
              </w:rPr>
            </w:pPr>
            <w:r>
              <w:rPr>
                <w:rFonts w:ascii="Arial" w:cs="Arial" w:eastAsia="Arial" w:hAnsi="Arial"/>
                <w:sz w:val="18"/>
                <w:szCs w:val="18"/>
                <w:color w:val="auto"/>
              </w:rPr>
              <w:t>726</w:t>
            </w:r>
          </w:p>
        </w:tc>
      </w:tr>
      <w:tr>
        <w:trPr>
          <w:trHeight w:val="246"/>
        </w:trPr>
        <w:tc>
          <w:tcPr>
            <w:tcW w:w="4900" w:type="dxa"/>
            <w:vAlign w:val="bottom"/>
          </w:tcPr>
          <w:p>
            <w:pPr>
              <w:spacing w:after="0"/>
              <w:rPr>
                <w:sz w:val="20"/>
                <w:szCs w:val="20"/>
                <w:color w:val="auto"/>
              </w:rPr>
            </w:pPr>
            <w:r>
              <w:rPr>
                <w:rFonts w:ascii="Arial" w:cs="Arial" w:eastAsia="Arial" w:hAnsi="Arial"/>
                <w:sz w:val="18"/>
                <w:szCs w:val="18"/>
                <w:color w:val="auto"/>
              </w:rPr>
              <w:t>Consolidated total revenue</w:t>
            </w:r>
          </w:p>
        </w:tc>
        <w:tc>
          <w:tcPr>
            <w:tcW w:w="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5"/>
              <w:spacing w:after="0"/>
              <w:rPr>
                <w:sz w:val="20"/>
                <w:szCs w:val="20"/>
                <w:color w:val="auto"/>
              </w:rPr>
            </w:pPr>
            <w:r>
              <w:rPr>
                <w:rFonts w:ascii="Arial" w:cs="Arial" w:eastAsia="Arial" w:hAnsi="Arial"/>
                <w:sz w:val="18"/>
                <w:szCs w:val="18"/>
                <w:color w:val="auto"/>
              </w:rPr>
              <w:t>761,890</w:t>
            </w:r>
          </w:p>
        </w:tc>
        <w:tc>
          <w:tcPr>
            <w:tcW w:w="120" w:type="dxa"/>
            <w:vAlign w:val="bottom"/>
          </w:tcPr>
          <w:p>
            <w:pPr>
              <w:spacing w:after="0"/>
              <w:rPr>
                <w:sz w:val="21"/>
                <w:szCs w:val="21"/>
                <w:color w:val="auto"/>
              </w:rPr>
            </w:pPr>
          </w:p>
        </w:tc>
        <w:tc>
          <w:tcPr>
            <w:tcW w:w="320" w:type="dxa"/>
            <w:vAlign w:val="bottom"/>
          </w:tcPr>
          <w:p>
            <w:pPr>
              <w:jc w:val="right"/>
              <w:ind w:right="131"/>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253,093</w:t>
            </w:r>
          </w:p>
        </w:tc>
        <w:tc>
          <w:tcPr>
            <w:tcW w:w="140" w:type="dxa"/>
            <w:vAlign w:val="bottom"/>
          </w:tcPr>
          <w:p>
            <w:pPr>
              <w:spacing w:after="0"/>
              <w:rPr>
                <w:sz w:val="21"/>
                <w:szCs w:val="21"/>
                <w:color w:val="auto"/>
              </w:rPr>
            </w:pPr>
          </w:p>
        </w:tc>
        <w:tc>
          <w:tcPr>
            <w:tcW w:w="300" w:type="dxa"/>
            <w:vAlign w:val="bottom"/>
          </w:tcPr>
          <w:p>
            <w:pPr>
              <w:jc w:val="right"/>
              <w:ind w:right="111"/>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35"/>
              <w:spacing w:after="0"/>
              <w:rPr>
                <w:sz w:val="20"/>
                <w:szCs w:val="20"/>
                <w:color w:val="auto"/>
              </w:rPr>
            </w:pPr>
            <w:r>
              <w:rPr>
                <w:rFonts w:ascii="Arial" w:cs="Arial" w:eastAsia="Arial" w:hAnsi="Arial"/>
                <w:sz w:val="18"/>
                <w:szCs w:val="18"/>
                <w:color w:val="auto"/>
              </w:rPr>
              <w:t>1,353,008</w:t>
            </w:r>
          </w:p>
        </w:tc>
        <w:tc>
          <w:tcPr>
            <w:tcW w:w="140" w:type="dxa"/>
            <w:vAlign w:val="bottom"/>
          </w:tcPr>
          <w:p>
            <w:pPr>
              <w:spacing w:after="0"/>
              <w:rPr>
                <w:sz w:val="21"/>
                <w:szCs w:val="21"/>
                <w:color w:val="auto"/>
              </w:rPr>
            </w:pPr>
          </w:p>
        </w:tc>
        <w:tc>
          <w:tcPr>
            <w:tcW w:w="480" w:type="dxa"/>
            <w:vAlign w:val="bottom"/>
          </w:tcPr>
          <w:p>
            <w:pPr>
              <w:jc w:val="right"/>
              <w:ind w:right="328"/>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ind w:right="53"/>
              <w:spacing w:after="0"/>
              <w:rPr>
                <w:sz w:val="20"/>
                <w:szCs w:val="20"/>
                <w:color w:val="auto"/>
              </w:rPr>
            </w:pPr>
            <w:r>
              <w:rPr>
                <w:rFonts w:ascii="Arial" w:cs="Arial" w:eastAsia="Arial" w:hAnsi="Arial"/>
                <w:sz w:val="18"/>
                <w:szCs w:val="18"/>
                <w:color w:val="auto"/>
              </w:rPr>
              <w:t>628,865</w:t>
            </w:r>
          </w:p>
        </w:tc>
      </w:tr>
      <w:tr>
        <w:trPr>
          <w:trHeight w:val="170"/>
        </w:trPr>
        <w:tc>
          <w:tcPr>
            <w:tcW w:w="4900" w:type="dxa"/>
            <w:vAlign w:val="bottom"/>
            <w:tcBorders>
              <w:top w:val="single" w:sz="8" w:color="CFF0FC"/>
            </w:tcBorders>
            <w:shd w:val="clear" w:color="auto" w:fill="CFF0FC"/>
          </w:tcPr>
          <w:p>
            <w:pPr>
              <w:spacing w:after="0" w:line="170" w:lineRule="exact"/>
              <w:rPr>
                <w:sz w:val="20"/>
                <w:szCs w:val="20"/>
                <w:color w:val="auto"/>
              </w:rPr>
            </w:pPr>
            <w:r>
              <w:rPr>
                <w:rFonts w:ascii="Arial" w:cs="Arial" w:eastAsia="Arial" w:hAnsi="Arial"/>
                <w:sz w:val="18"/>
                <w:szCs w:val="18"/>
                <w:b w:val="1"/>
                <w:bCs w:val="1"/>
                <w:color w:val="auto"/>
              </w:rPr>
              <w:t>Reconciliation to consolidated loss before provision for</w:t>
            </w:r>
          </w:p>
        </w:tc>
        <w:tc>
          <w:tcPr>
            <w:tcW w:w="200" w:type="dxa"/>
            <w:vAlign w:val="bottom"/>
            <w:tcBorders>
              <w:top w:val="single" w:sz="8" w:color="CFF0FC"/>
            </w:tcBorders>
            <w:shd w:val="clear" w:color="auto" w:fill="CFF0FC"/>
          </w:tcPr>
          <w:p>
            <w:pPr>
              <w:spacing w:after="0"/>
              <w:rPr>
                <w:sz w:val="14"/>
                <w:szCs w:val="14"/>
                <w:color w:val="auto"/>
              </w:rPr>
            </w:pPr>
          </w:p>
        </w:tc>
        <w:tc>
          <w:tcPr>
            <w:tcW w:w="300" w:type="dxa"/>
            <w:vAlign w:val="bottom"/>
            <w:tcBorders>
              <w:top w:val="single" w:sz="8" w:color="auto"/>
            </w:tcBorders>
            <w:shd w:val="clear" w:color="auto" w:fill="CFF0FC"/>
          </w:tcPr>
          <w:p>
            <w:pPr>
              <w:spacing w:after="0"/>
              <w:rPr>
                <w:sz w:val="14"/>
                <w:szCs w:val="14"/>
                <w:color w:val="auto"/>
              </w:rPr>
            </w:pPr>
          </w:p>
        </w:tc>
        <w:tc>
          <w:tcPr>
            <w:tcW w:w="1140" w:type="dxa"/>
            <w:vAlign w:val="bottom"/>
            <w:tcBorders>
              <w:top w:val="single" w:sz="8" w:color="auto"/>
            </w:tcBorders>
            <w:shd w:val="clear" w:color="auto" w:fill="CFF0FC"/>
          </w:tcPr>
          <w:p>
            <w:pPr>
              <w:spacing w:after="0"/>
              <w:rPr>
                <w:sz w:val="14"/>
                <w:szCs w:val="14"/>
                <w:color w:val="auto"/>
              </w:rPr>
            </w:pPr>
          </w:p>
        </w:tc>
        <w:tc>
          <w:tcPr>
            <w:tcW w:w="120" w:type="dxa"/>
            <w:vAlign w:val="bottom"/>
            <w:tcBorders>
              <w:top w:val="single" w:sz="8" w:color="CFF0FC"/>
            </w:tcBorders>
            <w:shd w:val="clear" w:color="auto" w:fill="CFF0FC"/>
          </w:tcPr>
          <w:p>
            <w:pPr>
              <w:spacing w:after="0"/>
              <w:rPr>
                <w:sz w:val="14"/>
                <w:szCs w:val="14"/>
                <w:color w:val="auto"/>
              </w:rPr>
            </w:pPr>
          </w:p>
        </w:tc>
        <w:tc>
          <w:tcPr>
            <w:tcW w:w="320" w:type="dxa"/>
            <w:vAlign w:val="bottom"/>
            <w:tcBorders>
              <w:top w:val="single" w:sz="8" w:color="auto"/>
            </w:tcBorders>
            <w:shd w:val="clear" w:color="auto" w:fill="CFF0FC"/>
          </w:tcPr>
          <w:p>
            <w:pPr>
              <w:spacing w:after="0"/>
              <w:rPr>
                <w:sz w:val="14"/>
                <w:szCs w:val="14"/>
                <w:color w:val="auto"/>
              </w:rPr>
            </w:pPr>
          </w:p>
        </w:tc>
        <w:tc>
          <w:tcPr>
            <w:tcW w:w="1100" w:type="dxa"/>
            <w:vAlign w:val="bottom"/>
            <w:tcBorders>
              <w:top w:val="single" w:sz="8" w:color="auto"/>
            </w:tcBorders>
            <w:shd w:val="clear" w:color="auto" w:fill="CFF0FC"/>
          </w:tcPr>
          <w:p>
            <w:pPr>
              <w:spacing w:after="0"/>
              <w:rPr>
                <w:sz w:val="14"/>
                <w:szCs w:val="14"/>
                <w:color w:val="auto"/>
              </w:rPr>
            </w:pPr>
          </w:p>
        </w:tc>
        <w:tc>
          <w:tcPr>
            <w:tcW w:w="140" w:type="dxa"/>
            <w:vAlign w:val="bottom"/>
            <w:tcBorders>
              <w:top w:val="single" w:sz="8" w:color="CFF0FC"/>
            </w:tcBorders>
            <w:shd w:val="clear" w:color="auto" w:fill="CFF0FC"/>
          </w:tcPr>
          <w:p>
            <w:pPr>
              <w:spacing w:after="0"/>
              <w:rPr>
                <w:sz w:val="14"/>
                <w:szCs w:val="14"/>
                <w:color w:val="auto"/>
              </w:rPr>
            </w:pPr>
          </w:p>
        </w:tc>
        <w:tc>
          <w:tcPr>
            <w:tcW w:w="300" w:type="dxa"/>
            <w:vAlign w:val="bottom"/>
            <w:tcBorders>
              <w:top w:val="single" w:sz="8" w:color="auto"/>
            </w:tcBorders>
            <w:shd w:val="clear" w:color="auto" w:fill="CFF0FC"/>
          </w:tcPr>
          <w:p>
            <w:pPr>
              <w:spacing w:after="0"/>
              <w:rPr>
                <w:sz w:val="14"/>
                <w:szCs w:val="14"/>
                <w:color w:val="auto"/>
              </w:rPr>
            </w:pPr>
          </w:p>
        </w:tc>
        <w:tc>
          <w:tcPr>
            <w:tcW w:w="1140" w:type="dxa"/>
            <w:vAlign w:val="bottom"/>
            <w:tcBorders>
              <w:top w:val="single" w:sz="8" w:color="auto"/>
            </w:tcBorders>
            <w:shd w:val="clear" w:color="auto" w:fill="CFF0FC"/>
          </w:tcPr>
          <w:p>
            <w:pPr>
              <w:spacing w:after="0"/>
              <w:rPr>
                <w:sz w:val="14"/>
                <w:szCs w:val="14"/>
                <w:color w:val="auto"/>
              </w:rPr>
            </w:pPr>
          </w:p>
        </w:tc>
        <w:tc>
          <w:tcPr>
            <w:tcW w:w="140" w:type="dxa"/>
            <w:vAlign w:val="bottom"/>
            <w:tcBorders>
              <w:top w:val="single" w:sz="8" w:color="CFF0FC"/>
            </w:tcBorders>
            <w:shd w:val="clear" w:color="auto" w:fill="CFF0FC"/>
          </w:tcPr>
          <w:p>
            <w:pPr>
              <w:spacing w:after="0"/>
              <w:rPr>
                <w:sz w:val="14"/>
                <w:szCs w:val="14"/>
                <w:color w:val="auto"/>
              </w:rPr>
            </w:pPr>
          </w:p>
        </w:tc>
        <w:tc>
          <w:tcPr>
            <w:tcW w:w="480" w:type="dxa"/>
            <w:vAlign w:val="bottom"/>
            <w:tcBorders>
              <w:top w:val="single" w:sz="8" w:color="auto"/>
            </w:tcBorders>
            <w:shd w:val="clear" w:color="auto" w:fill="CFF0FC"/>
          </w:tcPr>
          <w:p>
            <w:pPr>
              <w:spacing w:after="0"/>
              <w:rPr>
                <w:sz w:val="14"/>
                <w:szCs w:val="14"/>
                <w:color w:val="auto"/>
              </w:rPr>
            </w:pPr>
          </w:p>
        </w:tc>
        <w:tc>
          <w:tcPr>
            <w:tcW w:w="960" w:type="dxa"/>
            <w:vAlign w:val="bottom"/>
            <w:tcBorders>
              <w:top w:val="single" w:sz="8" w:color="auto"/>
            </w:tcBorders>
            <w:shd w:val="clear" w:color="auto" w:fill="CFF0FC"/>
          </w:tcPr>
          <w:p>
            <w:pPr>
              <w:spacing w:after="0"/>
              <w:rPr>
                <w:sz w:val="14"/>
                <w:szCs w:val="14"/>
                <w:color w:val="auto"/>
              </w:rPr>
            </w:pPr>
          </w:p>
        </w:tc>
      </w:tr>
      <w:tr>
        <w:trPr>
          <w:trHeight w:val="223"/>
        </w:trPr>
        <w:tc>
          <w:tcPr>
            <w:tcW w:w="49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income taxes</w:t>
            </w: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r>
      <w:tr>
        <w:trPr>
          <w:trHeight w:val="213"/>
        </w:trPr>
        <w:tc>
          <w:tcPr>
            <w:tcW w:w="4900" w:type="dxa"/>
            <w:vAlign w:val="bottom"/>
          </w:tcPr>
          <w:p>
            <w:pPr>
              <w:spacing w:after="0"/>
              <w:rPr>
                <w:sz w:val="20"/>
                <w:szCs w:val="20"/>
                <w:color w:val="auto"/>
              </w:rPr>
            </w:pPr>
            <w:r>
              <w:rPr>
                <w:rFonts w:ascii="Arial" w:cs="Arial" w:eastAsia="Arial" w:hAnsi="Arial"/>
                <w:sz w:val="18"/>
                <w:szCs w:val="18"/>
                <w:color w:val="auto"/>
              </w:rPr>
              <w:t>Total reportable segment gross profit</w:t>
            </w:r>
          </w:p>
        </w:tc>
        <w:tc>
          <w:tcPr>
            <w:tcW w:w="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5"/>
              <w:spacing w:after="0"/>
              <w:rPr>
                <w:sz w:val="20"/>
                <w:szCs w:val="20"/>
                <w:color w:val="auto"/>
              </w:rPr>
            </w:pPr>
            <w:r>
              <w:rPr>
                <w:rFonts w:ascii="Arial" w:cs="Arial" w:eastAsia="Arial" w:hAnsi="Arial"/>
                <w:sz w:val="18"/>
                <w:szCs w:val="18"/>
                <w:color w:val="auto"/>
              </w:rPr>
              <w:t>61,302</w:t>
            </w:r>
          </w:p>
        </w:tc>
        <w:tc>
          <w:tcPr>
            <w:tcW w:w="120" w:type="dxa"/>
            <w:vAlign w:val="bottom"/>
          </w:tcPr>
          <w:p>
            <w:pPr>
              <w:spacing w:after="0"/>
              <w:rPr>
                <w:sz w:val="18"/>
                <w:szCs w:val="18"/>
                <w:color w:val="auto"/>
              </w:rPr>
            </w:pPr>
          </w:p>
        </w:tc>
        <w:tc>
          <w:tcPr>
            <w:tcW w:w="320" w:type="dxa"/>
            <w:vAlign w:val="bottom"/>
          </w:tcPr>
          <w:p>
            <w:pPr>
              <w:jc w:val="right"/>
              <w:ind w:right="131"/>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7,540</w:t>
            </w:r>
          </w:p>
        </w:tc>
        <w:tc>
          <w:tcPr>
            <w:tcW w:w="140" w:type="dxa"/>
            <w:vAlign w:val="bottom"/>
          </w:tcPr>
          <w:p>
            <w:pPr>
              <w:spacing w:after="0"/>
              <w:rPr>
                <w:sz w:val="18"/>
                <w:szCs w:val="18"/>
                <w:color w:val="auto"/>
              </w:rPr>
            </w:pPr>
          </w:p>
        </w:tc>
        <w:tc>
          <w:tcPr>
            <w:tcW w:w="300" w:type="dxa"/>
            <w:vAlign w:val="bottom"/>
          </w:tcPr>
          <w:p>
            <w:pPr>
              <w:jc w:val="right"/>
              <w:ind w:right="111"/>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35"/>
              <w:spacing w:after="0"/>
              <w:rPr>
                <w:sz w:val="20"/>
                <w:szCs w:val="20"/>
                <w:color w:val="auto"/>
              </w:rPr>
            </w:pPr>
            <w:r>
              <w:rPr>
                <w:rFonts w:ascii="Arial" w:cs="Arial" w:eastAsia="Arial" w:hAnsi="Arial"/>
                <w:sz w:val="18"/>
                <w:szCs w:val="18"/>
                <w:color w:val="auto"/>
              </w:rPr>
              <w:t>95,648</w:t>
            </w:r>
          </w:p>
        </w:tc>
        <w:tc>
          <w:tcPr>
            <w:tcW w:w="140" w:type="dxa"/>
            <w:vAlign w:val="bottom"/>
          </w:tcPr>
          <w:p>
            <w:pPr>
              <w:spacing w:after="0"/>
              <w:rPr>
                <w:sz w:val="18"/>
                <w:szCs w:val="18"/>
                <w:color w:val="auto"/>
              </w:rPr>
            </w:pPr>
          </w:p>
        </w:tc>
        <w:tc>
          <w:tcPr>
            <w:tcW w:w="480" w:type="dxa"/>
            <w:vAlign w:val="bottom"/>
          </w:tcPr>
          <w:p>
            <w:pPr>
              <w:jc w:val="right"/>
              <w:ind w:right="328"/>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ind w:right="53"/>
              <w:spacing w:after="0"/>
              <w:rPr>
                <w:sz w:val="20"/>
                <w:szCs w:val="20"/>
                <w:color w:val="auto"/>
              </w:rPr>
            </w:pPr>
            <w:r>
              <w:rPr>
                <w:rFonts w:ascii="Arial" w:cs="Arial" w:eastAsia="Arial" w:hAnsi="Arial"/>
                <w:sz w:val="18"/>
                <w:szCs w:val="18"/>
                <w:color w:val="auto"/>
              </w:rPr>
              <w:t>25,772</w:t>
            </w:r>
          </w:p>
        </w:tc>
      </w:tr>
      <w:tr>
        <w:trPr>
          <w:trHeight w:val="213"/>
        </w:trPr>
        <w:tc>
          <w:tcPr>
            <w:tcW w:w="4900" w:type="dxa"/>
            <w:vAlign w:val="bottom"/>
            <w:shd w:val="clear" w:color="auto" w:fill="CFF0FC"/>
          </w:tcPr>
          <w:p>
            <w:pPr>
              <w:spacing w:after="0"/>
              <w:rPr>
                <w:sz w:val="20"/>
                <w:szCs w:val="20"/>
                <w:color w:val="auto"/>
              </w:rPr>
            </w:pPr>
            <w:r>
              <w:rPr>
                <w:rFonts w:ascii="Arial" w:cs="Arial" w:eastAsia="Arial" w:hAnsi="Arial"/>
                <w:sz w:val="18"/>
                <w:szCs w:val="18"/>
                <w:color w:val="auto"/>
              </w:rPr>
              <w:t>All Other gross profit</w:t>
            </w: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1,826</w:t>
            </w: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67</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3,656</w:t>
            </w:r>
          </w:p>
        </w:tc>
        <w:tc>
          <w:tcPr>
            <w:tcW w:w="14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222</w:t>
            </w:r>
          </w:p>
        </w:tc>
      </w:tr>
      <w:tr>
        <w:trPr>
          <w:trHeight w:val="213"/>
        </w:trPr>
        <w:tc>
          <w:tcPr>
            <w:tcW w:w="490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ind w:right="35"/>
              <w:spacing w:after="0"/>
              <w:rPr>
                <w:sz w:val="20"/>
                <w:szCs w:val="20"/>
                <w:color w:val="auto"/>
              </w:rPr>
            </w:pPr>
            <w:r>
              <w:rPr>
                <w:rFonts w:ascii="Arial" w:cs="Arial" w:eastAsia="Arial" w:hAnsi="Arial"/>
                <w:sz w:val="18"/>
                <w:szCs w:val="18"/>
                <w:color w:val="auto"/>
              </w:rPr>
              <w:t>123,898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47,911</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ind w:right="35"/>
              <w:spacing w:after="0"/>
              <w:rPr>
                <w:sz w:val="20"/>
                <w:szCs w:val="20"/>
                <w:color w:val="auto"/>
              </w:rPr>
            </w:pPr>
            <w:r>
              <w:rPr>
                <w:rFonts w:ascii="Arial" w:cs="Arial" w:eastAsia="Arial" w:hAnsi="Arial"/>
                <w:sz w:val="18"/>
                <w:szCs w:val="18"/>
                <w:color w:val="auto"/>
              </w:rPr>
              <w:t>232,764</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ind w:right="53"/>
              <w:spacing w:after="0"/>
              <w:rPr>
                <w:sz w:val="20"/>
                <w:szCs w:val="20"/>
                <w:color w:val="auto"/>
              </w:rPr>
            </w:pPr>
            <w:r>
              <w:rPr>
                <w:rFonts w:ascii="Arial" w:cs="Arial" w:eastAsia="Arial" w:hAnsi="Arial"/>
                <w:sz w:val="18"/>
                <w:szCs w:val="18"/>
                <w:color w:val="auto"/>
              </w:rPr>
              <w:t>106,291</w:t>
            </w:r>
          </w:p>
        </w:tc>
      </w:tr>
      <w:tr>
        <w:trPr>
          <w:trHeight w:val="213"/>
        </w:trPr>
        <w:tc>
          <w:tcPr>
            <w:tcW w:w="4900" w:type="dxa"/>
            <w:vAlign w:val="bottom"/>
            <w:shd w:val="clear" w:color="auto" w:fill="CFF0FC"/>
          </w:tcPr>
          <w:p>
            <w:pPr>
              <w:spacing w:after="0"/>
              <w:rPr>
                <w:sz w:val="20"/>
                <w:szCs w:val="20"/>
                <w:color w:val="auto"/>
              </w:rPr>
            </w:pPr>
            <w:r>
              <w:rPr>
                <w:rFonts w:ascii="Arial" w:cs="Arial" w:eastAsia="Arial" w:hAnsi="Arial"/>
                <w:sz w:val="18"/>
                <w:szCs w:val="18"/>
                <w:color w:val="auto"/>
              </w:rPr>
              <w:t>Depreciation and amortization</w:t>
            </w: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3,058</w:t>
            </w: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1,083</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5,900</w:t>
            </w:r>
          </w:p>
        </w:tc>
        <w:tc>
          <w:tcPr>
            <w:tcW w:w="14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2,049</w:t>
            </w:r>
          </w:p>
        </w:tc>
      </w:tr>
      <w:tr>
        <w:trPr>
          <w:trHeight w:val="213"/>
        </w:trPr>
        <w:tc>
          <w:tcPr>
            <w:tcW w:w="4900" w:type="dxa"/>
            <w:vAlign w:val="bottom"/>
          </w:tcPr>
          <w:p>
            <w:pPr>
              <w:spacing w:after="0"/>
              <w:rPr>
                <w:sz w:val="20"/>
                <w:szCs w:val="20"/>
                <w:color w:val="auto"/>
              </w:rPr>
            </w:pPr>
            <w:r>
              <w:rPr>
                <w:rFonts w:ascii="Arial" w:cs="Arial" w:eastAsia="Arial" w:hAnsi="Arial"/>
                <w:sz w:val="18"/>
                <w:szCs w:val="18"/>
                <w:color w:val="auto"/>
              </w:rPr>
              <w:t>Interest expense</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ind w:right="35"/>
              <w:spacing w:after="0"/>
              <w:rPr>
                <w:sz w:val="20"/>
                <w:szCs w:val="20"/>
                <w:color w:val="auto"/>
              </w:rPr>
            </w:pPr>
            <w:r>
              <w:rPr>
                <w:rFonts w:ascii="Arial" w:cs="Arial" w:eastAsia="Arial" w:hAnsi="Arial"/>
                <w:sz w:val="18"/>
                <w:szCs w:val="18"/>
                <w:color w:val="auto"/>
              </w:rPr>
              <w:t>3,880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1,297</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ind w:right="35"/>
              <w:spacing w:after="0"/>
              <w:rPr>
                <w:sz w:val="20"/>
                <w:szCs w:val="20"/>
                <w:color w:val="auto"/>
              </w:rPr>
            </w:pPr>
            <w:r>
              <w:rPr>
                <w:rFonts w:ascii="Arial" w:cs="Arial" w:eastAsia="Arial" w:hAnsi="Arial"/>
                <w:sz w:val="18"/>
                <w:szCs w:val="18"/>
                <w:color w:val="auto"/>
              </w:rPr>
              <w:t>7,692</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ind w:right="53"/>
              <w:spacing w:after="0"/>
              <w:rPr>
                <w:sz w:val="20"/>
                <w:szCs w:val="20"/>
                <w:color w:val="auto"/>
              </w:rPr>
            </w:pPr>
            <w:r>
              <w:rPr>
                <w:rFonts w:ascii="Arial" w:cs="Arial" w:eastAsia="Arial" w:hAnsi="Arial"/>
                <w:sz w:val="18"/>
                <w:szCs w:val="18"/>
                <w:color w:val="auto"/>
              </w:rPr>
              <w:t>4,123</w:t>
            </w:r>
          </w:p>
        </w:tc>
      </w:tr>
      <w:tr>
        <w:trPr>
          <w:trHeight w:val="213"/>
        </w:trPr>
        <w:tc>
          <w:tcPr>
            <w:tcW w:w="4900" w:type="dxa"/>
            <w:vAlign w:val="bottom"/>
            <w:shd w:val="clear" w:color="auto" w:fill="CFF0FC"/>
          </w:tcPr>
          <w:p>
            <w:pPr>
              <w:spacing w:after="0"/>
              <w:rPr>
                <w:sz w:val="20"/>
                <w:szCs w:val="20"/>
                <w:color w:val="auto"/>
              </w:rPr>
            </w:pPr>
            <w:r>
              <w:rPr>
                <w:rFonts w:ascii="Arial" w:cs="Arial" w:eastAsia="Arial" w:hAnsi="Arial"/>
                <w:sz w:val="18"/>
                <w:szCs w:val="18"/>
                <w:color w:val="auto"/>
              </w:rPr>
              <w:t>Interest Income</w:t>
            </w: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(2,062)</w:t>
            </w: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(715)</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(4,358)</w:t>
            </w:r>
          </w:p>
        </w:tc>
        <w:tc>
          <w:tcPr>
            <w:tcW w:w="14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(2,671)</w:t>
            </w:r>
          </w:p>
        </w:tc>
      </w:tr>
      <w:tr>
        <w:trPr>
          <w:trHeight w:val="213"/>
        </w:trPr>
        <w:tc>
          <w:tcPr>
            <w:tcW w:w="4900" w:type="dxa"/>
            <w:vAlign w:val="bottom"/>
          </w:tcPr>
          <w:p>
            <w:pPr>
              <w:spacing w:after="0"/>
              <w:rPr>
                <w:sz w:val="20"/>
                <w:szCs w:val="20"/>
                <w:color w:val="auto"/>
              </w:rPr>
            </w:pPr>
            <w:r>
              <w:rPr>
                <w:rFonts w:ascii="Arial" w:cs="Arial" w:eastAsia="Arial" w:hAnsi="Arial"/>
                <w:sz w:val="18"/>
                <w:szCs w:val="18"/>
                <w:color w:val="auto"/>
              </w:rPr>
              <w:t>Revaluation of preferred stock warrant</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21,260</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960" w:type="dxa"/>
            <w:vAlign w:val="bottom"/>
          </w:tcPr>
          <w:p>
            <w:pPr>
              <w:jc w:val="right"/>
              <w:ind w:right="53"/>
              <w:spacing w:after="0"/>
              <w:rPr>
                <w:sz w:val="20"/>
                <w:szCs w:val="20"/>
                <w:color w:val="auto"/>
              </w:rPr>
            </w:pPr>
            <w:r>
              <w:rPr>
                <w:rFonts w:ascii="Arial" w:cs="Arial" w:eastAsia="Arial" w:hAnsi="Arial"/>
                <w:sz w:val="18"/>
                <w:szCs w:val="18"/>
                <w:color w:val="auto"/>
              </w:rPr>
              <w:t>20,470</w:t>
            </w:r>
          </w:p>
        </w:tc>
      </w:tr>
      <w:tr>
        <w:trPr>
          <w:trHeight w:val="213"/>
        </w:trPr>
        <w:tc>
          <w:tcPr>
            <w:tcW w:w="4900" w:type="dxa"/>
            <w:vAlign w:val="bottom"/>
            <w:shd w:val="clear" w:color="auto" w:fill="CFF0FC"/>
          </w:tcPr>
          <w:p>
            <w:pPr>
              <w:spacing w:after="0"/>
              <w:rPr>
                <w:sz w:val="20"/>
                <w:szCs w:val="20"/>
                <w:color w:val="auto"/>
              </w:rPr>
            </w:pPr>
            <w:r>
              <w:rPr>
                <w:rFonts w:ascii="Arial" w:cs="Arial" w:eastAsia="Arial" w:hAnsi="Arial"/>
                <w:sz w:val="18"/>
                <w:szCs w:val="18"/>
                <w:color w:val="auto"/>
              </w:rPr>
              <w:t>Other income, net</w:t>
            </w:r>
          </w:p>
        </w:tc>
        <w:tc>
          <w:tcPr>
            <w:tcW w:w="20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120" w:type="dxa"/>
            <w:vAlign w:val="bottom"/>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w:t>
            </w:r>
          </w:p>
        </w:tc>
        <w:tc>
          <w:tcPr>
            <w:tcW w:w="14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w:t>
            </w:r>
          </w:p>
        </w:tc>
        <w:tc>
          <w:tcPr>
            <w:tcW w:w="140" w:type="dxa"/>
            <w:vAlign w:val="bottom"/>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w:t>
            </w:r>
          </w:p>
        </w:tc>
      </w:tr>
      <w:tr>
        <w:trPr>
          <w:trHeight w:val="206"/>
        </w:trPr>
        <w:tc>
          <w:tcPr>
            <w:tcW w:w="4900" w:type="dxa"/>
            <w:vAlign w:val="bottom"/>
          </w:tcPr>
          <w:p>
            <w:pPr>
              <w:spacing w:after="0"/>
              <w:rPr>
                <w:sz w:val="20"/>
                <w:szCs w:val="20"/>
                <w:color w:val="auto"/>
              </w:rPr>
            </w:pPr>
            <w:r>
              <w:rPr>
                <w:rFonts w:ascii="Arial" w:cs="Arial" w:eastAsia="Arial" w:hAnsi="Arial"/>
                <w:sz w:val="18"/>
                <w:szCs w:val="18"/>
                <w:color w:val="auto"/>
              </w:rPr>
              <w:t>Consolidated loss before provision for income taxes</w:t>
            </w:r>
          </w:p>
        </w:tc>
        <w:tc>
          <w:tcPr>
            <w:tcW w:w="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(65,613)</w:t>
            </w:r>
          </w:p>
        </w:tc>
        <w:tc>
          <w:tcPr>
            <w:tcW w:w="120" w:type="dxa"/>
            <w:vAlign w:val="bottom"/>
          </w:tcPr>
          <w:p>
            <w:pPr>
              <w:spacing w:after="0"/>
              <w:rPr>
                <w:sz w:val="17"/>
                <w:szCs w:val="17"/>
                <w:color w:val="auto"/>
              </w:rPr>
            </w:pPr>
          </w:p>
        </w:tc>
        <w:tc>
          <w:tcPr>
            <w:tcW w:w="320" w:type="dxa"/>
            <w:vAlign w:val="bottom"/>
          </w:tcPr>
          <w:p>
            <w:pPr>
              <w:jc w:val="right"/>
              <w:ind w:right="131"/>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(63,176)</w:t>
            </w:r>
          </w:p>
        </w:tc>
        <w:tc>
          <w:tcPr>
            <w:tcW w:w="140" w:type="dxa"/>
            <w:vAlign w:val="bottom"/>
          </w:tcPr>
          <w:p>
            <w:pPr>
              <w:spacing w:after="0"/>
              <w:rPr>
                <w:sz w:val="17"/>
                <w:szCs w:val="17"/>
                <w:color w:val="auto"/>
              </w:rPr>
            </w:pPr>
          </w:p>
        </w:tc>
        <w:tc>
          <w:tcPr>
            <w:tcW w:w="300" w:type="dxa"/>
            <w:vAlign w:val="bottom"/>
          </w:tcPr>
          <w:p>
            <w:pPr>
              <w:jc w:val="right"/>
              <w:ind w:right="111"/>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(142,646)</w:t>
            </w:r>
          </w:p>
        </w:tc>
        <w:tc>
          <w:tcPr>
            <w:tcW w:w="140" w:type="dxa"/>
            <w:vAlign w:val="bottom"/>
          </w:tcPr>
          <w:p>
            <w:pPr>
              <w:spacing w:after="0"/>
              <w:rPr>
                <w:sz w:val="17"/>
                <w:szCs w:val="17"/>
                <w:color w:val="auto"/>
              </w:rPr>
            </w:pPr>
          </w:p>
        </w:tc>
        <w:tc>
          <w:tcPr>
            <w:tcW w:w="480" w:type="dxa"/>
            <w:vAlign w:val="bottom"/>
          </w:tcPr>
          <w:p>
            <w:pPr>
              <w:jc w:val="right"/>
              <w:ind w:right="328"/>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(104,182)</w:t>
            </w:r>
          </w:p>
        </w:tc>
      </w:tr>
      <w:tr>
        <w:trPr>
          <w:trHeight w:val="20"/>
        </w:trPr>
        <w:tc>
          <w:tcPr>
            <w:tcW w:w="4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Income Taxes</w:t>
      </w:r>
    </w:p>
    <w:p>
      <w:pPr>
        <w:spacing w:after="0" w:line="121" w:lineRule="exact"/>
        <w:rPr>
          <w:sz w:val="20"/>
          <w:szCs w:val="20"/>
          <w:color w:val="auto"/>
        </w:rPr>
      </w:pPr>
    </w:p>
    <w:p>
      <w:pPr>
        <w:ind w:firstLine="762"/>
        <w:spacing w:after="0" w:line="233" w:lineRule="auto"/>
        <w:rPr>
          <w:sz w:val="20"/>
          <w:szCs w:val="20"/>
          <w:color w:val="auto"/>
        </w:rPr>
      </w:pPr>
      <w:r>
        <w:rPr>
          <w:rFonts w:ascii="Arial" w:cs="Arial" w:eastAsia="Arial" w:hAnsi="Arial"/>
          <w:sz w:val="18"/>
          <w:szCs w:val="18"/>
          <w:color w:val="auto"/>
        </w:rPr>
        <w:t>The Company computes income taxes using the liability method. This method requires recognition of deferred tax assets and liabilities, measured by enacted rates, attributable to temporary differences between the financial statements and the income tax basis of assets and liabilities. In assessing the realizability of deferred tax assets, the Company considers whether it is more likely than not that certain deferred tax assets will be realized. The ultimate realization of deferred tax assets is dependent upon the generation of future taxable income in those specific jurisdictions prior to the dates on which such net operating losses expire. The Company maintained a full valuation allowance against its net deferred tax assets because the Company has determined that is it more likely than not that these assets will not be fully realized based on a current evaluation of expected future taxable income and the Company is in a cumulative loss position.</w:t>
      </w:r>
    </w:p>
    <w:p>
      <w:pPr>
        <w:spacing w:after="0" w:line="204" w:lineRule="exact"/>
        <w:rPr>
          <w:sz w:val="20"/>
          <w:szCs w:val="20"/>
          <w:color w:val="auto"/>
        </w:rPr>
      </w:pPr>
    </w:p>
    <w:p>
      <w:pPr>
        <w:ind w:right="260" w:firstLine="762"/>
        <w:spacing w:after="0" w:line="268" w:lineRule="auto"/>
        <w:rPr>
          <w:sz w:val="20"/>
          <w:szCs w:val="20"/>
          <w:color w:val="auto"/>
        </w:rPr>
      </w:pPr>
      <w:r>
        <w:rPr>
          <w:rFonts w:ascii="Arial" w:cs="Arial" w:eastAsia="Arial" w:hAnsi="Arial"/>
          <w:sz w:val="18"/>
          <w:szCs w:val="18"/>
          <w:color w:val="auto"/>
        </w:rPr>
        <w:t>The Company’s effective tax rate for the three months ended June 30, 2021 and 2020 was (0.30)% and (0.08)%, respectively. The effective tax rate for the six months ended June 30, 2021 and 2020 was (0.25)% and (0.10)%, respectively.</w:t>
      </w:r>
    </w:p>
    <w:p>
      <w:pPr>
        <w:spacing w:after="0" w:line="190" w:lineRule="exact"/>
        <w:rPr>
          <w:sz w:val="20"/>
          <w:szCs w:val="20"/>
          <w:color w:val="auto"/>
        </w:rPr>
      </w:pPr>
    </w:p>
    <w:p>
      <w:pPr>
        <w:ind w:right="160" w:firstLine="764"/>
        <w:spacing w:after="0" w:line="239" w:lineRule="auto"/>
        <w:rPr>
          <w:sz w:val="20"/>
          <w:szCs w:val="20"/>
          <w:color w:val="auto"/>
        </w:rPr>
      </w:pPr>
      <w:r>
        <w:rPr>
          <w:rFonts w:ascii="Arial" w:cs="Arial" w:eastAsia="Arial" w:hAnsi="Arial"/>
          <w:sz w:val="18"/>
          <w:szCs w:val="18"/>
          <w:color w:val="auto"/>
        </w:rPr>
        <w:t>The Company is subject to tax in the United States and many state and local jurisdictions. The Company, with certain exceptions, is no longer subject to income tax examinations by U.S. federal, state and local for tax years 2015 and prior.</w:t>
      </w:r>
    </w:p>
    <w:p>
      <w:pPr>
        <w:spacing w:after="0" w:line="200" w:lineRule="exact"/>
        <w:rPr>
          <w:sz w:val="20"/>
          <w:szCs w:val="20"/>
          <w:color w:val="auto"/>
        </w:rPr>
      </w:pPr>
    </w:p>
    <w:p>
      <w:pPr>
        <w:ind w:firstLine="764"/>
        <w:spacing w:after="0" w:line="234" w:lineRule="auto"/>
        <w:rPr>
          <w:sz w:val="20"/>
          <w:szCs w:val="20"/>
          <w:color w:val="auto"/>
        </w:rPr>
      </w:pPr>
      <w:r>
        <w:rPr>
          <w:rFonts w:ascii="Arial" w:cs="Arial" w:eastAsia="Arial" w:hAnsi="Arial"/>
          <w:sz w:val="18"/>
          <w:szCs w:val="18"/>
          <w:color w:val="auto"/>
        </w:rPr>
        <w:t>Under Sections 382 and 383 of the Internal Revenue Code of 1986, as amended, if a corporation undergoes an “ownership change,” the corporation’s ability to use its pre-change net operating loss carryforwards and other pre-change tax attributes, such as foreign tax and research tax credits, to offset its post-change income and taxes may be limited. An “ownership change” generally occurs if there is a cumulative change exceeding 50 percentage points over a rolling-three-year period in ownership by “5% shareholders”. Similar rules may apply under state tax laws</w:t>
      </w:r>
    </w:p>
    <w:p>
      <w:pPr>
        <w:spacing w:after="0" w:line="202" w:lineRule="exact"/>
        <w:rPr>
          <w:sz w:val="20"/>
          <w:szCs w:val="20"/>
          <w:color w:val="auto"/>
        </w:rPr>
      </w:pPr>
    </w:p>
    <w:p>
      <w:pPr>
        <w:ind w:right="60" w:firstLine="762"/>
        <w:spacing w:after="0" w:line="235" w:lineRule="auto"/>
        <w:rPr>
          <w:sz w:val="20"/>
          <w:szCs w:val="20"/>
          <w:color w:val="auto"/>
        </w:rPr>
      </w:pPr>
      <w:r>
        <w:rPr>
          <w:rFonts w:ascii="Arial" w:cs="Arial" w:eastAsia="Arial" w:hAnsi="Arial"/>
          <w:sz w:val="18"/>
          <w:szCs w:val="18"/>
          <w:color w:val="auto"/>
        </w:rPr>
        <w:t>The Company experienced an ownership change in April 2021 and as a result, the utilization of the Company’s net operating loss, capital loss and U.S. credit carryforwards to offset taxable income are subject to an annual limitation, pursuant to Internal Revenue Code (IRC) Sections 382 and 383. The Company is currently evaluating the impact of the limitation on its ability to utilize tax attributes in the future. The Company currently has a full valuation allowance against all its tax attributes.</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50800</wp:posOffset>
            </wp:positionV>
            <wp:extent cx="715962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VROOM, INC.</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1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Company has not identified any uncertain tax positions as of June 30, 2021 and December 31, 2020.</w:t>
      </w: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Net Loss Per Share</w:t>
      </w:r>
    </w:p>
    <w:p>
      <w:pPr>
        <w:spacing w:after="0" w:line="12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sets forth the computation of basic and diluted net loss per share attributable to common stockholders: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0" w:type="dxa"/>
            <w:vAlign w:val="bottom"/>
            <w:gridSpan w:val="4"/>
          </w:tcPr>
          <w:p>
            <w:pPr>
              <w:jc w:val="right"/>
              <w:ind w:right="656"/>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60" w:type="dxa"/>
            <w:vAlign w:val="bottom"/>
            <w:gridSpan w:val="4"/>
          </w:tcPr>
          <w:p>
            <w:pPr>
              <w:jc w:val="right"/>
              <w:ind w:right="916"/>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3"/>
        </w:trPr>
        <w:tc>
          <w:tcPr>
            <w:tcW w:w="52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except share and per share amounts)</w:t>
            </w:r>
          </w:p>
        </w:tc>
        <w:tc>
          <w:tcPr>
            <w:tcW w:w="16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108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rPr>
              <w:t>June 30,</w:t>
            </w:r>
          </w:p>
        </w:tc>
        <w:tc>
          <w:tcPr>
            <w:tcW w:w="11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5240" w:type="dxa"/>
            <w:vAlign w:val="bottom"/>
            <w:tcBorders>
              <w:bottom w:val="single" w:sz="8" w:color="CFF0FC"/>
            </w:tcBorders>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560"/>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06"/>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(65,807)</w:t>
            </w: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(63,228)</w:t>
            </w:r>
          </w:p>
        </w:tc>
        <w:tc>
          <w:tcPr>
            <w:tcW w:w="3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(142,996)</w:t>
            </w:r>
          </w:p>
        </w:tc>
        <w:tc>
          <w:tcPr>
            <w:tcW w:w="4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(104,287)</w:t>
            </w:r>
          </w:p>
        </w:tc>
        <w:tc>
          <w:tcPr>
            <w:tcW w:w="0" w:type="dxa"/>
            <w:vAlign w:val="bottom"/>
          </w:tcPr>
          <w:p>
            <w:pPr>
              <w:spacing w:after="0"/>
              <w:rPr>
                <w:sz w:val="1"/>
                <w:szCs w:val="1"/>
                <w:color w:val="auto"/>
              </w:rPr>
            </w:pPr>
          </w:p>
        </w:tc>
      </w:tr>
      <w:tr>
        <w:trPr>
          <w:trHeight w:val="205"/>
        </w:trPr>
        <w:tc>
          <w:tcPr>
            <w:tcW w:w="5240" w:type="dxa"/>
            <w:vAlign w:val="bottom"/>
          </w:tcPr>
          <w:p>
            <w:pPr>
              <w:spacing w:after="0" w:line="206" w:lineRule="exact"/>
              <w:rPr>
                <w:sz w:val="20"/>
                <w:szCs w:val="20"/>
                <w:color w:val="auto"/>
              </w:rPr>
            </w:pPr>
            <w:r>
              <w:rPr>
                <w:rFonts w:ascii="Arial" w:cs="Arial" w:eastAsia="Arial" w:hAnsi="Arial"/>
                <w:sz w:val="18"/>
                <w:szCs w:val="18"/>
                <w:color w:val="auto"/>
              </w:rPr>
              <w:t>Weighted-average number of shares outstanding used to</w:t>
            </w:r>
          </w:p>
        </w:tc>
        <w:tc>
          <w:tcPr>
            <w:tcW w:w="16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240" w:type="dxa"/>
            <w:vAlign w:val="bottom"/>
          </w:tcPr>
          <w:p>
            <w:pPr>
              <w:spacing w:after="0" w:line="200" w:lineRule="exact"/>
              <w:rPr>
                <w:sz w:val="20"/>
                <w:szCs w:val="20"/>
                <w:color w:val="auto"/>
              </w:rPr>
            </w:pPr>
            <w:r>
              <w:rPr>
                <w:rFonts w:ascii="Arial" w:cs="Arial" w:eastAsia="Arial" w:hAnsi="Arial"/>
                <w:sz w:val="18"/>
                <w:szCs w:val="18"/>
                <w:color w:val="auto"/>
              </w:rPr>
              <w:t>compute net loss per share attributable to common</w:t>
            </w: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5240" w:type="dxa"/>
            <w:vAlign w:val="bottom"/>
            <w:tcBorders>
              <w:bottom w:val="single" w:sz="8" w:color="CFF0FC"/>
            </w:tcBorders>
          </w:tcPr>
          <w:p>
            <w:pPr>
              <w:spacing w:after="0" w:line="201" w:lineRule="exact"/>
              <w:rPr>
                <w:sz w:val="20"/>
                <w:szCs w:val="20"/>
                <w:color w:val="auto"/>
              </w:rPr>
            </w:pPr>
            <w:r>
              <w:rPr>
                <w:rFonts w:ascii="Arial" w:cs="Arial" w:eastAsia="Arial" w:hAnsi="Arial"/>
                <w:sz w:val="18"/>
                <w:szCs w:val="18"/>
                <w:color w:val="auto"/>
              </w:rPr>
              <w:t>stockholders, basic and diluted</w:t>
            </w: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0"/>
              <w:spacing w:after="0" w:line="201" w:lineRule="exact"/>
              <w:rPr>
                <w:sz w:val="20"/>
                <w:szCs w:val="20"/>
                <w:color w:val="auto"/>
              </w:rPr>
            </w:pPr>
            <w:r>
              <w:rPr>
                <w:rFonts w:ascii="Arial" w:cs="Arial" w:eastAsia="Arial" w:hAnsi="Arial"/>
                <w:sz w:val="18"/>
                <w:szCs w:val="18"/>
                <w:color w:val="auto"/>
              </w:rPr>
              <w:t>136,507,177</w:t>
            </w:r>
          </w:p>
        </w:tc>
        <w:tc>
          <w:tcPr>
            <w:tcW w:w="120" w:type="dxa"/>
            <w:vAlign w:val="bottom"/>
            <w:tcBorders>
              <w:bottom w:val="single" w:sz="8" w:color="CFF0FC"/>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6"/>
              <w:spacing w:after="0" w:line="201" w:lineRule="exact"/>
              <w:rPr>
                <w:sz w:val="20"/>
                <w:szCs w:val="20"/>
                <w:color w:val="auto"/>
              </w:rPr>
            </w:pPr>
            <w:r>
              <w:rPr>
                <w:rFonts w:ascii="Arial" w:cs="Arial" w:eastAsia="Arial" w:hAnsi="Arial"/>
                <w:sz w:val="18"/>
                <w:szCs w:val="18"/>
                <w:color w:val="auto"/>
              </w:rPr>
              <w:t>31,599,497</w:t>
            </w:r>
          </w:p>
        </w:tc>
        <w:tc>
          <w:tcPr>
            <w:tcW w:w="140" w:type="dxa"/>
            <w:vAlign w:val="bottom"/>
            <w:tcBorders>
              <w:bottom w:val="single" w:sz="8" w:color="CFF0FC"/>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0"/>
              <w:spacing w:after="0" w:line="201" w:lineRule="exact"/>
              <w:rPr>
                <w:sz w:val="20"/>
                <w:szCs w:val="20"/>
                <w:color w:val="auto"/>
              </w:rPr>
            </w:pPr>
            <w:r>
              <w:rPr>
                <w:rFonts w:ascii="Arial" w:cs="Arial" w:eastAsia="Arial" w:hAnsi="Arial"/>
                <w:sz w:val="18"/>
                <w:szCs w:val="18"/>
                <w:color w:val="auto"/>
              </w:rPr>
              <w:t>136,002,344</w:t>
            </w:r>
          </w:p>
        </w:tc>
        <w:tc>
          <w:tcPr>
            <w:tcW w:w="140" w:type="dxa"/>
            <w:vAlign w:val="bottom"/>
            <w:tcBorders>
              <w:bottom w:val="single" w:sz="8" w:color="CFF0FC"/>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6"/>
              <w:spacing w:after="0" w:line="201" w:lineRule="exact"/>
              <w:rPr>
                <w:sz w:val="20"/>
                <w:szCs w:val="20"/>
                <w:color w:val="auto"/>
              </w:rPr>
            </w:pPr>
            <w:r>
              <w:rPr>
                <w:rFonts w:ascii="Arial" w:cs="Arial" w:eastAsia="Arial" w:hAnsi="Arial"/>
                <w:sz w:val="18"/>
                <w:szCs w:val="18"/>
                <w:color w:val="auto"/>
              </w:rPr>
              <w:t>20,035,476</w:t>
            </w:r>
          </w:p>
        </w:tc>
        <w:tc>
          <w:tcPr>
            <w:tcW w:w="0" w:type="dxa"/>
            <w:vAlign w:val="bottom"/>
          </w:tcPr>
          <w:p>
            <w:pPr>
              <w:spacing w:after="0"/>
              <w:rPr>
                <w:sz w:val="1"/>
                <w:szCs w:val="1"/>
                <w:color w:val="auto"/>
              </w:rPr>
            </w:pPr>
          </w:p>
        </w:tc>
      </w:tr>
      <w:tr>
        <w:trPr>
          <w:trHeight w:val="205"/>
        </w:trPr>
        <w:tc>
          <w:tcPr>
            <w:tcW w:w="5240" w:type="dxa"/>
            <w:vAlign w:val="bottom"/>
            <w:shd w:val="clear" w:color="auto" w:fill="CFF0FC"/>
          </w:tcPr>
          <w:p>
            <w:pPr>
              <w:spacing w:after="0" w:line="206" w:lineRule="exact"/>
              <w:rPr>
                <w:sz w:val="20"/>
                <w:szCs w:val="20"/>
                <w:color w:val="auto"/>
              </w:rPr>
            </w:pPr>
            <w:r>
              <w:rPr>
                <w:rFonts w:ascii="Arial" w:cs="Arial" w:eastAsia="Arial" w:hAnsi="Arial"/>
                <w:sz w:val="18"/>
                <w:szCs w:val="18"/>
                <w:color w:val="auto"/>
              </w:rPr>
              <w:t>Net loss per share attributable to common stockholders, basic</w:t>
            </w:r>
          </w:p>
        </w:tc>
        <w:tc>
          <w:tcPr>
            <w:tcW w:w="16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5240" w:type="dxa"/>
            <w:vAlign w:val="bottom"/>
            <w:shd w:val="clear" w:color="auto" w:fill="CFF0FC"/>
          </w:tcPr>
          <w:p>
            <w:pPr>
              <w:spacing w:after="0" w:line="201" w:lineRule="exact"/>
              <w:rPr>
                <w:sz w:val="20"/>
                <w:szCs w:val="20"/>
                <w:color w:val="auto"/>
              </w:rPr>
            </w:pPr>
            <w:r>
              <w:rPr>
                <w:rFonts w:ascii="Arial" w:cs="Arial" w:eastAsia="Arial" w:hAnsi="Arial"/>
                <w:sz w:val="18"/>
                <w:szCs w:val="18"/>
                <w:color w:val="auto"/>
              </w:rPr>
              <w:t>and diluted</w:t>
            </w:r>
          </w:p>
        </w:tc>
        <w:tc>
          <w:tcPr>
            <w:tcW w:w="160" w:type="dxa"/>
            <w:vAlign w:val="bottom"/>
            <w:shd w:val="clear" w:color="auto" w:fill="CFF0FC"/>
          </w:tcPr>
          <w:p>
            <w:pPr>
              <w:jc w:val="right"/>
              <w:spacing w:after="0" w:line="201" w:lineRule="exact"/>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line="201" w:lineRule="exact"/>
              <w:rPr>
                <w:sz w:val="20"/>
                <w:szCs w:val="20"/>
                <w:color w:val="auto"/>
              </w:rPr>
            </w:pPr>
            <w:r>
              <w:rPr>
                <w:rFonts w:ascii="Arial" w:cs="Arial" w:eastAsia="Arial" w:hAnsi="Arial"/>
                <w:sz w:val="18"/>
                <w:szCs w:val="18"/>
                <w:color w:val="auto"/>
              </w:rPr>
              <w:t>(0.48)</w:t>
            </w: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51"/>
              <w:spacing w:after="0" w:line="201" w:lineRule="exact"/>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line="201" w:lineRule="exact"/>
              <w:rPr>
                <w:sz w:val="20"/>
                <w:szCs w:val="20"/>
                <w:color w:val="auto"/>
              </w:rPr>
            </w:pPr>
            <w:r>
              <w:rPr>
                <w:rFonts w:ascii="Arial" w:cs="Arial" w:eastAsia="Arial" w:hAnsi="Arial"/>
                <w:sz w:val="18"/>
                <w:szCs w:val="18"/>
                <w:color w:val="auto"/>
              </w:rPr>
              <w:t>(2.00)</w:t>
            </w:r>
          </w:p>
        </w:tc>
        <w:tc>
          <w:tcPr>
            <w:tcW w:w="380" w:type="dxa"/>
            <w:vAlign w:val="bottom"/>
            <w:gridSpan w:val="2"/>
            <w:shd w:val="clear" w:color="auto" w:fill="CFF0FC"/>
          </w:tcPr>
          <w:p>
            <w:pPr>
              <w:jc w:val="right"/>
              <w:ind w:right="140"/>
              <w:spacing w:after="0" w:line="201" w:lineRule="exact"/>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spacing w:after="0" w:line="201" w:lineRule="exact"/>
              <w:rPr>
                <w:sz w:val="20"/>
                <w:szCs w:val="20"/>
                <w:color w:val="auto"/>
              </w:rPr>
            </w:pPr>
            <w:r>
              <w:rPr>
                <w:rFonts w:ascii="Arial" w:cs="Arial" w:eastAsia="Arial" w:hAnsi="Arial"/>
                <w:sz w:val="18"/>
                <w:szCs w:val="18"/>
                <w:color w:val="auto"/>
              </w:rPr>
              <w:t>(1.05)</w:t>
            </w:r>
          </w:p>
        </w:tc>
        <w:tc>
          <w:tcPr>
            <w:tcW w:w="440" w:type="dxa"/>
            <w:vAlign w:val="bottom"/>
            <w:gridSpan w:val="2"/>
            <w:shd w:val="clear" w:color="auto" w:fill="CFF0FC"/>
          </w:tcPr>
          <w:p>
            <w:pPr>
              <w:jc w:val="right"/>
              <w:ind w:right="220"/>
              <w:spacing w:after="0" w:line="201" w:lineRule="exact"/>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line="201" w:lineRule="exact"/>
              <w:rPr>
                <w:sz w:val="20"/>
                <w:szCs w:val="20"/>
                <w:color w:val="auto"/>
              </w:rPr>
            </w:pPr>
            <w:r>
              <w:rPr>
                <w:rFonts w:ascii="Arial" w:cs="Arial" w:eastAsia="Arial" w:hAnsi="Arial"/>
                <w:sz w:val="18"/>
                <w:szCs w:val="18"/>
                <w:color w:val="auto"/>
              </w:rPr>
              <w:t>(5.21)</w:t>
            </w:r>
          </w:p>
        </w:tc>
        <w:tc>
          <w:tcPr>
            <w:tcW w:w="0" w:type="dxa"/>
            <w:vAlign w:val="bottom"/>
          </w:tcPr>
          <w:p>
            <w:pPr>
              <w:spacing w:after="0"/>
              <w:rPr>
                <w:sz w:val="1"/>
                <w:szCs w:val="1"/>
                <w:color w:val="auto"/>
              </w:rPr>
            </w:pPr>
          </w:p>
        </w:tc>
      </w:tr>
      <w:tr>
        <w:trPr>
          <w:trHeight w:val="20"/>
        </w:trPr>
        <w:tc>
          <w:tcPr>
            <w:tcW w:w="52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9" w:lineRule="exact"/>
        <w:rPr>
          <w:sz w:val="20"/>
          <w:szCs w:val="20"/>
          <w:color w:val="auto"/>
        </w:rPr>
      </w:pPr>
    </w:p>
    <w:p>
      <w:pPr>
        <w:jc w:val="both"/>
        <w:ind w:firstLine="762"/>
        <w:spacing w:after="0" w:line="239" w:lineRule="auto"/>
        <w:rPr>
          <w:sz w:val="20"/>
          <w:szCs w:val="20"/>
          <w:color w:val="auto"/>
        </w:rPr>
      </w:pPr>
      <w:r>
        <w:rPr>
          <w:rFonts w:ascii="Arial" w:cs="Arial" w:eastAsia="Arial" w:hAnsi="Arial"/>
          <w:sz w:val="18"/>
          <w:szCs w:val="18"/>
          <w:color w:val="auto"/>
        </w:rPr>
        <w:t>The following potentially dilutive shares were not included in the calculation of diluted shares outstanding for the periods presented as the effect would have been anti-dilutive:</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080" w:type="dxa"/>
            <w:vAlign w:val="bottom"/>
          </w:tcPr>
          <w:p>
            <w:pPr>
              <w:spacing w:after="0"/>
              <w:rPr>
                <w:sz w:val="15"/>
                <w:szCs w:val="15"/>
                <w:color w:val="auto"/>
              </w:rPr>
            </w:pPr>
          </w:p>
        </w:tc>
        <w:tc>
          <w:tcPr>
            <w:tcW w:w="2720" w:type="dxa"/>
            <w:vAlign w:val="bottom"/>
            <w:tcBorders>
              <w:bottom w:val="single" w:sz="8" w:color="auto"/>
            </w:tcBorders>
            <w:gridSpan w:val="3"/>
          </w:tcPr>
          <w:p>
            <w:pPr>
              <w:ind w:left="1540"/>
              <w:spacing w:after="0"/>
              <w:rPr>
                <w:sz w:val="20"/>
                <w:szCs w:val="20"/>
                <w:color w:val="auto"/>
              </w:rPr>
            </w:pPr>
            <w:r>
              <w:rPr>
                <w:rFonts w:ascii="Arial" w:cs="Arial" w:eastAsia="Arial" w:hAnsi="Arial"/>
                <w:sz w:val="14"/>
                <w:szCs w:val="14"/>
                <w:b w:val="1"/>
                <w:bCs w:val="1"/>
                <w:color w:val="auto"/>
              </w:rPr>
              <w:t>As of June 30,</w:t>
            </w:r>
          </w:p>
        </w:tc>
        <w:tc>
          <w:tcPr>
            <w:tcW w:w="1440" w:type="dxa"/>
            <w:vAlign w:val="bottom"/>
            <w:tcBorders>
              <w:bottom w:val="single" w:sz="8" w:color="auto"/>
            </w:tcBorders>
          </w:tcPr>
          <w:p>
            <w:pPr>
              <w:spacing w:after="0"/>
              <w:rPr>
                <w:sz w:val="15"/>
                <w:szCs w:val="15"/>
                <w:color w:val="auto"/>
              </w:rPr>
            </w:pPr>
          </w:p>
        </w:tc>
      </w:tr>
      <w:tr>
        <w:trPr>
          <w:trHeight w:val="166"/>
        </w:trPr>
        <w:tc>
          <w:tcPr>
            <w:tcW w:w="7080" w:type="dxa"/>
            <w:vAlign w:val="bottom"/>
            <w:tcBorders>
              <w:bottom w:val="single" w:sz="8" w:color="CFF0FC"/>
            </w:tcBorders>
          </w:tcPr>
          <w:p>
            <w:pPr>
              <w:spacing w:after="0"/>
              <w:rPr>
                <w:sz w:val="14"/>
                <w:szCs w:val="14"/>
                <w:color w:val="auto"/>
              </w:rPr>
            </w:pPr>
          </w:p>
        </w:tc>
        <w:tc>
          <w:tcPr>
            <w:tcW w:w="1980" w:type="dxa"/>
            <w:vAlign w:val="bottom"/>
            <w:tcBorders>
              <w:bottom w:val="single" w:sz="8" w:color="auto"/>
            </w:tcBorders>
          </w:tcPr>
          <w:p>
            <w:pPr>
              <w:jc w:val="right"/>
              <w:ind w:right="796"/>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FF0FC"/>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ind w:right="814"/>
              <w:spacing w:after="0"/>
              <w:rPr>
                <w:sz w:val="20"/>
                <w:szCs w:val="20"/>
                <w:color w:val="auto"/>
              </w:rPr>
            </w:pPr>
            <w:r>
              <w:rPr>
                <w:rFonts w:ascii="Arial" w:cs="Arial" w:eastAsia="Arial" w:hAnsi="Arial"/>
                <w:sz w:val="14"/>
                <w:szCs w:val="14"/>
                <w:b w:val="1"/>
                <w:bCs w:val="1"/>
                <w:color w:val="auto"/>
              </w:rPr>
              <w:t>2020</w:t>
            </w:r>
          </w:p>
        </w:tc>
      </w:tr>
      <w:tr>
        <w:trPr>
          <w:trHeight w:val="206"/>
        </w:trPr>
        <w:tc>
          <w:tcPr>
            <w:tcW w:w="7080" w:type="dxa"/>
            <w:vAlign w:val="bottom"/>
            <w:shd w:val="clear" w:color="auto" w:fill="CFF0FC"/>
          </w:tcPr>
          <w:p>
            <w:pPr>
              <w:spacing w:after="0"/>
              <w:rPr>
                <w:sz w:val="20"/>
                <w:szCs w:val="20"/>
                <w:color w:val="auto"/>
              </w:rPr>
            </w:pPr>
            <w:r>
              <w:rPr>
                <w:rFonts w:ascii="Arial" w:cs="Arial" w:eastAsia="Arial" w:hAnsi="Arial"/>
                <w:sz w:val="18"/>
                <w:szCs w:val="18"/>
                <w:color w:val="auto"/>
              </w:rPr>
              <w:t>Convertible senior notes</w:t>
            </w:r>
          </w:p>
        </w:tc>
        <w:tc>
          <w:tcPr>
            <w:tcW w:w="198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11,158,722</w:t>
            </w:r>
          </w:p>
        </w:tc>
        <w:tc>
          <w:tcPr>
            <w:tcW w:w="18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44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w:t>
            </w:r>
          </w:p>
        </w:tc>
      </w:tr>
      <w:tr>
        <w:trPr>
          <w:trHeight w:val="213"/>
        </w:trPr>
        <w:tc>
          <w:tcPr>
            <w:tcW w:w="7080" w:type="dxa"/>
            <w:vAlign w:val="bottom"/>
          </w:tcPr>
          <w:p>
            <w:pPr>
              <w:spacing w:after="0"/>
              <w:rPr>
                <w:sz w:val="20"/>
                <w:szCs w:val="20"/>
                <w:color w:val="auto"/>
              </w:rPr>
            </w:pPr>
            <w:r>
              <w:rPr>
                <w:rFonts w:ascii="Arial" w:cs="Arial" w:eastAsia="Arial" w:hAnsi="Arial"/>
                <w:sz w:val="18"/>
                <w:szCs w:val="18"/>
                <w:color w:val="auto"/>
              </w:rPr>
              <w:t>Stock options</w:t>
            </w:r>
          </w:p>
        </w:tc>
        <w:tc>
          <w:tcPr>
            <w:tcW w:w="1980" w:type="dxa"/>
            <w:vAlign w:val="bottom"/>
          </w:tcPr>
          <w:p>
            <w:pPr>
              <w:jc w:val="right"/>
              <w:ind w:right="36"/>
              <w:spacing w:after="0"/>
              <w:rPr>
                <w:sz w:val="20"/>
                <w:szCs w:val="20"/>
                <w:color w:val="auto"/>
              </w:rPr>
            </w:pPr>
            <w:r>
              <w:rPr>
                <w:rFonts w:ascii="Arial" w:cs="Arial" w:eastAsia="Arial" w:hAnsi="Arial"/>
                <w:sz w:val="18"/>
                <w:szCs w:val="18"/>
                <w:color w:val="auto"/>
              </w:rPr>
              <w:t>4,586,319</w:t>
            </w: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40" w:type="dxa"/>
            <w:vAlign w:val="bottom"/>
          </w:tcPr>
          <w:p>
            <w:pPr>
              <w:jc w:val="right"/>
              <w:ind w:right="54"/>
              <w:spacing w:after="0"/>
              <w:rPr>
                <w:sz w:val="20"/>
                <w:szCs w:val="20"/>
                <w:color w:val="auto"/>
              </w:rPr>
            </w:pPr>
            <w:r>
              <w:rPr>
                <w:rFonts w:ascii="Arial" w:cs="Arial" w:eastAsia="Arial" w:hAnsi="Arial"/>
                <w:sz w:val="18"/>
                <w:szCs w:val="18"/>
                <w:color w:val="auto"/>
              </w:rPr>
              <w:t>6,340,076</w:t>
            </w:r>
          </w:p>
        </w:tc>
      </w:tr>
      <w:tr>
        <w:trPr>
          <w:trHeight w:val="213"/>
        </w:trPr>
        <w:tc>
          <w:tcPr>
            <w:tcW w:w="7080" w:type="dxa"/>
            <w:vAlign w:val="bottom"/>
            <w:shd w:val="clear" w:color="auto" w:fill="CFF0FC"/>
          </w:tcPr>
          <w:p>
            <w:pPr>
              <w:spacing w:after="0"/>
              <w:rPr>
                <w:sz w:val="20"/>
                <w:szCs w:val="20"/>
                <w:color w:val="auto"/>
              </w:rPr>
            </w:pPr>
            <w:r>
              <w:rPr>
                <w:rFonts w:ascii="Arial" w:cs="Arial" w:eastAsia="Arial" w:hAnsi="Arial"/>
                <w:sz w:val="18"/>
                <w:szCs w:val="18"/>
                <w:color w:val="auto"/>
              </w:rPr>
              <w:t>Restricted stock awards</w:t>
            </w:r>
          </w:p>
        </w:tc>
        <w:tc>
          <w:tcPr>
            <w:tcW w:w="2720" w:type="dxa"/>
            <w:vAlign w:val="bottom"/>
            <w:gridSpan w:val="3"/>
            <w:shd w:val="clear" w:color="auto" w:fill="CFF0FC"/>
          </w:tcPr>
          <w:p>
            <w:pPr>
              <w:jc w:val="right"/>
              <w:ind w:right="86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3,249,382</w:t>
            </w:r>
          </w:p>
        </w:tc>
      </w:tr>
      <w:tr>
        <w:trPr>
          <w:trHeight w:val="213"/>
        </w:trPr>
        <w:tc>
          <w:tcPr>
            <w:tcW w:w="70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Restricted stock units</w:t>
            </w:r>
          </w:p>
        </w:tc>
        <w:tc>
          <w:tcPr>
            <w:tcW w:w="198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2,145,136</w:t>
            </w:r>
          </w:p>
        </w:tc>
        <w:tc>
          <w:tcPr>
            <w:tcW w:w="180" w:type="dxa"/>
            <w:vAlign w:val="bottom"/>
            <w:tcBorders>
              <w:bottom w:val="single" w:sz="8" w:color="CFF0FC"/>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2,488,402</w:t>
            </w:r>
          </w:p>
        </w:tc>
      </w:tr>
      <w:tr>
        <w:trPr>
          <w:trHeight w:val="206"/>
        </w:trPr>
        <w:tc>
          <w:tcPr>
            <w:tcW w:w="70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98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17,890,177</w:t>
            </w:r>
          </w:p>
        </w:tc>
        <w:tc>
          <w:tcPr>
            <w:tcW w:w="180" w:type="dxa"/>
            <w:vAlign w:val="bottom"/>
            <w:tcBorders>
              <w:bottom w:val="single" w:sz="8" w:color="CFF0FC"/>
            </w:tcBorders>
            <w:shd w:val="clear" w:color="auto" w:fill="CFF0FC"/>
          </w:tcPr>
          <w:p>
            <w:pPr>
              <w:spacing w:after="0"/>
              <w:rPr>
                <w:sz w:val="17"/>
                <w:szCs w:val="17"/>
                <w:color w:val="auto"/>
              </w:rPr>
            </w:pPr>
          </w:p>
        </w:tc>
        <w:tc>
          <w:tcPr>
            <w:tcW w:w="560" w:type="dxa"/>
            <w:vAlign w:val="bottom"/>
            <w:tcBorders>
              <w:bottom w:val="single" w:sz="8" w:color="auto"/>
            </w:tcBorders>
            <w:shd w:val="clear" w:color="auto" w:fill="CFF0FC"/>
          </w:tcPr>
          <w:p>
            <w:pPr>
              <w:spacing w:after="0"/>
              <w:rPr>
                <w:sz w:val="17"/>
                <w:szCs w:val="17"/>
                <w:color w:val="auto"/>
              </w:rPr>
            </w:pPr>
          </w:p>
        </w:tc>
        <w:tc>
          <w:tcPr>
            <w:tcW w:w="1440" w:type="dxa"/>
            <w:vAlign w:val="bottom"/>
            <w:tcBorders>
              <w:bottom w:val="single" w:sz="8" w:color="auto"/>
            </w:tcBorders>
            <w:shd w:val="clear" w:color="auto" w:fill="CFF0FC"/>
          </w:tcPr>
          <w:p>
            <w:pPr>
              <w:jc w:val="right"/>
              <w:ind w:right="54"/>
              <w:spacing w:after="0"/>
              <w:rPr>
                <w:sz w:val="20"/>
                <w:szCs w:val="20"/>
                <w:color w:val="auto"/>
              </w:rPr>
            </w:pPr>
            <w:r>
              <w:rPr>
                <w:rFonts w:ascii="Arial" w:cs="Arial" w:eastAsia="Arial" w:hAnsi="Arial"/>
                <w:sz w:val="18"/>
                <w:szCs w:val="18"/>
                <w:color w:val="auto"/>
              </w:rPr>
              <w:t>12,077,860</w:t>
            </w:r>
          </w:p>
        </w:tc>
      </w:tr>
      <w:tr>
        <w:trPr>
          <w:trHeight w:val="20"/>
        </w:trPr>
        <w:tc>
          <w:tcPr>
            <w:tcW w:w="7080" w:type="dxa"/>
            <w:vAlign w:val="bottom"/>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right="8400" w:firstLine="6"/>
        <w:spacing w:after="0" w:line="389" w:lineRule="auto"/>
        <w:tabs>
          <w:tab w:leader="none" w:pos="296" w:val="left"/>
        </w:tabs>
        <w:numPr>
          <w:ilvl w:val="0"/>
          <w:numId w:val="1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Related Party Transactions </w:t>
      </w:r>
      <w:r>
        <w:rPr>
          <w:rFonts w:ascii="Arial" w:cs="Arial" w:eastAsia="Arial" w:hAnsi="Arial"/>
          <w:sz w:val="17"/>
          <w:szCs w:val="17"/>
          <w:b w:val="1"/>
          <w:bCs w:val="1"/>
          <w:i w:val="1"/>
          <w:iCs w:val="1"/>
          <w:color w:val="auto"/>
        </w:rPr>
        <w:t>Management Services Agreement</w:t>
      </w:r>
    </w:p>
    <w:p>
      <w:pPr>
        <w:spacing w:after="0" w:line="1" w:lineRule="exact"/>
        <w:rPr>
          <w:sz w:val="20"/>
          <w:szCs w:val="20"/>
          <w:color w:val="auto"/>
        </w:rPr>
      </w:pPr>
    </w:p>
    <w:p>
      <w:pPr>
        <w:ind w:right="80" w:firstLine="762"/>
        <w:spacing w:after="0" w:line="234" w:lineRule="auto"/>
        <w:rPr>
          <w:sz w:val="20"/>
          <w:szCs w:val="20"/>
          <w:color w:val="auto"/>
        </w:rPr>
      </w:pPr>
      <w:r>
        <w:rPr>
          <w:rFonts w:ascii="Arial" w:cs="Arial" w:eastAsia="Arial" w:hAnsi="Arial"/>
          <w:sz w:val="18"/>
          <w:szCs w:val="18"/>
          <w:color w:val="auto"/>
        </w:rPr>
        <w:t>In July 2015, the Company entered into a management services agreement (“MSA”) with Catterton Management Company, L.L.C. (“Catterton Management”), an affiliate of L Catterton (“Catterton”), a holder of more than 5% of the Company’s outstanding capital stock, pursuant to which Catterton Management agreed to provide consulting services on certain business and financial matters. Under the MSA, the Company agreed to pay Catterton Management an annual fee of $0.3 million until the expiration of the MSA upon the earlier of (i) termination by mutual consent of the parties and (ii) such time that Catterton and/or its affiliates cease to be one of the Company’s stockholders. For the year ended December 31, 2020, payments of the annual fees were waived. In May 2020, the MSA was terminated.</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AutoNation Reconditioning Agreement</w:t>
      </w:r>
    </w:p>
    <w:p>
      <w:pPr>
        <w:spacing w:after="0" w:line="121" w:lineRule="exact"/>
        <w:rPr>
          <w:sz w:val="20"/>
          <w:szCs w:val="20"/>
          <w:color w:val="auto"/>
        </w:rPr>
      </w:pPr>
    </w:p>
    <w:p>
      <w:pPr>
        <w:ind w:right="120" w:firstLine="749"/>
        <w:spacing w:after="0" w:line="252" w:lineRule="auto"/>
        <w:rPr>
          <w:sz w:val="20"/>
          <w:szCs w:val="20"/>
          <w:color w:val="auto"/>
        </w:rPr>
      </w:pPr>
      <w:r>
        <w:rPr>
          <w:rFonts w:ascii="Arial" w:cs="Arial" w:eastAsia="Arial" w:hAnsi="Arial"/>
          <w:sz w:val="17"/>
          <w:szCs w:val="17"/>
          <w:color w:val="auto"/>
        </w:rPr>
        <w:t>In January 2019, the Company entered into a vendor agreement (“Vendor Agreement”) with AutoNation, Inc. (“AutoNation”), an affiliate of Auto Holdings, Inc., a holder of more than 5% of the Company’s outstanding capital stock, pursuant to which AutoNation agreed to provide certain reconditioning and repair services for vehicles owned by the Company. Amounts due under the Vendor Agreement for parts supplied and services performed by AutoNation become due and payable as they accrue. The Vendor Agreement was terminated in February</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2020.</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50800</wp:posOffset>
            </wp:positionV>
            <wp:extent cx="715962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10" w:lineRule="exact"/>
        <w:rPr>
          <w:sz w:val="20"/>
          <w:szCs w:val="20"/>
          <w:color w:val="auto"/>
        </w:rPr>
      </w:pPr>
    </w:p>
    <w:p>
      <w:pPr>
        <w:ind w:right="60"/>
        <w:spacing w:after="0" w:line="235"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our condensed consolidated financial statements and related notes appearing elsewhere in this Quarterly Report on Form 10-Q. As discussed in the section titled "Special Note Regarding Forward-Looking Statements," the following discussion and analysis contains forward-looking statements that involve risks and uncertainties, as well as assumptions that, if they never materialize or prove incorrect, could cause our results to differ materially from those expressed or implied by such forward-looking statements. Factors that could cause or contribute to these differences include, but are not limited to, those identified below and those incorporated by reference into the section titled "Risk Factors" in Part I, Item 1A of our Annual Report on Form 10-K for the year ended December 31, 2020 (the “Annual Report”), as updated by the section titled "Risk Factors" in Part II, Item 1A of this Quarterly Report on Form 10-Q. Additionally, our historical results are not necessarily indicative of the results that may be expected for any period in the future.</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Overview</w:t>
      </w:r>
    </w:p>
    <w:p>
      <w:pPr>
        <w:spacing w:after="0" w:line="228" w:lineRule="exact"/>
        <w:rPr>
          <w:sz w:val="20"/>
          <w:szCs w:val="20"/>
          <w:color w:val="auto"/>
        </w:rPr>
      </w:pPr>
    </w:p>
    <w:p>
      <w:pPr>
        <w:ind w:right="80" w:firstLine="762"/>
        <w:spacing w:after="0" w:line="239" w:lineRule="auto"/>
        <w:rPr>
          <w:sz w:val="20"/>
          <w:szCs w:val="20"/>
          <w:color w:val="auto"/>
        </w:rPr>
      </w:pPr>
      <w:r>
        <w:rPr>
          <w:rFonts w:ascii="Arial" w:cs="Arial" w:eastAsia="Arial" w:hAnsi="Arial"/>
          <w:sz w:val="18"/>
          <w:szCs w:val="18"/>
          <w:color w:val="auto"/>
        </w:rPr>
        <w:t>Vroom is an innovative, end-to-end ecommerce platform that is transforming the used vehicle industry by offering a better way to buy and a better way to sell used vehicles. We are deeply committed to creating an exceptional experience for our customers.</w:t>
      </w:r>
    </w:p>
    <w:p>
      <w:pPr>
        <w:spacing w:after="0" w:line="200" w:lineRule="exact"/>
        <w:rPr>
          <w:sz w:val="20"/>
          <w:szCs w:val="20"/>
          <w:color w:val="auto"/>
        </w:rPr>
      </w:pPr>
    </w:p>
    <w:p>
      <w:pPr>
        <w:ind w:right="580" w:firstLine="762"/>
        <w:spacing w:after="0" w:line="236" w:lineRule="auto"/>
        <w:rPr>
          <w:sz w:val="20"/>
          <w:szCs w:val="20"/>
          <w:color w:val="auto"/>
        </w:rPr>
      </w:pPr>
      <w:r>
        <w:rPr>
          <w:rFonts w:ascii="Arial" w:cs="Arial" w:eastAsia="Arial" w:hAnsi="Arial"/>
          <w:sz w:val="18"/>
          <w:szCs w:val="18"/>
          <w:color w:val="auto"/>
        </w:rPr>
        <w:t>We are driving enduring change in the industry on a national scale. We take a vertically integrated, asset-light approach that is reinventing all phases of the vehicle buying and selling process, from discovery to delivery and everything in between. Our platform encompasses:</w:t>
      </w:r>
    </w:p>
    <w:p>
      <w:pPr>
        <w:spacing w:after="0" w:line="179" w:lineRule="exact"/>
        <w:rPr>
          <w:sz w:val="20"/>
          <w:szCs w:val="20"/>
          <w:color w:val="auto"/>
        </w:rPr>
      </w:pPr>
    </w:p>
    <w:p>
      <w:pPr>
        <w:ind w:left="1020" w:right="40" w:hanging="255"/>
        <w:spacing w:after="0" w:line="257" w:lineRule="auto"/>
        <w:tabs>
          <w:tab w:leader="none" w:pos="1020" w:val="left"/>
        </w:tabs>
        <w:numPr>
          <w:ilvl w:val="0"/>
          <w:numId w:val="14"/>
        </w:numPr>
        <w:rPr>
          <w:rFonts w:ascii="Arial" w:cs="Arial" w:eastAsia="Arial" w:hAnsi="Arial"/>
          <w:sz w:val="17"/>
          <w:szCs w:val="17"/>
          <w:color w:val="auto"/>
        </w:rPr>
      </w:pPr>
      <w:r>
        <w:rPr>
          <w:rFonts w:ascii="Arial" w:cs="Arial" w:eastAsia="Arial" w:hAnsi="Arial"/>
          <w:sz w:val="17"/>
          <w:szCs w:val="17"/>
          <w:b w:val="1"/>
          <w:bCs w:val="1"/>
          <w:color w:val="auto"/>
        </w:rPr>
        <w:t xml:space="preserve">Ecommerce: </w:t>
      </w:r>
      <w:r>
        <w:rPr>
          <w:rFonts w:ascii="Arial" w:cs="Arial" w:eastAsia="Arial" w:hAnsi="Arial"/>
          <w:sz w:val="17"/>
          <w:szCs w:val="17"/>
          <w:color w:val="auto"/>
        </w:rPr>
        <w:t>We offer an exceptional ecommerce experience for our customers. In contrast to legacy dealerships and the peer-to-peer market, we provide consumers with a personalized and intuitive ecommerce interface to research and select from thousands of fully reconditioned vehicles. Our platform is accessible at any time on any device and provides transparent pricing, real-time financing and nationwide contact-free delivery right to a buyer’s driveway. For consumers looking to sell or trade in their vehicles, we provide attractive market-based pricing, real-time price quotes and convenient, contact-free at-home vehicle pick-up.</w:t>
      </w:r>
    </w:p>
    <w:p>
      <w:pPr>
        <w:spacing w:after="0" w:line="164" w:lineRule="exact"/>
        <w:rPr>
          <w:rFonts w:ascii="Arial" w:cs="Arial" w:eastAsia="Arial" w:hAnsi="Arial"/>
          <w:sz w:val="17"/>
          <w:szCs w:val="17"/>
          <w:color w:val="auto"/>
        </w:rPr>
      </w:pPr>
    </w:p>
    <w:p>
      <w:pPr>
        <w:ind w:left="1020" w:hanging="255"/>
        <w:spacing w:after="0" w:line="237"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b w:val="1"/>
          <w:bCs w:val="1"/>
          <w:color w:val="auto"/>
        </w:rPr>
        <w:t xml:space="preserve">Vehicle Operations: </w:t>
      </w:r>
      <w:r>
        <w:rPr>
          <w:rFonts w:ascii="Arial" w:cs="Arial" w:eastAsia="Arial" w:hAnsi="Arial"/>
          <w:sz w:val="18"/>
          <w:szCs w:val="18"/>
          <w:color w:val="auto"/>
        </w:rPr>
        <w:t>Our scalable and vertically integrated operations underpin our business model. We strategically source</w:t>
      </w:r>
      <w:r>
        <w:rPr>
          <w:rFonts w:ascii="Arial" w:cs="Arial" w:eastAsia="Arial" w:hAnsi="Arial"/>
          <w:sz w:val="18"/>
          <w:szCs w:val="18"/>
          <w:b w:val="1"/>
          <w:bCs w:val="1"/>
          <w:color w:val="auto"/>
        </w:rPr>
        <w:t xml:space="preserve"> </w:t>
      </w:r>
      <w:r>
        <w:rPr>
          <w:rFonts w:ascii="Arial" w:cs="Arial" w:eastAsia="Arial" w:hAnsi="Arial"/>
          <w:sz w:val="18"/>
          <w:szCs w:val="18"/>
          <w:color w:val="auto"/>
        </w:rPr>
        <w:t>inventory from auctions, consumers, rental car companies, original equipment manufacturers (“OEMs”) and dealers. We improve our ability to acquire high-demand vehicles through enhanced supply science across all our sourcing channels and we have expanded our national marketing efforts to drive consumer sourcing. In our reconditioning and logistics operations, we deploy an asset-light strategy that optimizes a combination of ownership and operation of assets by us with strategic third-party partnerships. This hybrid approach provides flexibility, agility and speed without taking on unnecessary risk and capital investment, and drives improved unit economics and operating leverage.</w:t>
      </w:r>
    </w:p>
    <w:p>
      <w:pPr>
        <w:spacing w:after="0" w:line="179" w:lineRule="exact"/>
        <w:rPr>
          <w:rFonts w:ascii="Arial" w:cs="Arial" w:eastAsia="Arial" w:hAnsi="Arial"/>
          <w:sz w:val="18"/>
          <w:szCs w:val="18"/>
          <w:color w:val="auto"/>
        </w:rPr>
      </w:pPr>
    </w:p>
    <w:p>
      <w:pPr>
        <w:ind w:left="1020" w:right="260" w:hanging="255"/>
        <w:spacing w:after="0" w:line="238"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b w:val="1"/>
          <w:bCs w:val="1"/>
          <w:color w:val="auto"/>
        </w:rPr>
        <w:t xml:space="preserve">Data Science and Experimentation: </w:t>
      </w:r>
      <w:r>
        <w:rPr>
          <w:rFonts w:ascii="Arial" w:cs="Arial" w:eastAsia="Arial" w:hAnsi="Arial"/>
          <w:sz w:val="18"/>
          <w:szCs w:val="18"/>
          <w:color w:val="auto"/>
        </w:rPr>
        <w:t>Data science and experimentation are at the core of everything we do. We rely on data</w:t>
      </w:r>
      <w:r>
        <w:rPr>
          <w:rFonts w:ascii="Arial" w:cs="Arial" w:eastAsia="Arial" w:hAnsi="Arial"/>
          <w:sz w:val="18"/>
          <w:szCs w:val="18"/>
          <w:b w:val="1"/>
          <w:bCs w:val="1"/>
          <w:color w:val="auto"/>
        </w:rPr>
        <w:t xml:space="preserve"> </w:t>
      </w:r>
      <w:r>
        <w:rPr>
          <w:rFonts w:ascii="Arial" w:cs="Arial" w:eastAsia="Arial" w:hAnsi="Arial"/>
          <w:sz w:val="18"/>
          <w:szCs w:val="18"/>
          <w:color w:val="auto"/>
        </w:rPr>
        <w:t>science, machine learning and A/B and multivariate testing to continually drive optimization and operating leverage across our ecommerce and vehicle operations. We leverage data to increase the effectiveness of our national brand and performance marketing, enhance the customer experience, analyze market dynamics at scale, calibrate our vehicle pricing and optimize our overall inventory sales velocity. On the operations side, data science and experimentation enables us to fine tune our supply, sourcing and logistics models and to streamline our reconditioning processes.</w:t>
      </w:r>
    </w:p>
    <w:p>
      <w:pPr>
        <w:spacing w:after="0" w:line="201" w:lineRule="exact"/>
        <w:rPr>
          <w:sz w:val="20"/>
          <w:szCs w:val="20"/>
          <w:color w:val="auto"/>
        </w:rPr>
      </w:pPr>
    </w:p>
    <w:p>
      <w:pPr>
        <w:ind w:right="40" w:firstLine="762"/>
        <w:spacing w:after="0" w:line="233" w:lineRule="auto"/>
        <w:rPr>
          <w:sz w:val="20"/>
          <w:szCs w:val="20"/>
          <w:color w:val="auto"/>
        </w:rPr>
      </w:pPr>
      <w:r>
        <w:rPr>
          <w:rFonts w:ascii="Arial" w:cs="Arial" w:eastAsia="Arial" w:hAnsi="Arial"/>
          <w:sz w:val="18"/>
          <w:szCs w:val="18"/>
          <w:color w:val="auto"/>
        </w:rPr>
        <w:t>Based on data from Cox Automotive, there were an estimated 37.2 million used vehicle transactions in 2020. The U.S. used automotive market is also highly fragmented, with over 42,000 dealers and millions of peer-to-peer transactions across the country. It also is ripe for disruption as an industry that is notorious for consumer dissatisfaction and has one of the lowest levels of ecommerce penetration. Industry reports estimate that ecommerce penetration will grow to as much as half of all used vehicle sales by 2030. Our platform, coupled with our national presence and brand, provides a significant competitive advantage versus local dealerships and regional players that lack nationwide reach and scalable technology, operations and logistics. The traditional auto dealers and peer-to-peer market do not and cannot offer consumers what we offer.</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50800</wp:posOffset>
            </wp:positionV>
            <wp:extent cx="715962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Our Model</w:t>
      </w:r>
    </w:p>
    <w:p>
      <w:pPr>
        <w:spacing w:after="0" w:line="228" w:lineRule="exact"/>
        <w:rPr>
          <w:sz w:val="20"/>
          <w:szCs w:val="20"/>
          <w:color w:val="auto"/>
        </w:rPr>
      </w:pPr>
    </w:p>
    <w:p>
      <w:pPr>
        <w:ind w:right="200" w:firstLine="762"/>
        <w:spacing w:after="0" w:line="252" w:lineRule="auto"/>
        <w:rPr>
          <w:sz w:val="20"/>
          <w:szCs w:val="20"/>
          <w:color w:val="auto"/>
        </w:rPr>
      </w:pPr>
      <w:r>
        <w:rPr>
          <w:rFonts w:ascii="Arial" w:cs="Arial" w:eastAsia="Arial" w:hAnsi="Arial"/>
          <w:sz w:val="17"/>
          <w:szCs w:val="17"/>
          <w:color w:val="auto"/>
        </w:rPr>
        <w:t>We generate revenue through the sale of used vehicles and value-added products. We sell vehicles directly to consumers primarily through our Ecommerce segment. As the largest segment in our business, Ecommerce revenue grew 230.2% from the three months ended June 30, 2020 to the three months ended June 30, 2021 and 145.1% from the six months ended June 30, 2020 to the six months ended June 30, 2021, and we expect Ecommerce to continue to outgrow our other segments as it is the core focus of our growth strategy.</w:t>
      </w:r>
    </w:p>
    <w:p>
      <w:pPr>
        <w:spacing w:after="0" w:line="191" w:lineRule="exact"/>
        <w:rPr>
          <w:sz w:val="20"/>
          <w:szCs w:val="20"/>
          <w:color w:val="auto"/>
        </w:rPr>
      </w:pPr>
    </w:p>
    <w:p>
      <w:pPr>
        <w:jc w:val="both"/>
        <w:ind w:right="320" w:firstLine="762"/>
        <w:spacing w:after="0" w:line="236" w:lineRule="auto"/>
        <w:rPr>
          <w:sz w:val="20"/>
          <w:szCs w:val="20"/>
          <w:color w:val="auto"/>
        </w:rPr>
      </w:pPr>
      <w:r>
        <w:rPr>
          <w:rFonts w:ascii="Arial" w:cs="Arial" w:eastAsia="Arial" w:hAnsi="Arial"/>
          <w:sz w:val="18"/>
          <w:szCs w:val="18"/>
          <w:color w:val="auto"/>
        </w:rPr>
        <w:t>We also sell vehicles through wholesale channels, which provide a revenue source for vehicles that do not meet our Vroom retail sales criteria. Additionally, we generate revenue through the retail sale of used vehicles and value-added products at Houston-based Texas Direct Auto, or TDA.</w:t>
      </w:r>
    </w:p>
    <w:p>
      <w:pPr>
        <w:spacing w:after="0" w:line="201" w:lineRule="exact"/>
        <w:rPr>
          <w:sz w:val="20"/>
          <w:szCs w:val="20"/>
          <w:color w:val="auto"/>
        </w:rPr>
      </w:pPr>
    </w:p>
    <w:p>
      <w:pPr>
        <w:ind w:right="20" w:firstLine="762"/>
        <w:spacing w:after="0" w:line="236" w:lineRule="auto"/>
        <w:rPr>
          <w:sz w:val="20"/>
          <w:szCs w:val="20"/>
          <w:color w:val="auto"/>
        </w:rPr>
      </w:pPr>
      <w:r>
        <w:rPr>
          <w:rFonts w:ascii="Arial" w:cs="Arial" w:eastAsia="Arial" w:hAnsi="Arial"/>
          <w:sz w:val="18"/>
          <w:szCs w:val="18"/>
          <w:color w:val="auto"/>
        </w:rPr>
        <w:t>Our Ecommerce, Wholesale and TDA segments represented 76.1%, 16.8%, and 6.7%, respectively, of our total revenue for the three months ended June 30, 2021 and represented 74.1%, 18.2%, and 7.3%, respectively, of our total revenue for the six months ended June 30, 2021.</w:t>
      </w:r>
    </w:p>
    <w:p>
      <w:pPr>
        <w:spacing w:after="0" w:line="201" w:lineRule="exact"/>
        <w:rPr>
          <w:sz w:val="20"/>
          <w:szCs w:val="20"/>
          <w:color w:val="auto"/>
        </w:rPr>
      </w:pPr>
    </w:p>
    <w:p>
      <w:pPr>
        <w:ind w:firstLine="762"/>
        <w:spacing w:after="0" w:line="234" w:lineRule="auto"/>
        <w:rPr>
          <w:sz w:val="20"/>
          <w:szCs w:val="20"/>
          <w:color w:val="auto"/>
        </w:rPr>
      </w:pPr>
      <w:r>
        <w:rPr>
          <w:rFonts w:ascii="Arial" w:cs="Arial" w:eastAsia="Arial" w:hAnsi="Arial"/>
          <w:sz w:val="18"/>
          <w:szCs w:val="18"/>
          <w:color w:val="auto"/>
        </w:rPr>
        <w:t>Our retail gross profit consists of two components: Vehicle Gross Profit and Product Gross Profit. Vehicle Gross Profit is calculated as the aggregate retail sales price for all vehicles sold to customers along with delivery fee revenue and document fees received from customers, less the aggregate cost to acquire such vehicles, the aggregate cost of inbound transportation for such vehicles to our vehicle reconditioning centers, which we refer to as VRCs, and the aggregate cost of reconditioning such vehicles for sale. Product Gross Profit consists of fees earned on any finance and protection products sold as part of a vehicle sale. Because we are paid fees on the value-added products we sell, our gross profit on such products is equal to the revenue we generate. See “—Key Operating and Financial Metrics.”</w:t>
      </w:r>
    </w:p>
    <w:p>
      <w:pPr>
        <w:spacing w:after="0" w:line="18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Below is an explanation of how we calculate vehicle gross profit per unit and product gross profit per unit: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485775</wp:posOffset>
            </wp:positionH>
            <wp:positionV relativeFrom="paragraph">
              <wp:posOffset>266700</wp:posOffset>
            </wp:positionV>
            <wp:extent cx="5215255" cy="23412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215255" cy="23412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right="60" w:firstLine="762"/>
        <w:spacing w:after="0" w:line="249" w:lineRule="auto"/>
        <w:rPr>
          <w:sz w:val="20"/>
          <w:szCs w:val="20"/>
          <w:color w:val="auto"/>
        </w:rPr>
      </w:pPr>
      <w:r>
        <w:rPr>
          <w:rFonts w:ascii="Arial" w:cs="Arial" w:eastAsia="Arial" w:hAnsi="Arial"/>
          <w:sz w:val="17"/>
          <w:szCs w:val="17"/>
          <w:color w:val="auto"/>
        </w:rPr>
        <w:t>Our profitability depends primarily on increasing unit sales and operating leverage, as well as improving unit economics. We deploy an asset-light strategy that optimizes a combination of ownership and operation of assets by us with strategic third-party partnerships. Our hybrid approach also applies to the third-party value-added products we sell to customers, which currently enables us to generate additional revenue streams without taking on the risk associated with underwriting vehicle financing or protection products, however in the future may include proprietary finance products. As we scale, we expect to benefit from efficiencies and operating leverage across our business, including our marketing and technology investments, and our inventory procurement, logistics, reconditioning and sales processes.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50800</wp:posOffset>
            </wp:positionV>
            <wp:extent cx="715962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Inventory Sourcing</w:t>
      </w:r>
    </w:p>
    <w:p>
      <w:pPr>
        <w:spacing w:after="0" w:line="228" w:lineRule="exact"/>
        <w:rPr>
          <w:sz w:val="20"/>
          <w:szCs w:val="20"/>
          <w:color w:val="auto"/>
        </w:rPr>
      </w:pPr>
    </w:p>
    <w:p>
      <w:pPr>
        <w:ind w:right="20" w:firstLine="764"/>
        <w:spacing w:after="0" w:line="232" w:lineRule="auto"/>
        <w:rPr>
          <w:sz w:val="20"/>
          <w:szCs w:val="20"/>
          <w:color w:val="auto"/>
        </w:rPr>
      </w:pPr>
      <w:r>
        <w:rPr>
          <w:rFonts w:ascii="Arial" w:cs="Arial" w:eastAsia="Arial" w:hAnsi="Arial"/>
          <w:sz w:val="18"/>
          <w:szCs w:val="18"/>
          <w:color w:val="auto"/>
        </w:rPr>
        <w:t>We source our vehicle inventory from a variety of channels, including auctions, consumers, rental car companies, OEMs and dealers. Because the quality of vehicles and associated gross margin profile vary across each channel, the mix of inventory sources has an impact on our profitability. We continually evaluate the optimal mix of sourcing channels to generate the highest sales margins and shortest inventory turns, both of which contribute to increased gross profit per unit. We generate a vast set of predictive data derived from market demand, pricing dynamics, vehicle acquisitions and subsequent sales, and we leverage that data to optimize future vehicle acquisitions, which we believe has been enhanced by the acquisition of CarStory and integration of its advanced data analytics. As we scale, we expect to continue to leverage the data at our disposal to optimize and enhance the volume and selection of vehicles in our inventory and, in turn, drive revenue growth and profitability. We are also exploring and testing third-party inventory strategies, which offers the possibility of expanding our sourcing channels through third-party sellers while offering us attractive revenue models in an asset light, debt free structure. See “—Other Key Factors and Trends Affecting our Operating Results—Ability to drive growth by cost effectively increasing the volume and selection of vehicles in our inventory.”</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Vehicle Reconditioning</w:t>
      </w:r>
    </w:p>
    <w:p>
      <w:pPr>
        <w:spacing w:after="0" w:line="228" w:lineRule="exact"/>
        <w:rPr>
          <w:sz w:val="20"/>
          <w:szCs w:val="20"/>
          <w:color w:val="auto"/>
        </w:rPr>
      </w:pPr>
    </w:p>
    <w:p>
      <w:pPr>
        <w:ind w:right="40" w:firstLine="762"/>
        <w:spacing w:after="0" w:line="233" w:lineRule="auto"/>
        <w:rPr>
          <w:sz w:val="20"/>
          <w:szCs w:val="20"/>
          <w:color w:val="auto"/>
        </w:rPr>
      </w:pPr>
      <w:r>
        <w:rPr>
          <w:rFonts w:ascii="Arial" w:cs="Arial" w:eastAsia="Arial" w:hAnsi="Arial"/>
          <w:sz w:val="18"/>
          <w:szCs w:val="18"/>
          <w:color w:val="auto"/>
        </w:rPr>
        <w:t>Before a vehicle is listed for retail sale on our platform, it undergoes a thorough reconditioning process in order to meet our Vroom retail sales criteria. The efficiency of this reconditioning process is a key element in our ability to profitably grow. To recondition vehicles, we rely on a combination of our Vroom VRC along with a network of VRCs owned and operated by third parties, and we intend to continue to expand our network of third-party and Vroom owned VRCs. Utilizing this hybrid approach, we have increased our total reconditioning capacity to approximately 2,800 units per week as of June 30, 2021, with approximately three -fourths from our twenty-eight third-party VRCs. As we are increasing the number of vehicles in our inventory and expanding our reconditioning capacity, we expect that reconditioning costs and inbound shipping costs per unit will continue to decrease as we benefit from economies of scale and operating leverage in reconditioning costs. See “— Other Key Factors and Trends Affecting our Operating Results—Ability to expand and optimize our reconditioning capacity to satisfy increasing demand.”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Logistics Network</w:t>
      </w:r>
    </w:p>
    <w:p>
      <w:pPr>
        <w:spacing w:after="0" w:line="214" w:lineRule="exact"/>
        <w:rPr>
          <w:sz w:val="20"/>
          <w:szCs w:val="20"/>
          <w:color w:val="auto"/>
        </w:rPr>
      </w:pPr>
    </w:p>
    <w:p>
      <w:pPr>
        <w:ind w:firstLine="762"/>
        <w:spacing w:after="0" w:line="232" w:lineRule="auto"/>
        <w:rPr>
          <w:sz w:val="20"/>
          <w:szCs w:val="20"/>
          <w:color w:val="auto"/>
        </w:rPr>
      </w:pPr>
      <w:r>
        <w:rPr>
          <w:rFonts w:ascii="Arial" w:cs="Arial" w:eastAsia="Arial" w:hAnsi="Arial"/>
          <w:sz w:val="18"/>
          <w:szCs w:val="18"/>
          <w:color w:val="auto"/>
        </w:rPr>
        <w:t>For our logistics operations, we primarily have used national third-party carriers, which has allowed us to efficiently deliver vehicles to customers throughout the United States while focusing on expanding other critical components of our business, such as the volume and selection of vehicles in our inventory. We optimized our third-party logistics network nationally through the development of strategic carrier arrangements with national haulers and consolidated our carrier base into dedicated operating regions. This strategy enhanced the flexibility, agility and speed of our growth while reducing the need for additional capital commitments as we scaled our business. Since the start of the COVID-19 pandemic, we have experienced a reduced supply of carriers combined with increased demand for carriers from competitors, resulting in increased shipping prices and delays. In response to these disruptions, and to further enhance the quality of our logistics operations and our customer experience, we have been accelerating our strategy to optimize our hybrid approach by expanding our proprietary logistics network. Initially we have been prioritizing investment in our last-mile delivery operations where we can have the greatest impact on the customer experience. We also have invested in short-haul trucks to make regional deliveries from our last mile hubs, and are investing in long-haul vehicles for hub-to-hub shipments. Consistent with our hybrid approach, as we scale our business, we continue to strategically combine the operation of our expanded proprietary fleet with the use of third-party carriers, which we expect will enable us to both accommodate our growth and provide the highest level of customer service. See “—Other Key Factors and Trends Affecting our Operating Results—Ability to expand and develop our logistics network.”</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Value-Added Products</w:t>
      </w:r>
    </w:p>
    <w:p>
      <w:pPr>
        <w:spacing w:after="0" w:line="228" w:lineRule="exact"/>
        <w:rPr>
          <w:sz w:val="20"/>
          <w:szCs w:val="20"/>
          <w:color w:val="auto"/>
        </w:rPr>
      </w:pPr>
    </w:p>
    <w:p>
      <w:pPr>
        <w:ind w:right="200" w:firstLine="762"/>
        <w:spacing w:after="0" w:line="233" w:lineRule="auto"/>
        <w:rPr>
          <w:sz w:val="20"/>
          <w:szCs w:val="20"/>
          <w:color w:val="auto"/>
        </w:rPr>
      </w:pPr>
      <w:r>
        <w:rPr>
          <w:rFonts w:ascii="Arial" w:cs="Arial" w:eastAsia="Arial" w:hAnsi="Arial"/>
          <w:sz w:val="18"/>
          <w:szCs w:val="18"/>
          <w:color w:val="auto"/>
        </w:rPr>
        <w:t>We generate revenue by earning fees for selling value-added products to customers in connection with vehicle sales. Currently, our third-party value-added product offering consists of finance and protection products, including financing from third-party lenders for our customers’ vehicle purchases, as well as sales of vehicle service contracts, GAP protection and tire and wheel coverage. As we scale our business, we intend to introduce additional value-added products that will be attractive to our customers and drive revenue and profitable growth. We expect that both expanded product offerings and increased attachment rates in value-added product sales will have a positive impact on our profitability. Consistent with our hybrid approach, we also are exploring a variety of options to expand our finance product offering to include Vroom proprietary finance products. See “—Other Key Factors and Trends Affecting our Operating Results—Ability to increase and better monetize value-added products.”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50800</wp:posOffset>
            </wp:positionV>
            <wp:extent cx="715962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Our Segments</w:t>
      </w:r>
    </w:p>
    <w:p>
      <w:pPr>
        <w:spacing w:after="0" w:line="22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We manage and report operating results through three reportable segments:</w:t>
      </w:r>
    </w:p>
    <w:p>
      <w:pPr>
        <w:spacing w:after="0" w:line="184" w:lineRule="exact"/>
        <w:rPr>
          <w:sz w:val="20"/>
          <w:szCs w:val="20"/>
          <w:color w:val="auto"/>
        </w:rPr>
      </w:pPr>
    </w:p>
    <w:p>
      <w:pPr>
        <w:ind w:left="1020" w:right="40" w:hanging="255"/>
        <w:spacing w:after="0" w:line="247"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b w:val="1"/>
          <w:bCs w:val="1"/>
          <w:color w:val="auto"/>
        </w:rPr>
        <w:t xml:space="preserve">Ecommerce </w:t>
      </w:r>
      <w:r>
        <w:rPr>
          <w:rFonts w:ascii="Arial" w:cs="Arial" w:eastAsia="Arial" w:hAnsi="Arial"/>
          <w:sz w:val="18"/>
          <w:szCs w:val="18"/>
          <w:color w:val="auto"/>
        </w:rPr>
        <w:t>(76.1% and 74.1% of total revenue for the three and six months ended June 30, 2021, respectively): The</w:t>
      </w:r>
      <w:r>
        <w:rPr>
          <w:rFonts w:ascii="Arial" w:cs="Arial" w:eastAsia="Arial" w:hAnsi="Arial"/>
          <w:sz w:val="18"/>
          <w:szCs w:val="18"/>
          <w:b w:val="1"/>
          <w:bCs w:val="1"/>
          <w:color w:val="auto"/>
        </w:rPr>
        <w:t xml:space="preserve"> </w:t>
      </w:r>
      <w:r>
        <w:rPr>
          <w:rFonts w:ascii="Arial" w:cs="Arial" w:eastAsia="Arial" w:hAnsi="Arial"/>
          <w:sz w:val="18"/>
          <w:szCs w:val="18"/>
          <w:color w:val="auto"/>
        </w:rPr>
        <w:t>Ecommerce segment represents retail sales of used vehicles through our ecommerce platform and fees earned on sales of value-added products associated with those vehicle sales.</w:t>
      </w:r>
    </w:p>
    <w:p>
      <w:pPr>
        <w:spacing w:after="0" w:line="172" w:lineRule="exact"/>
        <w:rPr>
          <w:rFonts w:ascii="Arial" w:cs="Arial" w:eastAsia="Arial" w:hAnsi="Arial"/>
          <w:sz w:val="18"/>
          <w:szCs w:val="18"/>
          <w:color w:val="auto"/>
        </w:rPr>
      </w:pPr>
    </w:p>
    <w:p>
      <w:pPr>
        <w:ind w:left="1020" w:right="220" w:hanging="255"/>
        <w:spacing w:after="0" w:line="263"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b w:val="1"/>
          <w:bCs w:val="1"/>
          <w:color w:val="auto"/>
        </w:rPr>
        <w:t xml:space="preserve">Wholesale </w:t>
      </w:r>
      <w:r>
        <w:rPr>
          <w:rFonts w:ascii="Arial" w:cs="Arial" w:eastAsia="Arial" w:hAnsi="Arial"/>
          <w:sz w:val="18"/>
          <w:szCs w:val="18"/>
          <w:color w:val="auto"/>
        </w:rPr>
        <w:t>(16.8% and 18.2% of total revenue for the three and six months ended June 30, 2021, respectively): The Wholesale</w:t>
      </w:r>
      <w:r>
        <w:rPr>
          <w:rFonts w:ascii="Arial" w:cs="Arial" w:eastAsia="Arial" w:hAnsi="Arial"/>
          <w:sz w:val="18"/>
          <w:szCs w:val="18"/>
          <w:b w:val="1"/>
          <w:bCs w:val="1"/>
          <w:color w:val="auto"/>
        </w:rPr>
        <w:t xml:space="preserve"> </w:t>
      </w:r>
      <w:r>
        <w:rPr>
          <w:rFonts w:ascii="Arial" w:cs="Arial" w:eastAsia="Arial" w:hAnsi="Arial"/>
          <w:sz w:val="18"/>
          <w:szCs w:val="18"/>
          <w:color w:val="auto"/>
        </w:rPr>
        <w:t>segment represents sales of used vehicles through wholesale channels.</w:t>
      </w:r>
    </w:p>
    <w:p>
      <w:pPr>
        <w:spacing w:after="0" w:line="158" w:lineRule="exact"/>
        <w:rPr>
          <w:rFonts w:ascii="Arial" w:cs="Arial" w:eastAsia="Arial" w:hAnsi="Arial"/>
          <w:sz w:val="18"/>
          <w:szCs w:val="18"/>
          <w:color w:val="auto"/>
        </w:rPr>
      </w:pPr>
    </w:p>
    <w:p>
      <w:pPr>
        <w:ind w:left="1020" w:right="20" w:hanging="255"/>
        <w:spacing w:after="0" w:line="247"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b w:val="1"/>
          <w:bCs w:val="1"/>
          <w:color w:val="auto"/>
        </w:rPr>
        <w:t xml:space="preserve">TDA </w:t>
      </w:r>
      <w:r>
        <w:rPr>
          <w:rFonts w:ascii="Arial" w:cs="Arial" w:eastAsia="Arial" w:hAnsi="Arial"/>
          <w:sz w:val="18"/>
          <w:szCs w:val="18"/>
          <w:color w:val="auto"/>
        </w:rPr>
        <w:t>(6.7% and 7.3% of total revenue for the three and six months ended June 30, 2021, respectively): The TDA segment</w:t>
      </w:r>
      <w:r>
        <w:rPr>
          <w:rFonts w:ascii="Arial" w:cs="Arial" w:eastAsia="Arial" w:hAnsi="Arial"/>
          <w:sz w:val="18"/>
          <w:szCs w:val="18"/>
          <w:b w:val="1"/>
          <w:bCs w:val="1"/>
          <w:color w:val="auto"/>
        </w:rPr>
        <w:t xml:space="preserve"> </w:t>
      </w:r>
      <w:r>
        <w:rPr>
          <w:rFonts w:ascii="Arial" w:cs="Arial" w:eastAsia="Arial" w:hAnsi="Arial"/>
          <w:sz w:val="18"/>
          <w:szCs w:val="18"/>
          <w:color w:val="auto"/>
        </w:rPr>
        <w:t>represents retail sales of used vehicles from TDA and fees earned on sales of value-added products associated with those vehicle sales.</w:t>
      </w:r>
    </w:p>
    <w:p>
      <w:pPr>
        <w:spacing w:after="0" w:line="195" w:lineRule="exact"/>
        <w:rPr>
          <w:sz w:val="20"/>
          <w:szCs w:val="20"/>
          <w:color w:val="auto"/>
        </w:rPr>
      </w:pPr>
    </w:p>
    <w:p>
      <w:pPr>
        <w:ind w:right="580" w:firstLine="762"/>
        <w:spacing w:after="0" w:line="239" w:lineRule="auto"/>
        <w:rPr>
          <w:sz w:val="20"/>
          <w:szCs w:val="20"/>
          <w:color w:val="auto"/>
        </w:rPr>
      </w:pPr>
      <w:r>
        <w:rPr>
          <w:rFonts w:ascii="Arial" w:cs="Arial" w:eastAsia="Arial" w:hAnsi="Arial"/>
          <w:sz w:val="18"/>
          <w:szCs w:val="18"/>
          <w:color w:val="auto"/>
        </w:rPr>
        <w:t>Gross profit is defined as revenue less cost of sales for each segment. Reflected below is a summary of segment revenue and segment gross profit for the three and six months ended June 30, 2021 and 2020:</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80" w:type="dxa"/>
            <w:vAlign w:val="bottom"/>
            <w:gridSpan w:val="5"/>
          </w:tcPr>
          <w:p>
            <w:pPr>
              <w:jc w:val="center"/>
              <w:ind w:right="52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4"/>
                <w:szCs w:val="14"/>
                <w:color w:val="auto"/>
              </w:rPr>
            </w:pPr>
          </w:p>
        </w:tc>
        <w:tc>
          <w:tcPr>
            <w:tcW w:w="2400" w:type="dxa"/>
            <w:vAlign w:val="bottom"/>
            <w:gridSpan w:val="6"/>
          </w:tcPr>
          <w:p>
            <w:pPr>
              <w:jc w:val="center"/>
              <w:ind w:right="340"/>
              <w:spacing w:after="0"/>
              <w:rPr>
                <w:sz w:val="20"/>
                <w:szCs w:val="20"/>
                <w:color w:val="auto"/>
              </w:rPr>
            </w:pPr>
            <w:r>
              <w:rPr>
                <w:rFonts w:ascii="Arial" w:cs="Arial" w:eastAsia="Arial" w:hAnsi="Arial"/>
                <w:sz w:val="14"/>
                <w:szCs w:val="14"/>
                <w:b w:val="1"/>
                <w:bCs w:val="1"/>
                <w:color w:val="auto"/>
              </w:rPr>
              <w:t>Six Months Ended</w:t>
            </w:r>
          </w:p>
        </w:tc>
      </w:tr>
      <w:tr>
        <w:trPr>
          <w:trHeight w:val="173"/>
        </w:trPr>
        <w:tc>
          <w:tcPr>
            <w:tcW w:w="58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3"/>
          </w:tcPr>
          <w:p>
            <w:pPr>
              <w:jc w:val="center"/>
              <w:ind w:left="556"/>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4"/>
          </w:tcPr>
          <w:p>
            <w:pPr>
              <w:jc w:val="center"/>
              <w:ind w:left="596"/>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66"/>
        </w:trPr>
        <w:tc>
          <w:tcPr>
            <w:tcW w:w="58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54"/>
              <w:spacing w:after="0" w:line="166" w:lineRule="exact"/>
              <w:rPr>
                <w:sz w:val="20"/>
                <w:szCs w:val="20"/>
                <w:color w:val="auto"/>
              </w:rPr>
            </w:pPr>
            <w:r>
              <w:rPr>
                <w:rFonts w:ascii="Arial" w:cs="Arial" w:eastAsia="Arial" w:hAnsi="Arial"/>
                <w:sz w:val="12"/>
                <w:szCs w:val="12"/>
                <w:b w:val="1"/>
                <w:bCs w:val="1"/>
                <w:color w:val="auto"/>
              </w:rPr>
              <w:t xml:space="preserve">2020 </w:t>
            </w:r>
            <w:r>
              <w:rPr>
                <w:rFonts w:ascii="Arial" w:cs="Arial" w:eastAsia="Arial" w:hAnsi="Arial"/>
                <w:sz w:val="19"/>
                <w:szCs w:val="19"/>
                <w:b w:val="1"/>
                <w:bCs w:val="1"/>
                <w:color w:val="auto"/>
                <w:vertAlign w:val="superscript"/>
              </w:rPr>
              <w:t>(1)</w:t>
            </w:r>
          </w:p>
        </w:tc>
        <w:tc>
          <w:tcPr>
            <w:tcW w:w="2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54"/>
              <w:spacing w:after="0" w:line="166" w:lineRule="exact"/>
              <w:rPr>
                <w:sz w:val="20"/>
                <w:szCs w:val="20"/>
                <w:color w:val="auto"/>
              </w:rPr>
            </w:pPr>
            <w:r>
              <w:rPr>
                <w:rFonts w:ascii="Arial" w:cs="Arial" w:eastAsia="Arial" w:hAnsi="Arial"/>
                <w:sz w:val="12"/>
                <w:szCs w:val="12"/>
                <w:b w:val="1"/>
                <w:bCs w:val="1"/>
                <w:color w:val="auto"/>
              </w:rPr>
              <w:t xml:space="preserve">2020 </w:t>
            </w:r>
            <w:r>
              <w:rPr>
                <w:rFonts w:ascii="Arial" w:cs="Arial" w:eastAsia="Arial" w:hAnsi="Arial"/>
                <w:sz w:val="19"/>
                <w:szCs w:val="19"/>
                <w:b w:val="1"/>
                <w:bCs w:val="1"/>
                <w:color w:val="auto"/>
                <w:vertAlign w:val="superscript"/>
              </w:rPr>
              <w:t>(1)</w:t>
            </w:r>
          </w:p>
        </w:tc>
        <w:tc>
          <w:tcPr>
            <w:tcW w:w="100" w:type="dxa"/>
            <w:vAlign w:val="bottom"/>
          </w:tcPr>
          <w:p>
            <w:pPr>
              <w:spacing w:after="0"/>
              <w:rPr>
                <w:sz w:val="14"/>
                <w:szCs w:val="14"/>
                <w:color w:val="auto"/>
              </w:rPr>
            </w:pPr>
          </w:p>
        </w:tc>
      </w:tr>
      <w:tr>
        <w:trPr>
          <w:trHeight w:val="193"/>
        </w:trPr>
        <w:tc>
          <w:tcPr>
            <w:tcW w:w="5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80" w:type="dxa"/>
            <w:vAlign w:val="bottom"/>
            <w:gridSpan w:val="5"/>
          </w:tcPr>
          <w:p>
            <w:pPr>
              <w:jc w:val="center"/>
              <w:ind w:right="50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6"/>
                <w:szCs w:val="16"/>
                <w:color w:val="auto"/>
              </w:rPr>
            </w:pPr>
          </w:p>
        </w:tc>
        <w:tc>
          <w:tcPr>
            <w:tcW w:w="2400" w:type="dxa"/>
            <w:vAlign w:val="bottom"/>
            <w:gridSpan w:val="6"/>
          </w:tcPr>
          <w:p>
            <w:pPr>
              <w:jc w:val="center"/>
              <w:ind w:right="340"/>
              <w:spacing w:after="0"/>
              <w:rPr>
                <w:sz w:val="20"/>
                <w:szCs w:val="20"/>
                <w:color w:val="auto"/>
              </w:rPr>
            </w:pPr>
            <w:r>
              <w:rPr>
                <w:rFonts w:ascii="Arial" w:cs="Arial" w:eastAsia="Arial" w:hAnsi="Arial"/>
                <w:sz w:val="14"/>
                <w:szCs w:val="14"/>
                <w:b w:val="1"/>
                <w:bCs w:val="1"/>
                <w:color w:val="auto"/>
              </w:rPr>
              <w:t>(in thousands)</w:t>
            </w:r>
          </w:p>
        </w:tc>
      </w:tr>
      <w:tr>
        <w:trPr>
          <w:trHeight w:val="213"/>
        </w:trPr>
        <w:tc>
          <w:tcPr>
            <w:tcW w:w="58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Revenue:</w:t>
            </w: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3"/>
        </w:trPr>
        <w:tc>
          <w:tcPr>
            <w:tcW w:w="5880" w:type="dxa"/>
            <w:vAlign w:val="bottom"/>
          </w:tcPr>
          <w:p>
            <w:pPr>
              <w:ind w:left="240"/>
              <w:spacing w:after="0"/>
              <w:rPr>
                <w:sz w:val="20"/>
                <w:szCs w:val="20"/>
                <w:color w:val="auto"/>
              </w:rPr>
            </w:pPr>
            <w:r>
              <w:rPr>
                <w:rFonts w:ascii="Arial" w:cs="Arial" w:eastAsia="Arial" w:hAnsi="Arial"/>
                <w:sz w:val="18"/>
                <w:szCs w:val="18"/>
                <w:color w:val="auto"/>
              </w:rPr>
              <w:t>Ecommerce</w:t>
            </w:r>
          </w:p>
        </w:tc>
        <w:tc>
          <w:tcPr>
            <w:tcW w:w="260" w:type="dxa"/>
            <w:vAlign w:val="bottom"/>
          </w:tcPr>
          <w:p>
            <w:pPr>
              <w:jc w:val="right"/>
              <w:ind w:right="71"/>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579,663</w:t>
            </w: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175,568</w:t>
            </w:r>
          </w:p>
        </w:tc>
        <w:tc>
          <w:tcPr>
            <w:tcW w:w="220" w:type="dxa"/>
            <w:vAlign w:val="bottom"/>
          </w:tcPr>
          <w:p>
            <w:pPr>
              <w:spacing w:after="0"/>
              <w:rPr>
                <w:sz w:val="18"/>
                <w:szCs w:val="18"/>
                <w:color w:val="auto"/>
              </w:rPr>
            </w:pPr>
          </w:p>
        </w:tc>
        <w:tc>
          <w:tcPr>
            <w:tcW w:w="220" w:type="dxa"/>
            <w:vAlign w:val="bottom"/>
          </w:tcPr>
          <w:p>
            <w:pPr>
              <w:jc w:val="right"/>
              <w:ind w:right="31"/>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1,001,971</w:t>
            </w:r>
          </w:p>
        </w:tc>
        <w:tc>
          <w:tcPr>
            <w:tcW w:w="240" w:type="dxa"/>
            <w:vAlign w:val="bottom"/>
          </w:tcPr>
          <w:p>
            <w:pPr>
              <w:spacing w:after="0"/>
              <w:rPr>
                <w:sz w:val="18"/>
                <w:szCs w:val="18"/>
                <w:color w:val="auto"/>
              </w:rPr>
            </w:pPr>
          </w:p>
        </w:tc>
        <w:tc>
          <w:tcPr>
            <w:tcW w:w="220" w:type="dxa"/>
            <w:vAlign w:val="bottom"/>
            <w:gridSpan w:val="2"/>
          </w:tcPr>
          <w:p>
            <w:pPr>
              <w:jc w:val="right"/>
              <w:ind w:right="140"/>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408,740</w:t>
            </w:r>
          </w:p>
        </w:tc>
        <w:tc>
          <w:tcPr>
            <w:tcW w:w="100" w:type="dxa"/>
            <w:vAlign w:val="bottom"/>
          </w:tcPr>
          <w:p>
            <w:pPr>
              <w:spacing w:after="0"/>
              <w:rPr>
                <w:sz w:val="18"/>
                <w:szCs w:val="18"/>
                <w:color w:val="auto"/>
              </w:rPr>
            </w:pPr>
          </w:p>
        </w:tc>
      </w:tr>
      <w:tr>
        <w:trPr>
          <w:trHeight w:val="213"/>
        </w:trPr>
        <w:tc>
          <w:tcPr>
            <w:tcW w:w="58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Wholesale</w:t>
            </w: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128,108</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50,921</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246,132</w:t>
            </w: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106,497</w:t>
            </w:r>
          </w:p>
        </w:tc>
        <w:tc>
          <w:tcPr>
            <w:tcW w:w="100" w:type="dxa"/>
            <w:vAlign w:val="bottom"/>
            <w:shd w:val="clear" w:color="auto" w:fill="CFF0FC"/>
          </w:tcPr>
          <w:p>
            <w:pPr>
              <w:spacing w:after="0"/>
              <w:rPr>
                <w:sz w:val="18"/>
                <w:szCs w:val="18"/>
                <w:color w:val="auto"/>
              </w:rPr>
            </w:pPr>
          </w:p>
        </w:tc>
      </w:tr>
      <w:tr>
        <w:trPr>
          <w:trHeight w:val="213"/>
        </w:trPr>
        <w:tc>
          <w:tcPr>
            <w:tcW w:w="5880" w:type="dxa"/>
            <w:vAlign w:val="bottom"/>
          </w:tcPr>
          <w:p>
            <w:pPr>
              <w:ind w:left="240"/>
              <w:spacing w:after="0"/>
              <w:rPr>
                <w:sz w:val="20"/>
                <w:szCs w:val="20"/>
                <w:color w:val="auto"/>
              </w:rPr>
            </w:pPr>
            <w:r>
              <w:rPr>
                <w:rFonts w:ascii="Arial" w:cs="Arial" w:eastAsia="Arial" w:hAnsi="Arial"/>
                <w:sz w:val="18"/>
                <w:szCs w:val="18"/>
                <w:color w:val="auto"/>
              </w:rPr>
              <w:t>TDA</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50,759</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26,318</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98,346</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112,902</w:t>
            </w:r>
          </w:p>
        </w:tc>
        <w:tc>
          <w:tcPr>
            <w:tcW w:w="100" w:type="dxa"/>
            <w:vAlign w:val="bottom"/>
          </w:tcPr>
          <w:p>
            <w:pPr>
              <w:spacing w:after="0"/>
              <w:rPr>
                <w:sz w:val="18"/>
                <w:szCs w:val="18"/>
                <w:color w:val="auto"/>
              </w:rPr>
            </w:pPr>
          </w:p>
        </w:tc>
      </w:tr>
      <w:tr>
        <w:trPr>
          <w:trHeight w:val="213"/>
        </w:trPr>
        <w:tc>
          <w:tcPr>
            <w:tcW w:w="58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All Other</w:t>
            </w:r>
          </w:p>
        </w:tc>
        <w:tc>
          <w:tcPr>
            <w:tcW w:w="2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3,360</w:t>
            </w:r>
          </w:p>
        </w:tc>
        <w:tc>
          <w:tcPr>
            <w:tcW w:w="22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286</w:t>
            </w:r>
          </w:p>
        </w:tc>
        <w:tc>
          <w:tcPr>
            <w:tcW w:w="22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6,559</w:t>
            </w: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726</w:t>
            </w:r>
          </w:p>
        </w:tc>
        <w:tc>
          <w:tcPr>
            <w:tcW w:w="100" w:type="dxa"/>
            <w:vAlign w:val="bottom"/>
            <w:shd w:val="clear" w:color="auto" w:fill="CFF0FC"/>
          </w:tcPr>
          <w:p>
            <w:pPr>
              <w:spacing w:after="0"/>
              <w:rPr>
                <w:sz w:val="18"/>
                <w:szCs w:val="18"/>
                <w:color w:val="auto"/>
              </w:rPr>
            </w:pPr>
          </w:p>
        </w:tc>
      </w:tr>
      <w:tr>
        <w:trPr>
          <w:trHeight w:val="246"/>
        </w:trPr>
        <w:tc>
          <w:tcPr>
            <w:tcW w:w="5880" w:type="dxa"/>
            <w:vAlign w:val="bottom"/>
          </w:tcPr>
          <w:p>
            <w:pPr>
              <w:spacing w:after="0"/>
              <w:rPr>
                <w:sz w:val="20"/>
                <w:szCs w:val="20"/>
                <w:color w:val="auto"/>
              </w:rPr>
            </w:pPr>
            <w:r>
              <w:rPr>
                <w:rFonts w:ascii="Arial" w:cs="Arial" w:eastAsia="Arial" w:hAnsi="Arial"/>
                <w:sz w:val="18"/>
                <w:szCs w:val="18"/>
                <w:color w:val="auto"/>
              </w:rPr>
              <w:t>Total revenue</w:t>
            </w:r>
          </w:p>
        </w:tc>
        <w:tc>
          <w:tcPr>
            <w:tcW w:w="260" w:type="dxa"/>
            <w:vAlign w:val="bottom"/>
          </w:tcPr>
          <w:p>
            <w:pPr>
              <w:jc w:val="right"/>
              <w:ind w:right="71"/>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761,890</w:t>
            </w: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253,093</w:t>
            </w:r>
          </w:p>
        </w:tc>
        <w:tc>
          <w:tcPr>
            <w:tcW w:w="220" w:type="dxa"/>
            <w:vAlign w:val="bottom"/>
          </w:tcPr>
          <w:p>
            <w:pPr>
              <w:spacing w:after="0"/>
              <w:rPr>
                <w:sz w:val="21"/>
                <w:szCs w:val="21"/>
                <w:color w:val="auto"/>
              </w:rPr>
            </w:pPr>
          </w:p>
        </w:tc>
        <w:tc>
          <w:tcPr>
            <w:tcW w:w="220" w:type="dxa"/>
            <w:vAlign w:val="bottom"/>
          </w:tcPr>
          <w:p>
            <w:pPr>
              <w:jc w:val="right"/>
              <w:ind w:right="31"/>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1,353,008</w:t>
            </w:r>
          </w:p>
        </w:tc>
        <w:tc>
          <w:tcPr>
            <w:tcW w:w="240" w:type="dxa"/>
            <w:vAlign w:val="bottom"/>
          </w:tcPr>
          <w:p>
            <w:pPr>
              <w:spacing w:after="0"/>
              <w:rPr>
                <w:sz w:val="21"/>
                <w:szCs w:val="21"/>
                <w:color w:val="auto"/>
              </w:rPr>
            </w:pPr>
          </w:p>
        </w:tc>
        <w:tc>
          <w:tcPr>
            <w:tcW w:w="220" w:type="dxa"/>
            <w:vAlign w:val="bottom"/>
            <w:gridSpan w:val="2"/>
          </w:tcPr>
          <w:p>
            <w:pPr>
              <w:jc w:val="right"/>
              <w:ind w:right="140"/>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628,865</w:t>
            </w:r>
          </w:p>
        </w:tc>
        <w:tc>
          <w:tcPr>
            <w:tcW w:w="100" w:type="dxa"/>
            <w:vAlign w:val="bottom"/>
          </w:tcPr>
          <w:p>
            <w:pPr>
              <w:spacing w:after="0"/>
              <w:rPr>
                <w:sz w:val="21"/>
                <w:szCs w:val="21"/>
                <w:color w:val="auto"/>
              </w:rPr>
            </w:pPr>
          </w:p>
        </w:tc>
      </w:tr>
      <w:tr>
        <w:trPr>
          <w:trHeight w:val="193"/>
        </w:trPr>
        <w:tc>
          <w:tcPr>
            <w:tcW w:w="5880" w:type="dxa"/>
            <w:vAlign w:val="bottom"/>
            <w:tcBorders>
              <w:top w:val="single" w:sz="8" w:color="CFF0FC"/>
            </w:tcBorders>
            <w:shd w:val="clear" w:color="auto" w:fill="CFF0FC"/>
          </w:tcPr>
          <w:p>
            <w:pPr>
              <w:spacing w:after="0" w:line="193" w:lineRule="exact"/>
              <w:rPr>
                <w:sz w:val="20"/>
                <w:szCs w:val="20"/>
                <w:color w:val="auto"/>
              </w:rPr>
            </w:pPr>
            <w:r>
              <w:rPr>
                <w:rFonts w:ascii="Arial" w:cs="Arial" w:eastAsia="Arial" w:hAnsi="Arial"/>
                <w:sz w:val="18"/>
                <w:szCs w:val="18"/>
                <w:b w:val="1"/>
                <w:bCs w:val="1"/>
                <w:color w:val="auto"/>
              </w:rPr>
              <w:t>Gross profit (loss):</w:t>
            </w:r>
          </w:p>
        </w:tc>
        <w:tc>
          <w:tcPr>
            <w:tcW w:w="260" w:type="dxa"/>
            <w:vAlign w:val="bottom"/>
            <w:tcBorders>
              <w:top w:val="single" w:sz="8" w:color="auto"/>
            </w:tcBorders>
            <w:shd w:val="clear" w:color="auto" w:fill="CFF0FC"/>
          </w:tcPr>
          <w:p>
            <w:pPr>
              <w:spacing w:after="0"/>
              <w:rPr>
                <w:sz w:val="16"/>
                <w:szCs w:val="16"/>
                <w:color w:val="auto"/>
              </w:rPr>
            </w:pPr>
          </w:p>
        </w:tc>
        <w:tc>
          <w:tcPr>
            <w:tcW w:w="880" w:type="dxa"/>
            <w:vAlign w:val="bottom"/>
            <w:tcBorders>
              <w:top w:val="single" w:sz="8" w:color="auto"/>
            </w:tcBorders>
            <w:shd w:val="clear" w:color="auto" w:fill="CFF0FC"/>
          </w:tcPr>
          <w:p>
            <w:pPr>
              <w:spacing w:after="0"/>
              <w:rPr>
                <w:sz w:val="16"/>
                <w:szCs w:val="16"/>
                <w:color w:val="auto"/>
              </w:rPr>
            </w:pPr>
          </w:p>
        </w:tc>
        <w:tc>
          <w:tcPr>
            <w:tcW w:w="220" w:type="dxa"/>
            <w:vAlign w:val="bottom"/>
            <w:tcBorders>
              <w:top w:val="single" w:sz="8" w:color="CFF0FC"/>
            </w:tcBorders>
            <w:shd w:val="clear" w:color="auto" w:fill="CFF0FC"/>
          </w:tcPr>
          <w:p>
            <w:pPr>
              <w:spacing w:after="0"/>
              <w:rPr>
                <w:sz w:val="16"/>
                <w:szCs w:val="16"/>
                <w:color w:val="auto"/>
              </w:rPr>
            </w:pPr>
          </w:p>
        </w:tc>
        <w:tc>
          <w:tcPr>
            <w:tcW w:w="240" w:type="dxa"/>
            <w:vAlign w:val="bottom"/>
            <w:tcBorders>
              <w:top w:val="single" w:sz="8" w:color="auto"/>
            </w:tcBorders>
            <w:shd w:val="clear" w:color="auto" w:fill="CFF0FC"/>
          </w:tcPr>
          <w:p>
            <w:pPr>
              <w:spacing w:after="0"/>
              <w:rPr>
                <w:sz w:val="16"/>
                <w:szCs w:val="16"/>
                <w:color w:val="auto"/>
              </w:rPr>
            </w:pPr>
          </w:p>
        </w:tc>
        <w:tc>
          <w:tcPr>
            <w:tcW w:w="920" w:type="dxa"/>
            <w:vAlign w:val="bottom"/>
            <w:tcBorders>
              <w:top w:val="single" w:sz="8" w:color="auto"/>
            </w:tcBorders>
            <w:shd w:val="clear" w:color="auto" w:fill="CFF0FC"/>
          </w:tcPr>
          <w:p>
            <w:pPr>
              <w:spacing w:after="0"/>
              <w:rPr>
                <w:sz w:val="16"/>
                <w:szCs w:val="16"/>
                <w:color w:val="auto"/>
              </w:rPr>
            </w:pPr>
          </w:p>
        </w:tc>
        <w:tc>
          <w:tcPr>
            <w:tcW w:w="220" w:type="dxa"/>
            <w:vAlign w:val="bottom"/>
            <w:tcBorders>
              <w:top w:val="single" w:sz="8" w:color="CFF0FC"/>
            </w:tcBorders>
            <w:shd w:val="clear" w:color="auto" w:fill="CFF0FC"/>
          </w:tcPr>
          <w:p>
            <w:pPr>
              <w:spacing w:after="0"/>
              <w:rPr>
                <w:sz w:val="16"/>
                <w:szCs w:val="16"/>
                <w:color w:val="auto"/>
              </w:rPr>
            </w:pPr>
          </w:p>
        </w:tc>
        <w:tc>
          <w:tcPr>
            <w:tcW w:w="220" w:type="dxa"/>
            <w:vAlign w:val="bottom"/>
            <w:tcBorders>
              <w:top w:val="single" w:sz="8" w:color="auto"/>
            </w:tcBorders>
            <w:shd w:val="clear" w:color="auto" w:fill="CFF0FC"/>
          </w:tcPr>
          <w:p>
            <w:pPr>
              <w:spacing w:after="0"/>
              <w:rPr>
                <w:sz w:val="16"/>
                <w:szCs w:val="16"/>
                <w:color w:val="auto"/>
              </w:rPr>
            </w:pPr>
          </w:p>
        </w:tc>
        <w:tc>
          <w:tcPr>
            <w:tcW w:w="920" w:type="dxa"/>
            <w:vAlign w:val="bottom"/>
            <w:tcBorders>
              <w:top w:val="single" w:sz="8" w:color="auto"/>
            </w:tcBorders>
            <w:shd w:val="clear" w:color="auto" w:fill="CFF0FC"/>
          </w:tcPr>
          <w:p>
            <w:pPr>
              <w:spacing w:after="0"/>
              <w:rPr>
                <w:sz w:val="16"/>
                <w:szCs w:val="16"/>
                <w:color w:val="auto"/>
              </w:rPr>
            </w:pPr>
          </w:p>
        </w:tc>
        <w:tc>
          <w:tcPr>
            <w:tcW w:w="240" w:type="dxa"/>
            <w:vAlign w:val="bottom"/>
            <w:tcBorders>
              <w:top w:val="single" w:sz="8" w:color="CFF0FC"/>
            </w:tcBorders>
            <w:shd w:val="clear" w:color="auto" w:fill="CFF0FC"/>
          </w:tcPr>
          <w:p>
            <w:pPr>
              <w:spacing w:after="0"/>
              <w:rPr>
                <w:sz w:val="16"/>
                <w:szCs w:val="16"/>
                <w:color w:val="auto"/>
              </w:rPr>
            </w:pPr>
          </w:p>
        </w:tc>
        <w:tc>
          <w:tcPr>
            <w:tcW w:w="20" w:type="dxa"/>
            <w:vAlign w:val="bottom"/>
            <w:tcBorders>
              <w:top w:val="single" w:sz="8" w:color="CFF0FC"/>
            </w:tcBorders>
            <w:shd w:val="clear" w:color="auto" w:fill="CFF0FC"/>
          </w:tcPr>
          <w:p>
            <w:pPr>
              <w:spacing w:after="0"/>
              <w:rPr>
                <w:sz w:val="16"/>
                <w:szCs w:val="16"/>
                <w:color w:val="auto"/>
              </w:rPr>
            </w:pPr>
          </w:p>
        </w:tc>
        <w:tc>
          <w:tcPr>
            <w:tcW w:w="200" w:type="dxa"/>
            <w:vAlign w:val="bottom"/>
            <w:tcBorders>
              <w:top w:val="single" w:sz="8" w:color="auto"/>
            </w:tcBorders>
            <w:shd w:val="clear" w:color="auto" w:fill="CFF0FC"/>
          </w:tcPr>
          <w:p>
            <w:pPr>
              <w:spacing w:after="0"/>
              <w:rPr>
                <w:sz w:val="16"/>
                <w:szCs w:val="16"/>
                <w:color w:val="auto"/>
              </w:rPr>
            </w:pPr>
          </w:p>
        </w:tc>
        <w:tc>
          <w:tcPr>
            <w:tcW w:w="920" w:type="dxa"/>
            <w:vAlign w:val="bottom"/>
            <w:tcBorders>
              <w:top w:val="single" w:sz="8" w:color="auto"/>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r>
      <w:tr>
        <w:trPr>
          <w:trHeight w:val="213"/>
        </w:trPr>
        <w:tc>
          <w:tcPr>
            <w:tcW w:w="5880" w:type="dxa"/>
            <w:vAlign w:val="bottom"/>
          </w:tcPr>
          <w:p>
            <w:pPr>
              <w:ind w:left="240"/>
              <w:spacing w:after="0"/>
              <w:rPr>
                <w:sz w:val="20"/>
                <w:szCs w:val="20"/>
                <w:color w:val="auto"/>
              </w:rPr>
            </w:pPr>
            <w:r>
              <w:rPr>
                <w:rFonts w:ascii="Arial" w:cs="Arial" w:eastAsia="Arial" w:hAnsi="Arial"/>
                <w:sz w:val="18"/>
                <w:szCs w:val="18"/>
                <w:color w:val="auto"/>
              </w:rPr>
              <w:t>Ecommerce</w:t>
            </w:r>
          </w:p>
        </w:tc>
        <w:tc>
          <w:tcPr>
            <w:tcW w:w="260" w:type="dxa"/>
            <w:vAlign w:val="bottom"/>
          </w:tcPr>
          <w:p>
            <w:pPr>
              <w:jc w:val="right"/>
              <w:ind w:right="71"/>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49,638</w:t>
            </w: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7,219</w:t>
            </w:r>
          </w:p>
        </w:tc>
        <w:tc>
          <w:tcPr>
            <w:tcW w:w="220" w:type="dxa"/>
            <w:vAlign w:val="bottom"/>
          </w:tcPr>
          <w:p>
            <w:pPr>
              <w:spacing w:after="0"/>
              <w:rPr>
                <w:sz w:val="18"/>
                <w:szCs w:val="18"/>
                <w:color w:val="auto"/>
              </w:rPr>
            </w:pPr>
          </w:p>
        </w:tc>
        <w:tc>
          <w:tcPr>
            <w:tcW w:w="220" w:type="dxa"/>
            <w:vAlign w:val="bottom"/>
          </w:tcPr>
          <w:p>
            <w:pPr>
              <w:jc w:val="right"/>
              <w:ind w:right="31"/>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81,475</w:t>
            </w:r>
          </w:p>
        </w:tc>
        <w:tc>
          <w:tcPr>
            <w:tcW w:w="240" w:type="dxa"/>
            <w:vAlign w:val="bottom"/>
          </w:tcPr>
          <w:p>
            <w:pPr>
              <w:spacing w:after="0"/>
              <w:rPr>
                <w:sz w:val="18"/>
                <w:szCs w:val="18"/>
                <w:color w:val="auto"/>
              </w:rPr>
            </w:pPr>
          </w:p>
        </w:tc>
        <w:tc>
          <w:tcPr>
            <w:tcW w:w="220" w:type="dxa"/>
            <w:vAlign w:val="bottom"/>
            <w:gridSpan w:val="2"/>
          </w:tcPr>
          <w:p>
            <w:pPr>
              <w:jc w:val="right"/>
              <w:ind w:right="140"/>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21,486</w:t>
            </w:r>
          </w:p>
        </w:tc>
        <w:tc>
          <w:tcPr>
            <w:tcW w:w="100" w:type="dxa"/>
            <w:vAlign w:val="bottom"/>
          </w:tcPr>
          <w:p>
            <w:pPr>
              <w:spacing w:after="0"/>
              <w:rPr>
                <w:sz w:val="18"/>
                <w:szCs w:val="18"/>
                <w:color w:val="auto"/>
              </w:rPr>
            </w:pPr>
          </w:p>
        </w:tc>
      </w:tr>
      <w:tr>
        <w:trPr>
          <w:trHeight w:val="213"/>
        </w:trPr>
        <w:tc>
          <w:tcPr>
            <w:tcW w:w="58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Wholesale</w:t>
            </w: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8,516</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(543)</w:t>
            </w: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8,234</w:t>
            </w: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(1,838)</w:t>
            </w:r>
          </w:p>
        </w:tc>
      </w:tr>
      <w:tr>
        <w:trPr>
          <w:trHeight w:val="213"/>
        </w:trPr>
        <w:tc>
          <w:tcPr>
            <w:tcW w:w="5880" w:type="dxa"/>
            <w:vAlign w:val="bottom"/>
          </w:tcPr>
          <w:p>
            <w:pPr>
              <w:ind w:left="240"/>
              <w:spacing w:after="0"/>
              <w:rPr>
                <w:sz w:val="20"/>
                <w:szCs w:val="20"/>
                <w:color w:val="auto"/>
              </w:rPr>
            </w:pPr>
            <w:r>
              <w:rPr>
                <w:rFonts w:ascii="Arial" w:cs="Arial" w:eastAsia="Arial" w:hAnsi="Arial"/>
                <w:sz w:val="18"/>
                <w:szCs w:val="18"/>
                <w:color w:val="auto"/>
              </w:rPr>
              <w:t>TDA</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3,148</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864</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5,939</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6,124</w:t>
            </w:r>
          </w:p>
        </w:tc>
        <w:tc>
          <w:tcPr>
            <w:tcW w:w="100" w:type="dxa"/>
            <w:vAlign w:val="bottom"/>
          </w:tcPr>
          <w:p>
            <w:pPr>
              <w:spacing w:after="0"/>
              <w:rPr>
                <w:sz w:val="18"/>
                <w:szCs w:val="18"/>
                <w:color w:val="auto"/>
              </w:rPr>
            </w:pPr>
          </w:p>
        </w:tc>
      </w:tr>
      <w:tr>
        <w:trPr>
          <w:trHeight w:val="213"/>
        </w:trPr>
        <w:tc>
          <w:tcPr>
            <w:tcW w:w="58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All Other</w:t>
            </w:r>
          </w:p>
        </w:tc>
        <w:tc>
          <w:tcPr>
            <w:tcW w:w="2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1,826</w:t>
            </w:r>
          </w:p>
        </w:tc>
        <w:tc>
          <w:tcPr>
            <w:tcW w:w="22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w:t>
            </w:r>
          </w:p>
        </w:tc>
        <w:tc>
          <w:tcPr>
            <w:tcW w:w="22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3,656</w:t>
            </w: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222</w:t>
            </w:r>
          </w:p>
        </w:tc>
        <w:tc>
          <w:tcPr>
            <w:tcW w:w="100" w:type="dxa"/>
            <w:vAlign w:val="bottom"/>
            <w:shd w:val="clear" w:color="auto" w:fill="CFF0FC"/>
          </w:tcPr>
          <w:p>
            <w:pPr>
              <w:spacing w:after="0"/>
              <w:rPr>
                <w:sz w:val="18"/>
                <w:szCs w:val="18"/>
                <w:color w:val="auto"/>
              </w:rPr>
            </w:pPr>
          </w:p>
        </w:tc>
      </w:tr>
      <w:tr>
        <w:trPr>
          <w:trHeight w:val="206"/>
        </w:trPr>
        <w:tc>
          <w:tcPr>
            <w:tcW w:w="5880" w:type="dxa"/>
            <w:vAlign w:val="bottom"/>
          </w:tcPr>
          <w:p>
            <w:pPr>
              <w:spacing w:after="0"/>
              <w:rPr>
                <w:sz w:val="20"/>
                <w:szCs w:val="20"/>
                <w:color w:val="auto"/>
              </w:rPr>
            </w:pPr>
            <w:r>
              <w:rPr>
                <w:rFonts w:ascii="Arial" w:cs="Arial" w:eastAsia="Arial" w:hAnsi="Arial"/>
                <w:sz w:val="18"/>
                <w:szCs w:val="18"/>
                <w:color w:val="auto"/>
              </w:rPr>
              <w:t>Total gross profit</w:t>
            </w:r>
          </w:p>
        </w:tc>
        <w:tc>
          <w:tcPr>
            <w:tcW w:w="260" w:type="dxa"/>
            <w:vAlign w:val="bottom"/>
          </w:tcPr>
          <w:p>
            <w:pPr>
              <w:jc w:val="right"/>
              <w:ind w:right="71"/>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63,128</w:t>
            </w: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7,607</w:t>
            </w:r>
          </w:p>
        </w:tc>
        <w:tc>
          <w:tcPr>
            <w:tcW w:w="220" w:type="dxa"/>
            <w:vAlign w:val="bottom"/>
          </w:tcPr>
          <w:p>
            <w:pPr>
              <w:spacing w:after="0"/>
              <w:rPr>
                <w:sz w:val="17"/>
                <w:szCs w:val="17"/>
                <w:color w:val="auto"/>
              </w:rPr>
            </w:pPr>
          </w:p>
        </w:tc>
        <w:tc>
          <w:tcPr>
            <w:tcW w:w="220" w:type="dxa"/>
            <w:vAlign w:val="bottom"/>
          </w:tcPr>
          <w:p>
            <w:pPr>
              <w:jc w:val="right"/>
              <w:ind w:right="31"/>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99,304</w:t>
            </w:r>
          </w:p>
        </w:tc>
        <w:tc>
          <w:tcPr>
            <w:tcW w:w="240" w:type="dxa"/>
            <w:vAlign w:val="bottom"/>
          </w:tcPr>
          <w:p>
            <w:pPr>
              <w:spacing w:after="0"/>
              <w:rPr>
                <w:sz w:val="17"/>
                <w:szCs w:val="17"/>
                <w:color w:val="auto"/>
              </w:rPr>
            </w:pPr>
          </w:p>
        </w:tc>
        <w:tc>
          <w:tcPr>
            <w:tcW w:w="220" w:type="dxa"/>
            <w:vAlign w:val="bottom"/>
            <w:gridSpan w:val="2"/>
          </w:tcPr>
          <w:p>
            <w:pPr>
              <w:jc w:val="right"/>
              <w:ind w:right="140"/>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25,994</w:t>
            </w:r>
          </w:p>
        </w:tc>
        <w:tc>
          <w:tcPr>
            <w:tcW w:w="100" w:type="dxa"/>
            <w:vAlign w:val="bottom"/>
          </w:tcPr>
          <w:p>
            <w:pPr>
              <w:spacing w:after="0"/>
              <w:rPr>
                <w:sz w:val="17"/>
                <w:szCs w:val="17"/>
                <w:color w:val="auto"/>
              </w:rPr>
            </w:pPr>
          </w:p>
        </w:tc>
      </w:tr>
      <w:tr>
        <w:trPr>
          <w:trHeight w:val="20"/>
        </w:trPr>
        <w:tc>
          <w:tcPr>
            <w:tcW w:w="58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4" w:lineRule="exact"/>
        <w:rPr>
          <w:sz w:val="20"/>
          <w:szCs w:val="20"/>
          <w:color w:val="auto"/>
        </w:rPr>
      </w:pPr>
    </w:p>
    <w:p>
      <w:pPr>
        <w:ind w:left="760" w:right="540" w:hanging="381"/>
        <w:spacing w:after="0" w:line="252" w:lineRule="auto"/>
        <w:tabs>
          <w:tab w:leader="none" w:pos="760" w:val="left"/>
        </w:tabs>
        <w:numPr>
          <w:ilvl w:val="0"/>
          <w:numId w:val="16"/>
        </w:numPr>
        <w:rPr>
          <w:rFonts w:ascii="Arial" w:cs="Arial" w:eastAsia="Arial" w:hAnsi="Arial"/>
          <w:sz w:val="14"/>
          <w:szCs w:val="14"/>
          <w:color w:val="auto"/>
        </w:rPr>
      </w:pPr>
      <w:r>
        <w:rPr>
          <w:rFonts w:ascii="Arial" w:cs="Arial" w:eastAsia="Arial" w:hAnsi="Arial"/>
          <w:sz w:val="14"/>
          <w:szCs w:val="14"/>
          <w:color w:val="auto"/>
        </w:rPr>
        <w:t>We reclassified other revenue and other gross profit related to the vehicle repair service at TDA from the TDA reportable segment to the “All Other” category to conform to current year presentation.</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Key Operating and Financial Metrics</w:t>
      </w:r>
    </w:p>
    <w:p>
      <w:pPr>
        <w:spacing w:after="0" w:line="214" w:lineRule="exact"/>
        <w:rPr>
          <w:sz w:val="20"/>
          <w:szCs w:val="20"/>
          <w:color w:val="auto"/>
        </w:rPr>
      </w:pPr>
    </w:p>
    <w:p>
      <w:pPr>
        <w:ind w:right="140" w:firstLine="762"/>
        <w:spacing w:after="0" w:line="233" w:lineRule="auto"/>
        <w:rPr>
          <w:sz w:val="20"/>
          <w:szCs w:val="20"/>
          <w:color w:val="auto"/>
        </w:rPr>
      </w:pPr>
      <w:r>
        <w:rPr>
          <w:rFonts w:ascii="Arial" w:cs="Arial" w:eastAsia="Arial" w:hAnsi="Arial"/>
          <w:sz w:val="18"/>
          <w:szCs w:val="18"/>
          <w:color w:val="auto"/>
        </w:rPr>
        <w:t>We regularly review a number of metrics, including the following key operating and financial metrics, to evaluate our business, measure our performance, identify trends in our business, prepare financial forecasts and make strategic decisions. We believe these operational measures are useful in evaluating our performance, in addition to our financial results prepared in accordance with U.S. Generally Accepted Accounting Principles, or U.S. GAAP. You should read the key operating and financial metrics in conjunction with the following discussion of our results of operations and together with our condensed consolidated financial statements and related notes included elsewhere in this Quarterly Report on Form 10-Q. We focus heavily on metrics related to unit economics as improved gross profit per unit is a key element of our growth and profitability strategies.</w:t>
      </w:r>
    </w:p>
    <w:p>
      <w:pPr>
        <w:spacing w:after="0" w:line="204" w:lineRule="exact"/>
        <w:rPr>
          <w:sz w:val="20"/>
          <w:szCs w:val="20"/>
          <w:color w:val="auto"/>
        </w:rPr>
      </w:pPr>
    </w:p>
    <w:p>
      <w:pPr>
        <w:ind w:right="40" w:firstLine="762"/>
        <w:spacing w:after="0" w:line="233" w:lineRule="auto"/>
        <w:rPr>
          <w:sz w:val="20"/>
          <w:szCs w:val="20"/>
          <w:color w:val="auto"/>
        </w:rPr>
      </w:pPr>
      <w:r>
        <w:rPr>
          <w:rFonts w:ascii="Arial" w:cs="Arial" w:eastAsia="Arial" w:hAnsi="Arial"/>
          <w:sz w:val="18"/>
          <w:szCs w:val="18"/>
          <w:color w:val="auto"/>
        </w:rPr>
        <w:t>The calculation of our key operating and financial metrics is straightforward and does not rely on significant projections, estimates or assumptions. Nevertheless, each of our key operating and financial metrics has limitations because each focuses specifically on only one standard by which to evaluate our business, without taking into account other applicable standards, performance measures or operating trends by which our business could be evaluated. Accordingly, no single metric should be viewed as the bellwether by which our business should be measured. Rather, each key operating and financial metric should be considered in conjunction with other metrics and components of our results of operations, such as each of the other key operating and financial metrics and our revenues, inventory, loss from operations and segment results.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50800</wp:posOffset>
            </wp:positionV>
            <wp:extent cx="715962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540" w:type="dxa"/>
            <w:vAlign w:val="bottom"/>
            <w:gridSpan w:val="5"/>
          </w:tcPr>
          <w:p>
            <w:pPr>
              <w:ind w:left="34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4"/>
                <w:szCs w:val="14"/>
                <w:color w:val="auto"/>
              </w:rPr>
            </w:pPr>
          </w:p>
        </w:tc>
        <w:tc>
          <w:tcPr>
            <w:tcW w:w="2440" w:type="dxa"/>
            <w:vAlign w:val="bottom"/>
            <w:gridSpan w:val="4"/>
          </w:tcPr>
          <w:p>
            <w:pPr>
              <w:jc w:val="right"/>
              <w:ind w:right="693"/>
              <w:spacing w:after="0"/>
              <w:rPr>
                <w:sz w:val="20"/>
                <w:szCs w:val="20"/>
                <w:color w:val="auto"/>
              </w:rPr>
            </w:pPr>
            <w:r>
              <w:rPr>
                <w:rFonts w:ascii="Arial" w:cs="Arial" w:eastAsia="Arial" w:hAnsi="Arial"/>
                <w:sz w:val="14"/>
                <w:szCs w:val="14"/>
                <w:b w:val="1"/>
                <w:bCs w:val="1"/>
                <w:color w:val="auto"/>
              </w:rPr>
              <w:t>Six Months Ended</w:t>
            </w:r>
          </w:p>
        </w:tc>
      </w:tr>
      <w:tr>
        <w:trPr>
          <w:trHeight w:val="173"/>
        </w:trPr>
        <w:tc>
          <w:tcPr>
            <w:tcW w:w="46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3"/>
          </w:tcPr>
          <w:p>
            <w:pPr>
              <w:jc w:val="right"/>
              <w:ind w:right="31"/>
              <w:spacing w:after="0"/>
              <w:rPr>
                <w:sz w:val="20"/>
                <w:szCs w:val="20"/>
                <w:color w:val="auto"/>
              </w:rPr>
            </w:pPr>
            <w:r>
              <w:rPr>
                <w:rFonts w:ascii="Arial" w:cs="Arial" w:eastAsia="Arial" w:hAnsi="Arial"/>
                <w:sz w:val="14"/>
                <w:szCs w:val="14"/>
                <w:b w:val="1"/>
                <w:bCs w:val="1"/>
                <w:color w:val="auto"/>
              </w:rPr>
              <w:t>June 30,</w:t>
            </w:r>
          </w:p>
        </w:tc>
        <w:tc>
          <w:tcPr>
            <w:tcW w:w="9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3"/>
          </w:tcPr>
          <w:p>
            <w:pPr>
              <w:jc w:val="right"/>
              <w:ind w:right="51"/>
              <w:spacing w:after="0"/>
              <w:rPr>
                <w:sz w:val="20"/>
                <w:szCs w:val="20"/>
                <w:color w:val="auto"/>
              </w:rPr>
            </w:pPr>
            <w:r>
              <w:rPr>
                <w:rFonts w:ascii="Arial" w:cs="Arial" w:eastAsia="Arial" w:hAnsi="Arial"/>
                <w:sz w:val="14"/>
                <w:szCs w:val="14"/>
                <w:b w:val="1"/>
                <w:bCs w:val="1"/>
                <w:color w:val="auto"/>
              </w:rPr>
              <w:t>June 30,</w:t>
            </w:r>
          </w:p>
        </w:tc>
        <w:tc>
          <w:tcPr>
            <w:tcW w:w="980" w:type="dxa"/>
            <w:vAlign w:val="bottom"/>
            <w:tcBorders>
              <w:bottom w:val="single" w:sz="8" w:color="auto"/>
            </w:tcBorders>
          </w:tcPr>
          <w:p>
            <w:pPr>
              <w:spacing w:after="0"/>
              <w:rPr>
                <w:sz w:val="15"/>
                <w:szCs w:val="15"/>
                <w:color w:val="auto"/>
              </w:rPr>
            </w:pPr>
          </w:p>
        </w:tc>
      </w:tr>
      <w:tr>
        <w:trPr>
          <w:trHeight w:val="166"/>
        </w:trPr>
        <w:tc>
          <w:tcPr>
            <w:tcW w:w="4640" w:type="dxa"/>
            <w:vAlign w:val="bottom"/>
            <w:tcBorders>
              <w:bottom w:val="single" w:sz="8" w:color="CFF0FC"/>
            </w:tcBorders>
          </w:tcPr>
          <w:p>
            <w:pPr>
              <w:spacing w:after="0"/>
              <w:rPr>
                <w:sz w:val="14"/>
                <w:szCs w:val="14"/>
                <w:color w:val="auto"/>
              </w:rPr>
            </w:pPr>
          </w:p>
        </w:tc>
        <w:tc>
          <w:tcPr>
            <w:tcW w:w="118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2020</w:t>
            </w:r>
          </w:p>
        </w:tc>
      </w:tr>
      <w:tr>
        <w:trPr>
          <w:trHeight w:val="206"/>
        </w:trPr>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Ecommerce units sold</w:t>
            </w:r>
          </w:p>
        </w:tc>
        <w:tc>
          <w:tcPr>
            <w:tcW w:w="11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4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18,268</w:t>
            </w:r>
          </w:p>
        </w:tc>
        <w:tc>
          <w:tcPr>
            <w:tcW w:w="1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6,713</w:t>
            </w: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4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33,772</w:t>
            </w:r>
          </w:p>
        </w:tc>
        <w:tc>
          <w:tcPr>
            <w:tcW w:w="1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8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14,643</w:t>
            </w:r>
          </w:p>
        </w:tc>
      </w:tr>
      <w:tr>
        <w:trPr>
          <w:trHeight w:val="213"/>
        </w:trPr>
        <w:tc>
          <w:tcPr>
            <w:tcW w:w="4640" w:type="dxa"/>
            <w:vAlign w:val="bottom"/>
          </w:tcPr>
          <w:p>
            <w:pPr>
              <w:ind w:left="240"/>
              <w:spacing w:after="0"/>
              <w:rPr>
                <w:sz w:val="20"/>
                <w:szCs w:val="20"/>
                <w:color w:val="auto"/>
              </w:rPr>
            </w:pPr>
            <w:r>
              <w:rPr>
                <w:rFonts w:ascii="Arial" w:cs="Arial" w:eastAsia="Arial" w:hAnsi="Arial"/>
                <w:sz w:val="18"/>
                <w:szCs w:val="18"/>
                <w:color w:val="auto"/>
              </w:rPr>
              <w:t>Vehicle Gross Profit per ecommerce unit</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7"/>
              <w:spacing w:after="0"/>
              <w:rPr>
                <w:sz w:val="20"/>
                <w:szCs w:val="20"/>
                <w:color w:val="auto"/>
              </w:rPr>
            </w:pPr>
            <w:r>
              <w:rPr>
                <w:rFonts w:ascii="Arial" w:cs="Arial" w:eastAsia="Arial" w:hAnsi="Arial"/>
                <w:sz w:val="18"/>
                <w:szCs w:val="18"/>
                <w:color w:val="auto"/>
              </w:rPr>
              <w:t>1,587</w:t>
            </w:r>
          </w:p>
        </w:tc>
        <w:tc>
          <w:tcPr>
            <w:tcW w:w="120" w:type="dxa"/>
            <w:vAlign w:val="bottom"/>
          </w:tcPr>
          <w:p>
            <w:pPr>
              <w:spacing w:after="0"/>
              <w:rPr>
                <w:sz w:val="18"/>
                <w:szCs w:val="18"/>
                <w:color w:val="auto"/>
              </w:rPr>
            </w:pPr>
          </w:p>
        </w:tc>
        <w:tc>
          <w:tcPr>
            <w:tcW w:w="280" w:type="dxa"/>
            <w:vAlign w:val="bottom"/>
          </w:tcPr>
          <w:p>
            <w:pPr>
              <w:jc w:val="right"/>
              <w:ind w:right="91"/>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314</w:t>
            </w:r>
          </w:p>
        </w:tc>
        <w:tc>
          <w:tcPr>
            <w:tcW w:w="120" w:type="dxa"/>
            <w:vAlign w:val="bottom"/>
          </w:tcPr>
          <w:p>
            <w:pPr>
              <w:spacing w:after="0"/>
              <w:rPr>
                <w:sz w:val="18"/>
                <w:szCs w:val="18"/>
                <w:color w:val="auto"/>
              </w:rPr>
            </w:pPr>
          </w:p>
        </w:tc>
        <w:tc>
          <w:tcPr>
            <w:tcW w:w="220" w:type="dxa"/>
            <w:vAlign w:val="bottom"/>
          </w:tcPr>
          <w:p>
            <w:pPr>
              <w:jc w:val="right"/>
              <w:ind w:right="31"/>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7"/>
              <w:spacing w:after="0"/>
              <w:rPr>
                <w:sz w:val="20"/>
                <w:szCs w:val="20"/>
                <w:color w:val="auto"/>
              </w:rPr>
            </w:pPr>
            <w:r>
              <w:rPr>
                <w:rFonts w:ascii="Arial" w:cs="Arial" w:eastAsia="Arial" w:hAnsi="Arial"/>
                <w:sz w:val="18"/>
                <w:szCs w:val="18"/>
                <w:color w:val="auto"/>
              </w:rPr>
              <w:t>1,387</w:t>
            </w:r>
          </w:p>
        </w:tc>
        <w:tc>
          <w:tcPr>
            <w:tcW w:w="120" w:type="dxa"/>
            <w:vAlign w:val="bottom"/>
          </w:tcPr>
          <w:p>
            <w:pPr>
              <w:spacing w:after="0"/>
              <w:rPr>
                <w:sz w:val="18"/>
                <w:szCs w:val="18"/>
                <w:color w:val="auto"/>
              </w:rPr>
            </w:pPr>
          </w:p>
        </w:tc>
        <w:tc>
          <w:tcPr>
            <w:tcW w:w="300" w:type="dxa"/>
            <w:vAlign w:val="bottom"/>
          </w:tcPr>
          <w:p>
            <w:pPr>
              <w:jc w:val="right"/>
              <w:ind w:right="111"/>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53"/>
              <w:spacing w:after="0"/>
              <w:rPr>
                <w:sz w:val="20"/>
                <w:szCs w:val="20"/>
                <w:color w:val="auto"/>
              </w:rPr>
            </w:pPr>
            <w:r>
              <w:rPr>
                <w:rFonts w:ascii="Arial" w:cs="Arial" w:eastAsia="Arial" w:hAnsi="Arial"/>
                <w:sz w:val="18"/>
                <w:szCs w:val="18"/>
                <w:color w:val="auto"/>
              </w:rPr>
              <w:t>602</w:t>
            </w:r>
          </w:p>
        </w:tc>
      </w:tr>
      <w:tr>
        <w:trPr>
          <w:trHeight w:val="213"/>
        </w:trPr>
        <w:tc>
          <w:tcPr>
            <w:tcW w:w="46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Product Gross Profit per ecommerce unit</w:t>
            </w:r>
          </w:p>
        </w:tc>
        <w:tc>
          <w:tcPr>
            <w:tcW w:w="118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ind w:right="37"/>
              <w:spacing w:after="0"/>
              <w:rPr>
                <w:sz w:val="20"/>
                <w:szCs w:val="20"/>
                <w:color w:val="auto"/>
              </w:rPr>
            </w:pPr>
            <w:r>
              <w:rPr>
                <w:rFonts w:ascii="Arial" w:cs="Arial" w:eastAsia="Arial" w:hAnsi="Arial"/>
                <w:sz w:val="18"/>
                <w:szCs w:val="18"/>
                <w:color w:val="auto"/>
              </w:rPr>
              <w:t>1,131</w:t>
            </w:r>
          </w:p>
        </w:tc>
        <w:tc>
          <w:tcPr>
            <w:tcW w:w="120" w:type="dxa"/>
            <w:vAlign w:val="bottom"/>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761</w:t>
            </w:r>
          </w:p>
        </w:tc>
        <w:tc>
          <w:tcPr>
            <w:tcW w:w="12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ind w:right="37"/>
              <w:spacing w:after="0"/>
              <w:rPr>
                <w:sz w:val="20"/>
                <w:szCs w:val="20"/>
                <w:color w:val="auto"/>
              </w:rPr>
            </w:pPr>
            <w:r>
              <w:rPr>
                <w:rFonts w:ascii="Arial" w:cs="Arial" w:eastAsia="Arial" w:hAnsi="Arial"/>
                <w:sz w:val="18"/>
                <w:szCs w:val="18"/>
                <w:color w:val="auto"/>
              </w:rPr>
              <w:t>1,026</w:t>
            </w:r>
          </w:p>
        </w:tc>
        <w:tc>
          <w:tcPr>
            <w:tcW w:w="12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ind w:right="53"/>
              <w:spacing w:after="0"/>
              <w:rPr>
                <w:sz w:val="20"/>
                <w:szCs w:val="20"/>
                <w:color w:val="auto"/>
              </w:rPr>
            </w:pPr>
            <w:r>
              <w:rPr>
                <w:rFonts w:ascii="Arial" w:cs="Arial" w:eastAsia="Arial" w:hAnsi="Arial"/>
                <w:sz w:val="18"/>
                <w:szCs w:val="18"/>
                <w:color w:val="auto"/>
              </w:rPr>
              <w:t>866</w:t>
            </w:r>
          </w:p>
        </w:tc>
      </w:tr>
      <w:tr>
        <w:trPr>
          <w:trHeight w:val="246"/>
        </w:trPr>
        <w:tc>
          <w:tcPr>
            <w:tcW w:w="4640" w:type="dxa"/>
            <w:vAlign w:val="bottom"/>
          </w:tcPr>
          <w:p>
            <w:pPr>
              <w:spacing w:after="0"/>
              <w:rPr>
                <w:sz w:val="20"/>
                <w:szCs w:val="20"/>
                <w:color w:val="auto"/>
              </w:rPr>
            </w:pPr>
            <w:r>
              <w:rPr>
                <w:rFonts w:ascii="Arial" w:cs="Arial" w:eastAsia="Arial" w:hAnsi="Arial"/>
                <w:sz w:val="18"/>
                <w:szCs w:val="18"/>
                <w:color w:val="auto"/>
              </w:rPr>
              <w:t>Total Gross Profit per ecommerce unit</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7"/>
              <w:spacing w:after="0"/>
              <w:rPr>
                <w:sz w:val="20"/>
                <w:szCs w:val="20"/>
                <w:color w:val="auto"/>
              </w:rPr>
            </w:pPr>
            <w:r>
              <w:rPr>
                <w:rFonts w:ascii="Arial" w:cs="Arial" w:eastAsia="Arial" w:hAnsi="Arial"/>
                <w:sz w:val="18"/>
                <w:szCs w:val="18"/>
                <w:color w:val="auto"/>
              </w:rPr>
              <w:t>2,718</w:t>
            </w:r>
          </w:p>
        </w:tc>
        <w:tc>
          <w:tcPr>
            <w:tcW w:w="120" w:type="dxa"/>
            <w:vAlign w:val="bottom"/>
          </w:tcPr>
          <w:p>
            <w:pPr>
              <w:spacing w:after="0"/>
              <w:rPr>
                <w:sz w:val="21"/>
                <w:szCs w:val="21"/>
                <w:color w:val="auto"/>
              </w:rPr>
            </w:pPr>
          </w:p>
        </w:tc>
        <w:tc>
          <w:tcPr>
            <w:tcW w:w="280" w:type="dxa"/>
            <w:vAlign w:val="bottom"/>
          </w:tcPr>
          <w:p>
            <w:pPr>
              <w:jc w:val="right"/>
              <w:ind w:right="91"/>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1,075</w:t>
            </w:r>
          </w:p>
        </w:tc>
        <w:tc>
          <w:tcPr>
            <w:tcW w:w="120" w:type="dxa"/>
            <w:vAlign w:val="bottom"/>
          </w:tcPr>
          <w:p>
            <w:pPr>
              <w:spacing w:after="0"/>
              <w:rPr>
                <w:sz w:val="21"/>
                <w:szCs w:val="21"/>
                <w:color w:val="auto"/>
              </w:rPr>
            </w:pPr>
          </w:p>
        </w:tc>
        <w:tc>
          <w:tcPr>
            <w:tcW w:w="220" w:type="dxa"/>
            <w:vAlign w:val="bottom"/>
          </w:tcPr>
          <w:p>
            <w:pPr>
              <w:jc w:val="right"/>
              <w:ind w:right="31"/>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7"/>
              <w:spacing w:after="0"/>
              <w:rPr>
                <w:sz w:val="20"/>
                <w:szCs w:val="20"/>
                <w:color w:val="auto"/>
              </w:rPr>
            </w:pPr>
            <w:r>
              <w:rPr>
                <w:rFonts w:ascii="Arial" w:cs="Arial" w:eastAsia="Arial" w:hAnsi="Arial"/>
                <w:sz w:val="18"/>
                <w:szCs w:val="18"/>
                <w:color w:val="auto"/>
              </w:rPr>
              <w:t>2,413</w:t>
            </w:r>
          </w:p>
        </w:tc>
        <w:tc>
          <w:tcPr>
            <w:tcW w:w="120" w:type="dxa"/>
            <w:vAlign w:val="bottom"/>
          </w:tcPr>
          <w:p>
            <w:pPr>
              <w:spacing w:after="0"/>
              <w:rPr>
                <w:sz w:val="21"/>
                <w:szCs w:val="21"/>
                <w:color w:val="auto"/>
              </w:rPr>
            </w:pPr>
          </w:p>
        </w:tc>
        <w:tc>
          <w:tcPr>
            <w:tcW w:w="300" w:type="dxa"/>
            <w:vAlign w:val="bottom"/>
          </w:tcPr>
          <w:p>
            <w:pPr>
              <w:jc w:val="right"/>
              <w:ind w:right="111"/>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53"/>
              <w:spacing w:after="0"/>
              <w:rPr>
                <w:sz w:val="20"/>
                <w:szCs w:val="20"/>
                <w:color w:val="auto"/>
              </w:rPr>
            </w:pPr>
            <w:r>
              <w:rPr>
                <w:rFonts w:ascii="Arial" w:cs="Arial" w:eastAsia="Arial" w:hAnsi="Arial"/>
                <w:sz w:val="18"/>
                <w:szCs w:val="18"/>
                <w:color w:val="auto"/>
              </w:rPr>
              <w:t>1,468</w:t>
            </w:r>
          </w:p>
        </w:tc>
      </w:tr>
      <w:tr>
        <w:trPr>
          <w:trHeight w:val="193"/>
        </w:trPr>
        <w:tc>
          <w:tcPr>
            <w:tcW w:w="4640" w:type="dxa"/>
            <w:vAlign w:val="bottom"/>
            <w:tcBorders>
              <w:top w:val="single" w:sz="8" w:color="CFF0FC"/>
            </w:tcBorders>
            <w:shd w:val="clear" w:color="auto" w:fill="CFF0FC"/>
          </w:tcPr>
          <w:p>
            <w:pPr>
              <w:spacing w:after="0" w:line="193" w:lineRule="exact"/>
              <w:rPr>
                <w:sz w:val="20"/>
                <w:szCs w:val="20"/>
                <w:color w:val="auto"/>
              </w:rPr>
            </w:pPr>
            <w:r>
              <w:rPr>
                <w:rFonts w:ascii="Arial" w:cs="Arial" w:eastAsia="Arial" w:hAnsi="Arial"/>
                <w:sz w:val="18"/>
                <w:szCs w:val="18"/>
                <w:color w:val="auto"/>
              </w:rPr>
              <w:t>Average monthly unique visitors</w:t>
            </w:r>
          </w:p>
        </w:tc>
        <w:tc>
          <w:tcPr>
            <w:tcW w:w="1180" w:type="dxa"/>
            <w:vAlign w:val="bottom"/>
            <w:tcBorders>
              <w:top w:val="single" w:sz="8" w:color="CFF0FC"/>
            </w:tcBorders>
            <w:shd w:val="clear" w:color="auto" w:fill="CFF0FC"/>
          </w:tcPr>
          <w:p>
            <w:pPr>
              <w:spacing w:after="0"/>
              <w:rPr>
                <w:sz w:val="16"/>
                <w:szCs w:val="16"/>
                <w:color w:val="auto"/>
              </w:rPr>
            </w:pPr>
          </w:p>
        </w:tc>
        <w:tc>
          <w:tcPr>
            <w:tcW w:w="220" w:type="dxa"/>
            <w:vAlign w:val="bottom"/>
            <w:tcBorders>
              <w:top w:val="single" w:sz="8" w:color="auto"/>
            </w:tcBorders>
            <w:shd w:val="clear" w:color="auto" w:fill="CFF0FC"/>
          </w:tcPr>
          <w:p>
            <w:pPr>
              <w:spacing w:after="0"/>
              <w:rPr>
                <w:sz w:val="16"/>
                <w:szCs w:val="16"/>
                <w:color w:val="auto"/>
              </w:rPr>
            </w:pPr>
          </w:p>
        </w:tc>
        <w:tc>
          <w:tcPr>
            <w:tcW w:w="1040" w:type="dxa"/>
            <w:vAlign w:val="bottom"/>
            <w:tcBorders>
              <w:top w:val="single" w:sz="8" w:color="auto"/>
            </w:tcBorders>
            <w:shd w:val="clear" w:color="auto" w:fill="CFF0FC"/>
          </w:tcPr>
          <w:p>
            <w:pPr>
              <w:jc w:val="right"/>
              <w:ind w:right="37"/>
              <w:spacing w:after="0" w:line="193" w:lineRule="exact"/>
              <w:rPr>
                <w:sz w:val="20"/>
                <w:szCs w:val="20"/>
                <w:color w:val="auto"/>
              </w:rPr>
            </w:pPr>
            <w:r>
              <w:rPr>
                <w:rFonts w:ascii="Arial" w:cs="Arial" w:eastAsia="Arial" w:hAnsi="Arial"/>
                <w:sz w:val="18"/>
                <w:szCs w:val="18"/>
                <w:color w:val="auto"/>
              </w:rPr>
              <w:t>1,749,480</w:t>
            </w:r>
          </w:p>
        </w:tc>
        <w:tc>
          <w:tcPr>
            <w:tcW w:w="120" w:type="dxa"/>
            <w:vAlign w:val="bottom"/>
            <w:tcBorders>
              <w:top w:val="single" w:sz="8" w:color="CFF0FC"/>
            </w:tcBorders>
            <w:shd w:val="clear" w:color="auto" w:fill="CFF0FC"/>
          </w:tcPr>
          <w:p>
            <w:pPr>
              <w:spacing w:after="0"/>
              <w:rPr>
                <w:sz w:val="16"/>
                <w:szCs w:val="16"/>
                <w:color w:val="auto"/>
              </w:rPr>
            </w:pPr>
          </w:p>
        </w:tc>
        <w:tc>
          <w:tcPr>
            <w:tcW w:w="280" w:type="dxa"/>
            <w:vAlign w:val="bottom"/>
            <w:tcBorders>
              <w:top w:val="single" w:sz="8" w:color="auto"/>
            </w:tcBorders>
            <w:shd w:val="clear" w:color="auto" w:fill="CFF0FC"/>
          </w:tcPr>
          <w:p>
            <w:pPr>
              <w:spacing w:after="0"/>
              <w:rPr>
                <w:sz w:val="16"/>
                <w:szCs w:val="16"/>
                <w:color w:val="auto"/>
              </w:rPr>
            </w:pPr>
          </w:p>
        </w:tc>
        <w:tc>
          <w:tcPr>
            <w:tcW w:w="980" w:type="dxa"/>
            <w:vAlign w:val="bottom"/>
            <w:tcBorders>
              <w:top w:val="single" w:sz="8" w:color="auto"/>
            </w:tcBorders>
            <w:shd w:val="clear" w:color="auto" w:fill="CFF0FC"/>
          </w:tcPr>
          <w:p>
            <w:pPr>
              <w:jc w:val="right"/>
              <w:ind w:right="33"/>
              <w:spacing w:after="0" w:line="193" w:lineRule="exact"/>
              <w:rPr>
                <w:sz w:val="20"/>
                <w:szCs w:val="20"/>
                <w:color w:val="auto"/>
              </w:rPr>
            </w:pPr>
            <w:r>
              <w:rPr>
                <w:rFonts w:ascii="Arial" w:cs="Arial" w:eastAsia="Arial" w:hAnsi="Arial"/>
                <w:sz w:val="18"/>
                <w:szCs w:val="18"/>
                <w:color w:val="auto"/>
              </w:rPr>
              <w:t>999,899</w:t>
            </w:r>
          </w:p>
        </w:tc>
        <w:tc>
          <w:tcPr>
            <w:tcW w:w="120" w:type="dxa"/>
            <w:vAlign w:val="bottom"/>
            <w:tcBorders>
              <w:top w:val="single" w:sz="8" w:color="CFF0FC"/>
            </w:tcBorders>
            <w:shd w:val="clear" w:color="auto" w:fill="CFF0FC"/>
          </w:tcPr>
          <w:p>
            <w:pPr>
              <w:spacing w:after="0"/>
              <w:rPr>
                <w:sz w:val="16"/>
                <w:szCs w:val="16"/>
                <w:color w:val="auto"/>
              </w:rPr>
            </w:pPr>
          </w:p>
        </w:tc>
        <w:tc>
          <w:tcPr>
            <w:tcW w:w="220" w:type="dxa"/>
            <w:vAlign w:val="bottom"/>
            <w:tcBorders>
              <w:top w:val="single" w:sz="8" w:color="auto"/>
            </w:tcBorders>
            <w:shd w:val="clear" w:color="auto" w:fill="CFF0FC"/>
          </w:tcPr>
          <w:p>
            <w:pPr>
              <w:spacing w:after="0"/>
              <w:rPr>
                <w:sz w:val="16"/>
                <w:szCs w:val="16"/>
                <w:color w:val="auto"/>
              </w:rPr>
            </w:pPr>
          </w:p>
        </w:tc>
        <w:tc>
          <w:tcPr>
            <w:tcW w:w="1040" w:type="dxa"/>
            <w:vAlign w:val="bottom"/>
            <w:tcBorders>
              <w:top w:val="single" w:sz="8" w:color="auto"/>
            </w:tcBorders>
            <w:shd w:val="clear" w:color="auto" w:fill="CFF0FC"/>
          </w:tcPr>
          <w:p>
            <w:pPr>
              <w:jc w:val="right"/>
              <w:ind w:right="37"/>
              <w:spacing w:after="0" w:line="193" w:lineRule="exact"/>
              <w:rPr>
                <w:sz w:val="20"/>
                <w:szCs w:val="20"/>
                <w:color w:val="auto"/>
              </w:rPr>
            </w:pPr>
            <w:r>
              <w:rPr>
                <w:rFonts w:ascii="Arial" w:cs="Arial" w:eastAsia="Arial" w:hAnsi="Arial"/>
                <w:sz w:val="18"/>
                <w:szCs w:val="18"/>
                <w:color w:val="auto"/>
              </w:rPr>
              <w:t>1,649,869</w:t>
            </w:r>
          </w:p>
        </w:tc>
        <w:tc>
          <w:tcPr>
            <w:tcW w:w="120" w:type="dxa"/>
            <w:vAlign w:val="bottom"/>
            <w:tcBorders>
              <w:top w:val="single" w:sz="8" w:color="CFF0FC"/>
            </w:tcBorders>
            <w:shd w:val="clear" w:color="auto" w:fill="CFF0FC"/>
          </w:tcPr>
          <w:p>
            <w:pPr>
              <w:spacing w:after="0"/>
              <w:rPr>
                <w:sz w:val="16"/>
                <w:szCs w:val="16"/>
                <w:color w:val="auto"/>
              </w:rPr>
            </w:pPr>
          </w:p>
        </w:tc>
        <w:tc>
          <w:tcPr>
            <w:tcW w:w="300" w:type="dxa"/>
            <w:vAlign w:val="bottom"/>
            <w:tcBorders>
              <w:top w:val="single" w:sz="8" w:color="auto"/>
            </w:tcBorders>
            <w:shd w:val="clear" w:color="auto" w:fill="CFF0FC"/>
          </w:tcPr>
          <w:p>
            <w:pPr>
              <w:spacing w:after="0"/>
              <w:rPr>
                <w:sz w:val="16"/>
                <w:szCs w:val="16"/>
                <w:color w:val="auto"/>
              </w:rPr>
            </w:pPr>
          </w:p>
        </w:tc>
        <w:tc>
          <w:tcPr>
            <w:tcW w:w="980" w:type="dxa"/>
            <w:vAlign w:val="bottom"/>
            <w:tcBorders>
              <w:top w:val="single" w:sz="8" w:color="auto"/>
            </w:tcBorders>
            <w:shd w:val="clear" w:color="auto" w:fill="CFF0FC"/>
          </w:tcPr>
          <w:p>
            <w:pPr>
              <w:jc w:val="right"/>
              <w:ind w:right="53"/>
              <w:spacing w:after="0" w:line="193" w:lineRule="exact"/>
              <w:rPr>
                <w:sz w:val="20"/>
                <w:szCs w:val="20"/>
                <w:color w:val="auto"/>
              </w:rPr>
            </w:pPr>
            <w:r>
              <w:rPr>
                <w:rFonts w:ascii="Arial" w:cs="Arial" w:eastAsia="Arial" w:hAnsi="Arial"/>
                <w:sz w:val="18"/>
                <w:szCs w:val="18"/>
                <w:color w:val="auto"/>
              </w:rPr>
              <w:t>973,457</w:t>
            </w:r>
          </w:p>
        </w:tc>
      </w:tr>
      <w:tr>
        <w:trPr>
          <w:trHeight w:val="213"/>
        </w:trPr>
        <w:tc>
          <w:tcPr>
            <w:tcW w:w="4640" w:type="dxa"/>
            <w:vAlign w:val="bottom"/>
          </w:tcPr>
          <w:p>
            <w:pPr>
              <w:spacing w:after="0"/>
              <w:rPr>
                <w:sz w:val="20"/>
                <w:szCs w:val="20"/>
                <w:color w:val="auto"/>
              </w:rPr>
            </w:pPr>
            <w:r>
              <w:rPr>
                <w:rFonts w:ascii="Arial" w:cs="Arial" w:eastAsia="Arial" w:hAnsi="Arial"/>
                <w:sz w:val="18"/>
                <w:szCs w:val="18"/>
                <w:color w:val="auto"/>
              </w:rPr>
              <w:t>Listed vehicles</w:t>
            </w: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ind w:right="37"/>
              <w:spacing w:after="0"/>
              <w:rPr>
                <w:sz w:val="20"/>
                <w:szCs w:val="20"/>
                <w:color w:val="auto"/>
              </w:rPr>
            </w:pPr>
            <w:r>
              <w:rPr>
                <w:rFonts w:ascii="Arial" w:cs="Arial" w:eastAsia="Arial" w:hAnsi="Arial"/>
                <w:sz w:val="18"/>
                <w:szCs w:val="18"/>
                <w:color w:val="auto"/>
              </w:rPr>
              <w:t>13,676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5,745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ind w:right="37"/>
              <w:spacing w:after="0"/>
              <w:rPr>
                <w:sz w:val="20"/>
                <w:szCs w:val="20"/>
                <w:color w:val="auto"/>
              </w:rPr>
            </w:pPr>
            <w:r>
              <w:rPr>
                <w:rFonts w:ascii="Arial" w:cs="Arial" w:eastAsia="Arial" w:hAnsi="Arial"/>
                <w:sz w:val="18"/>
                <w:szCs w:val="18"/>
                <w:color w:val="auto"/>
              </w:rPr>
              <w:t>13,676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ind w:right="53"/>
              <w:spacing w:after="0"/>
              <w:rPr>
                <w:sz w:val="20"/>
                <w:szCs w:val="20"/>
                <w:color w:val="auto"/>
              </w:rPr>
            </w:pPr>
            <w:r>
              <w:rPr>
                <w:rFonts w:ascii="Arial" w:cs="Arial" w:eastAsia="Arial" w:hAnsi="Arial"/>
                <w:sz w:val="18"/>
                <w:szCs w:val="18"/>
                <w:color w:val="auto"/>
              </w:rPr>
              <w:t>5,745</w:t>
            </w:r>
          </w:p>
        </w:tc>
      </w:tr>
      <w:tr>
        <w:trPr>
          <w:trHeight w:val="213"/>
        </w:trPr>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Ecommerce average days to sale</w:t>
            </w:r>
          </w:p>
        </w:tc>
        <w:tc>
          <w:tcPr>
            <w:tcW w:w="1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68</w:t>
            </w: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66</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76</w:t>
            </w: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67</w:t>
            </w:r>
          </w:p>
        </w:tc>
      </w:tr>
    </w:tbl>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Ecommerce Units Sold</w:t>
      </w:r>
    </w:p>
    <w:p>
      <w:pPr>
        <w:spacing w:after="0" w:line="214" w:lineRule="exact"/>
        <w:rPr>
          <w:sz w:val="20"/>
          <w:szCs w:val="20"/>
          <w:color w:val="auto"/>
        </w:rPr>
      </w:pPr>
    </w:p>
    <w:p>
      <w:pPr>
        <w:ind w:right="80" w:firstLine="762"/>
        <w:spacing w:after="0" w:line="234" w:lineRule="auto"/>
        <w:rPr>
          <w:sz w:val="20"/>
          <w:szCs w:val="20"/>
          <w:color w:val="auto"/>
        </w:rPr>
      </w:pPr>
      <w:r>
        <w:rPr>
          <w:rFonts w:ascii="Arial" w:cs="Arial" w:eastAsia="Arial" w:hAnsi="Arial"/>
          <w:sz w:val="18"/>
          <w:szCs w:val="18"/>
          <w:color w:val="auto"/>
        </w:rPr>
        <w:t>Ecommerce units sold is defined as the number of vehicles sold and shipped to customers through our ecommerce platform, net of returns under our Vroom 7-Day Return Program. Ecommerce units sold excludes sales of vehicles through the TDA and Wholesale segments. As we continue to expand our ecommerce business, we expect that ecommerce units sold will be the primary driver of our revenue growth. Additionally, each vehicle sale through our ecommerce platform also creates the opportunity to leverage such sale to sell value-added products. Continued ecommerce growth will also increase the number of trade-in vehicles acquired from our customers, which we can either recondition and add to our inventory or sell through wholesale channels.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Vehicle Gross Profit per Ecommerce Unit</w:t>
      </w:r>
    </w:p>
    <w:p>
      <w:pPr>
        <w:spacing w:after="0" w:line="228" w:lineRule="exact"/>
        <w:rPr>
          <w:sz w:val="20"/>
          <w:szCs w:val="20"/>
          <w:color w:val="auto"/>
        </w:rPr>
      </w:pPr>
    </w:p>
    <w:p>
      <w:pPr>
        <w:ind w:right="140" w:firstLine="762"/>
        <w:spacing w:after="0" w:line="234" w:lineRule="auto"/>
        <w:rPr>
          <w:sz w:val="20"/>
          <w:szCs w:val="20"/>
          <w:color w:val="auto"/>
        </w:rPr>
      </w:pPr>
      <w:r>
        <w:rPr>
          <w:rFonts w:ascii="Arial" w:cs="Arial" w:eastAsia="Arial" w:hAnsi="Arial"/>
          <w:sz w:val="18"/>
          <w:szCs w:val="18"/>
          <w:color w:val="auto"/>
        </w:rPr>
        <w:t>Vehicle Gross Profit per ecommerce unit, which we refer to as Vehicle GPPU, for a given period is defined as the aggregate retail sales price and delivery charges for all vehicles sold through our Ecommerce segment less the aggregate costs to acquire those vehicles, the aggregate costs of inbound transportation to the VRCs and the aggregate costs of reconditioning those vehicles in that period, divided by the number of ecommerce units sold in that period. As we continue to expand our ecommerce business, we believe Vehicle GPPU will be a key driver of our long-term profitability.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Gross Profit per Ecommerce Unit</w:t>
      </w:r>
    </w:p>
    <w:p>
      <w:pPr>
        <w:spacing w:after="0" w:line="228" w:lineRule="exact"/>
        <w:rPr>
          <w:sz w:val="20"/>
          <w:szCs w:val="20"/>
          <w:color w:val="auto"/>
        </w:rPr>
      </w:pPr>
    </w:p>
    <w:p>
      <w:pPr>
        <w:ind w:right="80" w:firstLine="762"/>
        <w:spacing w:after="0" w:line="233" w:lineRule="auto"/>
        <w:rPr>
          <w:sz w:val="20"/>
          <w:szCs w:val="20"/>
          <w:color w:val="auto"/>
        </w:rPr>
      </w:pPr>
      <w:r>
        <w:rPr>
          <w:rFonts w:ascii="Arial" w:cs="Arial" w:eastAsia="Arial" w:hAnsi="Arial"/>
          <w:sz w:val="18"/>
          <w:szCs w:val="18"/>
          <w:color w:val="auto"/>
        </w:rPr>
        <w:t>Product Gross Profit per ecommerce unit, which we refer to as Product GPPU, for a given period is defined as the aggregate fees earned on sales of value-added products in that period, net of the reserves for chargebacks on such products in that period, divided by the number of ecommerce units sold in that period. Because we are paid fees on the value-added products we sell, our gross profit is equal to the revenue we generate from the sale of value-added products. We plan to continue to introduce initiatives to increase the attachment rates of value-added products and expand our offerings of value-added products which will grow our Product GPPU. We also are exploring a variety of options to expand our finance product offering to include Vroom proprietary finance products, which we believe would increase our Product GPPU.</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Total Gross Profit per Ecommerce Unit</w:t>
      </w:r>
    </w:p>
    <w:p>
      <w:pPr>
        <w:spacing w:after="0" w:line="228" w:lineRule="exact"/>
        <w:rPr>
          <w:sz w:val="20"/>
          <w:szCs w:val="20"/>
          <w:color w:val="auto"/>
        </w:rPr>
      </w:pPr>
    </w:p>
    <w:p>
      <w:pPr>
        <w:ind w:right="60" w:firstLine="762"/>
        <w:spacing w:after="0" w:line="239" w:lineRule="auto"/>
        <w:rPr>
          <w:sz w:val="20"/>
          <w:szCs w:val="20"/>
          <w:color w:val="auto"/>
        </w:rPr>
      </w:pPr>
      <w:r>
        <w:rPr>
          <w:rFonts w:ascii="Arial" w:cs="Arial" w:eastAsia="Arial" w:hAnsi="Arial"/>
          <w:sz w:val="18"/>
          <w:szCs w:val="18"/>
          <w:color w:val="auto"/>
        </w:rPr>
        <w:t>Total Gross Profit per ecommerce unit, which we refer to as Total GPPU, for a given period is calculated as the sum of Vehicle GPPU and Product GPPU. We view Total GPPU as a key metric of the profitability of our Ecommerce segment.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Average Monthly Unique Visitors</w:t>
      </w:r>
    </w:p>
    <w:p>
      <w:pPr>
        <w:spacing w:after="0" w:line="214" w:lineRule="exact"/>
        <w:rPr>
          <w:sz w:val="20"/>
          <w:szCs w:val="20"/>
          <w:color w:val="auto"/>
        </w:rPr>
      </w:pPr>
    </w:p>
    <w:p>
      <w:pPr>
        <w:ind w:right="360" w:firstLine="762"/>
        <w:spacing w:after="0" w:line="234" w:lineRule="auto"/>
        <w:rPr>
          <w:sz w:val="20"/>
          <w:szCs w:val="20"/>
          <w:color w:val="auto"/>
        </w:rPr>
      </w:pPr>
      <w:r>
        <w:rPr>
          <w:rFonts w:ascii="Arial" w:cs="Arial" w:eastAsia="Arial" w:hAnsi="Arial"/>
          <w:sz w:val="18"/>
          <w:szCs w:val="18"/>
          <w:color w:val="auto"/>
        </w:rPr>
        <w:t>Average monthly unique visitors is defined as the average number of individuals who access our ecommerce platform within a calendar month. We calculate the average monthly unique visitors over any period by dividing the aggregate monthly unique visitors during such period by the number of months in that period. We use average monthly unique visitors to measure the quality of our customer experience, the effectiveness of our marketing campaigns and customer acquisition as well as the strength of our brand and market penetration.</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50800</wp:posOffset>
            </wp:positionV>
            <wp:extent cx="715962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p>
      <w:pPr>
        <w:ind w:right="40" w:firstLine="762"/>
        <w:spacing w:after="0" w:line="235" w:lineRule="auto"/>
        <w:rPr>
          <w:sz w:val="20"/>
          <w:szCs w:val="20"/>
          <w:color w:val="auto"/>
        </w:rPr>
      </w:pPr>
      <w:r>
        <w:rPr>
          <w:rFonts w:ascii="Arial" w:cs="Arial" w:eastAsia="Arial" w:hAnsi="Arial"/>
          <w:sz w:val="18"/>
          <w:szCs w:val="18"/>
          <w:color w:val="auto"/>
        </w:rPr>
        <w:t>Average monthly unique visitors is calculated using data provided by Google Analytics. The computation of average monthly unique visitors excludes individuals who access our platform multiple times within a calendar month, counting such individuals only one time for purposes of the calculation. If an individual accesses our ecommerce platform using different devices or different browsers on the same device within a given month, the first access through each such device or browser is counted as a separate monthly unique visitor.</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Listed Vehicles</w:t>
      </w:r>
    </w:p>
    <w:p>
      <w:pPr>
        <w:spacing w:after="0" w:line="228" w:lineRule="exact"/>
        <w:rPr>
          <w:sz w:val="20"/>
          <w:szCs w:val="20"/>
          <w:color w:val="auto"/>
        </w:rPr>
      </w:pPr>
    </w:p>
    <w:p>
      <w:pPr>
        <w:ind w:firstLine="762"/>
        <w:spacing w:after="0" w:line="235" w:lineRule="auto"/>
        <w:rPr>
          <w:sz w:val="20"/>
          <w:szCs w:val="20"/>
          <w:color w:val="auto"/>
        </w:rPr>
      </w:pPr>
      <w:r>
        <w:rPr>
          <w:rFonts w:ascii="Arial" w:cs="Arial" w:eastAsia="Arial" w:hAnsi="Arial"/>
          <w:sz w:val="18"/>
          <w:szCs w:val="18"/>
          <w:color w:val="auto"/>
        </w:rPr>
        <w:t>We define listed vehicles as the aggregate number of vehicles listed on our platform at any given point in time. Listed vehicles includes vehicles that are available for sale, pending sale and “coming soon”. Listed vehicles is a key indicator of our performance because we believe that the number of vehicles listed on our platform is a key driver of vehicle sales and revenue growth. Increasing the number of vehicles listed on our platform results in a greater selection of vehicles for our customers, creating demand and increasing conversion.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Ecommerce Average Days to Sale</w:t>
      </w:r>
    </w:p>
    <w:p>
      <w:pPr>
        <w:spacing w:after="0" w:line="228" w:lineRule="exact"/>
        <w:rPr>
          <w:sz w:val="20"/>
          <w:szCs w:val="20"/>
          <w:color w:val="auto"/>
        </w:rPr>
      </w:pPr>
    </w:p>
    <w:p>
      <w:pPr>
        <w:ind w:right="20" w:firstLine="762"/>
        <w:spacing w:after="0" w:line="234" w:lineRule="auto"/>
        <w:rPr>
          <w:sz w:val="20"/>
          <w:szCs w:val="20"/>
          <w:color w:val="auto"/>
        </w:rPr>
      </w:pPr>
      <w:r>
        <w:rPr>
          <w:rFonts w:ascii="Arial" w:cs="Arial" w:eastAsia="Arial" w:hAnsi="Arial"/>
          <w:sz w:val="18"/>
          <w:szCs w:val="18"/>
          <w:color w:val="auto"/>
        </w:rPr>
        <w:t>We define ecommerce average days to sale as the average number of days between our acquisition of vehicles and the final delivery of such vehicles to customers through our ecommerce platform. We calculate average days to sale for a given period by dividing the aggregate number of days between the acquisition of all vehicles sold through our ecommerce platform during such period and final delivery of such vehicles to customers by the number of ecommerce units sold in that period. Ecommerce average days to sale excludes vehicles sold through the TDA and Wholesale segments. Ecommerce average days to sale is an important metric because a reduction in the number of days between the acquisition of a vehicle and the delivery of such vehicle typically results in a higher gross profit per unit.</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Non-GAAP Financial Measures</w:t>
      </w:r>
    </w:p>
    <w:p>
      <w:pPr>
        <w:spacing w:after="0" w:line="228" w:lineRule="exact"/>
        <w:rPr>
          <w:sz w:val="20"/>
          <w:szCs w:val="20"/>
          <w:color w:val="auto"/>
        </w:rPr>
      </w:pPr>
    </w:p>
    <w:p>
      <w:pPr>
        <w:ind w:firstLine="762"/>
        <w:spacing w:after="0" w:line="233" w:lineRule="auto"/>
        <w:rPr>
          <w:sz w:val="20"/>
          <w:szCs w:val="20"/>
          <w:color w:val="auto"/>
        </w:rPr>
      </w:pPr>
      <w:r>
        <w:rPr>
          <w:rFonts w:ascii="Arial" w:cs="Arial" w:eastAsia="Arial" w:hAnsi="Arial"/>
          <w:sz w:val="18"/>
          <w:szCs w:val="18"/>
          <w:color w:val="auto"/>
        </w:rPr>
        <w:t>In addition to our results determined in accordance with U.S. GAAP, we believe the following non-GAAP financial measures are useful in evaluating our operating performance: EBITDA, Adjusted EBITDA, Adjusted loss from operations, Non-GAAP net loss, Non-GAAP net loss per share and Non-GAAP net loss per share, as adjusted. These non-GAAP financial measures have limitations as analytical tools in that they do not reflect all of the amounts associated with our results of operations as determined in accordance with U.S. GAAP. Because of these limitations, these non-GAAP financial measures should be considered along with other operating and financial performance measures presented in accordance with U.S. GAAP. The presentation of these non-GAAP financial measures is not intended to be considered in isolation or as a substitute for, or superior to, financial information prepared and presented in accordance with U.S. GAAP. We have reconciled all non-GAAP financial measures with the most directly comparable U.S. GAAP financial measures.</w:t>
      </w:r>
    </w:p>
    <w:p>
      <w:pPr>
        <w:spacing w:after="0" w:line="189" w:lineRule="exact"/>
        <w:rPr>
          <w:sz w:val="20"/>
          <w:szCs w:val="20"/>
          <w:color w:val="auto"/>
        </w:rPr>
      </w:pPr>
    </w:p>
    <w:p>
      <w:pPr>
        <w:ind w:right="40" w:firstLine="762"/>
        <w:spacing w:after="0" w:line="234" w:lineRule="auto"/>
        <w:rPr>
          <w:sz w:val="20"/>
          <w:szCs w:val="20"/>
          <w:color w:val="auto"/>
        </w:rPr>
      </w:pPr>
      <w:r>
        <w:rPr>
          <w:rFonts w:ascii="Arial" w:cs="Arial" w:eastAsia="Arial" w:hAnsi="Arial"/>
          <w:sz w:val="18"/>
          <w:szCs w:val="18"/>
          <w:color w:val="auto"/>
        </w:rPr>
        <w:t>EBITDA, Adjusted EBITDA, Adjusted loss from operations, Non-GAAP net loss, Non-GAAP net loss per share and Non-GAAP net loss per share, as adjusted are supplemental performance measures that our management uses to assess our operating performance and the operating leverage in our business. Because EBITDA, Adjusted EBITDA, Adjusted loss from operations, Non -GAAP net loss, Non-GAAP net loss per share and Non-GAAP net loss per share, as adjusted facilitate internal comparisons of our historical operating performance on a more consistent basis, we use these measures for business planning purposes.</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50800</wp:posOffset>
            </wp:positionV>
            <wp:extent cx="715962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EBITDA and Adjusted EBITDA</w:t>
      </w:r>
    </w:p>
    <w:p>
      <w:pPr>
        <w:spacing w:after="0" w:line="228" w:lineRule="exact"/>
        <w:rPr>
          <w:sz w:val="20"/>
          <w:szCs w:val="20"/>
          <w:color w:val="auto"/>
        </w:rPr>
      </w:pPr>
    </w:p>
    <w:p>
      <w:pPr>
        <w:ind w:right="240" w:firstLine="762"/>
        <w:spacing w:after="0" w:line="235" w:lineRule="auto"/>
        <w:rPr>
          <w:sz w:val="20"/>
          <w:szCs w:val="20"/>
          <w:color w:val="auto"/>
        </w:rPr>
      </w:pPr>
      <w:r>
        <w:rPr>
          <w:rFonts w:ascii="Arial" w:cs="Arial" w:eastAsia="Arial" w:hAnsi="Arial"/>
          <w:sz w:val="18"/>
          <w:szCs w:val="18"/>
          <w:color w:val="auto"/>
        </w:rPr>
        <w:t>We calculate EBITDA as net loss before interest expense, interest income, income tax expense and depreciation and amortization expense and we calculate Adjusted EBITDA as EBITDA adjusted to exclude the one-time, IPO related acceleration of non-cash stock-based compensation expense and the one-time, IPO related non-cash revaluation of a preferred stock warrant. The following table presents a reconciliation of EBITDA and Adjusted EBITDA to net loss, which is the most directly comparable U.S. GAAP measure:</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500" w:type="dxa"/>
            <w:vAlign w:val="bottom"/>
            <w:gridSpan w:val="5"/>
          </w:tcPr>
          <w:p>
            <w:pPr>
              <w:jc w:val="center"/>
              <w:ind w:right="50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2400" w:type="dxa"/>
            <w:vAlign w:val="bottom"/>
            <w:gridSpan w:val="4"/>
          </w:tcPr>
          <w:p>
            <w:pPr>
              <w:jc w:val="center"/>
              <w:ind w:right="313"/>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3"/>
        </w:trPr>
        <w:tc>
          <w:tcPr>
            <w:tcW w:w="5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3"/>
          </w:tcPr>
          <w:p>
            <w:pPr>
              <w:jc w:val="center"/>
              <w:ind w:left="417"/>
              <w:spacing w:after="0"/>
              <w:rPr>
                <w:sz w:val="20"/>
                <w:szCs w:val="20"/>
                <w:color w:val="auto"/>
              </w:rPr>
            </w:pPr>
            <w:r>
              <w:rPr>
                <w:rFonts w:ascii="Arial" w:cs="Arial" w:eastAsia="Arial" w:hAnsi="Arial"/>
                <w:sz w:val="14"/>
                <w:szCs w:val="14"/>
                <w:b w:val="1"/>
                <w:bCs w:val="1"/>
                <w:color w:val="auto"/>
                <w:w w:val="99"/>
              </w:rPr>
              <w:t>June 30,</w:t>
            </w:r>
          </w:p>
        </w:tc>
        <w:tc>
          <w:tcPr>
            <w:tcW w:w="8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3"/>
          </w:tcPr>
          <w:p>
            <w:pPr>
              <w:jc w:val="center"/>
              <w:ind w:left="397"/>
              <w:spacing w:after="0"/>
              <w:rPr>
                <w:sz w:val="20"/>
                <w:szCs w:val="20"/>
                <w:color w:val="auto"/>
              </w:rPr>
            </w:pPr>
            <w:r>
              <w:rPr>
                <w:rFonts w:ascii="Arial" w:cs="Arial" w:eastAsia="Arial" w:hAnsi="Arial"/>
                <w:sz w:val="14"/>
                <w:szCs w:val="14"/>
                <w:b w:val="1"/>
                <w:bCs w:val="1"/>
                <w:color w:val="auto"/>
                <w:w w:val="99"/>
              </w:rPr>
              <w:t>June 30,</w:t>
            </w:r>
          </w:p>
        </w:tc>
        <w:tc>
          <w:tcPr>
            <w:tcW w:w="8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5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93"/>
        </w:trPr>
        <w:tc>
          <w:tcPr>
            <w:tcW w:w="5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00" w:type="dxa"/>
            <w:vAlign w:val="bottom"/>
            <w:gridSpan w:val="3"/>
          </w:tcPr>
          <w:p>
            <w:pPr>
              <w:jc w:val="center"/>
              <w:ind w:left="437"/>
              <w:spacing w:after="0"/>
              <w:rPr>
                <w:sz w:val="20"/>
                <w:szCs w:val="20"/>
                <w:color w:val="auto"/>
              </w:rPr>
            </w:pPr>
            <w:r>
              <w:rPr>
                <w:rFonts w:ascii="Arial" w:cs="Arial" w:eastAsia="Arial" w:hAnsi="Arial"/>
                <w:sz w:val="14"/>
                <w:szCs w:val="14"/>
                <w:b w:val="1"/>
                <w:bCs w:val="1"/>
                <w:color w:val="auto"/>
              </w:rPr>
              <w:t>(in thousands)</w:t>
            </w: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20" w:type="dxa"/>
            <w:vAlign w:val="bottom"/>
            <w:gridSpan w:val="3"/>
          </w:tcPr>
          <w:p>
            <w:pPr>
              <w:jc w:val="center"/>
              <w:ind w:left="417"/>
              <w:spacing w:after="0"/>
              <w:rPr>
                <w:sz w:val="20"/>
                <w:szCs w:val="20"/>
                <w:color w:val="auto"/>
              </w:rPr>
            </w:pPr>
            <w:r>
              <w:rPr>
                <w:rFonts w:ascii="Arial" w:cs="Arial" w:eastAsia="Arial" w:hAnsi="Arial"/>
                <w:sz w:val="14"/>
                <w:szCs w:val="14"/>
                <w:b w:val="1"/>
                <w:bCs w:val="1"/>
                <w:color w:val="auto"/>
              </w:rPr>
              <w:t>(in thousands)</w:t>
            </w: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570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3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(65,807)</w:t>
            </w:r>
          </w:p>
        </w:tc>
        <w:tc>
          <w:tcPr>
            <w:tcW w:w="120" w:type="dxa"/>
            <w:vAlign w:val="bottom"/>
            <w:shd w:val="clear" w:color="auto" w:fill="CFF0FC"/>
          </w:tcPr>
          <w:p>
            <w:pPr>
              <w:spacing w:after="0"/>
              <w:rPr>
                <w:sz w:val="18"/>
                <w:szCs w:val="18"/>
                <w:color w:val="auto"/>
              </w:rPr>
            </w:pPr>
          </w:p>
        </w:tc>
        <w:tc>
          <w:tcPr>
            <w:tcW w:w="380" w:type="dxa"/>
            <w:vAlign w:val="bottom"/>
            <w:shd w:val="clear" w:color="auto" w:fill="CFF0FC"/>
          </w:tcPr>
          <w:p>
            <w:pPr>
              <w:jc w:val="right"/>
              <w:ind w:right="191"/>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(63,228)</w:t>
            </w: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(142,996)</w:t>
            </w:r>
          </w:p>
        </w:tc>
        <w:tc>
          <w:tcPr>
            <w:tcW w:w="120" w:type="dxa"/>
            <w:vAlign w:val="bottom"/>
            <w:shd w:val="clear" w:color="auto" w:fill="CFF0FC"/>
          </w:tcPr>
          <w:p>
            <w:pPr>
              <w:spacing w:after="0"/>
              <w:rPr>
                <w:sz w:val="18"/>
                <w:szCs w:val="18"/>
                <w:color w:val="auto"/>
              </w:rPr>
            </w:pPr>
          </w:p>
        </w:tc>
        <w:tc>
          <w:tcPr>
            <w:tcW w:w="400" w:type="dxa"/>
            <w:vAlign w:val="bottom"/>
            <w:shd w:val="clear" w:color="auto" w:fill="CFF0FC"/>
          </w:tcPr>
          <w:p>
            <w:pPr>
              <w:jc w:val="right"/>
              <w:ind w:right="211"/>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(104,287)</w:t>
            </w:r>
          </w:p>
        </w:tc>
        <w:tc>
          <w:tcPr>
            <w:tcW w:w="0" w:type="dxa"/>
            <w:vAlign w:val="bottom"/>
          </w:tcPr>
          <w:p>
            <w:pPr>
              <w:spacing w:after="0"/>
              <w:rPr>
                <w:sz w:val="1"/>
                <w:szCs w:val="1"/>
                <w:color w:val="auto"/>
              </w:rPr>
            </w:pPr>
          </w:p>
        </w:tc>
      </w:tr>
      <w:tr>
        <w:trPr>
          <w:trHeight w:val="213"/>
        </w:trPr>
        <w:tc>
          <w:tcPr>
            <w:tcW w:w="5700" w:type="dxa"/>
            <w:vAlign w:val="bottom"/>
          </w:tcPr>
          <w:p>
            <w:pPr>
              <w:spacing w:after="0"/>
              <w:rPr>
                <w:sz w:val="20"/>
                <w:szCs w:val="20"/>
                <w:color w:val="auto"/>
              </w:rPr>
            </w:pPr>
            <w:r>
              <w:rPr>
                <w:rFonts w:ascii="Arial" w:cs="Arial" w:eastAsia="Arial" w:hAnsi="Arial"/>
                <w:sz w:val="18"/>
                <w:szCs w:val="18"/>
                <w:color w:val="auto"/>
              </w:rPr>
              <w:t>Adjusted to exclude the following:</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7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Interest expense</w:t>
            </w: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3,880</w:t>
            </w:r>
          </w:p>
        </w:tc>
        <w:tc>
          <w:tcPr>
            <w:tcW w:w="1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1,297</w:t>
            </w: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7,692</w:t>
            </w:r>
          </w:p>
        </w:tc>
        <w:tc>
          <w:tcPr>
            <w:tcW w:w="1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88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4,123</w:t>
            </w:r>
          </w:p>
        </w:tc>
        <w:tc>
          <w:tcPr>
            <w:tcW w:w="0" w:type="dxa"/>
            <w:vAlign w:val="bottom"/>
          </w:tcPr>
          <w:p>
            <w:pPr>
              <w:spacing w:after="0"/>
              <w:rPr>
                <w:sz w:val="1"/>
                <w:szCs w:val="1"/>
                <w:color w:val="auto"/>
              </w:rPr>
            </w:pPr>
          </w:p>
        </w:tc>
      </w:tr>
      <w:tr>
        <w:trPr>
          <w:trHeight w:val="213"/>
        </w:trPr>
        <w:tc>
          <w:tcPr>
            <w:tcW w:w="5700" w:type="dxa"/>
            <w:vAlign w:val="bottom"/>
          </w:tcPr>
          <w:p>
            <w:pPr>
              <w:ind w:left="120"/>
              <w:spacing w:after="0"/>
              <w:rPr>
                <w:sz w:val="20"/>
                <w:szCs w:val="20"/>
                <w:color w:val="auto"/>
              </w:rPr>
            </w:pPr>
            <w:r>
              <w:rPr>
                <w:rFonts w:ascii="Arial" w:cs="Arial" w:eastAsia="Arial" w:hAnsi="Arial"/>
                <w:sz w:val="18"/>
                <w:szCs w:val="18"/>
                <w:color w:val="auto"/>
              </w:rPr>
              <w:t>Interest income</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(2,062)</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(715)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(4,358)</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(2,671)</w:t>
            </w:r>
          </w:p>
        </w:tc>
        <w:tc>
          <w:tcPr>
            <w:tcW w:w="0" w:type="dxa"/>
            <w:vAlign w:val="bottom"/>
          </w:tcPr>
          <w:p>
            <w:pPr>
              <w:spacing w:after="0"/>
              <w:rPr>
                <w:sz w:val="1"/>
                <w:szCs w:val="1"/>
                <w:color w:val="auto"/>
              </w:rPr>
            </w:pPr>
          </w:p>
        </w:tc>
      </w:tr>
      <w:tr>
        <w:trPr>
          <w:trHeight w:val="213"/>
        </w:trPr>
        <w:tc>
          <w:tcPr>
            <w:tcW w:w="57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Provision for income taxes</w:t>
            </w: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194</w:t>
            </w:r>
          </w:p>
        </w:tc>
        <w:tc>
          <w:tcPr>
            <w:tcW w:w="1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52</w:t>
            </w: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350</w:t>
            </w:r>
          </w:p>
        </w:tc>
        <w:tc>
          <w:tcPr>
            <w:tcW w:w="1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88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3"/>
        </w:trPr>
        <w:tc>
          <w:tcPr>
            <w:tcW w:w="5700" w:type="dxa"/>
            <w:vAlign w:val="bottom"/>
            <w:tcBorders>
              <w:bottom w:val="single" w:sz="8" w:color="CFF0FC"/>
            </w:tcBorders>
          </w:tcPr>
          <w:p>
            <w:pPr>
              <w:ind w:left="120"/>
              <w:spacing w:after="0"/>
              <w:rPr>
                <w:sz w:val="20"/>
                <w:szCs w:val="20"/>
                <w:color w:val="auto"/>
              </w:rPr>
            </w:pPr>
            <w:r>
              <w:rPr>
                <w:rFonts w:ascii="Arial" w:cs="Arial" w:eastAsia="Arial" w:hAnsi="Arial"/>
                <w:sz w:val="18"/>
                <w:szCs w:val="18"/>
                <w:color w:val="auto"/>
              </w:rPr>
              <w:t>Depreciation and amortization expense</w:t>
            </w:r>
          </w:p>
        </w:tc>
        <w:tc>
          <w:tcPr>
            <w:tcW w:w="12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3,122</w:t>
            </w:r>
          </w:p>
        </w:tc>
        <w:tc>
          <w:tcPr>
            <w:tcW w:w="120" w:type="dxa"/>
            <w:vAlign w:val="bottom"/>
            <w:tcBorders>
              <w:bottom w:val="single" w:sz="8" w:color="CFF0FC"/>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1,089</w:t>
            </w:r>
          </w:p>
        </w:tc>
        <w:tc>
          <w:tcPr>
            <w:tcW w:w="12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6,028</w:t>
            </w:r>
          </w:p>
        </w:tc>
        <w:tc>
          <w:tcPr>
            <w:tcW w:w="120" w:type="dxa"/>
            <w:vAlign w:val="bottom"/>
            <w:tcBorders>
              <w:bottom w:val="single" w:sz="8" w:color="CFF0FC"/>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2,059</w:t>
            </w:r>
          </w:p>
        </w:tc>
        <w:tc>
          <w:tcPr>
            <w:tcW w:w="0" w:type="dxa"/>
            <w:vAlign w:val="bottom"/>
          </w:tcPr>
          <w:p>
            <w:pPr>
              <w:spacing w:after="0"/>
              <w:rPr>
                <w:sz w:val="1"/>
                <w:szCs w:val="1"/>
                <w:color w:val="auto"/>
              </w:rPr>
            </w:pPr>
          </w:p>
        </w:tc>
      </w:tr>
      <w:tr>
        <w:trPr>
          <w:trHeight w:val="206"/>
        </w:trPr>
        <w:tc>
          <w:tcPr>
            <w:tcW w:w="5700" w:type="dxa"/>
            <w:vAlign w:val="bottom"/>
            <w:shd w:val="clear" w:color="auto" w:fill="CFF0FC"/>
          </w:tcPr>
          <w:p>
            <w:pPr>
              <w:spacing w:after="0"/>
              <w:rPr>
                <w:sz w:val="20"/>
                <w:szCs w:val="20"/>
                <w:color w:val="auto"/>
              </w:rPr>
            </w:pPr>
            <w:r>
              <w:rPr>
                <w:rFonts w:ascii="Arial" w:cs="Arial" w:eastAsia="Arial" w:hAnsi="Arial"/>
                <w:sz w:val="18"/>
                <w:szCs w:val="18"/>
                <w:color w:val="auto"/>
              </w:rPr>
              <w:t>EBITDA</w:t>
            </w:r>
          </w:p>
        </w:tc>
        <w:tc>
          <w:tcPr>
            <w:tcW w:w="3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(60,673)</w:t>
            </w:r>
          </w:p>
        </w:tc>
        <w:tc>
          <w:tcPr>
            <w:tcW w:w="120" w:type="dxa"/>
            <w:vAlign w:val="bottom"/>
            <w:shd w:val="clear" w:color="auto" w:fill="CFF0FC"/>
          </w:tcPr>
          <w:p>
            <w:pPr>
              <w:spacing w:after="0"/>
              <w:rPr>
                <w:sz w:val="17"/>
                <w:szCs w:val="17"/>
                <w:color w:val="auto"/>
              </w:rPr>
            </w:pPr>
          </w:p>
        </w:tc>
        <w:tc>
          <w:tcPr>
            <w:tcW w:w="380" w:type="dxa"/>
            <w:vAlign w:val="bottom"/>
            <w:shd w:val="clear" w:color="auto" w:fill="CFF0FC"/>
          </w:tcPr>
          <w:p>
            <w:pPr>
              <w:jc w:val="right"/>
              <w:ind w:right="191"/>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(61,505)</w:t>
            </w:r>
          </w:p>
        </w:tc>
        <w:tc>
          <w:tcPr>
            <w:tcW w:w="120" w:type="dxa"/>
            <w:vAlign w:val="bottom"/>
            <w:shd w:val="clear" w:color="auto" w:fill="CFF0FC"/>
          </w:tcPr>
          <w:p>
            <w:pPr>
              <w:spacing w:after="0"/>
              <w:rPr>
                <w:sz w:val="17"/>
                <w:szCs w:val="17"/>
                <w:color w:val="auto"/>
              </w:rPr>
            </w:pPr>
          </w:p>
        </w:tc>
        <w:tc>
          <w:tcPr>
            <w:tcW w:w="26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(133,284)</w:t>
            </w:r>
          </w:p>
        </w:tc>
        <w:tc>
          <w:tcPr>
            <w:tcW w:w="120" w:type="dxa"/>
            <w:vAlign w:val="bottom"/>
            <w:shd w:val="clear" w:color="auto" w:fill="CFF0FC"/>
          </w:tcPr>
          <w:p>
            <w:pPr>
              <w:spacing w:after="0"/>
              <w:rPr>
                <w:sz w:val="17"/>
                <w:szCs w:val="17"/>
                <w:color w:val="auto"/>
              </w:rPr>
            </w:pPr>
          </w:p>
        </w:tc>
        <w:tc>
          <w:tcPr>
            <w:tcW w:w="400" w:type="dxa"/>
            <w:vAlign w:val="bottom"/>
            <w:shd w:val="clear" w:color="auto" w:fill="CFF0FC"/>
          </w:tcPr>
          <w:p>
            <w:pPr>
              <w:jc w:val="right"/>
              <w:ind w:right="211"/>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(100,671)</w:t>
            </w:r>
          </w:p>
        </w:tc>
        <w:tc>
          <w:tcPr>
            <w:tcW w:w="0" w:type="dxa"/>
            <w:vAlign w:val="bottom"/>
          </w:tcPr>
          <w:p>
            <w:pPr>
              <w:spacing w:after="0"/>
              <w:rPr>
                <w:sz w:val="1"/>
                <w:szCs w:val="1"/>
                <w:color w:val="auto"/>
              </w:rPr>
            </w:pPr>
          </w:p>
        </w:tc>
      </w:tr>
      <w:tr>
        <w:trPr>
          <w:trHeight w:val="20"/>
        </w:trPr>
        <w:tc>
          <w:tcPr>
            <w:tcW w:w="5700" w:type="dxa"/>
            <w:vAlign w:val="bottom"/>
            <w:tcBorders>
              <w:top w:val="single" w:sz="8" w:color="CFF0FC"/>
              <w:bottom w:val="single" w:sz="8" w:color="CFF0FC"/>
            </w:tcBorders>
            <w:vMerge w:val="restart"/>
          </w:tcPr>
          <w:p>
            <w:pPr>
              <w:ind w:left="120"/>
              <w:spacing w:after="0"/>
              <w:rPr>
                <w:sz w:val="20"/>
                <w:szCs w:val="20"/>
                <w:color w:val="auto"/>
              </w:rPr>
            </w:pPr>
            <w:r>
              <w:rPr>
                <w:rFonts w:ascii="Arial" w:cs="Arial" w:eastAsia="Arial" w:hAnsi="Arial"/>
                <w:sz w:val="18"/>
                <w:szCs w:val="18"/>
                <w:color w:val="auto"/>
              </w:rPr>
              <w:t>One-time IPO related acceleration of non-cash stock-based</w:t>
            </w:r>
          </w:p>
        </w:tc>
        <w:tc>
          <w:tcPr>
            <w:tcW w:w="12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7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5700" w:type="dxa"/>
            <w:vAlign w:val="bottom"/>
          </w:tcPr>
          <w:p>
            <w:pPr>
              <w:ind w:left="120"/>
              <w:spacing w:after="0" w:line="201" w:lineRule="exact"/>
              <w:rPr>
                <w:sz w:val="20"/>
                <w:szCs w:val="20"/>
                <w:color w:val="auto"/>
              </w:rPr>
            </w:pPr>
            <w:r>
              <w:rPr>
                <w:rFonts w:ascii="Arial" w:cs="Arial" w:eastAsia="Arial" w:hAnsi="Arial"/>
                <w:sz w:val="18"/>
                <w:szCs w:val="18"/>
                <w:color w:val="auto"/>
              </w:rPr>
              <w:t>compensation</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gridSpan w:val="2"/>
          </w:tcPr>
          <w:p>
            <w:pPr>
              <w:jc w:val="right"/>
              <w:ind w:right="240"/>
              <w:spacing w:after="0" w:line="201" w:lineRule="exact"/>
              <w:rPr>
                <w:sz w:val="20"/>
                <w:szCs w:val="20"/>
                <w:color w:val="auto"/>
              </w:rPr>
            </w:pPr>
            <w:r>
              <w:rPr>
                <w:rFonts w:ascii="Arial" w:cs="Arial" w:eastAsia="Arial" w:hAnsi="Arial"/>
                <w:sz w:val="18"/>
                <w:szCs w:val="18"/>
                <w:color w:val="auto"/>
              </w:rPr>
              <w:t>—</w:t>
            </w:r>
          </w:p>
        </w:tc>
        <w:tc>
          <w:tcPr>
            <w:tcW w:w="380" w:type="dxa"/>
            <w:vAlign w:val="bottom"/>
          </w:tcPr>
          <w:p>
            <w:pPr>
              <w:spacing w:after="0"/>
              <w:rPr>
                <w:sz w:val="17"/>
                <w:szCs w:val="17"/>
                <w:color w:val="auto"/>
              </w:rPr>
            </w:pPr>
          </w:p>
        </w:tc>
        <w:tc>
          <w:tcPr>
            <w:tcW w:w="880" w:type="dxa"/>
            <w:vAlign w:val="bottom"/>
          </w:tcPr>
          <w:p>
            <w:pPr>
              <w:jc w:val="right"/>
              <w:ind w:right="33"/>
              <w:spacing w:after="0" w:line="201" w:lineRule="exact"/>
              <w:rPr>
                <w:sz w:val="20"/>
                <w:szCs w:val="20"/>
                <w:color w:val="auto"/>
              </w:rPr>
            </w:pPr>
            <w:r>
              <w:rPr>
                <w:rFonts w:ascii="Arial" w:cs="Arial" w:eastAsia="Arial" w:hAnsi="Arial"/>
                <w:sz w:val="18"/>
                <w:szCs w:val="18"/>
                <w:color w:val="auto"/>
              </w:rPr>
              <w:t>1,262</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gridSpan w:val="2"/>
          </w:tcPr>
          <w:p>
            <w:pPr>
              <w:jc w:val="right"/>
              <w:ind w:right="240"/>
              <w:spacing w:after="0" w:line="201" w:lineRule="exact"/>
              <w:rPr>
                <w:sz w:val="20"/>
                <w:szCs w:val="20"/>
                <w:color w:val="auto"/>
              </w:rPr>
            </w:pPr>
            <w:r>
              <w:rPr>
                <w:rFonts w:ascii="Arial" w:cs="Arial" w:eastAsia="Arial" w:hAnsi="Arial"/>
                <w:sz w:val="18"/>
                <w:szCs w:val="18"/>
                <w:color w:val="auto"/>
              </w:rPr>
              <w:t>—</w:t>
            </w:r>
          </w:p>
        </w:tc>
        <w:tc>
          <w:tcPr>
            <w:tcW w:w="400" w:type="dxa"/>
            <w:vAlign w:val="bottom"/>
          </w:tcPr>
          <w:p>
            <w:pPr>
              <w:spacing w:after="0"/>
              <w:rPr>
                <w:sz w:val="17"/>
                <w:szCs w:val="17"/>
                <w:color w:val="auto"/>
              </w:rPr>
            </w:pPr>
          </w:p>
        </w:tc>
        <w:tc>
          <w:tcPr>
            <w:tcW w:w="880" w:type="dxa"/>
            <w:vAlign w:val="bottom"/>
          </w:tcPr>
          <w:p>
            <w:pPr>
              <w:jc w:val="right"/>
              <w:ind w:right="53"/>
              <w:spacing w:after="0" w:line="201" w:lineRule="exact"/>
              <w:rPr>
                <w:sz w:val="20"/>
                <w:szCs w:val="20"/>
                <w:color w:val="auto"/>
              </w:rPr>
            </w:pPr>
            <w:r>
              <w:rPr>
                <w:rFonts w:ascii="Arial" w:cs="Arial" w:eastAsia="Arial" w:hAnsi="Arial"/>
                <w:sz w:val="18"/>
                <w:szCs w:val="18"/>
                <w:color w:val="auto"/>
              </w:rPr>
              <w:t>1,262</w:t>
            </w:r>
          </w:p>
        </w:tc>
        <w:tc>
          <w:tcPr>
            <w:tcW w:w="0" w:type="dxa"/>
            <w:vAlign w:val="bottom"/>
          </w:tcPr>
          <w:p>
            <w:pPr>
              <w:spacing w:after="0"/>
              <w:rPr>
                <w:sz w:val="1"/>
                <w:szCs w:val="1"/>
                <w:color w:val="auto"/>
              </w:rPr>
            </w:pPr>
          </w:p>
        </w:tc>
      </w:tr>
      <w:tr>
        <w:trPr>
          <w:trHeight w:val="213"/>
        </w:trPr>
        <w:tc>
          <w:tcPr>
            <w:tcW w:w="57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One-time IPO related non-cash revaluation of preferred stock warrant</w:t>
            </w:r>
          </w:p>
        </w:tc>
        <w:tc>
          <w:tcPr>
            <w:tcW w:w="120" w:type="dxa"/>
            <w:vAlign w:val="bottom"/>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ind w:right="37"/>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21,260</w:t>
            </w:r>
          </w:p>
        </w:tc>
        <w:tc>
          <w:tcPr>
            <w:tcW w:w="120" w:type="dxa"/>
            <w:vAlign w:val="bottom"/>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ind w:right="37"/>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ind w:right="53"/>
              <w:spacing w:after="0"/>
              <w:rPr>
                <w:sz w:val="20"/>
                <w:szCs w:val="20"/>
                <w:color w:val="auto"/>
              </w:rPr>
            </w:pPr>
            <w:r>
              <w:rPr>
                <w:rFonts w:ascii="Arial" w:cs="Arial" w:eastAsia="Arial" w:hAnsi="Arial"/>
                <w:sz w:val="18"/>
                <w:szCs w:val="18"/>
                <w:color w:val="auto"/>
              </w:rPr>
              <w:t>20,470</w:t>
            </w:r>
          </w:p>
        </w:tc>
        <w:tc>
          <w:tcPr>
            <w:tcW w:w="0" w:type="dxa"/>
            <w:vAlign w:val="bottom"/>
          </w:tcPr>
          <w:p>
            <w:pPr>
              <w:spacing w:after="0"/>
              <w:rPr>
                <w:sz w:val="1"/>
                <w:szCs w:val="1"/>
                <w:color w:val="auto"/>
              </w:rPr>
            </w:pPr>
          </w:p>
        </w:tc>
      </w:tr>
      <w:tr>
        <w:trPr>
          <w:trHeight w:val="206"/>
        </w:trPr>
        <w:tc>
          <w:tcPr>
            <w:tcW w:w="5700" w:type="dxa"/>
            <w:vAlign w:val="bottom"/>
          </w:tcPr>
          <w:p>
            <w:pPr>
              <w:spacing w:after="0" w:line="205" w:lineRule="exact"/>
              <w:rPr>
                <w:sz w:val="20"/>
                <w:szCs w:val="20"/>
                <w:color w:val="auto"/>
              </w:rPr>
            </w:pPr>
            <w:r>
              <w:rPr>
                <w:rFonts w:ascii="Arial" w:cs="Arial" w:eastAsia="Arial" w:hAnsi="Arial"/>
                <w:sz w:val="18"/>
                <w:szCs w:val="18"/>
                <w:color w:val="auto"/>
              </w:rPr>
              <w:t>Adjusted EBITDA</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(60,673)</w:t>
            </w:r>
          </w:p>
        </w:tc>
        <w:tc>
          <w:tcPr>
            <w:tcW w:w="120" w:type="dxa"/>
            <w:vAlign w:val="bottom"/>
          </w:tcPr>
          <w:p>
            <w:pPr>
              <w:spacing w:after="0"/>
              <w:rPr>
                <w:sz w:val="17"/>
                <w:szCs w:val="17"/>
                <w:color w:val="auto"/>
              </w:rPr>
            </w:pPr>
          </w:p>
        </w:tc>
        <w:tc>
          <w:tcPr>
            <w:tcW w:w="380" w:type="dxa"/>
            <w:vAlign w:val="bottom"/>
          </w:tcPr>
          <w:p>
            <w:pPr>
              <w:jc w:val="right"/>
              <w:ind w:right="191"/>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(38,983)</w:t>
            </w:r>
          </w:p>
        </w:tc>
        <w:tc>
          <w:tcPr>
            <w:tcW w:w="120" w:type="dxa"/>
            <w:vAlign w:val="bottom"/>
          </w:tcPr>
          <w:p>
            <w:pPr>
              <w:spacing w:after="0"/>
              <w:rPr>
                <w:sz w:val="17"/>
                <w:szCs w:val="17"/>
                <w:color w:val="auto"/>
              </w:rPr>
            </w:pPr>
          </w:p>
        </w:tc>
        <w:tc>
          <w:tcPr>
            <w:tcW w:w="260" w:type="dxa"/>
            <w:vAlign w:val="bottom"/>
          </w:tcPr>
          <w:p>
            <w:pPr>
              <w:jc w:val="right"/>
              <w:ind w:right="71"/>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(133,284)</w:t>
            </w:r>
          </w:p>
        </w:tc>
        <w:tc>
          <w:tcPr>
            <w:tcW w:w="120" w:type="dxa"/>
            <w:vAlign w:val="bottom"/>
          </w:tcPr>
          <w:p>
            <w:pPr>
              <w:spacing w:after="0"/>
              <w:rPr>
                <w:sz w:val="17"/>
                <w:szCs w:val="17"/>
                <w:color w:val="auto"/>
              </w:rPr>
            </w:pPr>
          </w:p>
        </w:tc>
        <w:tc>
          <w:tcPr>
            <w:tcW w:w="400" w:type="dxa"/>
            <w:vAlign w:val="bottom"/>
          </w:tcPr>
          <w:p>
            <w:pPr>
              <w:jc w:val="right"/>
              <w:ind w:right="211"/>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(78,939)</w:t>
            </w: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loss from operations</w:t>
      </w:r>
    </w:p>
    <w:p>
      <w:pPr>
        <w:spacing w:after="0" w:line="228" w:lineRule="exact"/>
        <w:rPr>
          <w:sz w:val="20"/>
          <w:szCs w:val="20"/>
          <w:color w:val="auto"/>
        </w:rPr>
      </w:pPr>
    </w:p>
    <w:p>
      <w:pPr>
        <w:ind w:right="380" w:firstLine="762"/>
        <w:spacing w:after="0" w:line="236" w:lineRule="auto"/>
        <w:rPr>
          <w:sz w:val="20"/>
          <w:szCs w:val="20"/>
          <w:color w:val="auto"/>
        </w:rPr>
      </w:pPr>
      <w:r>
        <w:rPr>
          <w:rFonts w:ascii="Arial" w:cs="Arial" w:eastAsia="Arial" w:hAnsi="Arial"/>
          <w:sz w:val="18"/>
          <w:szCs w:val="18"/>
          <w:color w:val="auto"/>
        </w:rPr>
        <w:t>We calculate Adjusted loss from operations as loss from operations adjusted to exclude the one-time, IPO related acceleration of non-cash stock-based compensation expense. The following table presents a reconciliation of Adjusted loss from operations to loss from operations, which is the most directly comparable U.S. GAAP measure:</w:t>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500" w:type="dxa"/>
            <w:vAlign w:val="bottom"/>
            <w:gridSpan w:val="5"/>
          </w:tcPr>
          <w:p>
            <w:pPr>
              <w:jc w:val="center"/>
              <w:ind w:right="50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2400" w:type="dxa"/>
            <w:vAlign w:val="bottom"/>
            <w:gridSpan w:val="4"/>
          </w:tcPr>
          <w:p>
            <w:pPr>
              <w:jc w:val="center"/>
              <w:ind w:right="316"/>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3"/>
        </w:trPr>
        <w:tc>
          <w:tcPr>
            <w:tcW w:w="5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3"/>
          </w:tcPr>
          <w:p>
            <w:pPr>
              <w:jc w:val="center"/>
              <w:ind w:left="421"/>
              <w:spacing w:after="0"/>
              <w:rPr>
                <w:sz w:val="20"/>
                <w:szCs w:val="20"/>
                <w:color w:val="auto"/>
              </w:rPr>
            </w:pPr>
            <w:r>
              <w:rPr>
                <w:rFonts w:ascii="Arial" w:cs="Arial" w:eastAsia="Arial" w:hAnsi="Arial"/>
                <w:sz w:val="14"/>
                <w:szCs w:val="14"/>
                <w:b w:val="1"/>
                <w:bCs w:val="1"/>
                <w:color w:val="auto"/>
                <w:w w:val="99"/>
              </w:rPr>
              <w:t>June 30,</w:t>
            </w:r>
          </w:p>
        </w:tc>
        <w:tc>
          <w:tcPr>
            <w:tcW w:w="8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3"/>
          </w:tcPr>
          <w:p>
            <w:pPr>
              <w:jc w:val="center"/>
              <w:ind w:left="401"/>
              <w:spacing w:after="0"/>
              <w:rPr>
                <w:sz w:val="20"/>
                <w:szCs w:val="20"/>
                <w:color w:val="auto"/>
              </w:rPr>
            </w:pPr>
            <w:r>
              <w:rPr>
                <w:rFonts w:ascii="Arial" w:cs="Arial" w:eastAsia="Arial" w:hAnsi="Arial"/>
                <w:sz w:val="14"/>
                <w:szCs w:val="14"/>
                <w:b w:val="1"/>
                <w:bCs w:val="1"/>
                <w:color w:val="auto"/>
                <w:w w:val="99"/>
              </w:rPr>
              <w:t>June 30,</w:t>
            </w:r>
          </w:p>
        </w:tc>
        <w:tc>
          <w:tcPr>
            <w:tcW w:w="8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5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66"/>
        </w:trPr>
        <w:tc>
          <w:tcPr>
            <w:tcW w:w="5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00" w:type="dxa"/>
            <w:vAlign w:val="bottom"/>
            <w:gridSpan w:val="3"/>
          </w:tcPr>
          <w:p>
            <w:pPr>
              <w:jc w:val="center"/>
              <w:ind w:left="441"/>
              <w:spacing w:after="0"/>
              <w:rPr>
                <w:sz w:val="20"/>
                <w:szCs w:val="20"/>
                <w:color w:val="auto"/>
              </w:rPr>
            </w:pPr>
            <w:r>
              <w:rPr>
                <w:rFonts w:ascii="Arial" w:cs="Arial" w:eastAsia="Arial" w:hAnsi="Arial"/>
                <w:sz w:val="14"/>
                <w:szCs w:val="14"/>
                <w:b w:val="1"/>
                <w:bCs w:val="1"/>
                <w:color w:val="auto"/>
              </w:rPr>
              <w:t>(in thousands)</w:t>
            </w: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20" w:type="dxa"/>
            <w:vAlign w:val="bottom"/>
            <w:gridSpan w:val="3"/>
          </w:tcPr>
          <w:p>
            <w:pPr>
              <w:jc w:val="center"/>
              <w:ind w:left="421"/>
              <w:spacing w:after="0"/>
              <w:rPr>
                <w:sz w:val="20"/>
                <w:szCs w:val="20"/>
                <w:color w:val="auto"/>
              </w:rPr>
            </w:pPr>
            <w:r>
              <w:rPr>
                <w:rFonts w:ascii="Arial" w:cs="Arial" w:eastAsia="Arial" w:hAnsi="Arial"/>
                <w:sz w:val="14"/>
                <w:szCs w:val="14"/>
                <w:b w:val="1"/>
                <w:bCs w:val="1"/>
                <w:color w:val="auto"/>
              </w:rPr>
              <w:t>(in thousands)</w:t>
            </w: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6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(63,828)</w:t>
            </w:r>
          </w:p>
        </w:tc>
        <w:tc>
          <w:tcPr>
            <w:tcW w:w="120" w:type="dxa"/>
            <w:vAlign w:val="bottom"/>
            <w:shd w:val="clear" w:color="auto" w:fill="CFF0FC"/>
          </w:tcPr>
          <w:p>
            <w:pPr>
              <w:spacing w:after="0"/>
              <w:rPr>
                <w:sz w:val="18"/>
                <w:szCs w:val="18"/>
                <w:color w:val="auto"/>
              </w:rPr>
            </w:pPr>
          </w:p>
        </w:tc>
        <w:tc>
          <w:tcPr>
            <w:tcW w:w="380" w:type="dxa"/>
            <w:vAlign w:val="bottom"/>
            <w:shd w:val="clear" w:color="auto" w:fill="CFF0FC"/>
          </w:tcPr>
          <w:p>
            <w:pPr>
              <w:jc w:val="right"/>
              <w:ind w:right="191"/>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(41,387)</w:t>
            </w: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(139,360)</w:t>
            </w:r>
          </w:p>
        </w:tc>
        <w:tc>
          <w:tcPr>
            <w:tcW w:w="120" w:type="dxa"/>
            <w:vAlign w:val="bottom"/>
            <w:shd w:val="clear" w:color="auto" w:fill="CFF0FC"/>
          </w:tcPr>
          <w:p>
            <w:pPr>
              <w:spacing w:after="0"/>
              <w:rPr>
                <w:sz w:val="18"/>
                <w:szCs w:val="18"/>
                <w:color w:val="auto"/>
              </w:rPr>
            </w:pPr>
          </w:p>
        </w:tc>
        <w:tc>
          <w:tcPr>
            <w:tcW w:w="400" w:type="dxa"/>
            <w:vAlign w:val="bottom"/>
            <w:shd w:val="clear" w:color="auto" w:fill="CFF0FC"/>
          </w:tcPr>
          <w:p>
            <w:pPr>
              <w:jc w:val="right"/>
              <w:ind w:right="211"/>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(82,346)</w:t>
            </w:r>
          </w:p>
        </w:tc>
        <w:tc>
          <w:tcPr>
            <w:tcW w:w="0" w:type="dxa"/>
            <w:vAlign w:val="bottom"/>
          </w:tcPr>
          <w:p>
            <w:pPr>
              <w:spacing w:after="0"/>
              <w:rPr>
                <w:sz w:val="1"/>
                <w:szCs w:val="1"/>
                <w:color w:val="auto"/>
              </w:rPr>
            </w:pPr>
          </w:p>
        </w:tc>
      </w:tr>
      <w:tr>
        <w:trPr>
          <w:trHeight w:val="212"/>
        </w:trPr>
        <w:tc>
          <w:tcPr>
            <w:tcW w:w="5420" w:type="dxa"/>
            <w:vAlign w:val="bottom"/>
          </w:tcPr>
          <w:p>
            <w:pPr>
              <w:ind w:left="240"/>
              <w:spacing w:after="0"/>
              <w:rPr>
                <w:sz w:val="20"/>
                <w:szCs w:val="20"/>
                <w:color w:val="auto"/>
              </w:rPr>
            </w:pPr>
            <w:r>
              <w:rPr>
                <w:rFonts w:ascii="Arial" w:cs="Arial" w:eastAsia="Arial" w:hAnsi="Arial"/>
                <w:sz w:val="18"/>
                <w:szCs w:val="18"/>
                <w:color w:val="auto"/>
              </w:rPr>
              <w:t>Add: One-time IPO related acceleration of non-cash stock based</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5420" w:type="dxa"/>
            <w:vAlign w:val="bottom"/>
            <w:tcBorders>
              <w:bottom w:val="single" w:sz="8" w:color="CFF0FC"/>
            </w:tcBorders>
          </w:tcPr>
          <w:p>
            <w:pPr>
              <w:ind w:left="240"/>
              <w:spacing w:after="0" w:line="201" w:lineRule="exact"/>
              <w:rPr>
                <w:sz w:val="20"/>
                <w:szCs w:val="20"/>
                <w:color w:val="auto"/>
              </w:rPr>
            </w:pPr>
            <w:r>
              <w:rPr>
                <w:rFonts w:ascii="Arial" w:cs="Arial" w:eastAsia="Arial" w:hAnsi="Arial"/>
                <w:sz w:val="18"/>
                <w:szCs w:val="18"/>
                <w:color w:val="auto"/>
              </w:rPr>
              <w:t>compensation</w:t>
            </w:r>
          </w:p>
        </w:tc>
        <w:tc>
          <w:tcPr>
            <w:tcW w:w="400" w:type="dxa"/>
            <w:vAlign w:val="bottom"/>
            <w:tcBorders>
              <w:bottom w:val="single" w:sz="8" w:color="CFF0FC"/>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1"/>
              <w:spacing w:after="0" w:line="201" w:lineRule="exact"/>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6"/>
              <w:spacing w:after="0" w:line="201" w:lineRule="exact"/>
              <w:rPr>
                <w:sz w:val="20"/>
                <w:szCs w:val="20"/>
                <w:color w:val="auto"/>
              </w:rPr>
            </w:pPr>
            <w:r>
              <w:rPr>
                <w:rFonts w:ascii="Arial" w:cs="Arial" w:eastAsia="Arial" w:hAnsi="Arial"/>
                <w:sz w:val="18"/>
                <w:szCs w:val="18"/>
                <w:color w:val="auto"/>
              </w:rPr>
              <w:t>1,262</w:t>
            </w:r>
          </w:p>
        </w:tc>
        <w:tc>
          <w:tcPr>
            <w:tcW w:w="120" w:type="dxa"/>
            <w:vAlign w:val="bottom"/>
            <w:tcBorders>
              <w:bottom w:val="single" w:sz="8" w:color="CFF0FC"/>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1"/>
              <w:spacing w:after="0" w:line="201" w:lineRule="exact"/>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56"/>
              <w:spacing w:after="0" w:line="201" w:lineRule="exact"/>
              <w:rPr>
                <w:sz w:val="20"/>
                <w:szCs w:val="20"/>
                <w:color w:val="auto"/>
              </w:rPr>
            </w:pPr>
            <w:r>
              <w:rPr>
                <w:rFonts w:ascii="Arial" w:cs="Arial" w:eastAsia="Arial" w:hAnsi="Arial"/>
                <w:sz w:val="18"/>
                <w:szCs w:val="18"/>
                <w:color w:val="auto"/>
              </w:rPr>
              <w:t>1,262</w:t>
            </w:r>
          </w:p>
        </w:tc>
        <w:tc>
          <w:tcPr>
            <w:tcW w:w="0" w:type="dxa"/>
            <w:vAlign w:val="bottom"/>
          </w:tcPr>
          <w:p>
            <w:pPr>
              <w:spacing w:after="0"/>
              <w:rPr>
                <w:sz w:val="1"/>
                <w:szCs w:val="1"/>
                <w:color w:val="auto"/>
              </w:rPr>
            </w:pPr>
          </w:p>
        </w:tc>
      </w:tr>
      <w:tr>
        <w:trPr>
          <w:trHeight w:val="206"/>
        </w:trPr>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Adjusted loss from operations</w:t>
            </w:r>
          </w:p>
        </w:tc>
        <w:tc>
          <w:tcPr>
            <w:tcW w:w="6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(63,828)</w:t>
            </w:r>
          </w:p>
        </w:tc>
        <w:tc>
          <w:tcPr>
            <w:tcW w:w="120" w:type="dxa"/>
            <w:vAlign w:val="bottom"/>
            <w:shd w:val="clear" w:color="auto" w:fill="CFF0FC"/>
          </w:tcPr>
          <w:p>
            <w:pPr>
              <w:spacing w:after="0"/>
              <w:rPr>
                <w:sz w:val="17"/>
                <w:szCs w:val="17"/>
                <w:color w:val="auto"/>
              </w:rPr>
            </w:pPr>
          </w:p>
        </w:tc>
        <w:tc>
          <w:tcPr>
            <w:tcW w:w="380" w:type="dxa"/>
            <w:vAlign w:val="bottom"/>
            <w:shd w:val="clear" w:color="auto" w:fill="CFF0FC"/>
          </w:tcPr>
          <w:p>
            <w:pPr>
              <w:jc w:val="right"/>
              <w:ind w:right="191"/>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(40,125)</w:t>
            </w:r>
          </w:p>
        </w:tc>
        <w:tc>
          <w:tcPr>
            <w:tcW w:w="120" w:type="dxa"/>
            <w:vAlign w:val="bottom"/>
            <w:shd w:val="clear" w:color="auto" w:fill="CFF0FC"/>
          </w:tcPr>
          <w:p>
            <w:pPr>
              <w:spacing w:after="0"/>
              <w:rPr>
                <w:sz w:val="17"/>
                <w:szCs w:val="17"/>
                <w:color w:val="auto"/>
              </w:rPr>
            </w:pPr>
          </w:p>
        </w:tc>
        <w:tc>
          <w:tcPr>
            <w:tcW w:w="26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(139,360)</w:t>
            </w:r>
          </w:p>
        </w:tc>
        <w:tc>
          <w:tcPr>
            <w:tcW w:w="120" w:type="dxa"/>
            <w:vAlign w:val="bottom"/>
            <w:shd w:val="clear" w:color="auto" w:fill="CFF0FC"/>
          </w:tcPr>
          <w:p>
            <w:pPr>
              <w:spacing w:after="0"/>
              <w:rPr>
                <w:sz w:val="17"/>
                <w:szCs w:val="17"/>
                <w:color w:val="auto"/>
              </w:rPr>
            </w:pPr>
          </w:p>
        </w:tc>
        <w:tc>
          <w:tcPr>
            <w:tcW w:w="400" w:type="dxa"/>
            <w:vAlign w:val="bottom"/>
            <w:shd w:val="clear" w:color="auto" w:fill="CFF0FC"/>
          </w:tcPr>
          <w:p>
            <w:pPr>
              <w:jc w:val="right"/>
              <w:ind w:right="211"/>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(81,084)</w:t>
            </w:r>
          </w:p>
        </w:tc>
        <w:tc>
          <w:tcPr>
            <w:tcW w:w="0" w:type="dxa"/>
            <w:vAlign w:val="bottom"/>
          </w:tcPr>
          <w:p>
            <w:pPr>
              <w:spacing w:after="0"/>
              <w:rPr>
                <w:sz w:val="1"/>
                <w:szCs w:val="1"/>
                <w:color w:val="auto"/>
              </w:rPr>
            </w:pPr>
          </w:p>
        </w:tc>
      </w:tr>
      <w:tr>
        <w:trPr>
          <w:trHeight w:val="20"/>
        </w:trPr>
        <w:tc>
          <w:tcPr>
            <w:tcW w:w="5420" w:type="dxa"/>
            <w:vAlign w:val="bottom"/>
            <w:tcBorders>
              <w:top w:val="single" w:sz="8" w:color="CFF0FC"/>
            </w:tcBorders>
          </w:tcPr>
          <w:p>
            <w:pPr>
              <w:spacing w:after="0" w:line="20" w:lineRule="exact"/>
              <w:rPr>
                <w:sz w:val="1"/>
                <w:szCs w:val="1"/>
                <w:color w:val="auto"/>
              </w:rPr>
            </w:pPr>
          </w:p>
        </w:tc>
        <w:tc>
          <w:tcPr>
            <w:tcW w:w="400" w:type="dxa"/>
            <w:vAlign w:val="bottom"/>
            <w:tcBorders>
              <w:top w:val="single" w:sz="8" w:color="CFF0FC"/>
              <w:bottom w:val="single" w:sz="8" w:color="CFF0FC"/>
            </w:tcBorders>
            <w:vMerge w:val="restart"/>
          </w:tcPr>
          <w:p>
            <w:pPr>
              <w:jc w:val="right"/>
              <w:ind w:right="11"/>
              <w:spacing w:after="0"/>
              <w:rPr>
                <w:sz w:val="20"/>
                <w:szCs w:val="20"/>
                <w:color w:val="auto"/>
              </w:rPr>
            </w:pPr>
            <w:r>
              <w:rPr>
                <w:rFonts w:ascii="Arial" w:cs="Arial" w:eastAsia="Arial" w:hAnsi="Arial"/>
                <w:sz w:val="18"/>
                <w:szCs w:val="18"/>
                <w:color w:val="auto"/>
              </w:rPr>
              <w:t>31</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8"/>
        </w:trPr>
        <w:tc>
          <w:tcPr>
            <w:tcW w:w="5420" w:type="dxa"/>
            <w:vAlign w:val="bottom"/>
          </w:tcPr>
          <w:p>
            <w:pPr>
              <w:spacing w:after="0"/>
              <w:rPr>
                <w:sz w:val="24"/>
                <w:szCs w:val="24"/>
                <w:color w:val="auto"/>
              </w:rPr>
            </w:pPr>
          </w:p>
        </w:tc>
        <w:tc>
          <w:tcPr>
            <w:tcW w:w="40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542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88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88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net loss, Non-GAAP net loss per share and Non-GAAP net loss per share, as adjusted</w:t>
      </w:r>
    </w:p>
    <w:p>
      <w:pPr>
        <w:spacing w:after="0" w:line="254" w:lineRule="exact"/>
        <w:rPr>
          <w:sz w:val="20"/>
          <w:szCs w:val="20"/>
          <w:color w:val="auto"/>
        </w:rPr>
      </w:pPr>
    </w:p>
    <w:p>
      <w:pPr>
        <w:ind w:right="60" w:firstLine="749"/>
        <w:spacing w:after="0" w:line="234" w:lineRule="auto"/>
        <w:rPr>
          <w:sz w:val="20"/>
          <w:szCs w:val="20"/>
          <w:color w:val="auto"/>
        </w:rPr>
      </w:pPr>
      <w:r>
        <w:rPr>
          <w:rFonts w:ascii="Arial" w:cs="Arial" w:eastAsia="Arial" w:hAnsi="Arial"/>
          <w:sz w:val="18"/>
          <w:szCs w:val="18"/>
          <w:color w:val="auto"/>
        </w:rPr>
        <w:t>We calculate Non-GAAP net loss as net loss adjusted to exclude the one-time, IPO related acceleration of non-cash stock-based compensation expense and the one-time, IPO related non-cash revaluation of a preferred stock warrant. We calculate Non-GAAP net loss per share as Non-GAAP net loss divided by weighted average number of shares outstanding. The following table presents a reconciliation of Non-GAAP net loss and Non-GAAP net loss per share to net loss and net loss per share, which are the most directly comparable U.S. GAAP measures:</w:t>
      </w: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00" w:type="dxa"/>
            <w:vAlign w:val="bottom"/>
            <w:gridSpan w:val="5"/>
          </w:tcPr>
          <w:p>
            <w:pPr>
              <w:ind w:left="46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2560" w:type="dxa"/>
            <w:vAlign w:val="bottom"/>
            <w:gridSpan w:val="4"/>
          </w:tcPr>
          <w:p>
            <w:pPr>
              <w:jc w:val="right"/>
              <w:ind w:right="693"/>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3"/>
        </w:trPr>
        <w:tc>
          <w:tcPr>
            <w:tcW w:w="5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10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June 30,</w:t>
            </w:r>
          </w:p>
        </w:tc>
        <w:tc>
          <w:tcPr>
            <w:tcW w:w="10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5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66"/>
        </w:trPr>
        <w:tc>
          <w:tcPr>
            <w:tcW w:w="5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320" w:type="dxa"/>
            <w:vAlign w:val="bottom"/>
            <w:gridSpan w:val="9"/>
          </w:tcPr>
          <w:p>
            <w:pPr>
              <w:jc w:val="right"/>
              <w:ind w:right="40"/>
              <w:spacing w:after="0"/>
              <w:rPr>
                <w:sz w:val="20"/>
                <w:szCs w:val="20"/>
                <w:color w:val="auto"/>
              </w:rPr>
            </w:pPr>
            <w:r>
              <w:rPr>
                <w:rFonts w:ascii="Arial" w:cs="Arial" w:eastAsia="Arial" w:hAnsi="Arial"/>
                <w:sz w:val="14"/>
                <w:szCs w:val="14"/>
                <w:b w:val="1"/>
                <w:bCs w:val="1"/>
                <w:color w:val="auto"/>
              </w:rPr>
              <w:t>(in thousands, except share and per share amounts)</w:t>
            </w: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564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(65,807)</w:t>
            </w: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(63,228)</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(142,996)</w:t>
            </w:r>
          </w:p>
        </w:tc>
        <w:tc>
          <w:tcPr>
            <w:tcW w:w="3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(104,287)</w:t>
            </w:r>
          </w:p>
        </w:tc>
        <w:tc>
          <w:tcPr>
            <w:tcW w:w="0" w:type="dxa"/>
            <w:vAlign w:val="bottom"/>
          </w:tcPr>
          <w:p>
            <w:pPr>
              <w:spacing w:after="0"/>
              <w:rPr>
                <w:sz w:val="1"/>
                <w:szCs w:val="1"/>
                <w:color w:val="auto"/>
              </w:rPr>
            </w:pPr>
          </w:p>
        </w:tc>
      </w:tr>
      <w:tr>
        <w:trPr>
          <w:trHeight w:val="20"/>
        </w:trPr>
        <w:tc>
          <w:tcPr>
            <w:tcW w:w="5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6"/>
        </w:trPr>
        <w:tc>
          <w:tcPr>
            <w:tcW w:w="5640" w:type="dxa"/>
            <w:vAlign w:val="bottom"/>
          </w:tcPr>
          <w:p>
            <w:pPr>
              <w:spacing w:after="0"/>
              <w:rPr>
                <w:sz w:val="20"/>
                <w:szCs w:val="20"/>
                <w:color w:val="auto"/>
              </w:rPr>
            </w:pPr>
            <w:r>
              <w:rPr>
                <w:rFonts w:ascii="Arial" w:cs="Arial" w:eastAsia="Arial" w:hAnsi="Arial"/>
                <w:sz w:val="18"/>
                <w:szCs w:val="18"/>
                <w:color w:val="auto"/>
              </w:rPr>
              <w:t>Net loss attributable to common stockholders</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(65,807)</w:t>
            </w:r>
          </w:p>
        </w:tc>
        <w:tc>
          <w:tcPr>
            <w:tcW w:w="18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(63,228)</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(142,996)</w:t>
            </w: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(104,287)</w:t>
            </w:r>
          </w:p>
        </w:tc>
        <w:tc>
          <w:tcPr>
            <w:tcW w:w="0" w:type="dxa"/>
            <w:vAlign w:val="bottom"/>
          </w:tcPr>
          <w:p>
            <w:pPr>
              <w:spacing w:after="0"/>
              <w:rPr>
                <w:sz w:val="1"/>
                <w:szCs w:val="1"/>
                <w:color w:val="auto"/>
              </w:rPr>
            </w:pPr>
          </w:p>
        </w:tc>
      </w:tr>
      <w:tr>
        <w:trPr>
          <w:trHeight w:val="192"/>
        </w:trPr>
        <w:tc>
          <w:tcPr>
            <w:tcW w:w="5640" w:type="dxa"/>
            <w:vAlign w:val="bottom"/>
            <w:tcBorders>
              <w:top w:val="single" w:sz="8" w:color="CFF0FC"/>
            </w:tcBorders>
            <w:shd w:val="clear" w:color="auto" w:fill="CFF0FC"/>
          </w:tcPr>
          <w:p>
            <w:pPr>
              <w:ind w:left="120"/>
              <w:spacing w:after="0" w:line="192" w:lineRule="exact"/>
              <w:rPr>
                <w:sz w:val="20"/>
                <w:szCs w:val="20"/>
                <w:color w:val="auto"/>
              </w:rPr>
            </w:pPr>
            <w:r>
              <w:rPr>
                <w:rFonts w:ascii="Arial" w:cs="Arial" w:eastAsia="Arial" w:hAnsi="Arial"/>
                <w:sz w:val="18"/>
                <w:szCs w:val="18"/>
                <w:color w:val="auto"/>
              </w:rPr>
              <w:t>Add: One-time IPO related acceleration of non-cash stock based</w:t>
            </w:r>
          </w:p>
        </w:tc>
        <w:tc>
          <w:tcPr>
            <w:tcW w:w="100" w:type="dxa"/>
            <w:vAlign w:val="bottom"/>
            <w:tcBorders>
              <w:top w:val="single" w:sz="8" w:color="CFF0FC"/>
            </w:tcBorders>
            <w:shd w:val="clear" w:color="auto" w:fill="CFF0FC"/>
          </w:tcPr>
          <w:p>
            <w:pPr>
              <w:spacing w:after="0"/>
              <w:rPr>
                <w:sz w:val="16"/>
                <w:szCs w:val="16"/>
                <w:color w:val="auto"/>
              </w:rPr>
            </w:pPr>
          </w:p>
        </w:tc>
        <w:tc>
          <w:tcPr>
            <w:tcW w:w="120" w:type="dxa"/>
            <w:vAlign w:val="bottom"/>
            <w:tcBorders>
              <w:top w:val="single" w:sz="8" w:color="auto"/>
            </w:tcBorders>
            <w:shd w:val="clear" w:color="auto" w:fill="CFF0FC"/>
          </w:tcPr>
          <w:p>
            <w:pPr>
              <w:spacing w:after="0"/>
              <w:rPr>
                <w:sz w:val="16"/>
                <w:szCs w:val="16"/>
                <w:color w:val="auto"/>
              </w:rPr>
            </w:pPr>
          </w:p>
        </w:tc>
        <w:tc>
          <w:tcPr>
            <w:tcW w:w="1140" w:type="dxa"/>
            <w:vAlign w:val="bottom"/>
            <w:tcBorders>
              <w:top w:val="single" w:sz="8" w:color="auto"/>
            </w:tcBorders>
            <w:shd w:val="clear" w:color="auto" w:fill="CFF0FC"/>
          </w:tcPr>
          <w:p>
            <w:pPr>
              <w:spacing w:after="0"/>
              <w:rPr>
                <w:sz w:val="16"/>
                <w:szCs w:val="16"/>
                <w:color w:val="auto"/>
              </w:rPr>
            </w:pPr>
          </w:p>
        </w:tc>
        <w:tc>
          <w:tcPr>
            <w:tcW w:w="180" w:type="dxa"/>
            <w:vAlign w:val="bottom"/>
            <w:tcBorders>
              <w:top w:val="single" w:sz="8" w:color="CFF0FC"/>
            </w:tcBorders>
            <w:shd w:val="clear" w:color="auto" w:fill="CFF0FC"/>
          </w:tcPr>
          <w:p>
            <w:pPr>
              <w:spacing w:after="0"/>
              <w:rPr>
                <w:sz w:val="16"/>
                <w:szCs w:val="16"/>
                <w:color w:val="auto"/>
              </w:rPr>
            </w:pPr>
          </w:p>
        </w:tc>
        <w:tc>
          <w:tcPr>
            <w:tcW w:w="180" w:type="dxa"/>
            <w:vAlign w:val="bottom"/>
            <w:tcBorders>
              <w:top w:val="single" w:sz="8" w:color="auto"/>
            </w:tcBorders>
            <w:shd w:val="clear" w:color="auto" w:fill="CFF0FC"/>
          </w:tcPr>
          <w:p>
            <w:pPr>
              <w:spacing w:after="0"/>
              <w:rPr>
                <w:sz w:val="16"/>
                <w:szCs w:val="16"/>
                <w:color w:val="auto"/>
              </w:rPr>
            </w:pPr>
          </w:p>
        </w:tc>
        <w:tc>
          <w:tcPr>
            <w:tcW w:w="1080" w:type="dxa"/>
            <w:vAlign w:val="bottom"/>
            <w:tcBorders>
              <w:top w:val="single" w:sz="8" w:color="auto"/>
            </w:tcBorders>
            <w:shd w:val="clear" w:color="auto" w:fill="CFF0FC"/>
          </w:tcPr>
          <w:p>
            <w:pPr>
              <w:spacing w:after="0"/>
              <w:rPr>
                <w:sz w:val="16"/>
                <w:szCs w:val="16"/>
                <w:color w:val="auto"/>
              </w:rPr>
            </w:pPr>
          </w:p>
        </w:tc>
        <w:tc>
          <w:tcPr>
            <w:tcW w:w="120" w:type="dxa"/>
            <w:vAlign w:val="bottom"/>
            <w:tcBorders>
              <w:top w:val="single" w:sz="8" w:color="CFF0FC"/>
            </w:tcBorders>
            <w:shd w:val="clear" w:color="auto" w:fill="CFF0FC"/>
          </w:tcPr>
          <w:p>
            <w:pPr>
              <w:spacing w:after="0"/>
              <w:rPr>
                <w:sz w:val="16"/>
                <w:szCs w:val="16"/>
                <w:color w:val="auto"/>
              </w:rPr>
            </w:pPr>
          </w:p>
        </w:tc>
        <w:tc>
          <w:tcPr>
            <w:tcW w:w="120" w:type="dxa"/>
            <w:vAlign w:val="bottom"/>
            <w:tcBorders>
              <w:top w:val="single" w:sz="8" w:color="auto"/>
            </w:tcBorders>
            <w:shd w:val="clear" w:color="auto" w:fill="CFF0FC"/>
          </w:tcPr>
          <w:p>
            <w:pPr>
              <w:spacing w:after="0"/>
              <w:rPr>
                <w:sz w:val="16"/>
                <w:szCs w:val="16"/>
                <w:color w:val="auto"/>
              </w:rPr>
            </w:pPr>
          </w:p>
        </w:tc>
        <w:tc>
          <w:tcPr>
            <w:tcW w:w="1120" w:type="dxa"/>
            <w:vAlign w:val="bottom"/>
            <w:tcBorders>
              <w:top w:val="single" w:sz="8" w:color="auto"/>
            </w:tcBorders>
            <w:shd w:val="clear" w:color="auto" w:fill="CFF0FC"/>
          </w:tcPr>
          <w:p>
            <w:pPr>
              <w:spacing w:after="0"/>
              <w:rPr>
                <w:sz w:val="16"/>
                <w:szCs w:val="16"/>
                <w:color w:val="auto"/>
              </w:rPr>
            </w:pPr>
          </w:p>
        </w:tc>
        <w:tc>
          <w:tcPr>
            <w:tcW w:w="200" w:type="dxa"/>
            <w:vAlign w:val="bottom"/>
            <w:tcBorders>
              <w:top w:val="single" w:sz="8" w:color="CFF0FC"/>
            </w:tcBorders>
            <w:shd w:val="clear" w:color="auto" w:fill="CFF0FC"/>
          </w:tcPr>
          <w:p>
            <w:pPr>
              <w:spacing w:after="0"/>
              <w:rPr>
                <w:sz w:val="16"/>
                <w:szCs w:val="16"/>
                <w:color w:val="auto"/>
              </w:rPr>
            </w:pPr>
          </w:p>
        </w:tc>
        <w:tc>
          <w:tcPr>
            <w:tcW w:w="180" w:type="dxa"/>
            <w:vAlign w:val="bottom"/>
            <w:tcBorders>
              <w:top w:val="single" w:sz="8" w:color="auto"/>
            </w:tcBorders>
            <w:shd w:val="clear" w:color="auto" w:fill="CFF0FC"/>
          </w:tcPr>
          <w:p>
            <w:pPr>
              <w:spacing w:after="0"/>
              <w:rPr>
                <w:sz w:val="16"/>
                <w:szCs w:val="16"/>
                <w:color w:val="auto"/>
              </w:rPr>
            </w:pPr>
          </w:p>
        </w:tc>
        <w:tc>
          <w:tcPr>
            <w:tcW w:w="1060" w:type="dxa"/>
            <w:vAlign w:val="bottom"/>
            <w:tcBorders>
              <w:top w:val="single" w:sz="8" w:color="auto"/>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5640" w:type="dxa"/>
            <w:vAlign w:val="bottom"/>
            <w:shd w:val="clear" w:color="auto" w:fill="CFF0FC"/>
          </w:tcPr>
          <w:p>
            <w:pPr>
              <w:ind w:left="120"/>
              <w:spacing w:after="0" w:line="201" w:lineRule="exact"/>
              <w:rPr>
                <w:sz w:val="20"/>
                <w:szCs w:val="20"/>
                <w:color w:val="auto"/>
              </w:rPr>
            </w:pPr>
            <w:r>
              <w:rPr>
                <w:rFonts w:ascii="Arial" w:cs="Arial" w:eastAsia="Arial" w:hAnsi="Arial"/>
                <w:sz w:val="18"/>
                <w:szCs w:val="18"/>
                <w:color w:val="auto"/>
              </w:rPr>
              <w:t>compensation</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36"/>
              <w:spacing w:after="0" w:line="201" w:lineRule="exact"/>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80" w:type="dxa"/>
            <w:vAlign w:val="bottom"/>
            <w:shd w:val="clear" w:color="auto" w:fill="CFF0FC"/>
          </w:tcPr>
          <w:p>
            <w:pPr>
              <w:jc w:val="right"/>
              <w:ind w:right="33"/>
              <w:spacing w:after="0" w:line="201" w:lineRule="exact"/>
              <w:rPr>
                <w:sz w:val="20"/>
                <w:szCs w:val="20"/>
                <w:color w:val="auto"/>
              </w:rPr>
            </w:pPr>
            <w:r>
              <w:rPr>
                <w:rFonts w:ascii="Arial" w:cs="Arial" w:eastAsia="Arial" w:hAnsi="Arial"/>
                <w:sz w:val="18"/>
                <w:szCs w:val="18"/>
                <w:color w:val="auto"/>
              </w:rPr>
              <w:t>1,262</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20" w:type="dxa"/>
            <w:vAlign w:val="bottom"/>
            <w:shd w:val="clear" w:color="auto" w:fill="CFF0FC"/>
          </w:tcPr>
          <w:p>
            <w:pPr>
              <w:jc w:val="right"/>
              <w:ind w:right="35"/>
              <w:spacing w:after="0" w:line="201" w:lineRule="exact"/>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33"/>
              <w:spacing w:after="0" w:line="201" w:lineRule="exact"/>
              <w:rPr>
                <w:sz w:val="20"/>
                <w:szCs w:val="20"/>
                <w:color w:val="auto"/>
              </w:rPr>
            </w:pPr>
            <w:r>
              <w:rPr>
                <w:rFonts w:ascii="Arial" w:cs="Arial" w:eastAsia="Arial" w:hAnsi="Arial"/>
                <w:sz w:val="18"/>
                <w:szCs w:val="18"/>
                <w:color w:val="auto"/>
              </w:rPr>
              <w:t>1,262</w:t>
            </w:r>
          </w:p>
        </w:tc>
        <w:tc>
          <w:tcPr>
            <w:tcW w:w="0" w:type="dxa"/>
            <w:vAlign w:val="bottom"/>
          </w:tcPr>
          <w:p>
            <w:pPr>
              <w:spacing w:after="0"/>
              <w:rPr>
                <w:sz w:val="1"/>
                <w:szCs w:val="1"/>
                <w:color w:val="auto"/>
              </w:rPr>
            </w:pPr>
          </w:p>
        </w:tc>
      </w:tr>
      <w:tr>
        <w:trPr>
          <w:trHeight w:val="212"/>
        </w:trPr>
        <w:tc>
          <w:tcPr>
            <w:tcW w:w="5640" w:type="dxa"/>
            <w:vAlign w:val="bottom"/>
          </w:tcPr>
          <w:p>
            <w:pPr>
              <w:ind w:left="120"/>
              <w:spacing w:after="0"/>
              <w:rPr>
                <w:sz w:val="20"/>
                <w:szCs w:val="20"/>
                <w:color w:val="auto"/>
              </w:rPr>
            </w:pPr>
            <w:r>
              <w:rPr>
                <w:rFonts w:ascii="Arial" w:cs="Arial" w:eastAsia="Arial" w:hAnsi="Arial"/>
                <w:sz w:val="18"/>
                <w:szCs w:val="18"/>
                <w:color w:val="auto"/>
              </w:rPr>
              <w:t>Add: One-time IPO related non-cash revaluation of preferred stock</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5640" w:type="dxa"/>
            <w:vAlign w:val="bottom"/>
            <w:tcBorders>
              <w:bottom w:val="single" w:sz="8" w:color="CFF0FC"/>
            </w:tcBorders>
          </w:tcPr>
          <w:p>
            <w:pPr>
              <w:ind w:left="120"/>
              <w:spacing w:after="0" w:line="201" w:lineRule="exact"/>
              <w:rPr>
                <w:sz w:val="20"/>
                <w:szCs w:val="20"/>
                <w:color w:val="auto"/>
              </w:rPr>
            </w:pPr>
            <w:r>
              <w:rPr>
                <w:rFonts w:ascii="Arial" w:cs="Arial" w:eastAsia="Arial" w:hAnsi="Arial"/>
                <w:sz w:val="18"/>
                <w:szCs w:val="18"/>
                <w:color w:val="auto"/>
              </w:rPr>
              <w:t>warrant</w:t>
            </w:r>
          </w:p>
        </w:tc>
        <w:tc>
          <w:tcPr>
            <w:tcW w:w="100" w:type="dxa"/>
            <w:vAlign w:val="bottom"/>
            <w:tcBorders>
              <w:bottom w:val="single" w:sz="8" w:color="CFF0FC"/>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6"/>
              <w:spacing w:after="0" w:line="201" w:lineRule="exact"/>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3"/>
              <w:spacing w:after="0" w:line="201" w:lineRule="exact"/>
              <w:rPr>
                <w:sz w:val="20"/>
                <w:szCs w:val="20"/>
                <w:color w:val="auto"/>
              </w:rPr>
            </w:pPr>
            <w:r>
              <w:rPr>
                <w:rFonts w:ascii="Arial" w:cs="Arial" w:eastAsia="Arial" w:hAnsi="Arial"/>
                <w:sz w:val="18"/>
                <w:szCs w:val="18"/>
                <w:color w:val="auto"/>
              </w:rPr>
              <w:t>21,260</w:t>
            </w:r>
          </w:p>
        </w:tc>
        <w:tc>
          <w:tcPr>
            <w:tcW w:w="120" w:type="dxa"/>
            <w:vAlign w:val="bottom"/>
            <w:tcBorders>
              <w:bottom w:val="single" w:sz="8" w:color="CFF0FC"/>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5"/>
              <w:spacing w:after="0" w:line="201"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3"/>
              <w:spacing w:after="0" w:line="201" w:lineRule="exact"/>
              <w:rPr>
                <w:sz w:val="20"/>
                <w:szCs w:val="20"/>
                <w:color w:val="auto"/>
              </w:rPr>
            </w:pPr>
            <w:r>
              <w:rPr>
                <w:rFonts w:ascii="Arial" w:cs="Arial" w:eastAsia="Arial" w:hAnsi="Arial"/>
                <w:sz w:val="18"/>
                <w:szCs w:val="18"/>
                <w:color w:val="auto"/>
              </w:rPr>
              <w:t>20,470</w:t>
            </w:r>
          </w:p>
        </w:tc>
        <w:tc>
          <w:tcPr>
            <w:tcW w:w="0" w:type="dxa"/>
            <w:vAlign w:val="bottom"/>
          </w:tcPr>
          <w:p>
            <w:pPr>
              <w:spacing w:after="0"/>
              <w:rPr>
                <w:sz w:val="1"/>
                <w:szCs w:val="1"/>
                <w:color w:val="auto"/>
              </w:rPr>
            </w:pPr>
          </w:p>
        </w:tc>
      </w:tr>
      <w:tr>
        <w:trPr>
          <w:trHeight w:val="206"/>
        </w:trPr>
        <w:tc>
          <w:tcPr>
            <w:tcW w:w="5640" w:type="dxa"/>
            <w:vAlign w:val="bottom"/>
            <w:shd w:val="clear" w:color="auto" w:fill="CFF0FC"/>
          </w:tcPr>
          <w:p>
            <w:pPr>
              <w:spacing w:after="0"/>
              <w:rPr>
                <w:sz w:val="20"/>
                <w:szCs w:val="20"/>
                <w:color w:val="auto"/>
              </w:rPr>
            </w:pPr>
            <w:r>
              <w:rPr>
                <w:rFonts w:ascii="Arial" w:cs="Arial" w:eastAsia="Arial" w:hAnsi="Arial"/>
                <w:sz w:val="18"/>
                <w:szCs w:val="18"/>
                <w:color w:val="auto"/>
              </w:rPr>
              <w:t>Non-GAAP net loss</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(65,807)</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(40,706)</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(142,996)</w:t>
            </w:r>
          </w:p>
        </w:tc>
        <w:tc>
          <w:tcPr>
            <w:tcW w:w="3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(82,555)</w:t>
            </w:r>
          </w:p>
        </w:tc>
        <w:tc>
          <w:tcPr>
            <w:tcW w:w="0" w:type="dxa"/>
            <w:vAlign w:val="bottom"/>
          </w:tcPr>
          <w:p>
            <w:pPr>
              <w:spacing w:after="0"/>
              <w:rPr>
                <w:sz w:val="1"/>
                <w:szCs w:val="1"/>
                <w:color w:val="auto"/>
              </w:rPr>
            </w:pPr>
          </w:p>
        </w:tc>
      </w:tr>
      <w:tr>
        <w:trPr>
          <w:trHeight w:val="20"/>
        </w:trPr>
        <w:tc>
          <w:tcPr>
            <w:tcW w:w="56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5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5640" w:type="dxa"/>
            <w:vAlign w:val="bottom"/>
            <w:shd w:val="clear" w:color="auto" w:fill="CFF0FC"/>
          </w:tcPr>
          <w:p>
            <w:pPr>
              <w:spacing w:after="0"/>
              <w:rPr>
                <w:sz w:val="20"/>
                <w:szCs w:val="20"/>
                <w:color w:val="auto"/>
              </w:rPr>
            </w:pPr>
            <w:r>
              <w:rPr>
                <w:rFonts w:ascii="Arial" w:cs="Arial" w:eastAsia="Arial" w:hAnsi="Arial"/>
                <w:sz w:val="18"/>
                <w:szCs w:val="18"/>
                <w:color w:val="auto"/>
              </w:rPr>
              <w:t>Weighted-average number of shares outstanding used to compute net</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5640" w:type="dxa"/>
            <w:vAlign w:val="bottom"/>
            <w:tcBorders>
              <w:bottom w:val="single" w:sz="8" w:color="CFF0FC"/>
            </w:tcBorders>
            <w:shd w:val="clear" w:color="auto" w:fill="CFF0FC"/>
          </w:tcPr>
          <w:p>
            <w:pPr>
              <w:spacing w:after="0" w:line="201" w:lineRule="exact"/>
              <w:rPr>
                <w:sz w:val="20"/>
                <w:szCs w:val="20"/>
                <w:color w:val="auto"/>
              </w:rPr>
            </w:pPr>
            <w:r>
              <w:rPr>
                <w:rFonts w:ascii="Arial" w:cs="Arial" w:eastAsia="Arial" w:hAnsi="Arial"/>
                <w:sz w:val="18"/>
                <w:szCs w:val="18"/>
                <w:color w:val="auto"/>
              </w:rPr>
              <w:t>loss per share, basic and diluted</w:t>
            </w:r>
          </w:p>
        </w:tc>
        <w:tc>
          <w:tcPr>
            <w:tcW w:w="1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ind w:right="36"/>
              <w:spacing w:after="0" w:line="201" w:lineRule="exact"/>
              <w:rPr>
                <w:sz w:val="20"/>
                <w:szCs w:val="20"/>
                <w:color w:val="auto"/>
              </w:rPr>
            </w:pPr>
            <w:r>
              <w:rPr>
                <w:rFonts w:ascii="Arial" w:cs="Arial" w:eastAsia="Arial" w:hAnsi="Arial"/>
                <w:sz w:val="18"/>
                <w:szCs w:val="18"/>
                <w:color w:val="auto"/>
                <w:w w:val="99"/>
              </w:rPr>
              <w:t>136,507,177</w:t>
            </w:r>
          </w:p>
        </w:tc>
        <w:tc>
          <w:tcPr>
            <w:tcW w:w="18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ind w:right="33"/>
              <w:spacing w:after="0" w:line="201" w:lineRule="exact"/>
              <w:rPr>
                <w:sz w:val="20"/>
                <w:szCs w:val="20"/>
                <w:color w:val="auto"/>
              </w:rPr>
            </w:pPr>
            <w:r>
              <w:rPr>
                <w:rFonts w:ascii="Arial" w:cs="Arial" w:eastAsia="Arial" w:hAnsi="Arial"/>
                <w:sz w:val="18"/>
                <w:szCs w:val="18"/>
                <w:color w:val="auto"/>
              </w:rPr>
              <w:t>31,599,497</w:t>
            </w:r>
          </w:p>
        </w:tc>
        <w:tc>
          <w:tcPr>
            <w:tcW w:w="1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ind w:right="35"/>
              <w:spacing w:after="0" w:line="201" w:lineRule="exact"/>
              <w:rPr>
                <w:sz w:val="20"/>
                <w:szCs w:val="20"/>
                <w:color w:val="auto"/>
              </w:rPr>
            </w:pPr>
            <w:r>
              <w:rPr>
                <w:rFonts w:ascii="Arial" w:cs="Arial" w:eastAsia="Arial" w:hAnsi="Arial"/>
                <w:sz w:val="18"/>
                <w:szCs w:val="18"/>
                <w:color w:val="auto"/>
                <w:w w:val="97"/>
              </w:rPr>
              <w:t>136,002,344</w:t>
            </w:r>
          </w:p>
        </w:tc>
        <w:tc>
          <w:tcPr>
            <w:tcW w:w="20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ind w:right="33"/>
              <w:spacing w:after="0" w:line="201" w:lineRule="exact"/>
              <w:rPr>
                <w:sz w:val="20"/>
                <w:szCs w:val="20"/>
                <w:color w:val="auto"/>
              </w:rPr>
            </w:pPr>
            <w:r>
              <w:rPr>
                <w:rFonts w:ascii="Arial" w:cs="Arial" w:eastAsia="Arial" w:hAnsi="Arial"/>
                <w:sz w:val="18"/>
                <w:szCs w:val="18"/>
                <w:color w:val="auto"/>
              </w:rPr>
              <w:t>20,035,476</w:t>
            </w:r>
          </w:p>
        </w:tc>
        <w:tc>
          <w:tcPr>
            <w:tcW w:w="0" w:type="dxa"/>
            <w:vAlign w:val="bottom"/>
          </w:tcPr>
          <w:p>
            <w:pPr>
              <w:spacing w:after="0"/>
              <w:rPr>
                <w:sz w:val="1"/>
                <w:szCs w:val="1"/>
                <w:color w:val="auto"/>
              </w:rPr>
            </w:pPr>
          </w:p>
        </w:tc>
      </w:tr>
      <w:tr>
        <w:trPr>
          <w:trHeight w:val="20"/>
        </w:trPr>
        <w:tc>
          <w:tcPr>
            <w:tcW w:w="5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5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5640" w:type="dxa"/>
            <w:vAlign w:val="bottom"/>
            <w:shd w:val="clear" w:color="auto" w:fill="CFF0FC"/>
          </w:tcPr>
          <w:p>
            <w:pPr>
              <w:spacing w:after="0"/>
              <w:rPr>
                <w:sz w:val="20"/>
                <w:szCs w:val="20"/>
                <w:color w:val="auto"/>
              </w:rPr>
            </w:pPr>
            <w:r>
              <w:rPr>
                <w:rFonts w:ascii="Arial" w:cs="Arial" w:eastAsia="Arial" w:hAnsi="Arial"/>
                <w:sz w:val="18"/>
                <w:szCs w:val="18"/>
                <w:color w:val="auto"/>
              </w:rPr>
              <w:t>Net loss per share, basic and diluted</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(0.48)</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w:t>
            </w:r>
          </w:p>
        </w:tc>
        <w:tc>
          <w:tcPr>
            <w:tcW w:w="3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(5.21)</w:t>
            </w:r>
          </w:p>
        </w:tc>
        <w:tc>
          <w:tcPr>
            <w:tcW w:w="0" w:type="dxa"/>
            <w:vAlign w:val="bottom"/>
          </w:tcPr>
          <w:p>
            <w:pPr>
              <w:spacing w:after="0"/>
              <w:rPr>
                <w:sz w:val="1"/>
                <w:szCs w:val="1"/>
                <w:color w:val="auto"/>
              </w:rPr>
            </w:pPr>
          </w:p>
        </w:tc>
      </w:tr>
      <w:tr>
        <w:trPr>
          <w:trHeight w:val="20"/>
        </w:trPr>
        <w:tc>
          <w:tcPr>
            <w:tcW w:w="564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Impact of one-time IPO related acceleration of non-cash stock based</w:t>
            </w: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6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5640" w:type="dxa"/>
            <w:vAlign w:val="bottom"/>
          </w:tcPr>
          <w:p>
            <w:pPr>
              <w:spacing w:after="0" w:line="201" w:lineRule="exact"/>
              <w:rPr>
                <w:sz w:val="20"/>
                <w:szCs w:val="20"/>
                <w:color w:val="auto"/>
              </w:rPr>
            </w:pPr>
            <w:r>
              <w:rPr>
                <w:rFonts w:ascii="Arial" w:cs="Arial" w:eastAsia="Arial" w:hAnsi="Arial"/>
                <w:sz w:val="18"/>
                <w:szCs w:val="18"/>
                <w:color w:val="auto"/>
              </w:rPr>
              <w:t>compensation</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ind w:right="36"/>
              <w:spacing w:after="0" w:line="201"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right"/>
              <w:ind w:right="33"/>
              <w:spacing w:after="0" w:line="201" w:lineRule="exact"/>
              <w:rPr>
                <w:sz w:val="20"/>
                <w:szCs w:val="20"/>
                <w:color w:val="auto"/>
              </w:rPr>
            </w:pPr>
            <w:r>
              <w:rPr>
                <w:rFonts w:ascii="Arial" w:cs="Arial" w:eastAsia="Arial" w:hAnsi="Arial"/>
                <w:sz w:val="18"/>
                <w:szCs w:val="18"/>
                <w:color w:val="auto"/>
              </w:rPr>
              <w:t>0.04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ind w:right="35"/>
              <w:spacing w:after="0" w:line="201"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ind w:right="33"/>
              <w:spacing w:after="0" w:line="201" w:lineRule="exact"/>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12"/>
        </w:trPr>
        <w:tc>
          <w:tcPr>
            <w:tcW w:w="5640" w:type="dxa"/>
            <w:vAlign w:val="bottom"/>
            <w:shd w:val="clear" w:color="auto" w:fill="CFF0FC"/>
          </w:tcPr>
          <w:p>
            <w:pPr>
              <w:spacing w:after="0"/>
              <w:rPr>
                <w:sz w:val="20"/>
                <w:szCs w:val="20"/>
                <w:color w:val="auto"/>
              </w:rPr>
            </w:pPr>
            <w:r>
              <w:rPr>
                <w:rFonts w:ascii="Arial" w:cs="Arial" w:eastAsia="Arial" w:hAnsi="Arial"/>
                <w:sz w:val="18"/>
                <w:szCs w:val="18"/>
                <w:color w:val="auto"/>
                <w:w w:val="99"/>
              </w:rPr>
              <w:t>Impact of one-time IPO related non-cash revaluation of preferred stock</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5640" w:type="dxa"/>
            <w:vAlign w:val="bottom"/>
            <w:shd w:val="clear" w:color="auto" w:fill="CFF0FC"/>
          </w:tcPr>
          <w:p>
            <w:pPr>
              <w:spacing w:after="0" w:line="201" w:lineRule="exact"/>
              <w:rPr>
                <w:sz w:val="20"/>
                <w:szCs w:val="20"/>
                <w:color w:val="auto"/>
              </w:rPr>
            </w:pPr>
            <w:r>
              <w:rPr>
                <w:rFonts w:ascii="Arial" w:cs="Arial" w:eastAsia="Arial" w:hAnsi="Arial"/>
                <w:sz w:val="18"/>
                <w:szCs w:val="18"/>
                <w:color w:val="auto"/>
              </w:rPr>
              <w:t>warrant</w:t>
            </w:r>
          </w:p>
        </w:tc>
        <w:tc>
          <w:tcPr>
            <w:tcW w:w="100" w:type="dxa"/>
            <w:vAlign w:val="bottom"/>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ind w:right="36"/>
              <w:spacing w:after="0" w:line="201" w:lineRule="exact"/>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ind w:right="33"/>
              <w:spacing w:after="0" w:line="201" w:lineRule="exact"/>
              <w:rPr>
                <w:sz w:val="20"/>
                <w:szCs w:val="20"/>
                <w:color w:val="auto"/>
              </w:rPr>
            </w:pPr>
            <w:r>
              <w:rPr>
                <w:rFonts w:ascii="Arial" w:cs="Arial" w:eastAsia="Arial" w:hAnsi="Arial"/>
                <w:sz w:val="18"/>
                <w:szCs w:val="18"/>
                <w:color w:val="auto"/>
              </w:rPr>
              <w:t>0.67</w:t>
            </w:r>
          </w:p>
        </w:tc>
        <w:tc>
          <w:tcPr>
            <w:tcW w:w="120" w:type="dxa"/>
            <w:vAlign w:val="bottom"/>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ind w:right="35"/>
              <w:spacing w:after="0" w:line="201" w:lineRule="exact"/>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ind w:right="33"/>
              <w:spacing w:after="0" w:line="201" w:lineRule="exact"/>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26"/>
        </w:trPr>
        <w:tc>
          <w:tcPr>
            <w:tcW w:w="5640" w:type="dxa"/>
            <w:vAlign w:val="bottom"/>
          </w:tcPr>
          <w:p>
            <w:pPr>
              <w:spacing w:after="0" w:line="205" w:lineRule="exact"/>
              <w:rPr>
                <w:sz w:val="20"/>
                <w:szCs w:val="20"/>
                <w:color w:val="auto"/>
              </w:rPr>
            </w:pPr>
            <w:r>
              <w:rPr>
                <w:rFonts w:ascii="Arial" w:cs="Arial" w:eastAsia="Arial" w:hAnsi="Arial"/>
                <w:sz w:val="18"/>
                <w:szCs w:val="18"/>
                <w:color w:val="auto"/>
              </w:rPr>
              <w:t>Non-GAAP net loss per share, basic and diluted</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(0.48)</w:t>
            </w:r>
          </w:p>
        </w:tc>
        <w:tc>
          <w:tcPr>
            <w:tcW w:w="1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(1.29)</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(1.05)</w:t>
            </w: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(4.12)</w:t>
            </w:r>
          </w:p>
        </w:tc>
        <w:tc>
          <w:tcPr>
            <w:tcW w:w="0" w:type="dxa"/>
            <w:vAlign w:val="bottom"/>
          </w:tcPr>
          <w:p>
            <w:pPr>
              <w:spacing w:after="0"/>
              <w:rPr>
                <w:sz w:val="1"/>
                <w:szCs w:val="1"/>
                <w:color w:val="auto"/>
              </w:rPr>
            </w:pPr>
          </w:p>
        </w:tc>
      </w:tr>
      <w:tr>
        <w:trPr>
          <w:trHeight w:val="20"/>
        </w:trPr>
        <w:tc>
          <w:tcPr>
            <w:tcW w:w="5640" w:type="dxa"/>
            <w:vAlign w:val="bottom"/>
            <w:tcBorders>
              <w:top w:val="single" w:sz="8" w:color="CFF0FC"/>
            </w:tcBorders>
            <w:vMerge w:val="restart"/>
            <w:shd w:val="clear" w:color="auto" w:fill="CFF0FC"/>
          </w:tcPr>
          <w:p>
            <w:pPr>
              <w:spacing w:after="0"/>
              <w:rPr>
                <w:sz w:val="20"/>
                <w:szCs w:val="20"/>
                <w:color w:val="auto"/>
              </w:rPr>
            </w:pPr>
            <w:r>
              <w:rPr>
                <w:rFonts w:ascii="Arial" w:cs="Arial" w:eastAsia="Arial" w:hAnsi="Arial"/>
                <w:sz w:val="18"/>
                <w:szCs w:val="18"/>
                <w:color w:val="auto"/>
              </w:rPr>
              <w:t>Non-GAAP net loss per share, as adjusted, basic and diluted</w:t>
            </w:r>
            <w:r>
              <w:rPr>
                <w:rFonts w:ascii="Arial" w:cs="Arial" w:eastAsia="Arial" w:hAnsi="Arial"/>
                <w:sz w:val="15"/>
                <w:szCs w:val="15"/>
                <w:color w:val="auto"/>
              </w:rPr>
              <w:t>(a)</w:t>
            </w: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564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jc w:val="right"/>
              <w:spacing w:after="0" w:line="193" w:lineRule="exact"/>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line="193" w:lineRule="exact"/>
              <w:rPr>
                <w:sz w:val="20"/>
                <w:szCs w:val="20"/>
                <w:color w:val="auto"/>
              </w:rPr>
            </w:pPr>
            <w:r>
              <w:rPr>
                <w:rFonts w:ascii="Arial" w:cs="Arial" w:eastAsia="Arial" w:hAnsi="Arial"/>
                <w:sz w:val="18"/>
                <w:szCs w:val="18"/>
                <w:color w:val="auto"/>
              </w:rPr>
              <w:t>(0.48)</w:t>
            </w:r>
          </w:p>
        </w:tc>
        <w:tc>
          <w:tcPr>
            <w:tcW w:w="180" w:type="dxa"/>
            <w:vAlign w:val="bottom"/>
            <w:shd w:val="clear" w:color="auto" w:fill="CFF0FC"/>
          </w:tcPr>
          <w:p>
            <w:pPr>
              <w:spacing w:after="0"/>
              <w:rPr>
                <w:sz w:val="16"/>
                <w:szCs w:val="16"/>
                <w:color w:val="auto"/>
              </w:rPr>
            </w:pPr>
          </w:p>
        </w:tc>
        <w:tc>
          <w:tcPr>
            <w:tcW w:w="180" w:type="dxa"/>
            <w:vAlign w:val="bottom"/>
            <w:shd w:val="clear" w:color="auto" w:fill="CFF0FC"/>
          </w:tcPr>
          <w:p>
            <w:pPr>
              <w:jc w:val="right"/>
              <w:spacing w:after="0" w:line="193" w:lineRule="exact"/>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line="193" w:lineRule="exact"/>
              <w:rPr>
                <w:sz w:val="20"/>
                <w:szCs w:val="20"/>
                <w:color w:val="auto"/>
              </w:rPr>
            </w:pPr>
            <w:r>
              <w:rPr>
                <w:rFonts w:ascii="Arial" w:cs="Arial" w:eastAsia="Arial" w:hAnsi="Arial"/>
                <w:sz w:val="18"/>
                <w:szCs w:val="18"/>
                <w:color w:val="auto"/>
              </w:rPr>
              <w:t>(0.34)</w:t>
            </w: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jc w:val="right"/>
              <w:spacing w:after="0" w:line="193" w:lineRule="exact"/>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line="193" w:lineRule="exact"/>
              <w:rPr>
                <w:sz w:val="20"/>
                <w:szCs w:val="20"/>
                <w:color w:val="auto"/>
              </w:rPr>
            </w:pPr>
            <w:r>
              <w:rPr>
                <w:rFonts w:ascii="Arial" w:cs="Arial" w:eastAsia="Arial" w:hAnsi="Arial"/>
                <w:sz w:val="18"/>
                <w:szCs w:val="18"/>
                <w:color w:val="auto"/>
              </w:rPr>
              <w:t>(1.05)</w:t>
            </w:r>
          </w:p>
        </w:tc>
        <w:tc>
          <w:tcPr>
            <w:tcW w:w="380" w:type="dxa"/>
            <w:vAlign w:val="bottom"/>
            <w:gridSpan w:val="2"/>
            <w:shd w:val="clear" w:color="auto" w:fill="CFF0FC"/>
          </w:tcPr>
          <w:p>
            <w:pPr>
              <w:jc w:val="right"/>
              <w:ind w:right="100"/>
              <w:spacing w:after="0" w:line="193" w:lineRule="exact"/>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line="193" w:lineRule="exact"/>
              <w:rPr>
                <w:sz w:val="20"/>
                <w:szCs w:val="20"/>
                <w:color w:val="auto"/>
              </w:rPr>
            </w:pPr>
            <w:r>
              <w:rPr>
                <w:rFonts w:ascii="Arial" w:cs="Arial" w:eastAsia="Arial" w:hAnsi="Arial"/>
                <w:sz w:val="18"/>
                <w:szCs w:val="18"/>
                <w:color w:val="auto"/>
              </w:rPr>
              <w:t>(0.70)</w:t>
            </w:r>
          </w:p>
        </w:tc>
        <w:tc>
          <w:tcPr>
            <w:tcW w:w="0" w:type="dxa"/>
            <w:vAlign w:val="bottom"/>
          </w:tcPr>
          <w:p>
            <w:pPr>
              <w:spacing w:after="0"/>
              <w:rPr>
                <w:sz w:val="1"/>
                <w:szCs w:val="1"/>
                <w:color w:val="auto"/>
              </w:rPr>
            </w:pPr>
          </w:p>
        </w:tc>
      </w:tr>
      <w:tr>
        <w:trPr>
          <w:trHeight w:val="20"/>
        </w:trPr>
        <w:tc>
          <w:tcPr>
            <w:tcW w:w="56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7" w:lineRule="exact"/>
        <w:rPr>
          <w:sz w:val="20"/>
          <w:szCs w:val="20"/>
          <w:color w:val="auto"/>
        </w:rPr>
      </w:pPr>
    </w:p>
    <w:p>
      <w:pPr>
        <w:ind w:right="20" w:firstLine="749"/>
        <w:spacing w:after="0" w:line="211" w:lineRule="auto"/>
        <w:rPr>
          <w:sz w:val="20"/>
          <w:szCs w:val="20"/>
          <w:color w:val="auto"/>
        </w:rPr>
      </w:pPr>
      <w:r>
        <w:rPr>
          <w:rFonts w:ascii="Arial" w:cs="Arial" w:eastAsia="Arial" w:hAnsi="Arial"/>
          <w:sz w:val="13"/>
          <w:szCs w:val="13"/>
          <w:color w:val="auto"/>
        </w:rPr>
        <w:t>(a</w:t>
      </w:r>
      <w:r>
        <w:rPr>
          <w:rFonts w:ascii="Arial" w:cs="Arial" w:eastAsia="Arial" w:hAnsi="Arial"/>
          <w:sz w:val="21"/>
          <w:szCs w:val="21"/>
          <w:color w:val="auto"/>
          <w:vertAlign w:val="superscript"/>
        </w:rPr>
        <w:t>)</w:t>
      </w:r>
      <w:r>
        <w:rPr>
          <w:rFonts w:ascii="Arial" w:cs="Arial" w:eastAsia="Arial" w:hAnsi="Arial"/>
          <w:sz w:val="14"/>
          <w:szCs w:val="14"/>
          <w:color w:val="auto"/>
        </w:rPr>
        <w:t>Non-GAAP net loss per share, as adjusted has been computed to give effect to, as of the beginning of each period presented, (i) the shares of common stock issued</w:t>
      </w:r>
      <w:r>
        <w:rPr>
          <w:rFonts w:ascii="Arial" w:cs="Arial" w:eastAsia="Arial" w:hAnsi="Arial"/>
          <w:sz w:val="13"/>
          <w:szCs w:val="13"/>
          <w:color w:val="auto"/>
        </w:rPr>
        <w:t xml:space="preserve"> </w:t>
      </w:r>
      <w:r>
        <w:rPr>
          <w:rFonts w:ascii="Arial" w:cs="Arial" w:eastAsia="Arial" w:hAnsi="Arial"/>
          <w:sz w:val="14"/>
          <w:szCs w:val="14"/>
          <w:color w:val="auto"/>
        </w:rPr>
        <w:t>in connection with our IPO and (ii) the automatic conversion of all outstanding shares of redeemable convertible preferred stock into shares of common stock that occurred upon the consummation of our IPO. The computation of Non-GAAP net loss per share, as adjusted is as follows: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5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580" w:type="dxa"/>
            <w:vAlign w:val="bottom"/>
            <w:gridSpan w:val="5"/>
          </w:tcPr>
          <w:p>
            <w:pPr>
              <w:ind w:left="460"/>
              <w:spacing w:after="0"/>
              <w:rPr>
                <w:sz w:val="20"/>
                <w:szCs w:val="20"/>
                <w:color w:val="auto"/>
              </w:rPr>
            </w:pPr>
            <w:r>
              <w:rPr>
                <w:rFonts w:ascii="Arial" w:cs="Arial" w:eastAsia="Arial" w:hAnsi="Arial"/>
                <w:sz w:val="12"/>
                <w:szCs w:val="12"/>
                <w:b w:val="1"/>
                <w:bCs w:val="1"/>
                <w:color w:val="auto"/>
              </w:rPr>
              <w:t>Three Months Ended</w:t>
            </w:r>
          </w:p>
        </w:tc>
        <w:tc>
          <w:tcPr>
            <w:tcW w:w="200" w:type="dxa"/>
            <w:vAlign w:val="bottom"/>
          </w:tcPr>
          <w:p>
            <w:pPr>
              <w:spacing w:after="0"/>
              <w:rPr>
                <w:sz w:val="12"/>
                <w:szCs w:val="12"/>
                <w:color w:val="auto"/>
              </w:rPr>
            </w:pPr>
          </w:p>
        </w:tc>
        <w:tc>
          <w:tcPr>
            <w:tcW w:w="2460" w:type="dxa"/>
            <w:vAlign w:val="bottom"/>
            <w:gridSpan w:val="4"/>
          </w:tcPr>
          <w:p>
            <w:pPr>
              <w:jc w:val="right"/>
              <w:ind w:right="790"/>
              <w:spacing w:after="0"/>
              <w:rPr>
                <w:sz w:val="20"/>
                <w:szCs w:val="20"/>
                <w:color w:val="auto"/>
              </w:rPr>
            </w:pPr>
            <w:r>
              <w:rPr>
                <w:rFonts w:ascii="Arial" w:cs="Arial" w:eastAsia="Arial" w:hAnsi="Arial"/>
                <w:sz w:val="12"/>
                <w:szCs w:val="12"/>
                <w:b w:val="1"/>
                <w:bCs w:val="1"/>
                <w:color w:val="auto"/>
              </w:rPr>
              <w:t>Six Months Ended</w:t>
            </w:r>
          </w:p>
        </w:tc>
      </w:tr>
      <w:tr>
        <w:trPr>
          <w:trHeight w:val="153"/>
        </w:trPr>
        <w:tc>
          <w:tcPr>
            <w:tcW w:w="5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gridSpan w:val="3"/>
          </w:tcPr>
          <w:p>
            <w:pPr>
              <w:jc w:val="right"/>
              <w:ind w:right="49"/>
              <w:spacing w:after="0"/>
              <w:rPr>
                <w:sz w:val="20"/>
                <w:szCs w:val="20"/>
                <w:color w:val="auto"/>
              </w:rPr>
            </w:pPr>
            <w:r>
              <w:rPr>
                <w:rFonts w:ascii="Arial" w:cs="Arial" w:eastAsia="Arial" w:hAnsi="Arial"/>
                <w:sz w:val="12"/>
                <w:szCs w:val="12"/>
                <w:b w:val="1"/>
                <w:bCs w:val="1"/>
                <w:color w:val="auto"/>
              </w:rPr>
              <w:t>June 30,</w:t>
            </w:r>
          </w:p>
        </w:tc>
        <w:tc>
          <w:tcPr>
            <w:tcW w:w="10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gridSpan w:val="3"/>
          </w:tcPr>
          <w:p>
            <w:pPr>
              <w:jc w:val="right"/>
              <w:ind w:right="49"/>
              <w:spacing w:after="0"/>
              <w:rPr>
                <w:sz w:val="20"/>
                <w:szCs w:val="20"/>
                <w:color w:val="auto"/>
              </w:rPr>
            </w:pPr>
            <w:r>
              <w:rPr>
                <w:rFonts w:ascii="Arial" w:cs="Arial" w:eastAsia="Arial" w:hAnsi="Arial"/>
                <w:sz w:val="12"/>
                <w:szCs w:val="12"/>
                <w:b w:val="1"/>
                <w:bCs w:val="1"/>
                <w:color w:val="auto"/>
              </w:rPr>
              <w:t>June 30,</w:t>
            </w:r>
          </w:p>
        </w:tc>
        <w:tc>
          <w:tcPr>
            <w:tcW w:w="1020" w:type="dxa"/>
            <w:vAlign w:val="bottom"/>
            <w:tcBorders>
              <w:bottom w:val="single" w:sz="8" w:color="auto"/>
            </w:tcBorders>
          </w:tcPr>
          <w:p>
            <w:pPr>
              <w:spacing w:after="0"/>
              <w:rPr>
                <w:sz w:val="13"/>
                <w:szCs w:val="13"/>
                <w:color w:val="auto"/>
              </w:rPr>
            </w:pPr>
          </w:p>
        </w:tc>
      </w:tr>
      <w:tr>
        <w:trPr>
          <w:trHeight w:val="166"/>
        </w:trPr>
        <w:tc>
          <w:tcPr>
            <w:tcW w:w="5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72"/>
              <w:spacing w:after="0"/>
              <w:rPr>
                <w:sz w:val="20"/>
                <w:szCs w:val="20"/>
                <w:color w:val="auto"/>
              </w:rPr>
            </w:pPr>
            <w:r>
              <w:rPr>
                <w:rFonts w:ascii="Arial" w:cs="Arial" w:eastAsia="Arial" w:hAnsi="Arial"/>
                <w:sz w:val="12"/>
                <w:szCs w:val="12"/>
                <w:b w:val="1"/>
                <w:bCs w:val="1"/>
                <w:color w:val="auto"/>
              </w:rPr>
              <w:t>2021</w:t>
            </w:r>
          </w:p>
        </w:tc>
        <w:tc>
          <w:tcPr>
            <w:tcW w:w="1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70"/>
              <w:spacing w:after="0"/>
              <w:rPr>
                <w:sz w:val="20"/>
                <w:szCs w:val="20"/>
                <w:color w:val="auto"/>
              </w:rPr>
            </w:pPr>
            <w:r>
              <w:rPr>
                <w:rFonts w:ascii="Arial" w:cs="Arial" w:eastAsia="Arial" w:hAnsi="Arial"/>
                <w:sz w:val="12"/>
                <w:szCs w:val="12"/>
                <w:b w:val="1"/>
                <w:bCs w:val="1"/>
                <w:color w:val="auto"/>
              </w:rPr>
              <w:t>2020</w:t>
            </w:r>
          </w:p>
        </w:tc>
        <w:tc>
          <w:tcPr>
            <w:tcW w:w="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71"/>
              <w:spacing w:after="0"/>
              <w:rPr>
                <w:sz w:val="20"/>
                <w:szCs w:val="20"/>
                <w:color w:val="auto"/>
              </w:rPr>
            </w:pPr>
            <w:r>
              <w:rPr>
                <w:rFonts w:ascii="Arial" w:cs="Arial" w:eastAsia="Arial" w:hAnsi="Arial"/>
                <w:sz w:val="12"/>
                <w:szCs w:val="12"/>
                <w:b w:val="1"/>
                <w:bCs w:val="1"/>
                <w:color w:val="auto"/>
              </w:rPr>
              <w:t>2021</w:t>
            </w:r>
          </w:p>
        </w:tc>
        <w:tc>
          <w:tcPr>
            <w:tcW w:w="1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70"/>
              <w:spacing w:after="0"/>
              <w:rPr>
                <w:sz w:val="20"/>
                <w:szCs w:val="20"/>
                <w:color w:val="auto"/>
              </w:rPr>
            </w:pPr>
            <w:r>
              <w:rPr>
                <w:rFonts w:ascii="Arial" w:cs="Arial" w:eastAsia="Arial" w:hAnsi="Arial"/>
                <w:sz w:val="12"/>
                <w:szCs w:val="12"/>
                <w:b w:val="1"/>
                <w:bCs w:val="1"/>
                <w:color w:val="auto"/>
              </w:rPr>
              <w:t>2020</w:t>
            </w:r>
          </w:p>
        </w:tc>
      </w:tr>
      <w:tr>
        <w:trPr>
          <w:trHeight w:val="166"/>
        </w:trPr>
        <w:tc>
          <w:tcPr>
            <w:tcW w:w="5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0" w:type="dxa"/>
            <w:vAlign w:val="bottom"/>
            <w:gridSpan w:val="8"/>
          </w:tcPr>
          <w:p>
            <w:pPr>
              <w:ind w:left="860"/>
              <w:spacing w:after="0"/>
              <w:rPr>
                <w:sz w:val="20"/>
                <w:szCs w:val="20"/>
                <w:color w:val="auto"/>
              </w:rPr>
            </w:pPr>
            <w:r>
              <w:rPr>
                <w:rFonts w:ascii="Arial" w:cs="Arial" w:eastAsia="Arial" w:hAnsi="Arial"/>
                <w:sz w:val="12"/>
                <w:szCs w:val="12"/>
                <w:b w:val="1"/>
                <w:bCs w:val="1"/>
                <w:color w:val="auto"/>
              </w:rPr>
              <w:t>(in thousands, except share and per share amounts)</w:t>
            </w: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3"/>
        </w:trPr>
        <w:tc>
          <w:tcPr>
            <w:tcW w:w="5720" w:type="dxa"/>
            <w:vAlign w:val="bottom"/>
            <w:shd w:val="clear" w:color="auto" w:fill="CFF0FC"/>
          </w:tcPr>
          <w:p>
            <w:pPr>
              <w:spacing w:after="0"/>
              <w:rPr>
                <w:sz w:val="20"/>
                <w:szCs w:val="20"/>
                <w:color w:val="auto"/>
              </w:rPr>
            </w:pPr>
            <w:r>
              <w:rPr>
                <w:rFonts w:ascii="Arial" w:cs="Arial" w:eastAsia="Arial" w:hAnsi="Arial"/>
                <w:sz w:val="14"/>
                <w:szCs w:val="14"/>
                <w:color w:val="auto"/>
              </w:rPr>
              <w:t>Non-GAAP net loss</w:t>
            </w:r>
          </w:p>
        </w:tc>
        <w:tc>
          <w:tcPr>
            <w:tcW w:w="2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(65,807)</w:t>
            </w:r>
          </w:p>
        </w:tc>
        <w:tc>
          <w:tcPr>
            <w:tcW w:w="180" w:type="dxa"/>
            <w:vAlign w:val="bottom"/>
            <w:shd w:val="clear" w:color="auto" w:fill="CFF0FC"/>
          </w:tcPr>
          <w:p>
            <w:pPr>
              <w:spacing w:after="0"/>
              <w:rPr>
                <w:sz w:val="15"/>
                <w:szCs w:val="15"/>
                <w:color w:val="auto"/>
              </w:rPr>
            </w:pPr>
          </w:p>
        </w:tc>
        <w:tc>
          <w:tcPr>
            <w:tcW w:w="220" w:type="dxa"/>
            <w:vAlign w:val="bottom"/>
            <w:shd w:val="clear" w:color="auto" w:fill="CFF0FC"/>
          </w:tcPr>
          <w:p>
            <w:pPr>
              <w:jc w:val="right"/>
              <w:ind w:right="69"/>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(40,706)</w:t>
            </w:r>
          </w:p>
        </w:tc>
        <w:tc>
          <w:tcPr>
            <w:tcW w:w="120" w:type="dxa"/>
            <w:vAlign w:val="bottom"/>
            <w:shd w:val="clear" w:color="auto" w:fill="CFF0FC"/>
          </w:tcPr>
          <w:p>
            <w:pPr>
              <w:spacing w:after="0"/>
              <w:rPr>
                <w:sz w:val="15"/>
                <w:szCs w:val="15"/>
                <w:color w:val="auto"/>
              </w:rPr>
            </w:pPr>
          </w:p>
        </w:tc>
        <w:tc>
          <w:tcPr>
            <w:tcW w:w="200" w:type="dxa"/>
            <w:vAlign w:val="bottom"/>
            <w:shd w:val="clear" w:color="auto" w:fill="CFF0FC"/>
          </w:tcPr>
          <w:p>
            <w:pPr>
              <w:jc w:val="right"/>
              <w:ind w:right="49"/>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(142,996)</w:t>
            </w:r>
          </w:p>
        </w:tc>
        <w:tc>
          <w:tcPr>
            <w:tcW w:w="180" w:type="dxa"/>
            <w:vAlign w:val="bottom"/>
            <w:shd w:val="clear" w:color="auto" w:fill="CFF0FC"/>
          </w:tcPr>
          <w:p>
            <w:pPr>
              <w:spacing w:after="0"/>
              <w:rPr>
                <w:sz w:val="15"/>
                <w:szCs w:val="15"/>
                <w:color w:val="auto"/>
              </w:rPr>
            </w:pPr>
          </w:p>
        </w:tc>
        <w:tc>
          <w:tcPr>
            <w:tcW w:w="220" w:type="dxa"/>
            <w:vAlign w:val="bottom"/>
            <w:shd w:val="clear" w:color="auto" w:fill="CFF0FC"/>
          </w:tcPr>
          <w:p>
            <w:pPr>
              <w:jc w:val="right"/>
              <w:ind w:right="69"/>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(82,555)</w:t>
            </w:r>
          </w:p>
        </w:tc>
      </w:tr>
      <w:tr>
        <w:trPr>
          <w:trHeight w:val="20"/>
        </w:trPr>
        <w:tc>
          <w:tcPr>
            <w:tcW w:w="5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r>
      <w:tr>
        <w:trPr>
          <w:trHeight w:val="166"/>
        </w:trPr>
        <w:tc>
          <w:tcPr>
            <w:tcW w:w="5720" w:type="dxa"/>
            <w:vAlign w:val="bottom"/>
          </w:tcPr>
          <w:p>
            <w:pPr>
              <w:spacing w:after="0"/>
              <w:rPr>
                <w:sz w:val="20"/>
                <w:szCs w:val="20"/>
                <w:color w:val="auto"/>
              </w:rPr>
            </w:pPr>
            <w:r>
              <w:rPr>
                <w:rFonts w:ascii="Arial" w:cs="Arial" w:eastAsia="Arial" w:hAnsi="Arial"/>
                <w:sz w:val="14"/>
                <w:szCs w:val="14"/>
                <w:color w:val="auto"/>
              </w:rPr>
              <w:t>Non-GAAP net loss, as adjusted</w:t>
            </w:r>
          </w:p>
        </w:tc>
        <w:tc>
          <w:tcPr>
            <w:tcW w:w="2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(65,807)</w:t>
            </w:r>
          </w:p>
        </w:tc>
        <w:tc>
          <w:tcPr>
            <w:tcW w:w="180" w:type="dxa"/>
            <w:vAlign w:val="bottom"/>
          </w:tcPr>
          <w:p>
            <w:pPr>
              <w:spacing w:after="0"/>
              <w:rPr>
                <w:sz w:val="14"/>
                <w:szCs w:val="14"/>
                <w:color w:val="auto"/>
              </w:rPr>
            </w:pPr>
          </w:p>
        </w:tc>
        <w:tc>
          <w:tcPr>
            <w:tcW w:w="220" w:type="dxa"/>
            <w:vAlign w:val="bottom"/>
          </w:tcPr>
          <w:p>
            <w:pPr>
              <w:jc w:val="right"/>
              <w:ind w:right="69"/>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(40,706)</w:t>
            </w:r>
          </w:p>
        </w:tc>
        <w:tc>
          <w:tcPr>
            <w:tcW w:w="120" w:type="dxa"/>
            <w:vAlign w:val="bottom"/>
          </w:tcPr>
          <w:p>
            <w:pPr>
              <w:spacing w:after="0"/>
              <w:rPr>
                <w:sz w:val="14"/>
                <w:szCs w:val="14"/>
                <w:color w:val="auto"/>
              </w:rPr>
            </w:pPr>
          </w:p>
        </w:tc>
        <w:tc>
          <w:tcPr>
            <w:tcW w:w="200" w:type="dxa"/>
            <w:vAlign w:val="bottom"/>
          </w:tcPr>
          <w:p>
            <w:pPr>
              <w:jc w:val="right"/>
              <w:ind w:right="49"/>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(142,996)</w:t>
            </w:r>
          </w:p>
        </w:tc>
        <w:tc>
          <w:tcPr>
            <w:tcW w:w="180" w:type="dxa"/>
            <w:vAlign w:val="bottom"/>
          </w:tcPr>
          <w:p>
            <w:pPr>
              <w:spacing w:after="0"/>
              <w:rPr>
                <w:sz w:val="14"/>
                <w:szCs w:val="14"/>
                <w:color w:val="auto"/>
              </w:rPr>
            </w:pPr>
          </w:p>
        </w:tc>
        <w:tc>
          <w:tcPr>
            <w:tcW w:w="220" w:type="dxa"/>
            <w:vAlign w:val="bottom"/>
          </w:tcPr>
          <w:p>
            <w:pPr>
              <w:jc w:val="right"/>
              <w:ind w:right="69"/>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(82,555)</w:t>
            </w:r>
          </w:p>
        </w:tc>
      </w:tr>
      <w:tr>
        <w:trPr>
          <w:trHeight w:val="20"/>
        </w:trPr>
        <w:tc>
          <w:tcPr>
            <w:tcW w:w="5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r>
        <w:trPr>
          <w:trHeight w:val="153"/>
        </w:trPr>
        <w:tc>
          <w:tcPr>
            <w:tcW w:w="5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178"/>
        </w:trPr>
        <w:tc>
          <w:tcPr>
            <w:tcW w:w="5720" w:type="dxa"/>
            <w:vAlign w:val="bottom"/>
            <w:shd w:val="clear" w:color="auto" w:fill="CFF0FC"/>
          </w:tcPr>
          <w:p>
            <w:pPr>
              <w:spacing w:after="0"/>
              <w:rPr>
                <w:sz w:val="20"/>
                <w:szCs w:val="20"/>
                <w:color w:val="auto"/>
              </w:rPr>
            </w:pPr>
            <w:r>
              <w:rPr>
                <w:rFonts w:ascii="Arial" w:cs="Arial" w:eastAsia="Arial" w:hAnsi="Arial"/>
                <w:sz w:val="14"/>
                <w:szCs w:val="14"/>
                <w:color w:val="auto"/>
              </w:rPr>
              <w:t>Weighted-average number of shares outstanding used to compute net loss per</w:t>
            </w:r>
          </w:p>
        </w:tc>
        <w:tc>
          <w:tcPr>
            <w:tcW w:w="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r>
      <w:tr>
        <w:trPr>
          <w:trHeight w:val="155"/>
        </w:trPr>
        <w:tc>
          <w:tcPr>
            <w:tcW w:w="5720" w:type="dxa"/>
            <w:vAlign w:val="bottom"/>
            <w:tcBorders>
              <w:bottom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share, basic and diluted</w:t>
            </w:r>
          </w:p>
        </w:tc>
        <w:tc>
          <w:tcPr>
            <w:tcW w:w="80" w:type="dxa"/>
            <w:vAlign w:val="bottom"/>
            <w:tcBorders>
              <w:bottom w:val="single" w:sz="8" w:color="CFF0FC"/>
            </w:tcBorders>
            <w:shd w:val="clear" w:color="auto" w:fill="CFF0FC"/>
          </w:tcPr>
          <w:p>
            <w:pPr>
              <w:spacing w:after="0"/>
              <w:rPr>
                <w:sz w:val="13"/>
                <w:szCs w:val="13"/>
                <w:color w:val="auto"/>
              </w:rPr>
            </w:pPr>
          </w:p>
        </w:tc>
        <w:tc>
          <w:tcPr>
            <w:tcW w:w="200" w:type="dxa"/>
            <w:vAlign w:val="bottom"/>
            <w:tcBorders>
              <w:bottom w:val="single" w:sz="8" w:color="auto"/>
            </w:tcBorders>
            <w:shd w:val="clear" w:color="auto" w:fill="CFF0FC"/>
          </w:tcPr>
          <w:p>
            <w:pPr>
              <w:spacing w:after="0"/>
              <w:rPr>
                <w:sz w:val="13"/>
                <w:szCs w:val="13"/>
                <w:color w:val="auto"/>
              </w:rPr>
            </w:pPr>
          </w:p>
        </w:tc>
        <w:tc>
          <w:tcPr>
            <w:tcW w:w="1040" w:type="dxa"/>
            <w:vAlign w:val="bottom"/>
            <w:tcBorders>
              <w:bottom w:val="single" w:sz="8" w:color="auto"/>
            </w:tcBorders>
            <w:shd w:val="clear" w:color="auto" w:fill="CFF0FC"/>
          </w:tcPr>
          <w:p>
            <w:pPr>
              <w:jc w:val="right"/>
              <w:ind w:right="52"/>
              <w:spacing w:after="0" w:line="155" w:lineRule="exact"/>
              <w:rPr>
                <w:sz w:val="20"/>
                <w:szCs w:val="20"/>
                <w:color w:val="auto"/>
              </w:rPr>
            </w:pPr>
            <w:r>
              <w:rPr>
                <w:rFonts w:ascii="Arial" w:cs="Arial" w:eastAsia="Arial" w:hAnsi="Arial"/>
                <w:sz w:val="14"/>
                <w:szCs w:val="14"/>
                <w:color w:val="auto"/>
              </w:rPr>
              <w:t>136,507,177</w:t>
            </w:r>
          </w:p>
        </w:tc>
        <w:tc>
          <w:tcPr>
            <w:tcW w:w="180" w:type="dxa"/>
            <w:vAlign w:val="bottom"/>
            <w:tcBorders>
              <w:bottom w:val="single" w:sz="8" w:color="CFF0FC"/>
            </w:tcBorders>
            <w:shd w:val="clear" w:color="auto" w:fill="CFF0FC"/>
          </w:tcPr>
          <w:p>
            <w:pPr>
              <w:spacing w:after="0"/>
              <w:rPr>
                <w:sz w:val="13"/>
                <w:szCs w:val="13"/>
                <w:color w:val="auto"/>
              </w:rPr>
            </w:pPr>
          </w:p>
        </w:tc>
        <w:tc>
          <w:tcPr>
            <w:tcW w:w="220" w:type="dxa"/>
            <w:vAlign w:val="bottom"/>
            <w:tcBorders>
              <w:bottom w:val="single" w:sz="8" w:color="auto"/>
            </w:tcBorders>
            <w:shd w:val="clear" w:color="auto" w:fill="CFF0FC"/>
          </w:tcPr>
          <w:p>
            <w:pPr>
              <w:spacing w:after="0"/>
              <w:rPr>
                <w:sz w:val="13"/>
                <w:szCs w:val="13"/>
                <w:color w:val="auto"/>
              </w:rPr>
            </w:pPr>
          </w:p>
        </w:tc>
        <w:tc>
          <w:tcPr>
            <w:tcW w:w="1020" w:type="dxa"/>
            <w:vAlign w:val="bottom"/>
            <w:tcBorders>
              <w:bottom w:val="single" w:sz="8" w:color="auto"/>
            </w:tcBorders>
            <w:shd w:val="clear" w:color="auto" w:fill="CFF0FC"/>
          </w:tcPr>
          <w:p>
            <w:pPr>
              <w:jc w:val="right"/>
              <w:ind w:right="50"/>
              <w:spacing w:after="0" w:line="155" w:lineRule="exact"/>
              <w:rPr>
                <w:sz w:val="20"/>
                <w:szCs w:val="20"/>
                <w:color w:val="auto"/>
              </w:rPr>
            </w:pPr>
            <w:r>
              <w:rPr>
                <w:rFonts w:ascii="Arial" w:cs="Arial" w:eastAsia="Arial" w:hAnsi="Arial"/>
                <w:sz w:val="14"/>
                <w:szCs w:val="14"/>
                <w:color w:val="auto"/>
              </w:rPr>
              <w:t>31,599,497</w:t>
            </w:r>
          </w:p>
        </w:tc>
        <w:tc>
          <w:tcPr>
            <w:tcW w:w="120" w:type="dxa"/>
            <w:vAlign w:val="bottom"/>
            <w:tcBorders>
              <w:bottom w:val="single" w:sz="8" w:color="CFF0FC"/>
            </w:tcBorders>
            <w:shd w:val="clear" w:color="auto" w:fill="CFF0FC"/>
          </w:tcPr>
          <w:p>
            <w:pPr>
              <w:spacing w:after="0"/>
              <w:rPr>
                <w:sz w:val="13"/>
                <w:szCs w:val="13"/>
                <w:color w:val="auto"/>
              </w:rPr>
            </w:pPr>
          </w:p>
        </w:tc>
        <w:tc>
          <w:tcPr>
            <w:tcW w:w="200" w:type="dxa"/>
            <w:vAlign w:val="bottom"/>
            <w:tcBorders>
              <w:bottom w:val="single" w:sz="8" w:color="auto"/>
            </w:tcBorders>
            <w:shd w:val="clear" w:color="auto" w:fill="CFF0FC"/>
          </w:tcPr>
          <w:p>
            <w:pPr>
              <w:spacing w:after="0"/>
              <w:rPr>
                <w:sz w:val="13"/>
                <w:szCs w:val="13"/>
                <w:color w:val="auto"/>
              </w:rPr>
            </w:pPr>
          </w:p>
        </w:tc>
        <w:tc>
          <w:tcPr>
            <w:tcW w:w="1040" w:type="dxa"/>
            <w:vAlign w:val="bottom"/>
            <w:tcBorders>
              <w:bottom w:val="single" w:sz="8" w:color="auto"/>
            </w:tcBorders>
            <w:shd w:val="clear" w:color="auto" w:fill="CFF0FC"/>
          </w:tcPr>
          <w:p>
            <w:pPr>
              <w:jc w:val="right"/>
              <w:ind w:right="51"/>
              <w:spacing w:after="0" w:line="155" w:lineRule="exact"/>
              <w:rPr>
                <w:sz w:val="20"/>
                <w:szCs w:val="20"/>
                <w:color w:val="auto"/>
              </w:rPr>
            </w:pPr>
            <w:r>
              <w:rPr>
                <w:rFonts w:ascii="Arial" w:cs="Arial" w:eastAsia="Arial" w:hAnsi="Arial"/>
                <w:sz w:val="14"/>
                <w:szCs w:val="14"/>
                <w:color w:val="auto"/>
              </w:rPr>
              <w:t>136,002,344</w:t>
            </w:r>
          </w:p>
        </w:tc>
        <w:tc>
          <w:tcPr>
            <w:tcW w:w="180" w:type="dxa"/>
            <w:vAlign w:val="bottom"/>
            <w:tcBorders>
              <w:bottom w:val="single" w:sz="8" w:color="CFF0FC"/>
            </w:tcBorders>
            <w:shd w:val="clear" w:color="auto" w:fill="CFF0FC"/>
          </w:tcPr>
          <w:p>
            <w:pPr>
              <w:spacing w:after="0"/>
              <w:rPr>
                <w:sz w:val="13"/>
                <w:szCs w:val="13"/>
                <w:color w:val="auto"/>
              </w:rPr>
            </w:pPr>
          </w:p>
        </w:tc>
        <w:tc>
          <w:tcPr>
            <w:tcW w:w="220" w:type="dxa"/>
            <w:vAlign w:val="bottom"/>
            <w:tcBorders>
              <w:bottom w:val="single" w:sz="8" w:color="auto"/>
            </w:tcBorders>
            <w:shd w:val="clear" w:color="auto" w:fill="CFF0FC"/>
          </w:tcPr>
          <w:p>
            <w:pPr>
              <w:spacing w:after="0"/>
              <w:rPr>
                <w:sz w:val="13"/>
                <w:szCs w:val="13"/>
                <w:color w:val="auto"/>
              </w:rPr>
            </w:pPr>
          </w:p>
        </w:tc>
        <w:tc>
          <w:tcPr>
            <w:tcW w:w="1020" w:type="dxa"/>
            <w:vAlign w:val="bottom"/>
            <w:tcBorders>
              <w:bottom w:val="single" w:sz="8" w:color="auto"/>
            </w:tcBorders>
            <w:shd w:val="clear" w:color="auto" w:fill="CFF0FC"/>
          </w:tcPr>
          <w:p>
            <w:pPr>
              <w:jc w:val="right"/>
              <w:ind w:right="50"/>
              <w:spacing w:after="0" w:line="155" w:lineRule="exact"/>
              <w:rPr>
                <w:sz w:val="20"/>
                <w:szCs w:val="20"/>
                <w:color w:val="auto"/>
              </w:rPr>
            </w:pPr>
            <w:r>
              <w:rPr>
                <w:rFonts w:ascii="Arial" w:cs="Arial" w:eastAsia="Arial" w:hAnsi="Arial"/>
                <w:sz w:val="14"/>
                <w:szCs w:val="14"/>
                <w:color w:val="auto"/>
              </w:rPr>
              <w:t>20,035,476</w:t>
            </w:r>
          </w:p>
        </w:tc>
      </w:tr>
      <w:tr>
        <w:trPr>
          <w:trHeight w:val="20"/>
        </w:trPr>
        <w:tc>
          <w:tcPr>
            <w:tcW w:w="5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53"/>
        </w:trPr>
        <w:tc>
          <w:tcPr>
            <w:tcW w:w="5720" w:type="dxa"/>
            <w:vAlign w:val="bottom"/>
          </w:tcPr>
          <w:p>
            <w:pPr>
              <w:ind w:left="120"/>
              <w:spacing w:after="0" w:line="153" w:lineRule="exact"/>
              <w:rPr>
                <w:sz w:val="20"/>
                <w:szCs w:val="20"/>
                <w:color w:val="auto"/>
              </w:rPr>
            </w:pPr>
            <w:r>
              <w:rPr>
                <w:rFonts w:ascii="Arial" w:cs="Arial" w:eastAsia="Arial" w:hAnsi="Arial"/>
                <w:sz w:val="14"/>
                <w:szCs w:val="14"/>
                <w:color w:val="auto"/>
              </w:rPr>
              <w:t>Add: unweighted adjustment for common stock issued in connection with IPO</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gridSpan w:val="2"/>
          </w:tcPr>
          <w:p>
            <w:pPr>
              <w:jc w:val="right"/>
              <w:ind w:right="300"/>
              <w:spacing w:after="0" w:line="153"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1020" w:type="dxa"/>
            <w:vAlign w:val="bottom"/>
          </w:tcPr>
          <w:p>
            <w:pPr>
              <w:jc w:val="right"/>
              <w:ind w:right="50"/>
              <w:spacing w:after="0" w:line="153" w:lineRule="exact"/>
              <w:rPr>
                <w:sz w:val="20"/>
                <w:szCs w:val="20"/>
                <w:color w:val="auto"/>
              </w:rPr>
            </w:pPr>
            <w:r>
              <w:rPr>
                <w:rFonts w:ascii="Arial" w:cs="Arial" w:eastAsia="Arial" w:hAnsi="Arial"/>
                <w:sz w:val="14"/>
                <w:szCs w:val="14"/>
                <w:color w:val="auto"/>
              </w:rPr>
              <w:t>24,437,500</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gridSpan w:val="2"/>
          </w:tcPr>
          <w:p>
            <w:pPr>
              <w:jc w:val="right"/>
              <w:ind w:right="300"/>
              <w:spacing w:after="0" w:line="153"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1020" w:type="dxa"/>
            <w:vAlign w:val="bottom"/>
          </w:tcPr>
          <w:p>
            <w:pPr>
              <w:jc w:val="right"/>
              <w:ind w:right="50"/>
              <w:spacing w:after="0" w:line="153" w:lineRule="exact"/>
              <w:rPr>
                <w:sz w:val="20"/>
                <w:szCs w:val="20"/>
                <w:color w:val="auto"/>
              </w:rPr>
            </w:pPr>
            <w:r>
              <w:rPr>
                <w:rFonts w:ascii="Arial" w:cs="Arial" w:eastAsia="Arial" w:hAnsi="Arial"/>
                <w:sz w:val="14"/>
                <w:szCs w:val="14"/>
                <w:color w:val="auto"/>
              </w:rPr>
              <w:t>24,437,500</w:t>
            </w:r>
          </w:p>
        </w:tc>
      </w:tr>
      <w:tr>
        <w:trPr>
          <w:trHeight w:val="178"/>
        </w:trPr>
        <w:tc>
          <w:tcPr>
            <w:tcW w:w="5720" w:type="dxa"/>
            <w:vAlign w:val="bottom"/>
            <w:shd w:val="clear" w:color="auto" w:fill="CFF0FC"/>
          </w:tcPr>
          <w:p>
            <w:pPr>
              <w:ind w:left="120"/>
              <w:spacing w:after="0"/>
              <w:rPr>
                <w:sz w:val="20"/>
                <w:szCs w:val="20"/>
                <w:color w:val="auto"/>
              </w:rPr>
            </w:pPr>
            <w:r>
              <w:rPr>
                <w:rFonts w:ascii="Arial" w:cs="Arial" w:eastAsia="Arial" w:hAnsi="Arial"/>
                <w:sz w:val="14"/>
                <w:szCs w:val="14"/>
                <w:color w:val="auto"/>
              </w:rPr>
              <w:t>Add: unweighted adjustment for conversion of redeemable convertible preferred stock in</w:t>
            </w:r>
          </w:p>
        </w:tc>
        <w:tc>
          <w:tcPr>
            <w:tcW w:w="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r>
      <w:tr>
        <w:trPr>
          <w:trHeight w:val="155"/>
        </w:trPr>
        <w:tc>
          <w:tcPr>
            <w:tcW w:w="5720" w:type="dxa"/>
            <w:vAlign w:val="bottom"/>
            <w:shd w:val="clear" w:color="auto" w:fill="CFF0FC"/>
          </w:tcPr>
          <w:p>
            <w:pPr>
              <w:ind w:left="120"/>
              <w:spacing w:after="0" w:line="155" w:lineRule="exact"/>
              <w:rPr>
                <w:sz w:val="20"/>
                <w:szCs w:val="20"/>
                <w:color w:val="auto"/>
              </w:rPr>
            </w:pPr>
            <w:r>
              <w:rPr>
                <w:rFonts w:ascii="Arial" w:cs="Arial" w:eastAsia="Arial" w:hAnsi="Arial"/>
                <w:sz w:val="14"/>
                <w:szCs w:val="14"/>
                <w:color w:val="auto"/>
              </w:rPr>
              <w:t>connection with IPO</w:t>
            </w:r>
          </w:p>
        </w:tc>
        <w:tc>
          <w:tcPr>
            <w:tcW w:w="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220" w:type="dxa"/>
            <w:vAlign w:val="bottom"/>
            <w:gridSpan w:val="2"/>
            <w:shd w:val="clear" w:color="auto" w:fill="CFF0FC"/>
          </w:tcPr>
          <w:p>
            <w:pPr>
              <w:jc w:val="right"/>
              <w:ind w:right="300"/>
              <w:spacing w:after="0" w:line="155" w:lineRule="exact"/>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3"/>
                <w:szCs w:val="13"/>
                <w:color w:val="auto"/>
              </w:rPr>
            </w:pPr>
          </w:p>
        </w:tc>
        <w:tc>
          <w:tcPr>
            <w:tcW w:w="1020" w:type="dxa"/>
            <w:vAlign w:val="bottom"/>
            <w:shd w:val="clear" w:color="auto" w:fill="CFF0FC"/>
          </w:tcPr>
          <w:p>
            <w:pPr>
              <w:jc w:val="right"/>
              <w:ind w:right="50"/>
              <w:spacing w:after="0" w:line="155" w:lineRule="exact"/>
              <w:rPr>
                <w:sz w:val="20"/>
                <w:szCs w:val="20"/>
                <w:color w:val="auto"/>
              </w:rPr>
            </w:pPr>
            <w:r>
              <w:rPr>
                <w:rFonts w:ascii="Arial" w:cs="Arial" w:eastAsia="Arial" w:hAnsi="Arial"/>
                <w:sz w:val="14"/>
                <w:szCs w:val="14"/>
                <w:color w:val="auto"/>
              </w:rPr>
              <w:t>85,533,394</w:t>
            </w:r>
          </w:p>
        </w:tc>
        <w:tc>
          <w:tcPr>
            <w:tcW w:w="1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220" w:type="dxa"/>
            <w:vAlign w:val="bottom"/>
            <w:gridSpan w:val="2"/>
            <w:shd w:val="clear" w:color="auto" w:fill="CFF0FC"/>
          </w:tcPr>
          <w:p>
            <w:pPr>
              <w:jc w:val="right"/>
              <w:ind w:right="300"/>
              <w:spacing w:after="0" w:line="155" w:lineRule="exact"/>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3"/>
                <w:szCs w:val="13"/>
                <w:color w:val="auto"/>
              </w:rPr>
            </w:pPr>
          </w:p>
        </w:tc>
        <w:tc>
          <w:tcPr>
            <w:tcW w:w="1020" w:type="dxa"/>
            <w:vAlign w:val="bottom"/>
            <w:shd w:val="clear" w:color="auto" w:fill="CFF0FC"/>
          </w:tcPr>
          <w:p>
            <w:pPr>
              <w:jc w:val="right"/>
              <w:ind w:right="50"/>
              <w:spacing w:after="0" w:line="155" w:lineRule="exact"/>
              <w:rPr>
                <w:sz w:val="20"/>
                <w:szCs w:val="20"/>
                <w:color w:val="auto"/>
              </w:rPr>
            </w:pPr>
            <w:r>
              <w:rPr>
                <w:rFonts w:ascii="Arial" w:cs="Arial" w:eastAsia="Arial" w:hAnsi="Arial"/>
                <w:sz w:val="14"/>
                <w:szCs w:val="14"/>
                <w:color w:val="auto"/>
              </w:rPr>
              <w:t>85,533,394</w:t>
            </w:r>
          </w:p>
        </w:tc>
      </w:tr>
      <w:tr>
        <w:trPr>
          <w:trHeight w:val="178"/>
        </w:trPr>
        <w:tc>
          <w:tcPr>
            <w:tcW w:w="5720" w:type="dxa"/>
            <w:vAlign w:val="bottom"/>
          </w:tcPr>
          <w:p>
            <w:pPr>
              <w:ind w:left="120"/>
              <w:spacing w:after="0"/>
              <w:rPr>
                <w:sz w:val="20"/>
                <w:szCs w:val="20"/>
                <w:color w:val="auto"/>
              </w:rPr>
            </w:pPr>
            <w:r>
              <w:rPr>
                <w:rFonts w:ascii="Arial" w:cs="Arial" w:eastAsia="Arial" w:hAnsi="Arial"/>
                <w:sz w:val="14"/>
                <w:szCs w:val="14"/>
                <w:color w:val="auto"/>
              </w:rPr>
              <w:t>Less: Adjustment for the impact of the above items already included in weighted-</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55"/>
        </w:trPr>
        <w:tc>
          <w:tcPr>
            <w:tcW w:w="5720" w:type="dxa"/>
            <w:vAlign w:val="bottom"/>
          </w:tcPr>
          <w:p>
            <w:pPr>
              <w:ind w:left="120"/>
              <w:spacing w:after="0" w:line="155" w:lineRule="exact"/>
              <w:rPr>
                <w:sz w:val="20"/>
                <w:szCs w:val="20"/>
                <w:color w:val="auto"/>
              </w:rPr>
            </w:pPr>
            <w:r>
              <w:rPr>
                <w:rFonts w:ascii="Arial" w:cs="Arial" w:eastAsia="Arial" w:hAnsi="Arial"/>
                <w:sz w:val="14"/>
                <w:szCs w:val="14"/>
                <w:color w:val="auto"/>
              </w:rPr>
              <w:t>average number of shares outstanding for the periods presented</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gridSpan w:val="2"/>
          </w:tcPr>
          <w:p>
            <w:pPr>
              <w:jc w:val="right"/>
              <w:ind w:right="300"/>
              <w:spacing w:after="0" w:line="155"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1020" w:type="dxa"/>
            <w:vAlign w:val="bottom"/>
          </w:tcPr>
          <w:p>
            <w:pPr>
              <w:jc w:val="right"/>
              <w:spacing w:after="0" w:line="155" w:lineRule="exact"/>
              <w:rPr>
                <w:sz w:val="20"/>
                <w:szCs w:val="20"/>
                <w:color w:val="auto"/>
              </w:rPr>
            </w:pPr>
            <w:r>
              <w:rPr>
                <w:rFonts w:ascii="Arial" w:cs="Arial" w:eastAsia="Arial" w:hAnsi="Arial"/>
                <w:sz w:val="14"/>
                <w:szCs w:val="14"/>
                <w:color w:val="auto"/>
              </w:rPr>
              <w:t>(22,960,956)</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gridSpan w:val="2"/>
          </w:tcPr>
          <w:p>
            <w:pPr>
              <w:jc w:val="right"/>
              <w:ind w:right="300"/>
              <w:spacing w:after="0" w:line="155"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1020" w:type="dxa"/>
            <w:vAlign w:val="bottom"/>
          </w:tcPr>
          <w:p>
            <w:pPr>
              <w:jc w:val="right"/>
              <w:spacing w:after="0" w:line="155" w:lineRule="exact"/>
              <w:rPr>
                <w:sz w:val="20"/>
                <w:szCs w:val="20"/>
                <w:color w:val="auto"/>
              </w:rPr>
            </w:pPr>
            <w:r>
              <w:rPr>
                <w:rFonts w:ascii="Arial" w:cs="Arial" w:eastAsia="Arial" w:hAnsi="Arial"/>
                <w:sz w:val="14"/>
                <w:szCs w:val="14"/>
                <w:color w:val="auto"/>
              </w:rPr>
              <w:t>(11,480,478)</w:t>
            </w:r>
          </w:p>
        </w:tc>
      </w:tr>
      <w:tr>
        <w:trPr>
          <w:trHeight w:val="171"/>
        </w:trPr>
        <w:tc>
          <w:tcPr>
            <w:tcW w:w="5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4"/>
                <w:szCs w:val="14"/>
                <w:color w:val="auto"/>
              </w:rPr>
              <w:t>Weighted-average number of shares outstanding used to compute net loss per share, as</w:t>
            </w:r>
          </w:p>
        </w:tc>
        <w:tc>
          <w:tcPr>
            <w:tcW w:w="80" w:type="dxa"/>
            <w:vAlign w:val="bottom"/>
            <w:tcBorders>
              <w:top w:val="single" w:sz="8" w:color="CFF0FC"/>
            </w:tcBorders>
            <w:shd w:val="clear" w:color="auto" w:fill="CFF0FC"/>
          </w:tcPr>
          <w:p>
            <w:pPr>
              <w:spacing w:after="0"/>
              <w:rPr>
                <w:sz w:val="14"/>
                <w:szCs w:val="14"/>
                <w:color w:val="auto"/>
              </w:rPr>
            </w:pPr>
          </w:p>
        </w:tc>
        <w:tc>
          <w:tcPr>
            <w:tcW w:w="200" w:type="dxa"/>
            <w:vAlign w:val="bottom"/>
            <w:tcBorders>
              <w:top w:val="single" w:sz="8" w:color="auto"/>
            </w:tcBorders>
            <w:shd w:val="clear" w:color="auto" w:fill="CFF0FC"/>
          </w:tcPr>
          <w:p>
            <w:pPr>
              <w:spacing w:after="0"/>
              <w:rPr>
                <w:sz w:val="14"/>
                <w:szCs w:val="14"/>
                <w:color w:val="auto"/>
              </w:rPr>
            </w:pPr>
          </w:p>
        </w:tc>
        <w:tc>
          <w:tcPr>
            <w:tcW w:w="1040" w:type="dxa"/>
            <w:vAlign w:val="bottom"/>
            <w:tcBorders>
              <w:top w:val="single" w:sz="8" w:color="auto"/>
            </w:tcBorders>
            <w:shd w:val="clear" w:color="auto" w:fill="CFF0FC"/>
          </w:tcPr>
          <w:p>
            <w:pPr>
              <w:spacing w:after="0"/>
              <w:rPr>
                <w:sz w:val="14"/>
                <w:szCs w:val="14"/>
                <w:color w:val="auto"/>
              </w:rPr>
            </w:pPr>
          </w:p>
        </w:tc>
        <w:tc>
          <w:tcPr>
            <w:tcW w:w="180" w:type="dxa"/>
            <w:vAlign w:val="bottom"/>
            <w:tcBorders>
              <w:top w:val="single" w:sz="8" w:color="CFF0FC"/>
            </w:tcBorders>
            <w:shd w:val="clear" w:color="auto" w:fill="CFF0FC"/>
          </w:tcPr>
          <w:p>
            <w:pPr>
              <w:spacing w:after="0"/>
              <w:rPr>
                <w:sz w:val="14"/>
                <w:szCs w:val="14"/>
                <w:color w:val="auto"/>
              </w:rPr>
            </w:pPr>
          </w:p>
        </w:tc>
        <w:tc>
          <w:tcPr>
            <w:tcW w:w="220" w:type="dxa"/>
            <w:vAlign w:val="bottom"/>
            <w:tcBorders>
              <w:top w:val="single" w:sz="8" w:color="auto"/>
            </w:tcBorders>
            <w:shd w:val="clear" w:color="auto" w:fill="CFF0FC"/>
          </w:tcPr>
          <w:p>
            <w:pPr>
              <w:spacing w:after="0"/>
              <w:rPr>
                <w:sz w:val="14"/>
                <w:szCs w:val="14"/>
                <w:color w:val="auto"/>
              </w:rPr>
            </w:pPr>
          </w:p>
        </w:tc>
        <w:tc>
          <w:tcPr>
            <w:tcW w:w="1020" w:type="dxa"/>
            <w:vAlign w:val="bottom"/>
            <w:tcBorders>
              <w:top w:val="single" w:sz="8" w:color="auto"/>
            </w:tcBorders>
            <w:shd w:val="clear" w:color="auto" w:fill="CFF0FC"/>
          </w:tcPr>
          <w:p>
            <w:pPr>
              <w:spacing w:after="0"/>
              <w:rPr>
                <w:sz w:val="14"/>
                <w:szCs w:val="14"/>
                <w:color w:val="auto"/>
              </w:rPr>
            </w:pPr>
          </w:p>
        </w:tc>
        <w:tc>
          <w:tcPr>
            <w:tcW w:w="120" w:type="dxa"/>
            <w:vAlign w:val="bottom"/>
            <w:tcBorders>
              <w:top w:val="single" w:sz="8" w:color="CFF0FC"/>
            </w:tcBorders>
            <w:shd w:val="clear" w:color="auto" w:fill="CFF0FC"/>
          </w:tcPr>
          <w:p>
            <w:pPr>
              <w:spacing w:after="0"/>
              <w:rPr>
                <w:sz w:val="14"/>
                <w:szCs w:val="14"/>
                <w:color w:val="auto"/>
              </w:rPr>
            </w:pPr>
          </w:p>
        </w:tc>
        <w:tc>
          <w:tcPr>
            <w:tcW w:w="200" w:type="dxa"/>
            <w:vAlign w:val="bottom"/>
            <w:tcBorders>
              <w:top w:val="single" w:sz="8" w:color="auto"/>
            </w:tcBorders>
            <w:shd w:val="clear" w:color="auto" w:fill="CFF0FC"/>
          </w:tcPr>
          <w:p>
            <w:pPr>
              <w:spacing w:after="0"/>
              <w:rPr>
                <w:sz w:val="14"/>
                <w:szCs w:val="14"/>
                <w:color w:val="auto"/>
              </w:rPr>
            </w:pPr>
          </w:p>
        </w:tc>
        <w:tc>
          <w:tcPr>
            <w:tcW w:w="1040" w:type="dxa"/>
            <w:vAlign w:val="bottom"/>
            <w:tcBorders>
              <w:top w:val="single" w:sz="8" w:color="auto"/>
            </w:tcBorders>
            <w:shd w:val="clear" w:color="auto" w:fill="CFF0FC"/>
          </w:tcPr>
          <w:p>
            <w:pPr>
              <w:spacing w:after="0"/>
              <w:rPr>
                <w:sz w:val="14"/>
                <w:szCs w:val="14"/>
                <w:color w:val="auto"/>
              </w:rPr>
            </w:pPr>
          </w:p>
        </w:tc>
        <w:tc>
          <w:tcPr>
            <w:tcW w:w="180" w:type="dxa"/>
            <w:vAlign w:val="bottom"/>
            <w:tcBorders>
              <w:top w:val="single" w:sz="8" w:color="CFF0FC"/>
            </w:tcBorders>
            <w:shd w:val="clear" w:color="auto" w:fill="CFF0FC"/>
          </w:tcPr>
          <w:p>
            <w:pPr>
              <w:spacing w:after="0"/>
              <w:rPr>
                <w:sz w:val="14"/>
                <w:szCs w:val="14"/>
                <w:color w:val="auto"/>
              </w:rPr>
            </w:pPr>
          </w:p>
        </w:tc>
        <w:tc>
          <w:tcPr>
            <w:tcW w:w="220" w:type="dxa"/>
            <w:vAlign w:val="bottom"/>
            <w:tcBorders>
              <w:top w:val="single" w:sz="8" w:color="auto"/>
            </w:tcBorders>
            <w:shd w:val="clear" w:color="auto" w:fill="CFF0FC"/>
          </w:tcPr>
          <w:p>
            <w:pPr>
              <w:spacing w:after="0"/>
              <w:rPr>
                <w:sz w:val="14"/>
                <w:szCs w:val="14"/>
                <w:color w:val="auto"/>
              </w:rPr>
            </w:pPr>
          </w:p>
        </w:tc>
        <w:tc>
          <w:tcPr>
            <w:tcW w:w="1020" w:type="dxa"/>
            <w:vAlign w:val="bottom"/>
            <w:tcBorders>
              <w:top w:val="single" w:sz="8" w:color="auto"/>
            </w:tcBorders>
            <w:shd w:val="clear" w:color="auto" w:fill="CFF0FC"/>
          </w:tcPr>
          <w:p>
            <w:pPr>
              <w:spacing w:after="0"/>
              <w:rPr>
                <w:sz w:val="14"/>
                <w:szCs w:val="14"/>
                <w:color w:val="auto"/>
              </w:rPr>
            </w:pPr>
          </w:p>
        </w:tc>
      </w:tr>
      <w:tr>
        <w:trPr>
          <w:trHeight w:val="155"/>
        </w:trPr>
        <w:tc>
          <w:tcPr>
            <w:tcW w:w="5720" w:type="dxa"/>
            <w:vAlign w:val="bottom"/>
            <w:tcBorders>
              <w:bottom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adjusted, basic and diluted</w:t>
            </w:r>
          </w:p>
        </w:tc>
        <w:tc>
          <w:tcPr>
            <w:tcW w:w="80" w:type="dxa"/>
            <w:vAlign w:val="bottom"/>
            <w:tcBorders>
              <w:bottom w:val="single" w:sz="8" w:color="CFF0FC"/>
            </w:tcBorders>
            <w:shd w:val="clear" w:color="auto" w:fill="CFF0FC"/>
          </w:tcPr>
          <w:p>
            <w:pPr>
              <w:spacing w:after="0"/>
              <w:rPr>
                <w:sz w:val="13"/>
                <w:szCs w:val="13"/>
                <w:color w:val="auto"/>
              </w:rPr>
            </w:pPr>
          </w:p>
        </w:tc>
        <w:tc>
          <w:tcPr>
            <w:tcW w:w="200" w:type="dxa"/>
            <w:vAlign w:val="bottom"/>
            <w:tcBorders>
              <w:bottom w:val="single" w:sz="8" w:color="auto"/>
            </w:tcBorders>
            <w:shd w:val="clear" w:color="auto" w:fill="CFF0FC"/>
          </w:tcPr>
          <w:p>
            <w:pPr>
              <w:spacing w:after="0"/>
              <w:rPr>
                <w:sz w:val="13"/>
                <w:szCs w:val="13"/>
                <w:color w:val="auto"/>
              </w:rPr>
            </w:pPr>
          </w:p>
        </w:tc>
        <w:tc>
          <w:tcPr>
            <w:tcW w:w="1040" w:type="dxa"/>
            <w:vAlign w:val="bottom"/>
            <w:tcBorders>
              <w:bottom w:val="single" w:sz="8" w:color="auto"/>
            </w:tcBorders>
            <w:shd w:val="clear" w:color="auto" w:fill="CFF0FC"/>
          </w:tcPr>
          <w:p>
            <w:pPr>
              <w:jc w:val="right"/>
              <w:ind w:right="52"/>
              <w:spacing w:after="0" w:line="155" w:lineRule="exact"/>
              <w:rPr>
                <w:sz w:val="20"/>
                <w:szCs w:val="20"/>
                <w:color w:val="auto"/>
              </w:rPr>
            </w:pPr>
            <w:r>
              <w:rPr>
                <w:rFonts w:ascii="Arial" w:cs="Arial" w:eastAsia="Arial" w:hAnsi="Arial"/>
                <w:sz w:val="14"/>
                <w:szCs w:val="14"/>
                <w:color w:val="auto"/>
              </w:rPr>
              <w:t>136,507,177</w:t>
            </w:r>
          </w:p>
        </w:tc>
        <w:tc>
          <w:tcPr>
            <w:tcW w:w="180" w:type="dxa"/>
            <w:vAlign w:val="bottom"/>
            <w:tcBorders>
              <w:bottom w:val="single" w:sz="8" w:color="CFF0FC"/>
            </w:tcBorders>
            <w:shd w:val="clear" w:color="auto" w:fill="CFF0FC"/>
          </w:tcPr>
          <w:p>
            <w:pPr>
              <w:spacing w:after="0"/>
              <w:rPr>
                <w:sz w:val="13"/>
                <w:szCs w:val="13"/>
                <w:color w:val="auto"/>
              </w:rPr>
            </w:pPr>
          </w:p>
        </w:tc>
        <w:tc>
          <w:tcPr>
            <w:tcW w:w="220" w:type="dxa"/>
            <w:vAlign w:val="bottom"/>
            <w:tcBorders>
              <w:bottom w:val="single" w:sz="8" w:color="auto"/>
            </w:tcBorders>
            <w:shd w:val="clear" w:color="auto" w:fill="CFF0FC"/>
          </w:tcPr>
          <w:p>
            <w:pPr>
              <w:spacing w:after="0"/>
              <w:rPr>
                <w:sz w:val="13"/>
                <w:szCs w:val="13"/>
                <w:color w:val="auto"/>
              </w:rPr>
            </w:pPr>
          </w:p>
        </w:tc>
        <w:tc>
          <w:tcPr>
            <w:tcW w:w="1020" w:type="dxa"/>
            <w:vAlign w:val="bottom"/>
            <w:tcBorders>
              <w:bottom w:val="single" w:sz="8" w:color="auto"/>
            </w:tcBorders>
            <w:shd w:val="clear" w:color="auto" w:fill="CFF0FC"/>
          </w:tcPr>
          <w:p>
            <w:pPr>
              <w:jc w:val="right"/>
              <w:ind w:right="50"/>
              <w:spacing w:after="0" w:line="155" w:lineRule="exact"/>
              <w:rPr>
                <w:sz w:val="20"/>
                <w:szCs w:val="20"/>
                <w:color w:val="auto"/>
              </w:rPr>
            </w:pPr>
            <w:r>
              <w:rPr>
                <w:rFonts w:ascii="Arial" w:cs="Arial" w:eastAsia="Arial" w:hAnsi="Arial"/>
                <w:sz w:val="14"/>
                <w:szCs w:val="14"/>
                <w:color w:val="auto"/>
              </w:rPr>
              <w:t>118,609,435</w:t>
            </w:r>
          </w:p>
        </w:tc>
        <w:tc>
          <w:tcPr>
            <w:tcW w:w="120" w:type="dxa"/>
            <w:vAlign w:val="bottom"/>
            <w:tcBorders>
              <w:bottom w:val="single" w:sz="8" w:color="CFF0FC"/>
            </w:tcBorders>
            <w:shd w:val="clear" w:color="auto" w:fill="CFF0FC"/>
          </w:tcPr>
          <w:p>
            <w:pPr>
              <w:spacing w:after="0"/>
              <w:rPr>
                <w:sz w:val="13"/>
                <w:szCs w:val="13"/>
                <w:color w:val="auto"/>
              </w:rPr>
            </w:pPr>
          </w:p>
        </w:tc>
        <w:tc>
          <w:tcPr>
            <w:tcW w:w="200" w:type="dxa"/>
            <w:vAlign w:val="bottom"/>
            <w:tcBorders>
              <w:bottom w:val="single" w:sz="8" w:color="auto"/>
            </w:tcBorders>
            <w:shd w:val="clear" w:color="auto" w:fill="CFF0FC"/>
          </w:tcPr>
          <w:p>
            <w:pPr>
              <w:spacing w:after="0"/>
              <w:rPr>
                <w:sz w:val="13"/>
                <w:szCs w:val="13"/>
                <w:color w:val="auto"/>
              </w:rPr>
            </w:pPr>
          </w:p>
        </w:tc>
        <w:tc>
          <w:tcPr>
            <w:tcW w:w="1040" w:type="dxa"/>
            <w:vAlign w:val="bottom"/>
            <w:tcBorders>
              <w:bottom w:val="single" w:sz="8" w:color="auto"/>
            </w:tcBorders>
            <w:shd w:val="clear" w:color="auto" w:fill="CFF0FC"/>
          </w:tcPr>
          <w:p>
            <w:pPr>
              <w:jc w:val="right"/>
              <w:ind w:right="51"/>
              <w:spacing w:after="0" w:line="155" w:lineRule="exact"/>
              <w:rPr>
                <w:sz w:val="20"/>
                <w:szCs w:val="20"/>
                <w:color w:val="auto"/>
              </w:rPr>
            </w:pPr>
            <w:r>
              <w:rPr>
                <w:rFonts w:ascii="Arial" w:cs="Arial" w:eastAsia="Arial" w:hAnsi="Arial"/>
                <w:sz w:val="14"/>
                <w:szCs w:val="14"/>
                <w:color w:val="auto"/>
              </w:rPr>
              <w:t>136,002,344</w:t>
            </w:r>
          </w:p>
        </w:tc>
        <w:tc>
          <w:tcPr>
            <w:tcW w:w="180" w:type="dxa"/>
            <w:vAlign w:val="bottom"/>
            <w:tcBorders>
              <w:bottom w:val="single" w:sz="8" w:color="CFF0FC"/>
            </w:tcBorders>
            <w:shd w:val="clear" w:color="auto" w:fill="CFF0FC"/>
          </w:tcPr>
          <w:p>
            <w:pPr>
              <w:spacing w:after="0"/>
              <w:rPr>
                <w:sz w:val="13"/>
                <w:szCs w:val="13"/>
                <w:color w:val="auto"/>
              </w:rPr>
            </w:pPr>
          </w:p>
        </w:tc>
        <w:tc>
          <w:tcPr>
            <w:tcW w:w="220" w:type="dxa"/>
            <w:vAlign w:val="bottom"/>
            <w:tcBorders>
              <w:bottom w:val="single" w:sz="8" w:color="auto"/>
            </w:tcBorders>
            <w:shd w:val="clear" w:color="auto" w:fill="CFF0FC"/>
          </w:tcPr>
          <w:p>
            <w:pPr>
              <w:spacing w:after="0"/>
              <w:rPr>
                <w:sz w:val="13"/>
                <w:szCs w:val="13"/>
                <w:color w:val="auto"/>
              </w:rPr>
            </w:pPr>
          </w:p>
        </w:tc>
        <w:tc>
          <w:tcPr>
            <w:tcW w:w="1020" w:type="dxa"/>
            <w:vAlign w:val="bottom"/>
            <w:tcBorders>
              <w:bottom w:val="single" w:sz="8" w:color="auto"/>
            </w:tcBorders>
            <w:shd w:val="clear" w:color="auto" w:fill="CFF0FC"/>
          </w:tcPr>
          <w:p>
            <w:pPr>
              <w:jc w:val="right"/>
              <w:ind w:right="50"/>
              <w:spacing w:after="0" w:line="155" w:lineRule="exact"/>
              <w:rPr>
                <w:sz w:val="20"/>
                <w:szCs w:val="20"/>
                <w:color w:val="auto"/>
              </w:rPr>
            </w:pPr>
            <w:r>
              <w:rPr>
                <w:rFonts w:ascii="Arial" w:cs="Arial" w:eastAsia="Arial" w:hAnsi="Arial"/>
                <w:sz w:val="14"/>
                <w:szCs w:val="14"/>
                <w:color w:val="auto"/>
              </w:rPr>
              <w:t>118,525,892</w:t>
            </w:r>
          </w:p>
        </w:tc>
      </w:tr>
      <w:tr>
        <w:trPr>
          <w:trHeight w:val="20"/>
        </w:trPr>
        <w:tc>
          <w:tcPr>
            <w:tcW w:w="5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53"/>
        </w:trPr>
        <w:tc>
          <w:tcPr>
            <w:tcW w:w="5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173"/>
        </w:trPr>
        <w:tc>
          <w:tcPr>
            <w:tcW w:w="5720" w:type="dxa"/>
            <w:vAlign w:val="bottom"/>
            <w:shd w:val="clear" w:color="auto" w:fill="CFF0FC"/>
          </w:tcPr>
          <w:p>
            <w:pPr>
              <w:spacing w:after="0"/>
              <w:rPr>
                <w:sz w:val="20"/>
                <w:szCs w:val="20"/>
                <w:color w:val="auto"/>
              </w:rPr>
            </w:pPr>
            <w:r>
              <w:rPr>
                <w:rFonts w:ascii="Arial" w:cs="Arial" w:eastAsia="Arial" w:hAnsi="Arial"/>
                <w:sz w:val="14"/>
                <w:szCs w:val="14"/>
                <w:color w:val="auto"/>
              </w:rPr>
              <w:t>Non-GAAP net loss per share, as adjusted, basic and diluted</w:t>
            </w:r>
          </w:p>
        </w:tc>
        <w:tc>
          <w:tcPr>
            <w:tcW w:w="2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(0.48)</w:t>
            </w:r>
          </w:p>
        </w:tc>
        <w:tc>
          <w:tcPr>
            <w:tcW w:w="180" w:type="dxa"/>
            <w:vAlign w:val="bottom"/>
            <w:shd w:val="clear" w:color="auto" w:fill="CFF0FC"/>
          </w:tcPr>
          <w:p>
            <w:pPr>
              <w:spacing w:after="0"/>
              <w:rPr>
                <w:sz w:val="15"/>
                <w:szCs w:val="15"/>
                <w:color w:val="auto"/>
              </w:rPr>
            </w:pPr>
          </w:p>
        </w:tc>
        <w:tc>
          <w:tcPr>
            <w:tcW w:w="220" w:type="dxa"/>
            <w:vAlign w:val="bottom"/>
            <w:shd w:val="clear" w:color="auto" w:fill="CFF0FC"/>
          </w:tcPr>
          <w:p>
            <w:pPr>
              <w:jc w:val="right"/>
              <w:ind w:right="69"/>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(0.34)</w:t>
            </w:r>
          </w:p>
        </w:tc>
        <w:tc>
          <w:tcPr>
            <w:tcW w:w="120" w:type="dxa"/>
            <w:vAlign w:val="bottom"/>
            <w:shd w:val="clear" w:color="auto" w:fill="CFF0FC"/>
          </w:tcPr>
          <w:p>
            <w:pPr>
              <w:spacing w:after="0"/>
              <w:rPr>
                <w:sz w:val="15"/>
                <w:szCs w:val="15"/>
                <w:color w:val="auto"/>
              </w:rPr>
            </w:pPr>
          </w:p>
        </w:tc>
        <w:tc>
          <w:tcPr>
            <w:tcW w:w="200" w:type="dxa"/>
            <w:vAlign w:val="bottom"/>
            <w:shd w:val="clear" w:color="auto" w:fill="CFF0FC"/>
          </w:tcPr>
          <w:p>
            <w:pPr>
              <w:jc w:val="right"/>
              <w:ind w:right="49"/>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(1.05)</w:t>
            </w:r>
          </w:p>
        </w:tc>
        <w:tc>
          <w:tcPr>
            <w:tcW w:w="180" w:type="dxa"/>
            <w:vAlign w:val="bottom"/>
            <w:shd w:val="clear" w:color="auto" w:fill="CFF0FC"/>
          </w:tcPr>
          <w:p>
            <w:pPr>
              <w:spacing w:after="0"/>
              <w:rPr>
                <w:sz w:val="15"/>
                <w:szCs w:val="15"/>
                <w:color w:val="auto"/>
              </w:rPr>
            </w:pPr>
          </w:p>
        </w:tc>
        <w:tc>
          <w:tcPr>
            <w:tcW w:w="220" w:type="dxa"/>
            <w:vAlign w:val="bottom"/>
            <w:shd w:val="clear" w:color="auto" w:fill="CFF0FC"/>
          </w:tcPr>
          <w:p>
            <w:pPr>
              <w:jc w:val="right"/>
              <w:ind w:right="69"/>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(0.70)</w:t>
            </w:r>
          </w:p>
        </w:tc>
      </w:tr>
      <w:tr>
        <w:trPr>
          <w:trHeight w:val="20"/>
        </w:trPr>
        <w:tc>
          <w:tcPr>
            <w:tcW w:w="57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50800</wp:posOffset>
            </wp:positionV>
            <wp:extent cx="715962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Recent Events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Issuance of Convertible Senior Notes</w:t>
      </w:r>
    </w:p>
    <w:p>
      <w:pPr>
        <w:spacing w:after="0" w:line="228" w:lineRule="exact"/>
        <w:rPr>
          <w:sz w:val="20"/>
          <w:szCs w:val="20"/>
          <w:color w:val="auto"/>
        </w:rPr>
      </w:pPr>
    </w:p>
    <w:p>
      <w:pPr>
        <w:jc w:val="both"/>
        <w:ind w:right="180" w:firstLine="749"/>
        <w:spacing w:after="0" w:line="236" w:lineRule="auto"/>
        <w:rPr>
          <w:sz w:val="20"/>
          <w:szCs w:val="20"/>
          <w:color w:val="auto"/>
        </w:rPr>
      </w:pPr>
      <w:r>
        <w:rPr>
          <w:rFonts w:ascii="Arial" w:cs="Arial" w:eastAsia="Arial" w:hAnsi="Arial"/>
          <w:sz w:val="18"/>
          <w:szCs w:val="18"/>
          <w:color w:val="auto"/>
        </w:rPr>
        <w:t>On June 18, 2021, we issued $ 625.0 million aggregate principal amount of 0.75% Convertible Senior Notes due 2026 (the “Notes”). The total net proceeds from the offering, after deducting debt issuance costs, were approximately $608.8 million. See “—Liquidity and Capital Resources.”</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Update on the Impact of the COVID-19 Pandemic</w:t>
      </w:r>
    </w:p>
    <w:p>
      <w:pPr>
        <w:spacing w:after="0" w:line="228" w:lineRule="exact"/>
        <w:rPr>
          <w:sz w:val="20"/>
          <w:szCs w:val="20"/>
          <w:color w:val="auto"/>
        </w:rPr>
      </w:pPr>
    </w:p>
    <w:p>
      <w:pPr>
        <w:ind w:right="40" w:firstLine="762"/>
        <w:spacing w:after="0" w:line="235" w:lineRule="auto"/>
        <w:rPr>
          <w:sz w:val="20"/>
          <w:szCs w:val="20"/>
          <w:color w:val="auto"/>
        </w:rPr>
      </w:pPr>
      <w:r>
        <w:rPr>
          <w:rFonts w:ascii="Arial" w:cs="Arial" w:eastAsia="Arial" w:hAnsi="Arial"/>
          <w:sz w:val="18"/>
          <w:szCs w:val="18"/>
          <w:color w:val="auto"/>
        </w:rPr>
        <w:t>Measures implemented by governmental authorities around the world to reduce the spread of COVID-19 disrupted our operations and adversely affected our financial performance beginning late in the first quarter of 2020. After the initial disruption, the used vehicle market began to recover and consumer demand for used vehicles increased and now exceeds pre-pandemic levels. This recovery has been bolstered by the introduction of COVID-19 vaccines nationwide.</w:t>
      </w:r>
    </w:p>
    <w:p>
      <w:pPr>
        <w:spacing w:after="0" w:line="201" w:lineRule="exact"/>
        <w:rPr>
          <w:sz w:val="20"/>
          <w:szCs w:val="20"/>
          <w:color w:val="auto"/>
        </w:rPr>
      </w:pPr>
    </w:p>
    <w:p>
      <w:pPr>
        <w:ind w:firstLine="762"/>
        <w:spacing w:after="0" w:line="246" w:lineRule="auto"/>
        <w:rPr>
          <w:sz w:val="20"/>
          <w:szCs w:val="20"/>
          <w:color w:val="auto"/>
        </w:rPr>
      </w:pPr>
      <w:r>
        <w:rPr>
          <w:rFonts w:ascii="Arial" w:cs="Arial" w:eastAsia="Arial" w:hAnsi="Arial"/>
          <w:sz w:val="17"/>
          <w:szCs w:val="17"/>
          <w:color w:val="auto"/>
        </w:rPr>
        <w:t>We believe the COVID-19 pandemic has reinforced our business model. However, the full extent of the future impact of the COVID-19 pandemic on our operational and financial performance is currently uncertain and will depend on many factors outside our control, including, without limitation, the severity and duration of the COVID-19 pandemic and the effectiveness of actions taken to contain the spread of COVID-19 or treat its impact, including the efficacy of vaccines and other treatments for COVID-19, including with respect to the success of vaccination efforts, and the resistance of new variants of the virus to vaccines, among others. We have begun modifying our policies and practice regarding in-person work and intend to begin re-opening additional offices and instituting return-to-office policies on a modified basis for some employees who have been working remotely throughout the pandemic. All actions will be taken in accordance with updated state and local health and safety guidance and requirements for in-office work. Nevertheless, the unpredictable nature of the virus, its treatment and worker sentiment may further delay routine in-person work and reduce the effectiveness of efforts aimed at improving employee retention; there can be no assurance that there will not be future material disruptions in our workforce. The various workforce health and safety measures we have taken have led to increased operating expenses and future health and safety measures may lead to further increases. We will continue to monitor and assess the impact of the COVID-19 pandemic on our business and our results of operations and financial condition as the pandemic continues to evolve. See Part II, Item 1A of this Quarterly Report on Form 10-Q under the heading “Risk Factors” for more information.</w:t>
      </w: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Other Key Factors and Trends Affecting our Operating Results</w:t>
      </w:r>
    </w:p>
    <w:p>
      <w:pPr>
        <w:spacing w:after="0" w:line="214" w:lineRule="exact"/>
        <w:rPr>
          <w:sz w:val="20"/>
          <w:szCs w:val="20"/>
          <w:color w:val="auto"/>
        </w:rPr>
      </w:pPr>
    </w:p>
    <w:p>
      <w:pPr>
        <w:ind w:right="520" w:firstLine="762"/>
        <w:spacing w:after="0" w:line="239" w:lineRule="auto"/>
        <w:rPr>
          <w:sz w:val="20"/>
          <w:szCs w:val="20"/>
          <w:color w:val="auto"/>
        </w:rPr>
      </w:pPr>
      <w:r>
        <w:rPr>
          <w:rFonts w:ascii="Arial" w:cs="Arial" w:eastAsia="Arial" w:hAnsi="Arial"/>
          <w:sz w:val="18"/>
          <w:szCs w:val="18"/>
          <w:color w:val="auto"/>
        </w:rPr>
        <w:t>Our financial condition and results of operations have been, and will continue to be, affected by a number of factors and trends, including the following:</w:t>
      </w:r>
    </w:p>
    <w:p>
      <w:pPr>
        <w:spacing w:after="0" w:line="178" w:lineRule="exact"/>
        <w:rPr>
          <w:sz w:val="20"/>
          <w:szCs w:val="20"/>
          <w:color w:val="auto"/>
        </w:rPr>
      </w:pPr>
    </w:p>
    <w:p>
      <w:pPr>
        <w:ind w:right="540"/>
        <w:spacing w:after="0" w:line="263" w:lineRule="auto"/>
        <w:rPr>
          <w:sz w:val="20"/>
          <w:szCs w:val="20"/>
          <w:color w:val="auto"/>
        </w:rPr>
      </w:pPr>
      <w:r>
        <w:rPr>
          <w:rFonts w:ascii="Arial" w:cs="Arial" w:eastAsia="Arial" w:hAnsi="Arial"/>
          <w:sz w:val="18"/>
          <w:szCs w:val="18"/>
          <w:b w:val="1"/>
          <w:bCs w:val="1"/>
          <w:i w:val="1"/>
          <w:iCs w:val="1"/>
          <w:color w:val="auto"/>
        </w:rPr>
        <w:t>Ability to utilize data science to drive revenue growth by cost effectively increasing the volume and selection of vehicles in our inventory</w:t>
      </w:r>
    </w:p>
    <w:p>
      <w:pPr>
        <w:spacing w:after="0" w:line="181" w:lineRule="exact"/>
        <w:rPr>
          <w:sz w:val="20"/>
          <w:szCs w:val="20"/>
          <w:color w:val="auto"/>
        </w:rPr>
      </w:pPr>
    </w:p>
    <w:p>
      <w:pPr>
        <w:ind w:right="60" w:firstLine="762"/>
        <w:spacing w:after="0" w:line="236" w:lineRule="auto"/>
        <w:rPr>
          <w:sz w:val="20"/>
          <w:szCs w:val="20"/>
          <w:color w:val="auto"/>
        </w:rPr>
      </w:pPr>
      <w:r>
        <w:rPr>
          <w:rFonts w:ascii="Arial" w:cs="Arial" w:eastAsia="Arial" w:hAnsi="Arial"/>
          <w:sz w:val="18"/>
          <w:szCs w:val="18"/>
          <w:color w:val="auto"/>
        </w:rPr>
        <w:t>Our growth is primarily driven by vehicle sales. Vehicle sales growth, in turn, is largely driven by the volume of inventory and the selection of vehicles listed on our platform. Accordingly, we believe that having the appropriate volume and mix of vehicle inventory is critical to our ability to drive growth.</w:t>
      </w:r>
    </w:p>
    <w:p>
      <w:pPr>
        <w:spacing w:after="0" w:line="188" w:lineRule="exact"/>
        <w:rPr>
          <w:sz w:val="20"/>
          <w:szCs w:val="20"/>
          <w:color w:val="auto"/>
        </w:rPr>
      </w:pPr>
    </w:p>
    <w:p>
      <w:pPr>
        <w:ind w:right="80" w:firstLine="762"/>
        <w:spacing w:after="0" w:line="233" w:lineRule="auto"/>
        <w:rPr>
          <w:sz w:val="20"/>
          <w:szCs w:val="20"/>
          <w:color w:val="auto"/>
        </w:rPr>
      </w:pPr>
      <w:r>
        <w:rPr>
          <w:rFonts w:ascii="Arial" w:cs="Arial" w:eastAsia="Arial" w:hAnsi="Arial"/>
          <w:sz w:val="18"/>
          <w:szCs w:val="18"/>
          <w:color w:val="auto"/>
        </w:rPr>
        <w:t>The continued growth of our vehicle inventory requires a number of important capabilities, including the ability to finance the acquisition of inventory at competitive rates, source high quality vehicles across various acquisition channels nationwide, secure adequate reconditioning capacity and execute effective marketing strategies to increase consumer sourcing. In addition, our ability to accurately forecast pricing and consumer demand for specific types of vehicles is critical to sourcing high quality, high-demand vehicles. This ability is enabled by our data science capabilities that leverage the growing amount of data at our disposal and generate predictive data analytics that fine-tune our supply and sourcing models. We believe the acquisition of CarStory has enhanced our predictive market data capabilities. As we continue to invest in our operational efficiency and data analytics, we expect that we will continue to cost effectively increase the volume and optimize the selection of our ecommerce inventory. Our data analytics are complex models that incorporate numerous assumptions and predictions about consumer and industry dynamics. As with all predictions, the output of our data analytics is subject to inherent uncertainty and reflects judgment and expertise when providing data-driven decisions based on those analytics.</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50800</wp:posOffset>
            </wp:positionV>
            <wp:extent cx="715962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Ability to capitalize on the continued migration of vehicle purchasers to ecommerce platforms through data-driven marketing efforts</w:t>
      </w:r>
    </w:p>
    <w:p>
      <w:pPr>
        <w:spacing w:after="0" w:line="239" w:lineRule="exact"/>
        <w:rPr>
          <w:sz w:val="20"/>
          <w:szCs w:val="20"/>
          <w:color w:val="auto"/>
        </w:rPr>
      </w:pPr>
    </w:p>
    <w:p>
      <w:pPr>
        <w:ind w:firstLine="762"/>
        <w:spacing w:after="0" w:line="234" w:lineRule="auto"/>
        <w:rPr>
          <w:sz w:val="20"/>
          <w:szCs w:val="20"/>
          <w:color w:val="auto"/>
        </w:rPr>
      </w:pPr>
      <w:r>
        <w:rPr>
          <w:rFonts w:ascii="Arial" w:cs="Arial" w:eastAsia="Arial" w:hAnsi="Arial"/>
          <w:sz w:val="18"/>
          <w:szCs w:val="18"/>
          <w:color w:val="auto"/>
        </w:rPr>
        <w:t>While the overall ecommerce penetration rate in used vehicle sales remains low, over the last several years, ecommerce used vehicle sales have experienced significant growth. There has been a shift in consumer buying patterns towards more convenient, personalized, and on-demand purchases, as well as a demand for ecommerce across more diverse categories, including the used vehicle market. We expect that the ecommerce model for buying and selling used vehicles will continue to grow. Our ability to continue to benefit from this trend will be an important driver of our future performance.</w:t>
      </w:r>
    </w:p>
    <w:p>
      <w:pPr>
        <w:spacing w:after="0" w:line="202" w:lineRule="exact"/>
        <w:rPr>
          <w:sz w:val="20"/>
          <w:szCs w:val="20"/>
          <w:color w:val="auto"/>
        </w:rPr>
      </w:pPr>
    </w:p>
    <w:p>
      <w:pPr>
        <w:ind w:firstLine="762"/>
        <w:spacing w:after="0" w:line="234" w:lineRule="auto"/>
        <w:rPr>
          <w:sz w:val="20"/>
          <w:szCs w:val="20"/>
          <w:color w:val="auto"/>
        </w:rPr>
      </w:pPr>
      <w:r>
        <w:rPr>
          <w:rFonts w:ascii="Arial" w:cs="Arial" w:eastAsia="Arial" w:hAnsi="Arial"/>
          <w:sz w:val="18"/>
          <w:szCs w:val="18"/>
          <w:color w:val="auto"/>
        </w:rPr>
        <w:t>We seek to improve our brand awareness among consumers through national marketing campaigns in order to strengthen our customer acquisition funnel. We also use digital performance marketing such as search engine marketing, automotive aggregator sites and social media to acquire customers more cost effectively. Our aggregate marketing spend has significantly increased over time and we expect to continue to invest in both national brand marketing and performance marketing efforts. As we leverage our national brand, we believe this investment in marketing spend will drive additional demand and sales. We also believe that we have the ability to drive down the cost of acquisition per unit sold by increasing the efficiency of our marketing spend.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Ability to convert visitors to our platform into customers</w:t>
      </w:r>
    </w:p>
    <w:p>
      <w:pPr>
        <w:spacing w:after="0" w:line="228" w:lineRule="exact"/>
        <w:rPr>
          <w:sz w:val="20"/>
          <w:szCs w:val="20"/>
          <w:color w:val="auto"/>
        </w:rPr>
      </w:pPr>
    </w:p>
    <w:p>
      <w:pPr>
        <w:ind w:right="200" w:firstLine="762"/>
        <w:spacing w:after="0" w:line="236" w:lineRule="auto"/>
        <w:rPr>
          <w:sz w:val="20"/>
          <w:szCs w:val="20"/>
          <w:color w:val="auto"/>
        </w:rPr>
      </w:pPr>
      <w:r>
        <w:rPr>
          <w:rFonts w:ascii="Arial" w:cs="Arial" w:eastAsia="Arial" w:hAnsi="Arial"/>
          <w:sz w:val="18"/>
          <w:szCs w:val="18"/>
          <w:color w:val="auto"/>
        </w:rPr>
        <w:t>The quality of the customer experience on our ecommerce platform is critical to our ability to attract new visitors to our platform, convert such visitors into customers and increase repeat customers. Our ability to drive higher customer conversion depends on our ability to make our platform a compelling choice for consumers based on our functionalities and consumer offerings.</w:t>
      </w:r>
    </w:p>
    <w:p>
      <w:pPr>
        <w:spacing w:after="0" w:line="201" w:lineRule="exact"/>
        <w:rPr>
          <w:sz w:val="20"/>
          <w:szCs w:val="20"/>
          <w:color w:val="auto"/>
        </w:rPr>
      </w:pPr>
    </w:p>
    <w:p>
      <w:pPr>
        <w:ind w:right="20" w:firstLine="764"/>
        <w:spacing w:after="0" w:line="236" w:lineRule="auto"/>
        <w:rPr>
          <w:sz w:val="20"/>
          <w:szCs w:val="20"/>
          <w:color w:val="auto"/>
        </w:rPr>
      </w:pPr>
      <w:r>
        <w:rPr>
          <w:rFonts w:ascii="Arial" w:cs="Arial" w:eastAsia="Arial" w:hAnsi="Arial"/>
          <w:sz w:val="18"/>
          <w:szCs w:val="18"/>
          <w:color w:val="auto"/>
        </w:rPr>
        <w:t>Data analytics and experimentation drive decision making across all of our conversion efforts. By analyzing the data generated by the millions of visitors and tens of thousands of transactions on our platform, and continually testing strategies to maximize conversion rates, we form a better understanding of consumer preferences and try to create a more tailored ecommerce experience.</w:t>
      </w:r>
    </w:p>
    <w:p>
      <w:pPr>
        <w:spacing w:after="0" w:line="201" w:lineRule="exact"/>
        <w:rPr>
          <w:sz w:val="20"/>
          <w:szCs w:val="20"/>
          <w:color w:val="auto"/>
        </w:rPr>
      </w:pPr>
    </w:p>
    <w:p>
      <w:pPr>
        <w:ind w:right="100" w:firstLine="764"/>
        <w:spacing w:after="0" w:line="233" w:lineRule="auto"/>
        <w:rPr>
          <w:sz w:val="20"/>
          <w:szCs w:val="20"/>
          <w:color w:val="auto"/>
        </w:rPr>
      </w:pPr>
      <w:r>
        <w:rPr>
          <w:rFonts w:ascii="Arial" w:cs="Arial" w:eastAsia="Arial" w:hAnsi="Arial"/>
          <w:sz w:val="18"/>
          <w:szCs w:val="18"/>
          <w:color w:val="auto"/>
        </w:rPr>
        <w:t>Increased conversion also depends on our ability to provide the necessary customer service and sales support to respond to increased demand. Our ongoing investment in our sales and sales support operations includes investments in people, processes and technology. We are continuing to invest in (1) people, to mitigate bottlenecks; (2) in our processes, to remove friction and increase sales flow; and (3) in technology, to automate and improve our customer experience and drive conversion. We have continued to expand our sales and sales support team and expect to continue expanding these capabilities commensurate with our expected sales growth throughout the remainder of 2021. We also recently engaged two additional third-party customer service providers to expand our customer service operations as we scale our business. As we continue to invest in our brand and improve the customer experience, we expect that we will attract more visitors, improve conversion and drive greater sales.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Ability to optimize the mix of inventory sources to drive increased gross profit and improvements to our unit economics</w:t>
      </w:r>
    </w:p>
    <w:p>
      <w:pPr>
        <w:spacing w:after="0" w:line="228" w:lineRule="exact"/>
        <w:rPr>
          <w:sz w:val="20"/>
          <w:szCs w:val="20"/>
          <w:color w:val="auto"/>
        </w:rPr>
      </w:pPr>
    </w:p>
    <w:p>
      <w:pPr>
        <w:ind w:right="20" w:firstLine="762"/>
        <w:spacing w:after="0" w:line="232" w:lineRule="auto"/>
        <w:rPr>
          <w:sz w:val="20"/>
          <w:szCs w:val="20"/>
          <w:color w:val="auto"/>
        </w:rPr>
      </w:pPr>
      <w:r>
        <w:rPr>
          <w:rFonts w:ascii="Arial" w:cs="Arial" w:eastAsia="Arial" w:hAnsi="Arial"/>
          <w:sz w:val="18"/>
          <w:szCs w:val="18"/>
          <w:color w:val="auto"/>
        </w:rPr>
        <w:t>We strategically source inventory from auctions, consumers, rental car companies, OEMs and dealers. Consumers and auctions represent the vast majority of our inventory sources, accounting for approximately 65% and 23% of our retail inventory sold for the three months ended June 30, 2021, respectively, and 59% and 30% for the six months ended June 30, 2021, respectively. Because the quality of vehicles and associated gross margin profile vary across each channel, the mix of inventory sources has an impact on our profitability. We continually evaluate the optimal mix of sourcing channels and strive to source vehicles in a way that maximizes our average gross profit per unit and improves our unit economics. For example, purchasing vehicles at third-party auctions is competitive and, consequently, vehicle prices at third-party auctions tend to be higher than vehicle prices for vehicles sourced directly from consumers. Accordingly, as part of our sourcing strategy, we have strategically increased the percentage of vehicle sales that we source from consumers. During the first half of 2021, we experienced unprecedented market conditions, caused in part by the shortage of microchips and delays in new car manufacturing, which increased demand for used vehicles, putting downward pressure on supply and upward pressure on wholesale pricing. Based on data from Cox Automotive, wholesale prices appear to have reached their peak in June and retail prices are expected to peak in the third quarter. It is expected that we will begin to gradually return to normal market conditions and vehicle depreciation during the second half of 2021. We also expect that our increased ability to inspect consumer sourced vehicles and make real time adjustments to acquisition pricing as a result of our scaling proprietary logistics operation will provide upside to our overall wholesale gross profit per unit over time.</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50800</wp:posOffset>
            </wp:positionV>
            <wp:extent cx="715962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firstLine="762"/>
        <w:spacing w:after="0" w:line="266" w:lineRule="auto"/>
        <w:rPr>
          <w:sz w:val="20"/>
          <w:szCs w:val="20"/>
          <w:color w:val="auto"/>
        </w:rPr>
      </w:pPr>
      <w:r>
        <w:rPr>
          <w:rFonts w:ascii="Arial" w:cs="Arial" w:eastAsia="Arial" w:hAnsi="Arial"/>
          <w:sz w:val="17"/>
          <w:szCs w:val="17"/>
          <w:color w:val="auto"/>
        </w:rPr>
        <w:t>In order to maintain the percentage of vehicles that we source directly from consumers, we continue to expand our national marketing efforts that are focused on our Sell Us Your Car</w:t>
      </w:r>
      <w:r>
        <w:rPr>
          <w:rFonts w:ascii="Arial" w:cs="Arial" w:eastAsia="Arial" w:hAnsi="Arial"/>
          <w:sz w:val="14"/>
          <w:szCs w:val="14"/>
          <w:color w:val="auto"/>
        </w:rPr>
        <w:t>®</w:t>
      </w:r>
      <w:r>
        <w:rPr>
          <w:rFonts w:ascii="Arial" w:cs="Arial" w:eastAsia="Arial" w:hAnsi="Arial"/>
          <w:sz w:val="17"/>
          <w:szCs w:val="17"/>
          <w:color w:val="auto"/>
        </w:rPr>
        <w:t xml:space="preserve"> proposition, which we believe will result in continued popularity of our business model.</w:t>
      </w:r>
    </w:p>
    <w:p>
      <w:pPr>
        <w:spacing w:after="0" w:line="179" w:lineRule="exact"/>
        <w:rPr>
          <w:sz w:val="20"/>
          <w:szCs w:val="20"/>
          <w:color w:val="auto"/>
        </w:rPr>
      </w:pPr>
    </w:p>
    <w:p>
      <w:pPr>
        <w:ind w:right="400" w:firstLine="762"/>
        <w:spacing w:after="0" w:line="239" w:lineRule="auto"/>
        <w:rPr>
          <w:sz w:val="20"/>
          <w:szCs w:val="20"/>
          <w:color w:val="auto"/>
        </w:rPr>
      </w:pPr>
      <w:r>
        <w:rPr>
          <w:rFonts w:ascii="Arial" w:cs="Arial" w:eastAsia="Arial" w:hAnsi="Arial"/>
          <w:sz w:val="18"/>
          <w:szCs w:val="18"/>
          <w:color w:val="auto"/>
        </w:rPr>
        <w:t>We are also exploring and testing third-party inventory strategies, which offers the possibility of expanding our sourcing channels through third-party sellers while offering us attractive revenue models in an asset light, debt free structure.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Ability to expand and optimize our reconditioning capacity to satisfy increasing demand</w:t>
      </w:r>
    </w:p>
    <w:p>
      <w:pPr>
        <w:spacing w:after="0" w:line="228" w:lineRule="exact"/>
        <w:rPr>
          <w:sz w:val="20"/>
          <w:szCs w:val="20"/>
          <w:color w:val="auto"/>
        </w:rPr>
      </w:pPr>
    </w:p>
    <w:p>
      <w:pPr>
        <w:ind w:right="40" w:firstLine="762"/>
        <w:spacing w:after="0" w:line="235" w:lineRule="auto"/>
        <w:rPr>
          <w:sz w:val="20"/>
          <w:szCs w:val="20"/>
          <w:color w:val="auto"/>
        </w:rPr>
      </w:pPr>
      <w:r>
        <w:rPr>
          <w:rFonts w:ascii="Arial" w:cs="Arial" w:eastAsia="Arial" w:hAnsi="Arial"/>
          <w:sz w:val="18"/>
          <w:szCs w:val="18"/>
          <w:color w:val="auto"/>
        </w:rPr>
        <w:t>Our ability to recondition purchased vehicles to our quality standards is a critical component of our business. Historically, we have successfully increased our reconditioning capacity as our business has grown, and our future success will depend on our ability to expand and optimize our reconditioning capacity to satisfy increasing customer demand. We employ a hybrid approach that combines the use of our Vroom VRC and third-party VRCs to best meet our reconditioning needs.</w:t>
      </w:r>
    </w:p>
    <w:p>
      <w:pPr>
        <w:spacing w:after="0" w:line="201" w:lineRule="exact"/>
        <w:rPr>
          <w:sz w:val="20"/>
          <w:szCs w:val="20"/>
          <w:color w:val="auto"/>
        </w:rPr>
      </w:pPr>
    </w:p>
    <w:p>
      <w:pPr>
        <w:ind w:right="120" w:firstLine="762"/>
        <w:spacing w:after="0" w:line="234" w:lineRule="auto"/>
        <w:rPr>
          <w:sz w:val="20"/>
          <w:szCs w:val="20"/>
          <w:color w:val="auto"/>
        </w:rPr>
      </w:pPr>
      <w:r>
        <w:rPr>
          <w:rFonts w:ascii="Arial" w:cs="Arial" w:eastAsia="Arial" w:hAnsi="Arial"/>
          <w:sz w:val="18"/>
          <w:szCs w:val="18"/>
          <w:color w:val="auto"/>
        </w:rPr>
        <w:t>As we continue to grow our business, we intend to continue to increase reconditioning capacity and operational efficiency through third-party VRC locations and additional Vroom VRCs. Our use of third-party VRCs to recondition vehicles allows us to avoid additional capital expenditures, quickly increase capacity, maintain greater operational flexibility and broaden our geographic footprint to drive lower logistics costs. Proprietary VRCs enable us to have increased control over our reconditioning operations, increase capacity as we scale, and introduce additional operating efficiencies. Consistent with our hybrid model, as we scale, we will seek to optimize the combination of strategic geographically dispersed proprietary and third-party VRCs.</w:t>
      </w:r>
    </w:p>
    <w:p>
      <w:pPr>
        <w:spacing w:after="0" w:line="200" w:lineRule="exact"/>
        <w:rPr>
          <w:sz w:val="20"/>
          <w:szCs w:val="20"/>
          <w:color w:val="auto"/>
        </w:rPr>
      </w:pPr>
    </w:p>
    <w:p>
      <w:pPr>
        <w:ind w:right="100" w:firstLine="762"/>
        <w:spacing w:after="0" w:line="234" w:lineRule="auto"/>
        <w:rPr>
          <w:sz w:val="20"/>
          <w:szCs w:val="20"/>
          <w:color w:val="auto"/>
        </w:rPr>
      </w:pPr>
      <w:r>
        <w:rPr>
          <w:rFonts w:ascii="Arial" w:cs="Arial" w:eastAsia="Arial" w:hAnsi="Arial"/>
          <w:sz w:val="18"/>
          <w:szCs w:val="18"/>
          <w:color w:val="auto"/>
        </w:rPr>
        <w:t>We have continued to expand our third-party VRC operations and, as of June 30, 2021, have a total of twenty-eight third-party VRCs throughout the U.S. We leverage our data analytics and deep industry experience to strategically select VRC locations where we believe there is the highest supply and demand for our vehicles. We expect that the increase in reconditioning capacity and investment in technology will lower our reconditioning costs per unit and drive greater operational efficiency, higher gross profit per unit and improved unit economics over time.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Ability to expand and develop our logistics network</w:t>
      </w:r>
    </w:p>
    <w:p>
      <w:pPr>
        <w:spacing w:after="0" w:line="228" w:lineRule="exact"/>
        <w:rPr>
          <w:sz w:val="20"/>
          <w:szCs w:val="20"/>
          <w:color w:val="auto"/>
        </w:rPr>
      </w:pPr>
    </w:p>
    <w:p>
      <w:pPr>
        <w:ind w:right="60" w:firstLine="762"/>
        <w:spacing w:after="0" w:line="232" w:lineRule="auto"/>
        <w:rPr>
          <w:sz w:val="20"/>
          <w:szCs w:val="20"/>
          <w:color w:val="auto"/>
        </w:rPr>
      </w:pPr>
      <w:r>
        <w:rPr>
          <w:rFonts w:ascii="Arial" w:cs="Arial" w:eastAsia="Arial" w:hAnsi="Arial"/>
          <w:sz w:val="18"/>
          <w:szCs w:val="18"/>
          <w:color w:val="auto"/>
        </w:rPr>
        <w:t>We primarily use third-party carriers and have optimized our third-party logistics network nationwide through the development of strategic carrier arrangements with national haulers and the consolidation of our carrier base into a smaller number of carriers in dedicated operating regions. We expect that these enhanced logistics operations, combined with the expansion of strategically located VRCs, will drive efficiency in our logistics operations. Our VRCs also serve as pooling points to aggregate acquired vehicles and we are using certain VRCs as hubs for staging vehicles for last-mile delivery to customers, which we expect to provide an improved experience for customers. As of June 30, 2021, we had twenty-five hubs and we delivered 26% of our ecommerce units sold with our proprietary last-mile service during the second quarter of 2021. Recently, as a result of the continued prevalence of the COVID-19 pandemic, we have experienced a reduced supply of carriers combined with increased demand for carriers from competitors, resulting in increased shipping prices and delays. In response to these disruptions, and to further enhance the quality of our logistics operations and our customer experience, we are accelerating our strategy to optimize our hybrid approach by expanding our proprietary logistics network. Currently, we are prioritizing investment in our last-mile delivery operations where we can have the greatest impact on the customer experience. We also have invested in short-haul trucks to make regional deliveries from our last mile hubs, and are investing in long-haul vehicles for hub-to-hub shipments. As we invest in our expanded logistics operations, we expect to incur increased operating expenses and capital expenditures associated with purchasing or leasing fleet vehicles, leasing space for delivery hubs, hiring qualified drivers, and operating and maintaining fleet vehicles, offset in part by reduced third-party logistics expense. Consistent with our hybrid approach, we continue to strategically combine the operation of our expanded proprietary fleet with the use of third-party carriers, which we expect will enable us to both accommodate our growth and provide the highest level of customer service. Over time, as our business scales, we expect that optimizing our logistics network through this hybrid approach will result in improved unit economics, increased profitability and an enhanced customer experience.</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50800</wp:posOffset>
            </wp:positionV>
            <wp:extent cx="715962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Ability to increase and better monetize value-added products</w:t>
      </w:r>
    </w:p>
    <w:p>
      <w:pPr>
        <w:spacing w:after="0" w:line="228" w:lineRule="exact"/>
        <w:rPr>
          <w:sz w:val="20"/>
          <w:szCs w:val="20"/>
          <w:color w:val="auto"/>
        </w:rPr>
      </w:pPr>
    </w:p>
    <w:p>
      <w:pPr>
        <w:ind w:right="20" w:firstLine="762"/>
        <w:spacing w:after="0" w:line="232" w:lineRule="auto"/>
        <w:rPr>
          <w:sz w:val="20"/>
          <w:szCs w:val="20"/>
          <w:color w:val="auto"/>
        </w:rPr>
      </w:pPr>
      <w:r>
        <w:rPr>
          <w:rFonts w:ascii="Arial" w:cs="Arial" w:eastAsia="Arial" w:hAnsi="Arial"/>
          <w:sz w:val="18"/>
          <w:szCs w:val="18"/>
          <w:color w:val="auto"/>
        </w:rPr>
        <w:t>Our offering of value-added products is an integral part of providing a seamless vehicle-buying experience to our customers. These products provide added revenue streams for us as well as offering convenience, assurance and efficiency for our customers. We sell our third-party value-added products through our strategic relationships with multiple lenders and other third parties who bear the incremental risks associated with the underwriting of finance and protection products. We have entered into strategic partnerships with lenders such as Chase, Ally, and Santander which have contributed to improvements in Product GPPU. Additionally, through our on-going data analytics, experimentation and further development of our ecommerce technology, we expect to increase attachment rates of our existing value-added products while finding new opportunities to include additional finance and protection products, as well as other value-added products. Because we are paid fees on value-added products we sell, our gross profit is equal to the revenue we generate on such sales. As a result, such sales help drive total gross profit per unit. As we scale our business, we intend to increase the breadth and variety of value-added products offered to customers and improve attachment rates to our vehicle sales, while also exploring a variety of options related to Vroom proprietary finance products, which we believe in turn will grow revenue and drive profitability.</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Seasonality</w:t>
      </w:r>
    </w:p>
    <w:p>
      <w:pPr>
        <w:spacing w:after="0" w:line="228" w:lineRule="exact"/>
        <w:rPr>
          <w:sz w:val="20"/>
          <w:szCs w:val="20"/>
          <w:color w:val="auto"/>
        </w:rPr>
      </w:pPr>
    </w:p>
    <w:p>
      <w:pPr>
        <w:ind w:firstLine="762"/>
        <w:spacing w:after="0" w:line="233" w:lineRule="auto"/>
        <w:rPr>
          <w:sz w:val="20"/>
          <w:szCs w:val="20"/>
          <w:color w:val="auto"/>
        </w:rPr>
      </w:pPr>
      <w:r>
        <w:rPr>
          <w:rFonts w:ascii="Arial" w:cs="Arial" w:eastAsia="Arial" w:hAnsi="Arial"/>
          <w:sz w:val="18"/>
          <w:szCs w:val="18"/>
          <w:color w:val="auto"/>
        </w:rPr>
        <w:t>Used vehicle sales are seasonal. The used vehicle industry typically experiences an increase in sales early in the calendar year and reaches its highest point late in the first quarter and early in the second quarter. Vehicle sales then level off through the rest of the year, with the lowest level of sales in the fourth quarter. This seasonality has historically corresponded with the timing of income tax refunds, which are an important source of funding for vehicle purchases. Additionally, used vehicles depreciate at a faster rate in the last two quarters of each year and a slower rate in the first two quarters of each year. In line with these macro trends, our gross profit per unit has historically been higher in the first half of the year when compared to the second half of the year. See “Risk Factors—Risks Related to Our Financial Condition and Results of Operations—We may experience seasonal and other fluctuations in our quarterly results of operations, which may not fully reflect the underlying performance of our business” in our Annual Report.</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Components of Results of Operations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Retail vehicle revenue</w:t>
      </w:r>
    </w:p>
    <w:p>
      <w:pPr>
        <w:spacing w:after="0" w:line="224" w:lineRule="exact"/>
        <w:rPr>
          <w:sz w:val="20"/>
          <w:szCs w:val="20"/>
          <w:color w:val="auto"/>
        </w:rPr>
      </w:pPr>
    </w:p>
    <w:p>
      <w:pPr>
        <w:ind w:right="40" w:firstLine="762"/>
        <w:spacing w:after="0" w:line="236" w:lineRule="auto"/>
        <w:rPr>
          <w:sz w:val="20"/>
          <w:szCs w:val="20"/>
          <w:color w:val="auto"/>
        </w:rPr>
      </w:pPr>
      <w:r>
        <w:rPr>
          <w:rFonts w:ascii="Arial" w:cs="Arial" w:eastAsia="Arial" w:hAnsi="Arial"/>
          <w:sz w:val="18"/>
          <w:szCs w:val="18"/>
          <w:color w:val="auto"/>
        </w:rPr>
        <w:t>We sell retail vehicles through both our ecommerce platform and TDA. Revenue from vehicle sales, including any delivery charges, are recognized when vehicles are delivered to the customers or picked up at our TDA retail location, net of a reserve for estimated returns. The number of units sold and the average selling price (“ASP”) per unit are the primary factors impacting our retail revenue stream.</w:t>
      </w:r>
    </w:p>
    <w:p>
      <w:pPr>
        <w:spacing w:after="0" w:line="201" w:lineRule="exact"/>
        <w:rPr>
          <w:sz w:val="20"/>
          <w:szCs w:val="20"/>
          <w:color w:val="auto"/>
        </w:rPr>
      </w:pPr>
    </w:p>
    <w:p>
      <w:pPr>
        <w:ind w:right="340" w:firstLine="762"/>
        <w:spacing w:after="0" w:line="239" w:lineRule="auto"/>
        <w:rPr>
          <w:sz w:val="20"/>
          <w:szCs w:val="20"/>
          <w:color w:val="auto"/>
        </w:rPr>
      </w:pPr>
      <w:r>
        <w:rPr>
          <w:rFonts w:ascii="Arial" w:cs="Arial" w:eastAsia="Arial" w:hAnsi="Arial"/>
          <w:sz w:val="18"/>
          <w:szCs w:val="18"/>
          <w:color w:val="auto"/>
        </w:rPr>
        <w:t>The number of units sold depends on the volume of inventory and the selection of vehicles listed on our ecommerce platform, our ability to attract new customers, our brand awareness and our ability to expand our reconditioning operations and logistics network.</w:t>
      </w:r>
    </w:p>
    <w:p>
      <w:pPr>
        <w:spacing w:after="0" w:line="200" w:lineRule="exact"/>
        <w:rPr>
          <w:sz w:val="20"/>
          <w:szCs w:val="20"/>
          <w:color w:val="auto"/>
        </w:rPr>
      </w:pPr>
    </w:p>
    <w:p>
      <w:pPr>
        <w:ind w:right="160" w:firstLine="762"/>
        <w:spacing w:after="0" w:line="239" w:lineRule="auto"/>
        <w:rPr>
          <w:sz w:val="20"/>
          <w:szCs w:val="20"/>
          <w:color w:val="auto"/>
        </w:rPr>
      </w:pPr>
      <w:r>
        <w:rPr>
          <w:rFonts w:ascii="Arial" w:cs="Arial" w:eastAsia="Arial" w:hAnsi="Arial"/>
          <w:sz w:val="18"/>
          <w:szCs w:val="18"/>
          <w:color w:val="auto"/>
        </w:rPr>
        <w:t>ASP depends primarily on our acquisition and pricing strategies, retail used vehicle market prices, our average days to sale and our reconditioning and logistics costs.</w:t>
      </w:r>
    </w:p>
    <w:p>
      <w:pPr>
        <w:spacing w:after="0" w:line="200" w:lineRule="exact"/>
        <w:rPr>
          <w:sz w:val="20"/>
          <w:szCs w:val="20"/>
          <w:color w:val="auto"/>
        </w:rPr>
      </w:pPr>
    </w:p>
    <w:p>
      <w:pPr>
        <w:ind w:right="60" w:firstLine="762"/>
        <w:spacing w:after="0" w:line="235" w:lineRule="auto"/>
        <w:rPr>
          <w:sz w:val="20"/>
          <w:szCs w:val="20"/>
          <w:color w:val="auto"/>
        </w:rPr>
      </w:pPr>
      <w:r>
        <w:rPr>
          <w:rFonts w:ascii="Arial" w:cs="Arial" w:eastAsia="Arial" w:hAnsi="Arial"/>
          <w:sz w:val="18"/>
          <w:szCs w:val="18"/>
          <w:color w:val="auto"/>
        </w:rPr>
        <w:t>We have begun to strategically take advantage of a broader portion of the used vehicle market by adding more lower priced vehicles to our inventory. As a data-driven company, we acquire inventory based upon demand predicted by our data analytics. Although we expect ASP to fluctuate in the short-term as a result of market conditions, our long-term strategy continues to move us towards lower-priced inventory, which we expect will result in a lower ASP.</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Wholesale vehicle revenue</w:t>
      </w:r>
    </w:p>
    <w:p>
      <w:pPr>
        <w:spacing w:after="0" w:line="224" w:lineRule="exact"/>
        <w:rPr>
          <w:sz w:val="20"/>
          <w:szCs w:val="20"/>
          <w:color w:val="auto"/>
        </w:rPr>
      </w:pPr>
    </w:p>
    <w:p>
      <w:pPr>
        <w:ind w:firstLine="762"/>
        <w:spacing w:after="0" w:line="234" w:lineRule="auto"/>
        <w:rPr>
          <w:sz w:val="20"/>
          <w:szCs w:val="20"/>
          <w:color w:val="auto"/>
        </w:rPr>
      </w:pPr>
      <w:r>
        <w:rPr>
          <w:rFonts w:ascii="Arial" w:cs="Arial" w:eastAsia="Arial" w:hAnsi="Arial"/>
          <w:sz w:val="18"/>
          <w:szCs w:val="18"/>
          <w:color w:val="auto"/>
        </w:rPr>
        <w:t>We sell vehicles that do not meet our Vroom retail sales criteria through wholesale channels. Vehicles sold through wholesale channels are acquired from customers who trade-in their vehicles when making a purchase from us, from customers who sell their vehicle to us in direct-buy transactions, and from liquidation of vehicles previously listed for retail sale. The number of wholesale vehicles sold and the ASP per unit are the primary drivers of wholesale revenue. The ASP per unit is affected by the mix of the vehicles we acquire and general supply and demand conditions in the wholesale market.</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50800</wp:posOffset>
            </wp:positionV>
            <wp:extent cx="715962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revenue</w:t>
      </w:r>
    </w:p>
    <w:p>
      <w:pPr>
        <w:spacing w:after="0" w:line="224" w:lineRule="exact"/>
        <w:rPr>
          <w:sz w:val="20"/>
          <w:szCs w:val="20"/>
          <w:color w:val="auto"/>
        </w:rPr>
      </w:pPr>
    </w:p>
    <w:p>
      <w:pPr>
        <w:ind w:right="40" w:firstLine="762"/>
        <w:spacing w:after="0" w:line="234" w:lineRule="auto"/>
        <w:rPr>
          <w:sz w:val="20"/>
          <w:szCs w:val="20"/>
          <w:color w:val="auto"/>
        </w:rPr>
      </w:pPr>
      <w:r>
        <w:rPr>
          <w:rFonts w:ascii="Arial" w:cs="Arial" w:eastAsia="Arial" w:hAnsi="Arial"/>
          <w:sz w:val="18"/>
          <w:szCs w:val="18"/>
          <w:color w:val="auto"/>
        </w:rPr>
        <w:t>We generate revenue by earning fees on sales of value-added products to our customers in connection with vehicle sales, including fees earned on customer vehicle financing from third-party lenders and fees earned on sales of other value-added products, such as vehicle service contracts, GAP protection and tire and wheel coverage. We earn fees on these products pursuant to arrangements with the third parties that sell and administer these products. For accounting purposes, we are an agent for these transactions and, as a result, we recognize fees on a net basis when the customer enters into an arrangement to purchase these products or obtain third-party financing, which is typically at the time of a vehicle sale. Our gross profit on product revenue is equal to the revenue we generate.</w:t>
      </w:r>
    </w:p>
    <w:p>
      <w:pPr>
        <w:spacing w:after="0" w:line="200" w:lineRule="exact"/>
        <w:rPr>
          <w:sz w:val="20"/>
          <w:szCs w:val="20"/>
          <w:color w:val="auto"/>
        </w:rPr>
      </w:pPr>
    </w:p>
    <w:p>
      <w:pPr>
        <w:ind w:right="20" w:firstLine="762"/>
        <w:spacing w:after="0" w:line="236" w:lineRule="auto"/>
        <w:rPr>
          <w:sz w:val="20"/>
          <w:szCs w:val="20"/>
          <w:color w:val="auto"/>
        </w:rPr>
      </w:pPr>
      <w:r>
        <w:rPr>
          <w:rFonts w:ascii="Arial" w:cs="Arial" w:eastAsia="Arial" w:hAnsi="Arial"/>
          <w:sz w:val="18"/>
          <w:szCs w:val="18"/>
          <w:color w:val="auto"/>
        </w:rPr>
        <w:t>Product revenue is affected by the number of vehicles sold, the attachment rate of value-added products and the amount of fees we receive on each product. Product revenue also consists of estimated profit-sharing amounts to which we are entitled based on the performance of third-party protection products once a required claims period has passed.</w:t>
      </w:r>
    </w:p>
    <w:p>
      <w:pPr>
        <w:spacing w:after="0" w:line="188" w:lineRule="exact"/>
        <w:rPr>
          <w:sz w:val="20"/>
          <w:szCs w:val="20"/>
          <w:color w:val="auto"/>
        </w:rPr>
      </w:pPr>
    </w:p>
    <w:p>
      <w:pPr>
        <w:ind w:right="140" w:firstLine="762"/>
        <w:spacing w:after="0" w:line="239" w:lineRule="auto"/>
        <w:rPr>
          <w:sz w:val="20"/>
          <w:szCs w:val="20"/>
          <w:color w:val="auto"/>
        </w:rPr>
      </w:pPr>
      <w:r>
        <w:rPr>
          <w:rFonts w:ascii="Arial" w:cs="Arial" w:eastAsia="Arial" w:hAnsi="Arial"/>
          <w:sz w:val="18"/>
          <w:szCs w:val="18"/>
          <w:color w:val="auto"/>
        </w:rPr>
        <w:t>A portion of the fees we receive is subject to chargeback in the event of early termination, default, or prepayment of the contracts by our customers. We recognize product revenue net of reserves for estimated chargebacks.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revenue</w:t>
      </w:r>
    </w:p>
    <w:p>
      <w:pPr>
        <w:spacing w:after="0" w:line="224" w:lineRule="exact"/>
        <w:rPr>
          <w:sz w:val="20"/>
          <w:szCs w:val="20"/>
          <w:color w:val="auto"/>
        </w:rPr>
      </w:pPr>
    </w:p>
    <w:p>
      <w:pPr>
        <w:ind w:right="520" w:firstLine="762"/>
        <w:spacing w:after="0" w:line="239" w:lineRule="auto"/>
        <w:rPr>
          <w:sz w:val="20"/>
          <w:szCs w:val="20"/>
          <w:color w:val="auto"/>
        </w:rPr>
      </w:pPr>
      <w:r>
        <w:rPr>
          <w:rFonts w:ascii="Arial" w:cs="Arial" w:eastAsia="Arial" w:hAnsi="Arial"/>
          <w:sz w:val="18"/>
          <w:szCs w:val="18"/>
          <w:color w:val="auto"/>
        </w:rPr>
        <w:t>Other revenue consists of labor and parts revenue earned by us for vehicle repair services at TDA and, commencing in the first quarter of 2021, revenue from CarStory.</w:t>
      </w:r>
    </w:p>
    <w:p>
      <w:pPr>
        <w:spacing w:after="0" w:line="227" w:lineRule="exact"/>
        <w:rPr>
          <w:sz w:val="20"/>
          <w:szCs w:val="20"/>
          <w:color w:val="auto"/>
        </w:rPr>
      </w:pPr>
    </w:p>
    <w:p>
      <w:pPr>
        <w:ind w:left="760"/>
        <w:spacing w:after="0"/>
        <w:rPr>
          <w:sz w:val="20"/>
          <w:szCs w:val="20"/>
          <w:color w:val="auto"/>
        </w:rPr>
      </w:pPr>
      <w:r>
        <w:rPr>
          <w:rFonts w:ascii="Arial" w:cs="Arial" w:eastAsia="Arial" w:hAnsi="Arial"/>
          <w:sz w:val="17"/>
          <w:szCs w:val="17"/>
          <w:color w:val="auto"/>
        </w:rPr>
        <w:t>See Note 3—Revenue Recognition to our consolidated financial statements included elsewhere in this Quarterly Report on Form 10-</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Q.</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sales</w:t>
      </w:r>
    </w:p>
    <w:p>
      <w:pPr>
        <w:spacing w:after="0" w:line="228" w:lineRule="exact"/>
        <w:rPr>
          <w:sz w:val="20"/>
          <w:szCs w:val="20"/>
          <w:color w:val="auto"/>
        </w:rPr>
      </w:pPr>
    </w:p>
    <w:p>
      <w:pPr>
        <w:ind w:firstLine="762"/>
        <w:spacing w:after="0" w:line="250" w:lineRule="auto"/>
        <w:rPr>
          <w:sz w:val="20"/>
          <w:szCs w:val="20"/>
          <w:color w:val="auto"/>
        </w:rPr>
      </w:pPr>
      <w:r>
        <w:rPr>
          <w:rFonts w:ascii="Arial" w:cs="Arial" w:eastAsia="Arial" w:hAnsi="Arial"/>
          <w:sz w:val="17"/>
          <w:szCs w:val="17"/>
          <w:color w:val="auto"/>
        </w:rPr>
        <w:t>Cost of sales primarily includes the costs to acquire vehicles, inbound transportation costs and direct and indirect reconditioning costs associated with preparing vehicles for sale. Costs to acquire vehicles are primarily driven by the inventory source, vehicle mix and general supply and demand conditions of the used vehicle market. Inbound transportation costs include costs to transport the vehicle to our VRCs. Reconditioning costs include parts, labor and third-party reconditioning costs directly attributable to the vehicle and allocated overhead costs. Cost of sales also includes any accounting adjustments to reflect vehicle inventory at the lower of cost or net realizable value.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Total gross profit</w:t>
      </w:r>
    </w:p>
    <w:p>
      <w:pPr>
        <w:spacing w:after="0" w:line="22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Total gross profit is defined as total revenue less costs associated with such revenue.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228" w:lineRule="exact"/>
        <w:rPr>
          <w:sz w:val="20"/>
          <w:szCs w:val="20"/>
          <w:color w:val="auto"/>
        </w:rPr>
      </w:pPr>
    </w:p>
    <w:p>
      <w:pPr>
        <w:ind w:right="600" w:firstLine="762"/>
        <w:spacing w:after="0" w:line="236" w:lineRule="auto"/>
        <w:rPr>
          <w:sz w:val="20"/>
          <w:szCs w:val="20"/>
          <w:color w:val="auto"/>
        </w:rPr>
      </w:pPr>
      <w:r>
        <w:rPr>
          <w:rFonts w:ascii="Arial" w:cs="Arial" w:eastAsia="Arial" w:hAnsi="Arial"/>
          <w:sz w:val="18"/>
          <w:szCs w:val="18"/>
          <w:color w:val="auto"/>
        </w:rPr>
        <w:t>Our selling, general, and administrative expenses, which we refer to as SG&amp;A expenses, consist primarily of advertising and marketing expenses, outbound transportation costs, employee compensation, occupancy costs of our facilities and professional fees for accounting, auditing, tax, legal and consulting services.</w:t>
      </w:r>
    </w:p>
    <w:p>
      <w:pPr>
        <w:spacing w:after="0" w:line="188" w:lineRule="exact"/>
        <w:rPr>
          <w:sz w:val="20"/>
          <w:szCs w:val="20"/>
          <w:color w:val="auto"/>
        </w:rPr>
      </w:pPr>
    </w:p>
    <w:p>
      <w:pPr>
        <w:ind w:right="40" w:firstLine="762"/>
        <w:spacing w:after="0" w:line="248" w:lineRule="auto"/>
        <w:rPr>
          <w:sz w:val="20"/>
          <w:szCs w:val="20"/>
          <w:color w:val="auto"/>
        </w:rPr>
      </w:pPr>
      <w:r>
        <w:rPr>
          <w:rFonts w:ascii="Arial" w:cs="Arial" w:eastAsia="Arial" w:hAnsi="Arial"/>
          <w:sz w:val="17"/>
          <w:szCs w:val="17"/>
          <w:color w:val="auto"/>
        </w:rPr>
        <w:t>We expect that our SG&amp;A expenses will increase in the future as we expand our operations, including our proprietary logistics operations, explore a variety of strategies for a proprietary lending operation, hire additional employees and continue to increase our marketing spend. We have continued to expand our sales and sales support team, processes and technology and expect to continue to expand these capabilities commensurate with our expected sales growth throughout the remainder of 2021. We also recently engaged two additional third-party customer service providers to expand our customer service operations as we scale our business. We also will continue to incur increased expenses associated with being a public company, including costs of accounting, audit, legal, regulatory and tax-related services associated with maintaining compliance with SEC and Nasdaq requirements, director and officer insurance costs, and investor and public relations costs.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 and amortization</w:t>
      </w:r>
    </w:p>
    <w:p>
      <w:pPr>
        <w:spacing w:after="0" w:line="228" w:lineRule="exact"/>
        <w:rPr>
          <w:sz w:val="20"/>
          <w:szCs w:val="20"/>
          <w:color w:val="auto"/>
        </w:rPr>
      </w:pPr>
    </w:p>
    <w:p>
      <w:pPr>
        <w:ind w:right="420" w:firstLine="762"/>
        <w:spacing w:after="0" w:line="235" w:lineRule="auto"/>
        <w:rPr>
          <w:sz w:val="20"/>
          <w:szCs w:val="20"/>
          <w:color w:val="auto"/>
        </w:rPr>
      </w:pPr>
      <w:r>
        <w:rPr>
          <w:rFonts w:ascii="Arial" w:cs="Arial" w:eastAsia="Arial" w:hAnsi="Arial"/>
          <w:sz w:val="18"/>
          <w:szCs w:val="18"/>
          <w:color w:val="auto"/>
        </w:rPr>
        <w:t>Our depreciation and amortization expense primarily includes: depreciation related to our leasehold improvements and company vehicles; amortization related to intangible assets in acquired businesses; and capitalized internal use software costs incurred in the development of our platform and website applications. Depreciation expense related to our Vroom VRC is included in cost of sales in the condensed consolidated statements of operations.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50800</wp:posOffset>
            </wp:positionV>
            <wp:extent cx="715962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8" w:lineRule="exact"/>
        <w:rPr>
          <w:sz w:val="20"/>
          <w:szCs w:val="20"/>
          <w:color w:val="auto"/>
        </w:rPr>
      </w:pPr>
    </w:p>
    <w:p>
      <w:pPr>
        <w:ind w:right="220" w:firstLine="762"/>
        <w:spacing w:after="0" w:line="236" w:lineRule="auto"/>
        <w:rPr>
          <w:sz w:val="20"/>
          <w:szCs w:val="20"/>
          <w:color w:val="auto"/>
        </w:rPr>
      </w:pPr>
      <w:r>
        <w:rPr>
          <w:rFonts w:ascii="Arial" w:cs="Arial" w:eastAsia="Arial" w:hAnsi="Arial"/>
          <w:sz w:val="18"/>
          <w:szCs w:val="18"/>
          <w:color w:val="auto"/>
        </w:rPr>
        <w:t>Our interest expense includes interest expense related to our vehicle floorplan facility with Ally Bank and Ally Financial (the “2020 Vehicle Floorplan Facility”), as discussed below, which is used to finance our inventory as well as interest expense on our Convertible Senior Notes.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228" w:lineRule="exact"/>
        <w:rPr>
          <w:sz w:val="20"/>
          <w:szCs w:val="20"/>
          <w:color w:val="auto"/>
        </w:rPr>
      </w:pPr>
    </w:p>
    <w:p>
      <w:pPr>
        <w:ind w:right="380" w:firstLine="762"/>
        <w:spacing w:after="0" w:line="239" w:lineRule="auto"/>
        <w:rPr>
          <w:sz w:val="20"/>
          <w:szCs w:val="20"/>
          <w:color w:val="auto"/>
        </w:rPr>
      </w:pPr>
      <w:r>
        <w:rPr>
          <w:rFonts w:ascii="Arial" w:cs="Arial" w:eastAsia="Arial" w:hAnsi="Arial"/>
          <w:sz w:val="18"/>
          <w:szCs w:val="18"/>
          <w:color w:val="auto"/>
        </w:rPr>
        <w:t>Interest income primarily represents interest credits earned on cash deposits maintained in relation to our 2020 Vehicle Floorplan Facility as well as interest earned on cash and cash equivalents.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Operations</w:t>
      </w:r>
    </w:p>
    <w:p>
      <w:pPr>
        <w:spacing w:after="0" w:line="22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presents our consolidated results of operations for the periods indicated:</w:t>
      </w: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6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rPr>
              <w:t>Three Months Ended</w:t>
            </w: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8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rPr>
              <w:t>Six Months Ended</w:t>
            </w: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41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3"/>
          </w:tcPr>
          <w:p>
            <w:pPr>
              <w:jc w:val="center"/>
              <w:ind w:left="515"/>
              <w:spacing w:after="0"/>
              <w:rPr>
                <w:sz w:val="20"/>
                <w:szCs w:val="20"/>
                <w:color w:val="auto"/>
              </w:rPr>
            </w:pPr>
            <w:r>
              <w:rPr>
                <w:rFonts w:ascii="Arial" w:cs="Arial" w:eastAsia="Arial" w:hAnsi="Arial"/>
                <w:sz w:val="14"/>
                <w:szCs w:val="14"/>
                <w:b w:val="1"/>
                <w:bCs w:val="1"/>
                <w:color w:val="auto"/>
                <w:w w:val="99"/>
              </w:rPr>
              <w:t>June 30,</w:t>
            </w:r>
          </w:p>
        </w:tc>
        <w:tc>
          <w:tcPr>
            <w:tcW w:w="8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vMerge w:val="restart"/>
          </w:tcPr>
          <w:p>
            <w:pPr>
              <w:jc w:val="right"/>
              <w:ind w:right="232"/>
              <w:spacing w:after="0"/>
              <w:rPr>
                <w:sz w:val="20"/>
                <w:szCs w:val="20"/>
                <w:color w:val="auto"/>
              </w:rPr>
            </w:pPr>
            <w:r>
              <w:rPr>
                <w:rFonts w:ascii="Arial" w:cs="Arial" w:eastAsia="Arial" w:hAnsi="Arial"/>
                <w:sz w:val="14"/>
                <w:szCs w:val="14"/>
                <w:b w:val="1"/>
                <w:bCs w:val="1"/>
                <w:color w:val="auto"/>
              </w:rPr>
              <w:t>% Change</w:t>
            </w:r>
          </w:p>
        </w:tc>
        <w:tc>
          <w:tcPr>
            <w:tcW w:w="100" w:type="dxa"/>
            <w:vAlign w:val="bottom"/>
            <w:vMerge w:val="restart"/>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3"/>
          </w:tcPr>
          <w:p>
            <w:pPr>
              <w:jc w:val="center"/>
              <w:ind w:left="595"/>
              <w:spacing w:after="0"/>
              <w:rPr>
                <w:sz w:val="20"/>
                <w:szCs w:val="20"/>
                <w:color w:val="auto"/>
              </w:rPr>
            </w:pPr>
            <w:r>
              <w:rPr>
                <w:rFonts w:ascii="Arial" w:cs="Arial" w:eastAsia="Arial" w:hAnsi="Arial"/>
                <w:sz w:val="14"/>
                <w:szCs w:val="14"/>
                <w:b w:val="1"/>
                <w:bCs w:val="1"/>
                <w:color w:val="auto"/>
                <w:w w:val="99"/>
              </w:rPr>
              <w:t>June 30,</w:t>
            </w:r>
          </w:p>
        </w:tc>
        <w:tc>
          <w:tcPr>
            <w:tcW w:w="8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vMerge w:val="restart"/>
          </w:tcPr>
          <w:p>
            <w:pPr>
              <w:jc w:val="right"/>
              <w:ind w:right="232"/>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66"/>
        </w:trPr>
        <w:tc>
          <w:tcPr>
            <w:tcW w:w="41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4"/>
                <w:szCs w:val="14"/>
                <w:color w:val="auto"/>
              </w:rPr>
            </w:pPr>
          </w:p>
        </w:tc>
        <w:tc>
          <w:tcPr>
            <w:tcW w:w="108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c>
          <w:tcPr>
            <w:tcW w:w="10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4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16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rPr>
              <w:t>(in thousands)</w:t>
            </w: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8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rPr>
              <w:t>(in thousands)</w:t>
            </w: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0"/>
        </w:trPr>
        <w:tc>
          <w:tcPr>
            <w:tcW w:w="418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22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4180" w:type="dxa"/>
            <w:vAlign w:val="bottom"/>
          </w:tcPr>
          <w:p>
            <w:pPr>
              <w:ind w:left="240"/>
              <w:spacing w:after="0"/>
              <w:rPr>
                <w:sz w:val="20"/>
                <w:szCs w:val="20"/>
                <w:color w:val="auto"/>
              </w:rPr>
            </w:pPr>
            <w:r>
              <w:rPr>
                <w:rFonts w:ascii="Arial" w:cs="Arial" w:eastAsia="Arial" w:hAnsi="Arial"/>
                <w:sz w:val="18"/>
                <w:szCs w:val="18"/>
                <w:color w:val="auto"/>
              </w:rPr>
              <w:t>Retail vehicle, net</w:t>
            </w:r>
          </w:p>
        </w:tc>
        <w:tc>
          <w:tcPr>
            <w:tcW w:w="220" w:type="dxa"/>
            <w:vAlign w:val="bottom"/>
          </w:tcPr>
          <w:p>
            <w:pPr>
              <w:jc w:val="right"/>
              <w:ind w:right="31"/>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35"/>
              <w:spacing w:after="0"/>
              <w:rPr>
                <w:sz w:val="20"/>
                <w:szCs w:val="20"/>
                <w:color w:val="auto"/>
              </w:rPr>
            </w:pPr>
            <w:r>
              <w:rPr>
                <w:rFonts w:ascii="Arial" w:cs="Arial" w:eastAsia="Arial" w:hAnsi="Arial"/>
                <w:sz w:val="18"/>
                <w:szCs w:val="18"/>
                <w:color w:val="auto"/>
              </w:rPr>
              <w:t>608,116</w:t>
            </w:r>
          </w:p>
        </w:tc>
        <w:tc>
          <w:tcPr>
            <w:tcW w:w="120" w:type="dxa"/>
            <w:vAlign w:val="bottom"/>
          </w:tcPr>
          <w:p>
            <w:pPr>
              <w:spacing w:after="0"/>
              <w:rPr>
                <w:sz w:val="18"/>
                <w:szCs w:val="18"/>
                <w:color w:val="auto"/>
              </w:rPr>
            </w:pPr>
          </w:p>
        </w:tc>
        <w:tc>
          <w:tcPr>
            <w:tcW w:w="260" w:type="dxa"/>
            <w:vAlign w:val="bottom"/>
          </w:tcPr>
          <w:p>
            <w:pPr>
              <w:jc w:val="right"/>
              <w:ind w:right="71"/>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196,150</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210.0%</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35"/>
              <w:spacing w:after="0"/>
              <w:rPr>
                <w:sz w:val="20"/>
                <w:szCs w:val="20"/>
                <w:color w:val="auto"/>
              </w:rPr>
            </w:pPr>
            <w:r>
              <w:rPr>
                <w:rFonts w:ascii="Arial" w:cs="Arial" w:eastAsia="Arial" w:hAnsi="Arial"/>
                <w:sz w:val="18"/>
                <w:szCs w:val="18"/>
                <w:color w:val="auto"/>
              </w:rPr>
              <w:t>1,062,439</w:t>
            </w:r>
          </w:p>
        </w:tc>
        <w:tc>
          <w:tcPr>
            <w:tcW w:w="120" w:type="dxa"/>
            <w:vAlign w:val="bottom"/>
          </w:tcPr>
          <w:p>
            <w:pPr>
              <w:spacing w:after="0"/>
              <w:rPr>
                <w:sz w:val="18"/>
                <w:szCs w:val="18"/>
                <w:color w:val="auto"/>
              </w:rPr>
            </w:pPr>
          </w:p>
        </w:tc>
        <w:tc>
          <w:tcPr>
            <w:tcW w:w="220" w:type="dxa"/>
            <w:vAlign w:val="bottom"/>
          </w:tcPr>
          <w:p>
            <w:pPr>
              <w:jc w:val="right"/>
              <w:ind w:right="31"/>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504,862</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110.4%</w:t>
            </w:r>
          </w:p>
        </w:tc>
        <w:tc>
          <w:tcPr>
            <w:tcW w:w="0" w:type="dxa"/>
            <w:vAlign w:val="bottom"/>
          </w:tcPr>
          <w:p>
            <w:pPr>
              <w:spacing w:after="0"/>
              <w:rPr>
                <w:sz w:val="1"/>
                <w:szCs w:val="1"/>
                <w:color w:val="auto"/>
              </w:rPr>
            </w:pPr>
          </w:p>
        </w:tc>
      </w:tr>
      <w:tr>
        <w:trPr>
          <w:trHeight w:val="213"/>
        </w:trPr>
        <w:tc>
          <w:tcPr>
            <w:tcW w:w="41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Wholesale vehicle</w:t>
            </w: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128,108</w:t>
            </w: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50,921</w:t>
            </w: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151.6%</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246,132</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106,497</w:t>
            </w: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131.1%</w:t>
            </w:r>
          </w:p>
        </w:tc>
        <w:tc>
          <w:tcPr>
            <w:tcW w:w="0" w:type="dxa"/>
            <w:vAlign w:val="bottom"/>
          </w:tcPr>
          <w:p>
            <w:pPr>
              <w:spacing w:after="0"/>
              <w:rPr>
                <w:sz w:val="1"/>
                <w:szCs w:val="1"/>
                <w:color w:val="auto"/>
              </w:rPr>
            </w:pPr>
          </w:p>
        </w:tc>
      </w:tr>
      <w:tr>
        <w:trPr>
          <w:trHeight w:val="213"/>
        </w:trPr>
        <w:tc>
          <w:tcPr>
            <w:tcW w:w="4180" w:type="dxa"/>
            <w:vAlign w:val="bottom"/>
          </w:tcPr>
          <w:p>
            <w:pPr>
              <w:ind w:left="240"/>
              <w:spacing w:after="0"/>
              <w:rPr>
                <w:sz w:val="20"/>
                <w:szCs w:val="20"/>
                <w:color w:val="auto"/>
              </w:rPr>
            </w:pPr>
            <w:r>
              <w:rPr>
                <w:rFonts w:ascii="Arial" w:cs="Arial" w:eastAsia="Arial" w:hAnsi="Arial"/>
                <w:sz w:val="18"/>
                <w:szCs w:val="18"/>
                <w:color w:val="auto"/>
              </w:rPr>
              <w:t>Product, net</w:t>
            </w:r>
          </w:p>
        </w:tc>
        <w:tc>
          <w:tcPr>
            <w:tcW w:w="220" w:type="dxa"/>
            <w:vAlign w:val="bottom"/>
          </w:tcPr>
          <w:p>
            <w:pPr>
              <w:spacing w:after="0"/>
              <w:rPr>
                <w:sz w:val="18"/>
                <w:szCs w:val="18"/>
                <w:color w:val="auto"/>
              </w:rPr>
            </w:pPr>
          </w:p>
        </w:tc>
        <w:tc>
          <w:tcPr>
            <w:tcW w:w="860" w:type="dxa"/>
            <w:vAlign w:val="bottom"/>
          </w:tcPr>
          <w:p>
            <w:pPr>
              <w:jc w:val="right"/>
              <w:ind w:right="35"/>
              <w:spacing w:after="0"/>
              <w:rPr>
                <w:sz w:val="20"/>
                <w:szCs w:val="20"/>
                <w:color w:val="auto"/>
              </w:rPr>
            </w:pPr>
            <w:r>
              <w:rPr>
                <w:rFonts w:ascii="Arial" w:cs="Arial" w:eastAsia="Arial" w:hAnsi="Arial"/>
                <w:sz w:val="18"/>
                <w:szCs w:val="18"/>
                <w:color w:val="auto"/>
              </w:rPr>
              <w:t>22,306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5,736</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288.9%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35"/>
              <w:spacing w:after="0"/>
              <w:rPr>
                <w:sz w:val="20"/>
                <w:szCs w:val="20"/>
                <w:color w:val="auto"/>
              </w:rPr>
            </w:pPr>
            <w:r>
              <w:rPr>
                <w:rFonts w:ascii="Arial" w:cs="Arial" w:eastAsia="Arial" w:hAnsi="Arial"/>
                <w:sz w:val="18"/>
                <w:szCs w:val="18"/>
                <w:color w:val="auto"/>
              </w:rPr>
              <w:t>37,878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16,780</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125.7%</w:t>
            </w:r>
          </w:p>
        </w:tc>
        <w:tc>
          <w:tcPr>
            <w:tcW w:w="0" w:type="dxa"/>
            <w:vAlign w:val="bottom"/>
          </w:tcPr>
          <w:p>
            <w:pPr>
              <w:spacing w:after="0"/>
              <w:rPr>
                <w:sz w:val="1"/>
                <w:szCs w:val="1"/>
                <w:color w:val="auto"/>
              </w:rPr>
            </w:pPr>
          </w:p>
        </w:tc>
      </w:tr>
      <w:tr>
        <w:trPr>
          <w:trHeight w:val="213"/>
        </w:trPr>
        <w:tc>
          <w:tcPr>
            <w:tcW w:w="41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3,360</w:t>
            </w:r>
          </w:p>
        </w:tc>
        <w:tc>
          <w:tcPr>
            <w:tcW w:w="120" w:type="dxa"/>
            <w:vAlign w:val="bottom"/>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286</w:t>
            </w:r>
          </w:p>
        </w:tc>
        <w:tc>
          <w:tcPr>
            <w:tcW w:w="120" w:type="dxa"/>
            <w:vAlign w:val="bottom"/>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1,074.8%</w:t>
            </w:r>
          </w:p>
        </w:tc>
        <w:tc>
          <w:tcPr>
            <w:tcW w:w="10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6,559</w:t>
            </w:r>
          </w:p>
        </w:tc>
        <w:tc>
          <w:tcPr>
            <w:tcW w:w="12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726</w:t>
            </w:r>
          </w:p>
        </w:tc>
        <w:tc>
          <w:tcPr>
            <w:tcW w:w="100" w:type="dxa"/>
            <w:vAlign w:val="bottom"/>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803.4%</w:t>
            </w:r>
          </w:p>
        </w:tc>
        <w:tc>
          <w:tcPr>
            <w:tcW w:w="0" w:type="dxa"/>
            <w:vAlign w:val="bottom"/>
          </w:tcPr>
          <w:p>
            <w:pPr>
              <w:spacing w:after="0"/>
              <w:rPr>
                <w:sz w:val="1"/>
                <w:szCs w:val="1"/>
                <w:color w:val="auto"/>
              </w:rPr>
            </w:pPr>
          </w:p>
        </w:tc>
      </w:tr>
      <w:tr>
        <w:trPr>
          <w:trHeight w:val="206"/>
        </w:trPr>
        <w:tc>
          <w:tcPr>
            <w:tcW w:w="4180" w:type="dxa"/>
            <w:vAlign w:val="bottom"/>
          </w:tcPr>
          <w:p>
            <w:pPr>
              <w:spacing w:after="0"/>
              <w:rPr>
                <w:sz w:val="20"/>
                <w:szCs w:val="20"/>
                <w:color w:val="auto"/>
              </w:rPr>
            </w:pPr>
            <w:r>
              <w:rPr>
                <w:rFonts w:ascii="Arial" w:cs="Arial" w:eastAsia="Arial" w:hAnsi="Arial"/>
                <w:sz w:val="18"/>
                <w:szCs w:val="18"/>
                <w:color w:val="auto"/>
              </w:rPr>
              <w:t>Total revenue</w:t>
            </w:r>
          </w:p>
        </w:tc>
        <w:tc>
          <w:tcPr>
            <w:tcW w:w="220" w:type="dxa"/>
            <w:vAlign w:val="bottom"/>
          </w:tcPr>
          <w:p>
            <w:pPr>
              <w:spacing w:after="0"/>
              <w:rPr>
                <w:sz w:val="17"/>
                <w:szCs w:val="17"/>
                <w:color w:val="auto"/>
              </w:rPr>
            </w:pPr>
          </w:p>
        </w:tc>
        <w:tc>
          <w:tcPr>
            <w:tcW w:w="860" w:type="dxa"/>
            <w:vAlign w:val="bottom"/>
          </w:tcPr>
          <w:p>
            <w:pPr>
              <w:jc w:val="right"/>
              <w:ind w:right="35"/>
              <w:spacing w:after="0"/>
              <w:rPr>
                <w:sz w:val="20"/>
                <w:szCs w:val="20"/>
                <w:color w:val="auto"/>
              </w:rPr>
            </w:pPr>
            <w:r>
              <w:rPr>
                <w:rFonts w:ascii="Arial" w:cs="Arial" w:eastAsia="Arial" w:hAnsi="Arial"/>
                <w:sz w:val="18"/>
                <w:szCs w:val="18"/>
                <w:color w:val="auto"/>
              </w:rPr>
              <w:t>761,890</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253,093</w:t>
            </w: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201.0%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ind w:right="35"/>
              <w:spacing w:after="0"/>
              <w:rPr>
                <w:sz w:val="20"/>
                <w:szCs w:val="20"/>
                <w:color w:val="auto"/>
              </w:rPr>
            </w:pPr>
            <w:r>
              <w:rPr>
                <w:rFonts w:ascii="Arial" w:cs="Arial" w:eastAsia="Arial" w:hAnsi="Arial"/>
                <w:sz w:val="18"/>
                <w:szCs w:val="18"/>
                <w:color w:val="auto"/>
              </w:rPr>
              <w:t>1,353,008</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628,865</w:t>
            </w: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115.2%</w:t>
            </w:r>
          </w:p>
        </w:tc>
        <w:tc>
          <w:tcPr>
            <w:tcW w:w="0" w:type="dxa"/>
            <w:vAlign w:val="bottom"/>
          </w:tcPr>
          <w:p>
            <w:pPr>
              <w:spacing w:after="0"/>
              <w:rPr>
                <w:sz w:val="1"/>
                <w:szCs w:val="1"/>
                <w:color w:val="auto"/>
              </w:rPr>
            </w:pPr>
          </w:p>
        </w:tc>
      </w:tr>
      <w:tr>
        <w:trPr>
          <w:trHeight w:val="213"/>
        </w:trPr>
        <w:tc>
          <w:tcPr>
            <w:tcW w:w="4180" w:type="dxa"/>
            <w:vAlign w:val="bottom"/>
            <w:shd w:val="clear" w:color="auto" w:fill="CFF0FC"/>
          </w:tcPr>
          <w:p>
            <w:pPr>
              <w:spacing w:after="0"/>
              <w:rPr>
                <w:sz w:val="20"/>
                <w:szCs w:val="20"/>
                <w:color w:val="auto"/>
              </w:rPr>
            </w:pPr>
            <w:r>
              <w:rPr>
                <w:rFonts w:ascii="Arial" w:cs="Arial" w:eastAsia="Arial" w:hAnsi="Arial"/>
                <w:sz w:val="18"/>
                <w:szCs w:val="18"/>
                <w:color w:val="auto"/>
              </w:rPr>
              <w:t>Cost of sales</w:t>
            </w:r>
          </w:p>
        </w:tc>
        <w:tc>
          <w:tcPr>
            <w:tcW w:w="22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698,762</w:t>
            </w:r>
          </w:p>
        </w:tc>
        <w:tc>
          <w:tcPr>
            <w:tcW w:w="120" w:type="dxa"/>
            <w:vAlign w:val="bottom"/>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245,486</w:t>
            </w:r>
          </w:p>
        </w:tc>
        <w:tc>
          <w:tcPr>
            <w:tcW w:w="120" w:type="dxa"/>
            <w:vAlign w:val="bottom"/>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184.6%</w:t>
            </w:r>
          </w:p>
        </w:tc>
        <w:tc>
          <w:tcPr>
            <w:tcW w:w="10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1,253,704</w:t>
            </w:r>
          </w:p>
        </w:tc>
        <w:tc>
          <w:tcPr>
            <w:tcW w:w="12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602,871</w:t>
            </w:r>
          </w:p>
        </w:tc>
        <w:tc>
          <w:tcPr>
            <w:tcW w:w="100" w:type="dxa"/>
            <w:vAlign w:val="bottom"/>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108.0%</w:t>
            </w:r>
          </w:p>
        </w:tc>
        <w:tc>
          <w:tcPr>
            <w:tcW w:w="0" w:type="dxa"/>
            <w:vAlign w:val="bottom"/>
          </w:tcPr>
          <w:p>
            <w:pPr>
              <w:spacing w:after="0"/>
              <w:rPr>
                <w:sz w:val="1"/>
                <w:szCs w:val="1"/>
                <w:color w:val="auto"/>
              </w:rPr>
            </w:pPr>
          </w:p>
        </w:tc>
      </w:tr>
      <w:tr>
        <w:trPr>
          <w:trHeight w:val="206"/>
        </w:trPr>
        <w:tc>
          <w:tcPr>
            <w:tcW w:w="4180" w:type="dxa"/>
            <w:vAlign w:val="bottom"/>
          </w:tcPr>
          <w:p>
            <w:pPr>
              <w:spacing w:after="0"/>
              <w:rPr>
                <w:sz w:val="20"/>
                <w:szCs w:val="20"/>
                <w:color w:val="auto"/>
              </w:rPr>
            </w:pPr>
            <w:r>
              <w:rPr>
                <w:rFonts w:ascii="Arial" w:cs="Arial" w:eastAsia="Arial" w:hAnsi="Arial"/>
                <w:sz w:val="18"/>
                <w:szCs w:val="18"/>
                <w:color w:val="auto"/>
              </w:rPr>
              <w:t>Total gross profit</w:t>
            </w:r>
          </w:p>
        </w:tc>
        <w:tc>
          <w:tcPr>
            <w:tcW w:w="220" w:type="dxa"/>
            <w:vAlign w:val="bottom"/>
          </w:tcPr>
          <w:p>
            <w:pPr>
              <w:spacing w:after="0"/>
              <w:rPr>
                <w:sz w:val="17"/>
                <w:szCs w:val="17"/>
                <w:color w:val="auto"/>
              </w:rPr>
            </w:pPr>
          </w:p>
        </w:tc>
        <w:tc>
          <w:tcPr>
            <w:tcW w:w="860" w:type="dxa"/>
            <w:vAlign w:val="bottom"/>
          </w:tcPr>
          <w:p>
            <w:pPr>
              <w:jc w:val="right"/>
              <w:ind w:right="35"/>
              <w:spacing w:after="0"/>
              <w:rPr>
                <w:sz w:val="20"/>
                <w:szCs w:val="20"/>
                <w:color w:val="auto"/>
              </w:rPr>
            </w:pPr>
            <w:r>
              <w:rPr>
                <w:rFonts w:ascii="Arial" w:cs="Arial" w:eastAsia="Arial" w:hAnsi="Arial"/>
                <w:sz w:val="18"/>
                <w:szCs w:val="18"/>
                <w:color w:val="auto"/>
              </w:rPr>
              <w:t>63,128</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7,607</w:t>
            </w: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729.9%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ind w:right="35"/>
              <w:spacing w:after="0"/>
              <w:rPr>
                <w:sz w:val="20"/>
                <w:szCs w:val="20"/>
                <w:color w:val="auto"/>
              </w:rPr>
            </w:pPr>
            <w:r>
              <w:rPr>
                <w:rFonts w:ascii="Arial" w:cs="Arial" w:eastAsia="Arial" w:hAnsi="Arial"/>
                <w:sz w:val="18"/>
                <w:szCs w:val="18"/>
                <w:color w:val="auto"/>
              </w:rPr>
              <w:t>99,304</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25,994</w:t>
            </w: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282.0%</w:t>
            </w:r>
          </w:p>
        </w:tc>
        <w:tc>
          <w:tcPr>
            <w:tcW w:w="0" w:type="dxa"/>
            <w:vAlign w:val="bottom"/>
          </w:tcPr>
          <w:p>
            <w:pPr>
              <w:spacing w:after="0"/>
              <w:rPr>
                <w:sz w:val="1"/>
                <w:szCs w:val="1"/>
                <w:color w:val="auto"/>
              </w:rPr>
            </w:pPr>
          </w:p>
        </w:tc>
      </w:tr>
      <w:tr>
        <w:trPr>
          <w:trHeight w:val="213"/>
        </w:trPr>
        <w:tc>
          <w:tcPr>
            <w:tcW w:w="4180" w:type="dxa"/>
            <w:vAlign w:val="bottom"/>
            <w:shd w:val="clear" w:color="auto" w:fill="CFF0FC"/>
          </w:tcPr>
          <w:p>
            <w:pPr>
              <w:spacing w:after="0"/>
              <w:rPr>
                <w:sz w:val="20"/>
                <w:szCs w:val="20"/>
                <w:color w:val="auto"/>
              </w:rPr>
            </w:pPr>
            <w:r>
              <w:rPr>
                <w:rFonts w:ascii="Arial" w:cs="Arial" w:eastAsia="Arial" w:hAnsi="Arial"/>
                <w:sz w:val="18"/>
                <w:szCs w:val="18"/>
                <w:color w:val="auto"/>
              </w:rPr>
              <w:t>Selling, general and administrative expenses</w:t>
            </w: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123,898</w:t>
            </w: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47,911</w:t>
            </w: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158.6%</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232,764</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106,291</w:t>
            </w: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119.0%</w:t>
            </w:r>
          </w:p>
        </w:tc>
        <w:tc>
          <w:tcPr>
            <w:tcW w:w="0" w:type="dxa"/>
            <w:vAlign w:val="bottom"/>
          </w:tcPr>
          <w:p>
            <w:pPr>
              <w:spacing w:after="0"/>
              <w:rPr>
                <w:sz w:val="1"/>
                <w:szCs w:val="1"/>
                <w:color w:val="auto"/>
              </w:rPr>
            </w:pPr>
          </w:p>
        </w:tc>
      </w:tr>
      <w:tr>
        <w:trPr>
          <w:trHeight w:val="213"/>
        </w:trPr>
        <w:tc>
          <w:tcPr>
            <w:tcW w:w="41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Depreciation and amortization</w:t>
            </w: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3,058</w:t>
            </w:r>
          </w:p>
        </w:tc>
        <w:tc>
          <w:tcPr>
            <w:tcW w:w="12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1,083</w:t>
            </w:r>
          </w:p>
        </w:tc>
        <w:tc>
          <w:tcPr>
            <w:tcW w:w="120" w:type="dxa"/>
            <w:vAlign w:val="bottom"/>
            <w:tcBorders>
              <w:bottom w:val="single" w:sz="8" w:color="CFF0FC"/>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182.4%</w:t>
            </w:r>
          </w:p>
        </w:tc>
        <w:tc>
          <w:tcPr>
            <w:tcW w:w="10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5,900</w:t>
            </w:r>
          </w:p>
        </w:tc>
        <w:tc>
          <w:tcPr>
            <w:tcW w:w="12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2,049</w:t>
            </w:r>
          </w:p>
        </w:tc>
        <w:tc>
          <w:tcPr>
            <w:tcW w:w="100" w:type="dxa"/>
            <w:vAlign w:val="bottom"/>
            <w:tcBorders>
              <w:bottom w:val="single" w:sz="8" w:color="CFF0FC"/>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187.9%</w:t>
            </w:r>
          </w:p>
        </w:tc>
        <w:tc>
          <w:tcPr>
            <w:tcW w:w="0" w:type="dxa"/>
            <w:vAlign w:val="bottom"/>
          </w:tcPr>
          <w:p>
            <w:pPr>
              <w:spacing w:after="0"/>
              <w:rPr>
                <w:sz w:val="1"/>
                <w:szCs w:val="1"/>
                <w:color w:val="auto"/>
              </w:rPr>
            </w:pPr>
          </w:p>
        </w:tc>
      </w:tr>
      <w:tr>
        <w:trPr>
          <w:trHeight w:val="206"/>
        </w:trPr>
        <w:tc>
          <w:tcPr>
            <w:tcW w:w="418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22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(63,828)</w:t>
            </w:r>
          </w:p>
        </w:tc>
        <w:tc>
          <w:tcPr>
            <w:tcW w:w="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(41,387)</w:t>
            </w:r>
          </w:p>
        </w:tc>
        <w:tc>
          <w:tcPr>
            <w:tcW w:w="12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54.2%</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(139,360)</w:t>
            </w: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(82,346)</w:t>
            </w:r>
          </w:p>
        </w:tc>
        <w:tc>
          <w:tcPr>
            <w:tcW w:w="10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69.2%</w:t>
            </w:r>
          </w:p>
        </w:tc>
        <w:tc>
          <w:tcPr>
            <w:tcW w:w="0" w:type="dxa"/>
            <w:vAlign w:val="bottom"/>
          </w:tcPr>
          <w:p>
            <w:pPr>
              <w:spacing w:after="0"/>
              <w:rPr>
                <w:sz w:val="1"/>
                <w:szCs w:val="1"/>
                <w:color w:val="auto"/>
              </w:rPr>
            </w:pPr>
          </w:p>
        </w:tc>
      </w:tr>
      <w:tr>
        <w:trPr>
          <w:trHeight w:val="213"/>
        </w:trPr>
        <w:tc>
          <w:tcPr>
            <w:tcW w:w="4180" w:type="dxa"/>
            <w:vAlign w:val="bottom"/>
          </w:tcPr>
          <w:p>
            <w:pPr>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18"/>
                <w:szCs w:val="18"/>
                <w:color w:val="auto"/>
              </w:rPr>
            </w:pPr>
          </w:p>
        </w:tc>
        <w:tc>
          <w:tcPr>
            <w:tcW w:w="860" w:type="dxa"/>
            <w:vAlign w:val="bottom"/>
          </w:tcPr>
          <w:p>
            <w:pPr>
              <w:jc w:val="right"/>
              <w:ind w:right="35"/>
              <w:spacing w:after="0"/>
              <w:rPr>
                <w:sz w:val="20"/>
                <w:szCs w:val="20"/>
                <w:color w:val="auto"/>
              </w:rPr>
            </w:pPr>
            <w:r>
              <w:rPr>
                <w:rFonts w:ascii="Arial" w:cs="Arial" w:eastAsia="Arial" w:hAnsi="Arial"/>
                <w:sz w:val="18"/>
                <w:szCs w:val="18"/>
                <w:color w:val="auto"/>
              </w:rPr>
              <w:t>3,880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1,297</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199.2%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35"/>
              <w:spacing w:after="0"/>
              <w:rPr>
                <w:sz w:val="20"/>
                <w:szCs w:val="20"/>
                <w:color w:val="auto"/>
              </w:rPr>
            </w:pPr>
            <w:r>
              <w:rPr>
                <w:rFonts w:ascii="Arial" w:cs="Arial" w:eastAsia="Arial" w:hAnsi="Arial"/>
                <w:sz w:val="18"/>
                <w:szCs w:val="18"/>
                <w:color w:val="auto"/>
              </w:rPr>
              <w:t>7,692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4,123</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86.6%</w:t>
            </w:r>
          </w:p>
        </w:tc>
        <w:tc>
          <w:tcPr>
            <w:tcW w:w="0" w:type="dxa"/>
            <w:vAlign w:val="bottom"/>
          </w:tcPr>
          <w:p>
            <w:pPr>
              <w:spacing w:after="0"/>
              <w:rPr>
                <w:sz w:val="1"/>
                <w:szCs w:val="1"/>
                <w:color w:val="auto"/>
              </w:rPr>
            </w:pPr>
          </w:p>
        </w:tc>
      </w:tr>
      <w:tr>
        <w:trPr>
          <w:trHeight w:val="213"/>
        </w:trPr>
        <w:tc>
          <w:tcPr>
            <w:tcW w:w="4180" w:type="dxa"/>
            <w:vAlign w:val="bottom"/>
            <w:shd w:val="clear" w:color="auto" w:fill="CFF0FC"/>
          </w:tcPr>
          <w:p>
            <w:pPr>
              <w:spacing w:after="0"/>
              <w:rPr>
                <w:sz w:val="20"/>
                <w:szCs w:val="20"/>
                <w:color w:val="auto"/>
              </w:rPr>
            </w:pPr>
            <w:r>
              <w:rPr>
                <w:rFonts w:ascii="Arial" w:cs="Arial" w:eastAsia="Arial" w:hAnsi="Arial"/>
                <w:sz w:val="18"/>
                <w:szCs w:val="18"/>
                <w:color w:val="auto"/>
              </w:rPr>
              <w:t>Interest income</w:t>
            </w: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(2,062)</w:t>
            </w: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(715)</w:t>
            </w: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188.4%</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(4,358)</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(2,671)</w:t>
            </w: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63.2%</w:t>
            </w:r>
          </w:p>
        </w:tc>
        <w:tc>
          <w:tcPr>
            <w:tcW w:w="0" w:type="dxa"/>
            <w:vAlign w:val="bottom"/>
          </w:tcPr>
          <w:p>
            <w:pPr>
              <w:spacing w:after="0"/>
              <w:rPr>
                <w:sz w:val="1"/>
                <w:szCs w:val="1"/>
                <w:color w:val="auto"/>
              </w:rPr>
            </w:pPr>
          </w:p>
        </w:tc>
      </w:tr>
      <w:tr>
        <w:trPr>
          <w:trHeight w:val="213"/>
        </w:trPr>
        <w:tc>
          <w:tcPr>
            <w:tcW w:w="4180" w:type="dxa"/>
            <w:vAlign w:val="bottom"/>
          </w:tcPr>
          <w:p>
            <w:pPr>
              <w:spacing w:after="0"/>
              <w:rPr>
                <w:sz w:val="20"/>
                <w:szCs w:val="20"/>
                <w:color w:val="auto"/>
              </w:rPr>
            </w:pPr>
            <w:r>
              <w:rPr>
                <w:rFonts w:ascii="Arial" w:cs="Arial" w:eastAsia="Arial" w:hAnsi="Arial"/>
                <w:sz w:val="18"/>
                <w:szCs w:val="18"/>
                <w:color w:val="auto"/>
              </w:rPr>
              <w:t>Revaluation of stock warrant</w:t>
            </w:r>
          </w:p>
        </w:tc>
        <w:tc>
          <w:tcPr>
            <w:tcW w:w="22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21,260</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20,470</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3"/>
        </w:trPr>
        <w:tc>
          <w:tcPr>
            <w:tcW w:w="4180" w:type="dxa"/>
            <w:vAlign w:val="bottom"/>
            <w:shd w:val="clear" w:color="auto" w:fill="CFF0FC"/>
          </w:tcPr>
          <w:p>
            <w:pPr>
              <w:spacing w:after="0"/>
              <w:rPr>
                <w:sz w:val="20"/>
                <w:szCs w:val="20"/>
                <w:color w:val="auto"/>
              </w:rPr>
            </w:pPr>
            <w:r>
              <w:rPr>
                <w:rFonts w:ascii="Arial" w:cs="Arial" w:eastAsia="Arial" w:hAnsi="Arial"/>
                <w:sz w:val="18"/>
                <w:szCs w:val="18"/>
                <w:color w:val="auto"/>
              </w:rPr>
              <w:t>Other income, net</w:t>
            </w:r>
          </w:p>
        </w:tc>
        <w:tc>
          <w:tcPr>
            <w:tcW w:w="22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120" w:type="dxa"/>
            <w:vAlign w:val="bottom"/>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w:t>
            </w:r>
          </w:p>
        </w:tc>
        <w:tc>
          <w:tcPr>
            <w:tcW w:w="120" w:type="dxa"/>
            <w:vAlign w:val="bottom"/>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(37.7)%</w:t>
            </w:r>
          </w:p>
        </w:tc>
        <w:tc>
          <w:tcPr>
            <w:tcW w:w="10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w:t>
            </w:r>
          </w:p>
        </w:tc>
        <w:tc>
          <w:tcPr>
            <w:tcW w:w="12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w:t>
            </w:r>
          </w:p>
        </w:tc>
        <w:tc>
          <w:tcPr>
            <w:tcW w:w="100" w:type="dxa"/>
            <w:vAlign w:val="bottom"/>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(44.2)%</w:t>
            </w:r>
          </w:p>
        </w:tc>
        <w:tc>
          <w:tcPr>
            <w:tcW w:w="0" w:type="dxa"/>
            <w:vAlign w:val="bottom"/>
          </w:tcPr>
          <w:p>
            <w:pPr>
              <w:spacing w:after="0"/>
              <w:rPr>
                <w:sz w:val="1"/>
                <w:szCs w:val="1"/>
                <w:color w:val="auto"/>
              </w:rPr>
            </w:pPr>
          </w:p>
        </w:tc>
      </w:tr>
      <w:tr>
        <w:trPr>
          <w:trHeight w:val="206"/>
        </w:trPr>
        <w:tc>
          <w:tcPr>
            <w:tcW w:w="4180" w:type="dxa"/>
            <w:vAlign w:val="bottom"/>
          </w:tcPr>
          <w:p>
            <w:pPr>
              <w:spacing w:after="0"/>
              <w:rPr>
                <w:sz w:val="20"/>
                <w:szCs w:val="20"/>
                <w:color w:val="auto"/>
              </w:rPr>
            </w:pPr>
            <w:r>
              <w:rPr>
                <w:rFonts w:ascii="Arial" w:cs="Arial" w:eastAsia="Arial" w:hAnsi="Arial"/>
                <w:sz w:val="18"/>
                <w:szCs w:val="18"/>
                <w:color w:val="auto"/>
              </w:rPr>
              <w:t>Loss before provision for income taxes</w:t>
            </w:r>
          </w:p>
        </w:tc>
        <w:tc>
          <w:tcPr>
            <w:tcW w:w="2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(65,613)</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(63,176)</w:t>
            </w: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(142,646)</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(104,182)</w:t>
            </w: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36.9%</w:t>
            </w:r>
          </w:p>
        </w:tc>
        <w:tc>
          <w:tcPr>
            <w:tcW w:w="0" w:type="dxa"/>
            <w:vAlign w:val="bottom"/>
          </w:tcPr>
          <w:p>
            <w:pPr>
              <w:spacing w:after="0"/>
              <w:rPr>
                <w:sz w:val="1"/>
                <w:szCs w:val="1"/>
                <w:color w:val="auto"/>
              </w:rPr>
            </w:pPr>
          </w:p>
        </w:tc>
      </w:tr>
      <w:tr>
        <w:trPr>
          <w:trHeight w:val="213"/>
        </w:trPr>
        <w:tc>
          <w:tcPr>
            <w:tcW w:w="4180" w:type="dxa"/>
            <w:vAlign w:val="bottom"/>
            <w:shd w:val="clear" w:color="auto" w:fill="CFF0FC"/>
          </w:tcPr>
          <w:p>
            <w:pPr>
              <w:spacing w:after="0"/>
              <w:rPr>
                <w:sz w:val="20"/>
                <w:szCs w:val="20"/>
                <w:color w:val="auto"/>
              </w:rPr>
            </w:pPr>
            <w:r>
              <w:rPr>
                <w:rFonts w:ascii="Arial" w:cs="Arial" w:eastAsia="Arial" w:hAnsi="Arial"/>
                <w:sz w:val="18"/>
                <w:szCs w:val="18"/>
                <w:color w:val="auto"/>
              </w:rPr>
              <w:t>Provision for income taxes</w:t>
            </w:r>
          </w:p>
        </w:tc>
        <w:tc>
          <w:tcPr>
            <w:tcW w:w="22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194</w:t>
            </w:r>
          </w:p>
        </w:tc>
        <w:tc>
          <w:tcPr>
            <w:tcW w:w="120" w:type="dxa"/>
            <w:vAlign w:val="bottom"/>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52</w:t>
            </w:r>
          </w:p>
        </w:tc>
        <w:tc>
          <w:tcPr>
            <w:tcW w:w="120" w:type="dxa"/>
            <w:vAlign w:val="bottom"/>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273.1%</w:t>
            </w:r>
          </w:p>
        </w:tc>
        <w:tc>
          <w:tcPr>
            <w:tcW w:w="10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350</w:t>
            </w:r>
          </w:p>
        </w:tc>
        <w:tc>
          <w:tcPr>
            <w:tcW w:w="12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105</w:t>
            </w:r>
          </w:p>
        </w:tc>
        <w:tc>
          <w:tcPr>
            <w:tcW w:w="100" w:type="dxa"/>
            <w:vAlign w:val="bottom"/>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233.3%</w:t>
            </w:r>
          </w:p>
        </w:tc>
        <w:tc>
          <w:tcPr>
            <w:tcW w:w="0" w:type="dxa"/>
            <w:vAlign w:val="bottom"/>
          </w:tcPr>
          <w:p>
            <w:pPr>
              <w:spacing w:after="0"/>
              <w:rPr>
                <w:sz w:val="1"/>
                <w:szCs w:val="1"/>
                <w:color w:val="auto"/>
              </w:rPr>
            </w:pPr>
          </w:p>
        </w:tc>
      </w:tr>
      <w:tr>
        <w:trPr>
          <w:trHeight w:val="206"/>
        </w:trPr>
        <w:tc>
          <w:tcPr>
            <w:tcW w:w="4180" w:type="dxa"/>
            <w:vAlign w:val="bottom"/>
          </w:tcPr>
          <w:p>
            <w:pPr>
              <w:spacing w:after="0"/>
              <w:rPr>
                <w:sz w:val="20"/>
                <w:szCs w:val="20"/>
                <w:color w:val="auto"/>
              </w:rPr>
            </w:pPr>
            <w:r>
              <w:rPr>
                <w:rFonts w:ascii="Arial" w:cs="Arial" w:eastAsia="Arial" w:hAnsi="Arial"/>
                <w:sz w:val="18"/>
                <w:szCs w:val="18"/>
                <w:color w:val="auto"/>
              </w:rPr>
              <w:t>Net loss</w:t>
            </w:r>
          </w:p>
        </w:tc>
        <w:tc>
          <w:tcPr>
            <w:tcW w:w="2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(65,807)</w:t>
            </w:r>
          </w:p>
        </w:tc>
        <w:tc>
          <w:tcPr>
            <w:tcW w:w="120" w:type="dxa"/>
            <w:vAlign w:val="bottom"/>
          </w:tcPr>
          <w:p>
            <w:pPr>
              <w:spacing w:after="0"/>
              <w:rPr>
                <w:sz w:val="17"/>
                <w:szCs w:val="17"/>
                <w:color w:val="auto"/>
              </w:rPr>
            </w:pPr>
          </w:p>
        </w:tc>
        <w:tc>
          <w:tcPr>
            <w:tcW w:w="2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(63,228)</w:t>
            </w:r>
          </w:p>
        </w:tc>
        <w:tc>
          <w:tcPr>
            <w:tcW w:w="120" w:type="dxa"/>
            <w:vAlign w:val="bottom"/>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(142,996)</w:t>
            </w:r>
          </w:p>
        </w:tc>
        <w:tc>
          <w:tcPr>
            <w:tcW w:w="120" w:type="dxa"/>
            <w:vAlign w:val="bottom"/>
          </w:tcPr>
          <w:p>
            <w:pPr>
              <w:spacing w:after="0"/>
              <w:rPr>
                <w:sz w:val="17"/>
                <w:szCs w:val="17"/>
                <w:color w:val="auto"/>
              </w:rPr>
            </w:pPr>
          </w:p>
        </w:tc>
        <w:tc>
          <w:tcPr>
            <w:tcW w:w="2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(104,287)</w:t>
            </w:r>
          </w:p>
        </w:tc>
        <w:tc>
          <w:tcPr>
            <w:tcW w:w="100" w:type="dxa"/>
            <w:vAlign w:val="bottom"/>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w:t>
            </w: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Segments</w:t>
      </w:r>
    </w:p>
    <w:p>
      <w:pPr>
        <w:spacing w:after="0" w:line="12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We manage and report operating results through three reportable segments:</w:t>
      </w:r>
    </w:p>
    <w:p>
      <w:pPr>
        <w:spacing w:after="0" w:line="77" w:lineRule="exact"/>
        <w:rPr>
          <w:sz w:val="20"/>
          <w:szCs w:val="20"/>
          <w:color w:val="auto"/>
        </w:rPr>
      </w:pPr>
    </w:p>
    <w:p>
      <w:pPr>
        <w:ind w:left="1020" w:right="40" w:hanging="255"/>
        <w:spacing w:after="0" w:line="247"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b w:val="1"/>
          <w:bCs w:val="1"/>
          <w:color w:val="auto"/>
        </w:rPr>
        <w:t xml:space="preserve">Ecommerce </w:t>
      </w:r>
      <w:r>
        <w:rPr>
          <w:rFonts w:ascii="Arial" w:cs="Arial" w:eastAsia="Arial" w:hAnsi="Arial"/>
          <w:sz w:val="18"/>
          <w:szCs w:val="18"/>
          <w:color w:val="auto"/>
        </w:rPr>
        <w:t>(76.1% and 74.1% of total revenue for the three and six months ended June 30, 2021, respectively): The</w:t>
      </w:r>
      <w:r>
        <w:rPr>
          <w:rFonts w:ascii="Arial" w:cs="Arial" w:eastAsia="Arial" w:hAnsi="Arial"/>
          <w:sz w:val="18"/>
          <w:szCs w:val="18"/>
          <w:b w:val="1"/>
          <w:bCs w:val="1"/>
          <w:color w:val="auto"/>
        </w:rPr>
        <w:t xml:space="preserve"> </w:t>
      </w:r>
      <w:r>
        <w:rPr>
          <w:rFonts w:ascii="Arial" w:cs="Arial" w:eastAsia="Arial" w:hAnsi="Arial"/>
          <w:sz w:val="18"/>
          <w:szCs w:val="18"/>
          <w:color w:val="auto"/>
        </w:rPr>
        <w:t>Ecommerce segment represents retail sales of used vehicles through our ecommerce platform and fees earned on sales of value-added products associated with those vehicle sales.</w:t>
      </w:r>
    </w:p>
    <w:p>
      <w:pPr>
        <w:spacing w:after="0" w:line="66" w:lineRule="exact"/>
        <w:rPr>
          <w:rFonts w:ascii="Arial" w:cs="Arial" w:eastAsia="Arial" w:hAnsi="Arial"/>
          <w:sz w:val="18"/>
          <w:szCs w:val="18"/>
          <w:color w:val="auto"/>
        </w:rPr>
      </w:pPr>
    </w:p>
    <w:p>
      <w:pPr>
        <w:ind w:left="1020" w:right="220" w:hanging="255"/>
        <w:spacing w:after="0" w:line="263"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b w:val="1"/>
          <w:bCs w:val="1"/>
          <w:color w:val="auto"/>
        </w:rPr>
        <w:t xml:space="preserve">Wholesale </w:t>
      </w:r>
      <w:r>
        <w:rPr>
          <w:rFonts w:ascii="Arial" w:cs="Arial" w:eastAsia="Arial" w:hAnsi="Arial"/>
          <w:sz w:val="18"/>
          <w:szCs w:val="18"/>
          <w:color w:val="auto"/>
        </w:rPr>
        <w:t>(16.8% and 18.2% of total revenue for the three and six months ended June 30, 2021, respectively): The Wholesale</w:t>
      </w:r>
      <w:r>
        <w:rPr>
          <w:rFonts w:ascii="Arial" w:cs="Arial" w:eastAsia="Arial" w:hAnsi="Arial"/>
          <w:sz w:val="18"/>
          <w:szCs w:val="18"/>
          <w:b w:val="1"/>
          <w:bCs w:val="1"/>
          <w:color w:val="auto"/>
        </w:rPr>
        <w:t xml:space="preserve"> </w:t>
      </w:r>
      <w:r>
        <w:rPr>
          <w:rFonts w:ascii="Arial" w:cs="Arial" w:eastAsia="Arial" w:hAnsi="Arial"/>
          <w:sz w:val="18"/>
          <w:szCs w:val="18"/>
          <w:color w:val="auto"/>
        </w:rPr>
        <w:t>segment represents sales of used vehicles through wholesale channels.</w:t>
      </w:r>
    </w:p>
    <w:p>
      <w:pPr>
        <w:spacing w:after="0" w:line="52" w:lineRule="exact"/>
        <w:rPr>
          <w:rFonts w:ascii="Arial" w:cs="Arial" w:eastAsia="Arial" w:hAnsi="Arial"/>
          <w:sz w:val="18"/>
          <w:szCs w:val="18"/>
          <w:color w:val="auto"/>
        </w:rPr>
      </w:pPr>
    </w:p>
    <w:p>
      <w:pPr>
        <w:ind w:left="1020" w:right="20" w:hanging="255"/>
        <w:spacing w:after="0" w:line="247"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b w:val="1"/>
          <w:bCs w:val="1"/>
          <w:color w:val="auto"/>
        </w:rPr>
        <w:t xml:space="preserve">TDA </w:t>
      </w:r>
      <w:r>
        <w:rPr>
          <w:rFonts w:ascii="Arial" w:cs="Arial" w:eastAsia="Arial" w:hAnsi="Arial"/>
          <w:sz w:val="18"/>
          <w:szCs w:val="18"/>
          <w:color w:val="auto"/>
        </w:rPr>
        <w:t>(6.7% and 7.3% of total revenue for the three and six months ended June 30, 2021, respectively): The TDA segment</w:t>
      </w:r>
      <w:r>
        <w:rPr>
          <w:rFonts w:ascii="Arial" w:cs="Arial" w:eastAsia="Arial" w:hAnsi="Arial"/>
          <w:sz w:val="18"/>
          <w:szCs w:val="18"/>
          <w:b w:val="1"/>
          <w:bCs w:val="1"/>
          <w:color w:val="auto"/>
        </w:rPr>
        <w:t xml:space="preserve"> </w:t>
      </w:r>
      <w:r>
        <w:rPr>
          <w:rFonts w:ascii="Arial" w:cs="Arial" w:eastAsia="Arial" w:hAnsi="Arial"/>
          <w:sz w:val="18"/>
          <w:szCs w:val="18"/>
          <w:color w:val="auto"/>
        </w:rPr>
        <w:t>represents retail sales of used vehicles from TDA and fees earned on sales of value-added products associated with those vehicle sales.</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50800</wp:posOffset>
            </wp:positionV>
            <wp:extent cx="715962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June 30, 2021 and 2020</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Ecommerce</w:t>
      </w:r>
    </w:p>
    <w:p>
      <w:pPr>
        <w:spacing w:after="0" w:line="12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presents our Ecommerce segment results of operations for the periods indicated: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80" w:type="dxa"/>
            <w:vAlign w:val="bottom"/>
            <w:gridSpan w:val="5"/>
          </w:tcPr>
          <w:p>
            <w:pPr>
              <w:jc w:val="center"/>
              <w:ind w:right="44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56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3"/>
          </w:tcPr>
          <w:p>
            <w:pPr>
              <w:jc w:val="center"/>
              <w:ind w:left="617"/>
              <w:spacing w:after="0"/>
              <w:rPr>
                <w:sz w:val="20"/>
                <w:szCs w:val="20"/>
                <w:color w:val="auto"/>
              </w:rPr>
            </w:pPr>
            <w:r>
              <w:rPr>
                <w:rFonts w:ascii="Arial" w:cs="Arial" w:eastAsia="Arial" w:hAnsi="Arial"/>
                <w:sz w:val="14"/>
                <w:szCs w:val="14"/>
                <w:b w:val="1"/>
                <w:bCs w:val="1"/>
                <w:color w:val="auto"/>
                <w:w w:val="99"/>
              </w:rPr>
              <w:t>June 30,</w:t>
            </w:r>
          </w:p>
        </w:tc>
        <w:tc>
          <w:tcPr>
            <w:tcW w:w="10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vMerge w:val="restart"/>
          </w:tcPr>
          <w:p>
            <w:pPr>
              <w:jc w:val="right"/>
              <w:ind w:right="313"/>
              <w:spacing w:after="0"/>
              <w:rPr>
                <w:sz w:val="20"/>
                <w:szCs w:val="20"/>
                <w:color w:val="auto"/>
              </w:rPr>
            </w:pPr>
            <w:r>
              <w:rPr>
                <w:rFonts w:ascii="Arial" w:cs="Arial" w:eastAsia="Arial" w:hAnsi="Arial"/>
                <w:sz w:val="14"/>
                <w:szCs w:val="14"/>
                <w:b w:val="1"/>
                <w:bCs w:val="1"/>
                <w:color w:val="auto"/>
              </w:rPr>
              <w:t>Change</w:t>
            </w:r>
          </w:p>
        </w:tc>
        <w:tc>
          <w:tcPr>
            <w:tcW w:w="120" w:type="dxa"/>
            <w:vAlign w:val="bottom"/>
            <w:vMerge w:val="restart"/>
          </w:tcPr>
          <w:p>
            <w:pPr>
              <w:spacing w:after="0"/>
              <w:rPr>
                <w:sz w:val="15"/>
                <w:szCs w:val="15"/>
                <w:color w:val="auto"/>
              </w:rPr>
            </w:pPr>
          </w:p>
        </w:tc>
        <w:tc>
          <w:tcPr>
            <w:tcW w:w="1280" w:type="dxa"/>
            <w:vAlign w:val="bottom"/>
            <w:vMerge w:val="restart"/>
          </w:tcPr>
          <w:p>
            <w:pPr>
              <w:jc w:val="right"/>
              <w:ind w:right="293"/>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66"/>
        </w:trPr>
        <w:tc>
          <w:tcPr>
            <w:tcW w:w="56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12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5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80" w:type="dxa"/>
            <w:vAlign w:val="bottom"/>
            <w:gridSpan w:val="5"/>
          </w:tcPr>
          <w:p>
            <w:pPr>
              <w:jc w:val="center"/>
              <w:ind w:right="440"/>
              <w:spacing w:after="0"/>
              <w:rPr>
                <w:sz w:val="20"/>
                <w:szCs w:val="20"/>
                <w:color w:val="auto"/>
              </w:rPr>
            </w:pPr>
            <w:r>
              <w:rPr>
                <w:rFonts w:ascii="Arial" w:cs="Arial" w:eastAsia="Arial" w:hAnsi="Arial"/>
                <w:sz w:val="14"/>
                <w:szCs w:val="14"/>
                <w:b w:val="1"/>
                <w:bCs w:val="1"/>
                <w:color w:val="auto"/>
              </w:rPr>
              <w:t>(in thousands, except unit</w:t>
            </w: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5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80" w:type="dxa"/>
            <w:vAlign w:val="bottom"/>
            <w:gridSpan w:val="5"/>
          </w:tcPr>
          <w:p>
            <w:pPr>
              <w:jc w:val="center"/>
              <w:ind w:right="460"/>
              <w:spacing w:after="0"/>
              <w:rPr>
                <w:sz w:val="20"/>
                <w:szCs w:val="20"/>
                <w:color w:val="auto"/>
              </w:rPr>
            </w:pPr>
            <w:r>
              <w:rPr>
                <w:rFonts w:ascii="Arial" w:cs="Arial" w:eastAsia="Arial" w:hAnsi="Arial"/>
                <w:sz w:val="14"/>
                <w:szCs w:val="14"/>
                <w:b w:val="1"/>
                <w:bCs w:val="1"/>
                <w:color w:val="auto"/>
              </w:rPr>
              <w:t>data and average days to sale)</w:t>
            </w: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5640" w:type="dxa"/>
            <w:vAlign w:val="bottom"/>
            <w:shd w:val="clear" w:color="auto" w:fill="CFF0FC"/>
          </w:tcPr>
          <w:p>
            <w:pPr>
              <w:spacing w:after="0"/>
              <w:rPr>
                <w:sz w:val="20"/>
                <w:szCs w:val="20"/>
                <w:color w:val="auto"/>
              </w:rPr>
            </w:pPr>
            <w:r>
              <w:rPr>
                <w:rFonts w:ascii="Arial" w:cs="Arial" w:eastAsia="Arial" w:hAnsi="Arial"/>
                <w:sz w:val="18"/>
                <w:szCs w:val="18"/>
                <w:color w:val="auto"/>
              </w:rPr>
              <w:t>Ecommerce units sold</w:t>
            </w:r>
          </w:p>
        </w:tc>
        <w:tc>
          <w:tcPr>
            <w:tcW w:w="2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18,268</w:t>
            </w: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6,713</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11,555</w:t>
            </w:r>
          </w:p>
        </w:tc>
        <w:tc>
          <w:tcPr>
            <w:tcW w:w="12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172.1%</w:t>
            </w:r>
          </w:p>
        </w:tc>
        <w:tc>
          <w:tcPr>
            <w:tcW w:w="0" w:type="dxa"/>
            <w:vAlign w:val="bottom"/>
          </w:tcPr>
          <w:p>
            <w:pPr>
              <w:spacing w:after="0"/>
              <w:rPr>
                <w:sz w:val="1"/>
                <w:szCs w:val="1"/>
                <w:color w:val="auto"/>
              </w:rPr>
            </w:pPr>
          </w:p>
        </w:tc>
      </w:tr>
      <w:tr>
        <w:trPr>
          <w:trHeight w:val="213"/>
        </w:trPr>
        <w:tc>
          <w:tcPr>
            <w:tcW w:w="5640" w:type="dxa"/>
            <w:vAlign w:val="bottom"/>
          </w:tcPr>
          <w:p>
            <w:pPr>
              <w:spacing w:after="0"/>
              <w:rPr>
                <w:sz w:val="20"/>
                <w:szCs w:val="20"/>
                <w:color w:val="auto"/>
              </w:rPr>
            </w:pPr>
            <w:r>
              <w:rPr>
                <w:rFonts w:ascii="Arial" w:cs="Arial" w:eastAsia="Arial" w:hAnsi="Arial"/>
                <w:sz w:val="18"/>
                <w:szCs w:val="18"/>
                <w:color w:val="auto"/>
              </w:rPr>
              <w:t>Ecommerce revenue:</w:t>
            </w: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6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Vehicle revenue</w:t>
            </w:r>
          </w:p>
        </w:tc>
        <w:tc>
          <w:tcPr>
            <w:tcW w:w="20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559,010</w:t>
            </w: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1"/>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170,460</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388,550</w:t>
            </w:r>
          </w:p>
        </w:tc>
        <w:tc>
          <w:tcPr>
            <w:tcW w:w="12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227.9%</w:t>
            </w:r>
          </w:p>
        </w:tc>
        <w:tc>
          <w:tcPr>
            <w:tcW w:w="0" w:type="dxa"/>
            <w:vAlign w:val="bottom"/>
          </w:tcPr>
          <w:p>
            <w:pPr>
              <w:spacing w:after="0"/>
              <w:rPr>
                <w:sz w:val="1"/>
                <w:szCs w:val="1"/>
                <w:color w:val="auto"/>
              </w:rPr>
            </w:pPr>
          </w:p>
        </w:tc>
      </w:tr>
      <w:tr>
        <w:trPr>
          <w:trHeight w:val="213"/>
        </w:trPr>
        <w:tc>
          <w:tcPr>
            <w:tcW w:w="564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Product revenue</w:t>
            </w: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20,653</w:t>
            </w:r>
          </w:p>
        </w:tc>
        <w:tc>
          <w:tcPr>
            <w:tcW w:w="12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5,108</w:t>
            </w:r>
          </w:p>
        </w:tc>
        <w:tc>
          <w:tcPr>
            <w:tcW w:w="12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15,545</w:t>
            </w:r>
          </w:p>
        </w:tc>
        <w:tc>
          <w:tcPr>
            <w:tcW w:w="120" w:type="dxa"/>
            <w:vAlign w:val="bottom"/>
            <w:tcBorders>
              <w:bottom w:val="single" w:sz="8" w:color="CFF0FC"/>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304.3%</w:t>
            </w:r>
          </w:p>
        </w:tc>
        <w:tc>
          <w:tcPr>
            <w:tcW w:w="0" w:type="dxa"/>
            <w:vAlign w:val="bottom"/>
          </w:tcPr>
          <w:p>
            <w:pPr>
              <w:spacing w:after="0"/>
              <w:rPr>
                <w:sz w:val="1"/>
                <w:szCs w:val="1"/>
                <w:color w:val="auto"/>
              </w:rPr>
            </w:pPr>
          </w:p>
        </w:tc>
      </w:tr>
      <w:tr>
        <w:trPr>
          <w:trHeight w:val="206"/>
        </w:trPr>
        <w:tc>
          <w:tcPr>
            <w:tcW w:w="56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ecommerce revenue</w:t>
            </w:r>
          </w:p>
        </w:tc>
        <w:tc>
          <w:tcPr>
            <w:tcW w:w="200" w:type="dxa"/>
            <w:vAlign w:val="bottom"/>
            <w:tcBorders>
              <w:bottom w:val="single" w:sz="8" w:color="auto"/>
            </w:tcBorders>
            <w:shd w:val="clear" w:color="auto" w:fill="CFF0FC"/>
          </w:tcPr>
          <w:p>
            <w:pPr>
              <w:jc w:val="right"/>
              <w:ind w:right="11"/>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ind w:right="37"/>
              <w:spacing w:after="0"/>
              <w:rPr>
                <w:sz w:val="20"/>
                <w:szCs w:val="20"/>
                <w:color w:val="auto"/>
              </w:rPr>
            </w:pPr>
            <w:r>
              <w:rPr>
                <w:rFonts w:ascii="Arial" w:cs="Arial" w:eastAsia="Arial" w:hAnsi="Arial"/>
                <w:sz w:val="18"/>
                <w:szCs w:val="18"/>
                <w:color w:val="auto"/>
              </w:rPr>
              <w:t>579,663</w:t>
            </w:r>
          </w:p>
        </w:tc>
        <w:tc>
          <w:tcPr>
            <w:tcW w:w="12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jc w:val="right"/>
              <w:ind w:right="111"/>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175,568</w:t>
            </w:r>
          </w:p>
        </w:tc>
        <w:tc>
          <w:tcPr>
            <w:tcW w:w="12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404,095</w:t>
            </w:r>
          </w:p>
        </w:tc>
        <w:tc>
          <w:tcPr>
            <w:tcW w:w="120" w:type="dxa"/>
            <w:vAlign w:val="bottom"/>
            <w:tcBorders>
              <w:bottom w:val="single" w:sz="8" w:color="CFF0FC"/>
            </w:tcBorders>
            <w:shd w:val="clear" w:color="auto" w:fill="CFF0FC"/>
          </w:tcPr>
          <w:p>
            <w:pPr>
              <w:spacing w:after="0"/>
              <w:rPr>
                <w:sz w:val="17"/>
                <w:szCs w:val="17"/>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230.2%</w:t>
            </w:r>
          </w:p>
        </w:tc>
        <w:tc>
          <w:tcPr>
            <w:tcW w:w="0" w:type="dxa"/>
            <w:vAlign w:val="bottom"/>
          </w:tcPr>
          <w:p>
            <w:pPr>
              <w:spacing w:after="0"/>
              <w:rPr>
                <w:sz w:val="1"/>
                <w:szCs w:val="1"/>
                <w:color w:val="auto"/>
              </w:rPr>
            </w:pPr>
          </w:p>
        </w:tc>
      </w:tr>
      <w:tr>
        <w:trPr>
          <w:trHeight w:val="20"/>
        </w:trPr>
        <w:tc>
          <w:tcPr>
            <w:tcW w:w="5640" w:type="dxa"/>
            <w:vAlign w:val="bottom"/>
            <w:vMerge w:val="restart"/>
          </w:tcPr>
          <w:p>
            <w:pPr>
              <w:spacing w:after="0"/>
              <w:rPr>
                <w:sz w:val="20"/>
                <w:szCs w:val="20"/>
                <w:color w:val="auto"/>
              </w:rPr>
            </w:pPr>
            <w:r>
              <w:rPr>
                <w:rFonts w:ascii="Arial" w:cs="Arial" w:eastAsia="Arial" w:hAnsi="Arial"/>
                <w:sz w:val="18"/>
                <w:szCs w:val="18"/>
                <w:color w:val="auto"/>
              </w:rPr>
              <w:t>Ecommerce gross profit:</w:t>
            </w: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564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56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Vehicle gross profit</w:t>
            </w:r>
          </w:p>
        </w:tc>
        <w:tc>
          <w:tcPr>
            <w:tcW w:w="20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28,985</w:t>
            </w: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1"/>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2,111</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26,874</w:t>
            </w:r>
          </w:p>
        </w:tc>
        <w:tc>
          <w:tcPr>
            <w:tcW w:w="12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1,273.0%</w:t>
            </w:r>
          </w:p>
        </w:tc>
        <w:tc>
          <w:tcPr>
            <w:tcW w:w="0" w:type="dxa"/>
            <w:vAlign w:val="bottom"/>
          </w:tcPr>
          <w:p>
            <w:pPr>
              <w:spacing w:after="0"/>
              <w:rPr>
                <w:sz w:val="1"/>
                <w:szCs w:val="1"/>
                <w:color w:val="auto"/>
              </w:rPr>
            </w:pPr>
          </w:p>
        </w:tc>
      </w:tr>
      <w:tr>
        <w:trPr>
          <w:trHeight w:val="213"/>
        </w:trPr>
        <w:tc>
          <w:tcPr>
            <w:tcW w:w="564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Product gross profit</w:t>
            </w: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20,653</w:t>
            </w:r>
          </w:p>
        </w:tc>
        <w:tc>
          <w:tcPr>
            <w:tcW w:w="12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5,108</w:t>
            </w:r>
          </w:p>
        </w:tc>
        <w:tc>
          <w:tcPr>
            <w:tcW w:w="12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15,545</w:t>
            </w:r>
          </w:p>
        </w:tc>
        <w:tc>
          <w:tcPr>
            <w:tcW w:w="120" w:type="dxa"/>
            <w:vAlign w:val="bottom"/>
            <w:tcBorders>
              <w:bottom w:val="single" w:sz="8" w:color="CFF0FC"/>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304.3%</w:t>
            </w:r>
          </w:p>
        </w:tc>
        <w:tc>
          <w:tcPr>
            <w:tcW w:w="0" w:type="dxa"/>
            <w:vAlign w:val="bottom"/>
          </w:tcPr>
          <w:p>
            <w:pPr>
              <w:spacing w:after="0"/>
              <w:rPr>
                <w:sz w:val="1"/>
                <w:szCs w:val="1"/>
                <w:color w:val="auto"/>
              </w:rPr>
            </w:pPr>
          </w:p>
        </w:tc>
      </w:tr>
      <w:tr>
        <w:trPr>
          <w:trHeight w:val="206"/>
        </w:trPr>
        <w:tc>
          <w:tcPr>
            <w:tcW w:w="56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ecommerce gross profit</w:t>
            </w:r>
          </w:p>
        </w:tc>
        <w:tc>
          <w:tcPr>
            <w:tcW w:w="200" w:type="dxa"/>
            <w:vAlign w:val="bottom"/>
            <w:tcBorders>
              <w:bottom w:val="single" w:sz="8" w:color="auto"/>
            </w:tcBorders>
            <w:shd w:val="clear" w:color="auto" w:fill="CFF0FC"/>
          </w:tcPr>
          <w:p>
            <w:pPr>
              <w:jc w:val="right"/>
              <w:ind w:right="11"/>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ind w:right="37"/>
              <w:spacing w:after="0"/>
              <w:rPr>
                <w:sz w:val="20"/>
                <w:szCs w:val="20"/>
                <w:color w:val="auto"/>
              </w:rPr>
            </w:pPr>
            <w:r>
              <w:rPr>
                <w:rFonts w:ascii="Arial" w:cs="Arial" w:eastAsia="Arial" w:hAnsi="Arial"/>
                <w:sz w:val="18"/>
                <w:szCs w:val="18"/>
                <w:color w:val="auto"/>
              </w:rPr>
              <w:t>49,638</w:t>
            </w:r>
          </w:p>
        </w:tc>
        <w:tc>
          <w:tcPr>
            <w:tcW w:w="12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jc w:val="right"/>
              <w:ind w:right="111"/>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7,219</w:t>
            </w:r>
          </w:p>
        </w:tc>
        <w:tc>
          <w:tcPr>
            <w:tcW w:w="12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42,419</w:t>
            </w:r>
          </w:p>
        </w:tc>
        <w:tc>
          <w:tcPr>
            <w:tcW w:w="120" w:type="dxa"/>
            <w:vAlign w:val="bottom"/>
            <w:tcBorders>
              <w:bottom w:val="single" w:sz="8" w:color="CFF0FC"/>
            </w:tcBorders>
            <w:shd w:val="clear" w:color="auto" w:fill="CFF0FC"/>
          </w:tcPr>
          <w:p>
            <w:pPr>
              <w:spacing w:after="0"/>
              <w:rPr>
                <w:sz w:val="17"/>
                <w:szCs w:val="17"/>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587.6%</w:t>
            </w:r>
          </w:p>
        </w:tc>
        <w:tc>
          <w:tcPr>
            <w:tcW w:w="0" w:type="dxa"/>
            <w:vAlign w:val="bottom"/>
          </w:tcPr>
          <w:p>
            <w:pPr>
              <w:spacing w:after="0"/>
              <w:rPr>
                <w:sz w:val="1"/>
                <w:szCs w:val="1"/>
                <w:color w:val="auto"/>
              </w:rPr>
            </w:pPr>
          </w:p>
        </w:tc>
      </w:tr>
      <w:tr>
        <w:trPr>
          <w:trHeight w:val="20"/>
        </w:trPr>
        <w:tc>
          <w:tcPr>
            <w:tcW w:w="56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5640" w:type="dxa"/>
            <w:vAlign w:val="bottom"/>
          </w:tcPr>
          <w:p>
            <w:pPr>
              <w:spacing w:after="0" w:line="193" w:lineRule="exact"/>
              <w:rPr>
                <w:sz w:val="20"/>
                <w:szCs w:val="20"/>
                <w:color w:val="auto"/>
              </w:rPr>
            </w:pPr>
            <w:r>
              <w:rPr>
                <w:rFonts w:ascii="Arial" w:cs="Arial" w:eastAsia="Arial" w:hAnsi="Arial"/>
                <w:sz w:val="18"/>
                <w:szCs w:val="18"/>
                <w:color w:val="auto"/>
              </w:rPr>
              <w:t>Average vehicle selling price per ecommerce unit</w:t>
            </w:r>
          </w:p>
        </w:tc>
        <w:tc>
          <w:tcPr>
            <w:tcW w:w="200" w:type="dxa"/>
            <w:vAlign w:val="bottom"/>
          </w:tcPr>
          <w:p>
            <w:pPr>
              <w:jc w:val="right"/>
              <w:ind w:right="11"/>
              <w:spacing w:after="0" w:line="193" w:lineRule="exact"/>
              <w:rPr>
                <w:sz w:val="20"/>
                <w:szCs w:val="20"/>
                <w:color w:val="auto"/>
              </w:rPr>
            </w:pPr>
            <w:r>
              <w:rPr>
                <w:rFonts w:ascii="Arial" w:cs="Arial" w:eastAsia="Arial" w:hAnsi="Arial"/>
                <w:sz w:val="18"/>
                <w:szCs w:val="18"/>
                <w:color w:val="auto"/>
                <w:w w:val="79"/>
              </w:rPr>
              <w:t>$</w:t>
            </w:r>
          </w:p>
        </w:tc>
        <w:tc>
          <w:tcPr>
            <w:tcW w:w="1120" w:type="dxa"/>
            <w:vAlign w:val="bottom"/>
          </w:tcPr>
          <w:p>
            <w:pPr>
              <w:jc w:val="right"/>
              <w:ind w:right="37"/>
              <w:spacing w:after="0" w:line="193" w:lineRule="exact"/>
              <w:rPr>
                <w:sz w:val="20"/>
                <w:szCs w:val="20"/>
                <w:color w:val="auto"/>
              </w:rPr>
            </w:pPr>
            <w:r>
              <w:rPr>
                <w:rFonts w:ascii="Arial" w:cs="Arial" w:eastAsia="Arial" w:hAnsi="Arial"/>
                <w:sz w:val="18"/>
                <w:szCs w:val="18"/>
                <w:color w:val="auto"/>
              </w:rPr>
              <w:t>30,601</w:t>
            </w:r>
          </w:p>
        </w:tc>
        <w:tc>
          <w:tcPr>
            <w:tcW w:w="120" w:type="dxa"/>
            <w:vAlign w:val="bottom"/>
          </w:tcPr>
          <w:p>
            <w:pPr>
              <w:spacing w:after="0"/>
              <w:rPr>
                <w:sz w:val="16"/>
                <w:szCs w:val="16"/>
                <w:color w:val="auto"/>
              </w:rPr>
            </w:pPr>
          </w:p>
        </w:tc>
        <w:tc>
          <w:tcPr>
            <w:tcW w:w="300" w:type="dxa"/>
            <w:vAlign w:val="bottom"/>
          </w:tcPr>
          <w:p>
            <w:pPr>
              <w:jc w:val="right"/>
              <w:ind w:right="111"/>
              <w:spacing w:after="0" w:line="193" w:lineRule="exact"/>
              <w:rPr>
                <w:sz w:val="20"/>
                <w:szCs w:val="20"/>
                <w:color w:val="auto"/>
              </w:rPr>
            </w:pPr>
            <w:r>
              <w:rPr>
                <w:rFonts w:ascii="Arial" w:cs="Arial" w:eastAsia="Arial" w:hAnsi="Arial"/>
                <w:sz w:val="18"/>
                <w:szCs w:val="18"/>
                <w:color w:val="auto"/>
                <w:w w:val="79"/>
              </w:rPr>
              <w:t>$</w:t>
            </w:r>
          </w:p>
        </w:tc>
        <w:tc>
          <w:tcPr>
            <w:tcW w:w="1020" w:type="dxa"/>
            <w:vAlign w:val="bottom"/>
          </w:tcPr>
          <w:p>
            <w:pPr>
              <w:jc w:val="right"/>
              <w:ind w:right="33"/>
              <w:spacing w:after="0" w:line="193" w:lineRule="exact"/>
              <w:rPr>
                <w:sz w:val="20"/>
                <w:szCs w:val="20"/>
                <w:color w:val="auto"/>
              </w:rPr>
            </w:pPr>
            <w:r>
              <w:rPr>
                <w:rFonts w:ascii="Arial" w:cs="Arial" w:eastAsia="Arial" w:hAnsi="Arial"/>
                <w:sz w:val="18"/>
                <w:szCs w:val="18"/>
                <w:color w:val="auto"/>
              </w:rPr>
              <w:t>25,393</w:t>
            </w:r>
          </w:p>
        </w:tc>
        <w:tc>
          <w:tcPr>
            <w:tcW w:w="120" w:type="dxa"/>
            <w:vAlign w:val="bottom"/>
          </w:tcPr>
          <w:p>
            <w:pPr>
              <w:spacing w:after="0"/>
              <w:rPr>
                <w:sz w:val="16"/>
                <w:szCs w:val="16"/>
                <w:color w:val="auto"/>
              </w:rPr>
            </w:pPr>
          </w:p>
        </w:tc>
        <w:tc>
          <w:tcPr>
            <w:tcW w:w="240" w:type="dxa"/>
            <w:vAlign w:val="bottom"/>
          </w:tcPr>
          <w:p>
            <w:pPr>
              <w:jc w:val="right"/>
              <w:ind w:right="51"/>
              <w:spacing w:after="0" w:line="193" w:lineRule="exact"/>
              <w:rPr>
                <w:sz w:val="20"/>
                <w:szCs w:val="20"/>
                <w:color w:val="auto"/>
              </w:rPr>
            </w:pPr>
            <w:r>
              <w:rPr>
                <w:rFonts w:ascii="Arial" w:cs="Arial" w:eastAsia="Arial" w:hAnsi="Arial"/>
                <w:sz w:val="18"/>
                <w:szCs w:val="18"/>
                <w:color w:val="auto"/>
                <w:w w:val="79"/>
              </w:rPr>
              <w:t>$</w:t>
            </w:r>
          </w:p>
        </w:tc>
        <w:tc>
          <w:tcPr>
            <w:tcW w:w="1080" w:type="dxa"/>
            <w:vAlign w:val="bottom"/>
          </w:tcPr>
          <w:p>
            <w:pPr>
              <w:jc w:val="right"/>
              <w:ind w:right="33"/>
              <w:spacing w:after="0" w:line="193" w:lineRule="exact"/>
              <w:rPr>
                <w:sz w:val="20"/>
                <w:szCs w:val="20"/>
                <w:color w:val="auto"/>
              </w:rPr>
            </w:pPr>
            <w:r>
              <w:rPr>
                <w:rFonts w:ascii="Arial" w:cs="Arial" w:eastAsia="Arial" w:hAnsi="Arial"/>
                <w:sz w:val="18"/>
                <w:szCs w:val="18"/>
                <w:color w:val="auto"/>
              </w:rPr>
              <w:t>5,208</w:t>
            </w:r>
          </w:p>
        </w:tc>
        <w:tc>
          <w:tcPr>
            <w:tcW w:w="120" w:type="dxa"/>
            <w:vAlign w:val="bottom"/>
          </w:tcPr>
          <w:p>
            <w:pPr>
              <w:spacing w:after="0"/>
              <w:rPr>
                <w:sz w:val="16"/>
                <w:szCs w:val="16"/>
                <w:color w:val="auto"/>
              </w:rPr>
            </w:pPr>
          </w:p>
        </w:tc>
        <w:tc>
          <w:tcPr>
            <w:tcW w:w="1280" w:type="dxa"/>
            <w:vAlign w:val="bottom"/>
          </w:tcPr>
          <w:p>
            <w:pPr>
              <w:jc w:val="right"/>
              <w:spacing w:after="0" w:line="193" w:lineRule="exact"/>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13"/>
        </w:trPr>
        <w:tc>
          <w:tcPr>
            <w:tcW w:w="5640" w:type="dxa"/>
            <w:vAlign w:val="bottom"/>
            <w:shd w:val="clear" w:color="auto" w:fill="CFF0FC"/>
          </w:tcPr>
          <w:p>
            <w:pPr>
              <w:spacing w:after="0"/>
              <w:rPr>
                <w:sz w:val="20"/>
                <w:szCs w:val="20"/>
                <w:color w:val="auto"/>
              </w:rPr>
            </w:pPr>
            <w:r>
              <w:rPr>
                <w:rFonts w:ascii="Arial" w:cs="Arial" w:eastAsia="Arial" w:hAnsi="Arial"/>
                <w:sz w:val="18"/>
                <w:szCs w:val="18"/>
                <w:color w:val="auto"/>
              </w:rPr>
              <w:t>Gross profit per ecommerce unit:</w:t>
            </w:r>
          </w:p>
        </w:tc>
        <w:tc>
          <w:tcPr>
            <w:tcW w:w="2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640" w:type="dxa"/>
            <w:vAlign w:val="bottom"/>
          </w:tcPr>
          <w:p>
            <w:pPr>
              <w:ind w:left="240"/>
              <w:spacing w:after="0"/>
              <w:rPr>
                <w:sz w:val="20"/>
                <w:szCs w:val="20"/>
                <w:color w:val="auto"/>
              </w:rPr>
            </w:pPr>
            <w:r>
              <w:rPr>
                <w:rFonts w:ascii="Arial" w:cs="Arial" w:eastAsia="Arial" w:hAnsi="Arial"/>
                <w:sz w:val="18"/>
                <w:szCs w:val="18"/>
                <w:color w:val="auto"/>
              </w:rPr>
              <w:t>Vehicle gross profit per ecommerce unit</w:t>
            </w:r>
          </w:p>
        </w:tc>
        <w:tc>
          <w:tcPr>
            <w:tcW w:w="200" w:type="dxa"/>
            <w:vAlign w:val="bottom"/>
          </w:tcPr>
          <w:p>
            <w:pPr>
              <w:jc w:val="right"/>
              <w:ind w:right="11"/>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37"/>
              <w:spacing w:after="0"/>
              <w:rPr>
                <w:sz w:val="20"/>
                <w:szCs w:val="20"/>
                <w:color w:val="auto"/>
              </w:rPr>
            </w:pPr>
            <w:r>
              <w:rPr>
                <w:rFonts w:ascii="Arial" w:cs="Arial" w:eastAsia="Arial" w:hAnsi="Arial"/>
                <w:sz w:val="18"/>
                <w:szCs w:val="18"/>
                <w:color w:val="auto"/>
              </w:rPr>
              <w:t>1,587</w:t>
            </w:r>
          </w:p>
        </w:tc>
        <w:tc>
          <w:tcPr>
            <w:tcW w:w="120" w:type="dxa"/>
            <w:vAlign w:val="bottom"/>
          </w:tcPr>
          <w:p>
            <w:pPr>
              <w:spacing w:after="0"/>
              <w:rPr>
                <w:sz w:val="18"/>
                <w:szCs w:val="18"/>
                <w:color w:val="auto"/>
              </w:rPr>
            </w:pPr>
          </w:p>
        </w:tc>
        <w:tc>
          <w:tcPr>
            <w:tcW w:w="300" w:type="dxa"/>
            <w:vAlign w:val="bottom"/>
          </w:tcPr>
          <w:p>
            <w:pPr>
              <w:jc w:val="right"/>
              <w:ind w:right="111"/>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314</w:t>
            </w:r>
          </w:p>
        </w:tc>
        <w:tc>
          <w:tcPr>
            <w:tcW w:w="120" w:type="dxa"/>
            <w:vAlign w:val="bottom"/>
          </w:tcPr>
          <w:p>
            <w:pPr>
              <w:spacing w:after="0"/>
              <w:rPr>
                <w:sz w:val="18"/>
                <w:szCs w:val="18"/>
                <w:color w:val="auto"/>
              </w:rPr>
            </w:pPr>
          </w:p>
        </w:tc>
        <w:tc>
          <w:tcPr>
            <w:tcW w:w="240" w:type="dxa"/>
            <w:vAlign w:val="bottom"/>
          </w:tcPr>
          <w:p>
            <w:pPr>
              <w:jc w:val="right"/>
              <w:ind w:right="51"/>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1,273</w:t>
            </w: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405.4%</w:t>
            </w:r>
          </w:p>
        </w:tc>
        <w:tc>
          <w:tcPr>
            <w:tcW w:w="0" w:type="dxa"/>
            <w:vAlign w:val="bottom"/>
          </w:tcPr>
          <w:p>
            <w:pPr>
              <w:spacing w:after="0"/>
              <w:rPr>
                <w:sz w:val="1"/>
                <w:szCs w:val="1"/>
                <w:color w:val="auto"/>
              </w:rPr>
            </w:pPr>
          </w:p>
        </w:tc>
      </w:tr>
      <w:tr>
        <w:trPr>
          <w:trHeight w:val="213"/>
        </w:trPr>
        <w:tc>
          <w:tcPr>
            <w:tcW w:w="56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Product gross profit per ecommerce unit</w:t>
            </w:r>
          </w:p>
        </w:tc>
        <w:tc>
          <w:tcPr>
            <w:tcW w:w="20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37"/>
              <w:spacing w:after="0"/>
              <w:rPr>
                <w:sz w:val="20"/>
                <w:szCs w:val="20"/>
                <w:color w:val="auto"/>
              </w:rPr>
            </w:pPr>
            <w:r>
              <w:rPr>
                <w:rFonts w:ascii="Arial" w:cs="Arial" w:eastAsia="Arial" w:hAnsi="Arial"/>
                <w:sz w:val="18"/>
                <w:szCs w:val="18"/>
                <w:color w:val="auto"/>
              </w:rPr>
              <w:t>1,131</w:t>
            </w:r>
          </w:p>
        </w:tc>
        <w:tc>
          <w:tcPr>
            <w:tcW w:w="12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761</w:t>
            </w:r>
          </w:p>
        </w:tc>
        <w:tc>
          <w:tcPr>
            <w:tcW w:w="12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370</w:t>
            </w:r>
          </w:p>
        </w:tc>
        <w:tc>
          <w:tcPr>
            <w:tcW w:w="120" w:type="dxa"/>
            <w:vAlign w:val="bottom"/>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48.6%</w:t>
            </w:r>
          </w:p>
        </w:tc>
        <w:tc>
          <w:tcPr>
            <w:tcW w:w="0" w:type="dxa"/>
            <w:vAlign w:val="bottom"/>
          </w:tcPr>
          <w:p>
            <w:pPr>
              <w:spacing w:after="0"/>
              <w:rPr>
                <w:sz w:val="1"/>
                <w:szCs w:val="1"/>
                <w:color w:val="auto"/>
              </w:rPr>
            </w:pPr>
          </w:p>
        </w:tc>
      </w:tr>
      <w:tr>
        <w:trPr>
          <w:trHeight w:val="246"/>
        </w:trPr>
        <w:tc>
          <w:tcPr>
            <w:tcW w:w="56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gross profit per ecommerce unit</w:t>
            </w:r>
          </w:p>
        </w:tc>
        <w:tc>
          <w:tcPr>
            <w:tcW w:w="2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2,718</w:t>
            </w:r>
          </w:p>
        </w:tc>
        <w:tc>
          <w:tcPr>
            <w:tcW w:w="120" w:type="dxa"/>
            <w:vAlign w:val="bottom"/>
            <w:tcBorders>
              <w:bottom w:val="single" w:sz="8" w:color="CFF0FC"/>
            </w:tcBorders>
          </w:tcPr>
          <w:p>
            <w:pPr>
              <w:spacing w:after="0"/>
              <w:rPr>
                <w:sz w:val="21"/>
                <w:szCs w:val="21"/>
                <w:color w:val="auto"/>
              </w:rPr>
            </w:pPr>
          </w:p>
        </w:tc>
        <w:tc>
          <w:tcPr>
            <w:tcW w:w="30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1,075</w:t>
            </w:r>
          </w:p>
        </w:tc>
        <w:tc>
          <w:tcPr>
            <w:tcW w:w="120" w:type="dxa"/>
            <w:vAlign w:val="bottom"/>
            <w:tcBorders>
              <w:bottom w:val="single" w:sz="8" w:color="CFF0FC"/>
            </w:tcBorders>
          </w:tcPr>
          <w:p>
            <w:pPr>
              <w:spacing w:after="0"/>
              <w:rPr>
                <w:sz w:val="21"/>
                <w:szCs w:val="21"/>
                <w:color w:val="auto"/>
              </w:rPr>
            </w:pPr>
          </w:p>
        </w:tc>
        <w:tc>
          <w:tcPr>
            <w:tcW w:w="2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1,643</w:t>
            </w:r>
          </w:p>
        </w:tc>
        <w:tc>
          <w:tcPr>
            <w:tcW w:w="120" w:type="dxa"/>
            <w:vAlign w:val="bottom"/>
            <w:tcBorders>
              <w:bottom w:val="single" w:sz="8" w:color="CFF0FC"/>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152.8%</w:t>
            </w:r>
          </w:p>
        </w:tc>
        <w:tc>
          <w:tcPr>
            <w:tcW w:w="0" w:type="dxa"/>
            <w:vAlign w:val="bottom"/>
          </w:tcPr>
          <w:p>
            <w:pPr>
              <w:spacing w:after="0"/>
              <w:rPr>
                <w:sz w:val="1"/>
                <w:szCs w:val="1"/>
                <w:color w:val="auto"/>
              </w:rPr>
            </w:pPr>
          </w:p>
        </w:tc>
      </w:tr>
      <w:tr>
        <w:trPr>
          <w:trHeight w:val="193"/>
        </w:trPr>
        <w:tc>
          <w:tcPr>
            <w:tcW w:w="5640" w:type="dxa"/>
            <w:vAlign w:val="bottom"/>
            <w:shd w:val="clear" w:color="auto" w:fill="CFF0FC"/>
          </w:tcPr>
          <w:p>
            <w:pPr>
              <w:spacing w:after="0" w:line="193" w:lineRule="exact"/>
              <w:rPr>
                <w:sz w:val="20"/>
                <w:szCs w:val="20"/>
                <w:color w:val="auto"/>
              </w:rPr>
            </w:pPr>
            <w:r>
              <w:rPr>
                <w:rFonts w:ascii="Arial" w:cs="Arial" w:eastAsia="Arial" w:hAnsi="Arial"/>
                <w:sz w:val="18"/>
                <w:szCs w:val="18"/>
                <w:color w:val="auto"/>
              </w:rPr>
              <w:t>Ecommerce average days to sale</w:t>
            </w:r>
          </w:p>
        </w:tc>
        <w:tc>
          <w:tcPr>
            <w:tcW w:w="200" w:type="dxa"/>
            <w:vAlign w:val="bottom"/>
            <w:shd w:val="clear" w:color="auto" w:fill="CFF0FC"/>
          </w:tcPr>
          <w:p>
            <w:pPr>
              <w:spacing w:after="0"/>
              <w:rPr>
                <w:sz w:val="16"/>
                <w:szCs w:val="16"/>
                <w:color w:val="auto"/>
              </w:rPr>
            </w:pPr>
          </w:p>
        </w:tc>
        <w:tc>
          <w:tcPr>
            <w:tcW w:w="1120" w:type="dxa"/>
            <w:vAlign w:val="bottom"/>
            <w:shd w:val="clear" w:color="auto" w:fill="CFF0FC"/>
          </w:tcPr>
          <w:p>
            <w:pPr>
              <w:jc w:val="right"/>
              <w:ind w:right="37"/>
              <w:spacing w:after="0" w:line="193" w:lineRule="exact"/>
              <w:rPr>
                <w:sz w:val="20"/>
                <w:szCs w:val="20"/>
                <w:color w:val="auto"/>
              </w:rPr>
            </w:pPr>
            <w:r>
              <w:rPr>
                <w:rFonts w:ascii="Arial" w:cs="Arial" w:eastAsia="Arial" w:hAnsi="Arial"/>
                <w:sz w:val="18"/>
                <w:szCs w:val="18"/>
                <w:color w:val="auto"/>
              </w:rPr>
              <w:t>68</w:t>
            </w:r>
          </w:p>
        </w:tc>
        <w:tc>
          <w:tcPr>
            <w:tcW w:w="12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20" w:type="dxa"/>
            <w:vAlign w:val="bottom"/>
            <w:shd w:val="clear" w:color="auto" w:fill="CFF0FC"/>
          </w:tcPr>
          <w:p>
            <w:pPr>
              <w:jc w:val="right"/>
              <w:ind w:right="33"/>
              <w:spacing w:after="0" w:line="193" w:lineRule="exact"/>
              <w:rPr>
                <w:sz w:val="20"/>
                <w:szCs w:val="20"/>
                <w:color w:val="auto"/>
              </w:rPr>
            </w:pPr>
            <w:r>
              <w:rPr>
                <w:rFonts w:ascii="Arial" w:cs="Arial" w:eastAsia="Arial" w:hAnsi="Arial"/>
                <w:sz w:val="18"/>
                <w:szCs w:val="18"/>
                <w:color w:val="auto"/>
              </w:rPr>
              <w:t>66</w:t>
            </w:r>
          </w:p>
        </w:tc>
        <w:tc>
          <w:tcPr>
            <w:tcW w:w="1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80" w:type="dxa"/>
            <w:vAlign w:val="bottom"/>
            <w:shd w:val="clear" w:color="auto" w:fill="CFF0FC"/>
          </w:tcPr>
          <w:p>
            <w:pPr>
              <w:jc w:val="right"/>
              <w:ind w:right="33"/>
              <w:spacing w:after="0" w:line="193" w:lineRule="exact"/>
              <w:rPr>
                <w:sz w:val="20"/>
                <w:szCs w:val="20"/>
                <w:color w:val="auto"/>
              </w:rPr>
            </w:pPr>
            <w:r>
              <w:rPr>
                <w:rFonts w:ascii="Arial" w:cs="Arial" w:eastAsia="Arial" w:hAnsi="Arial"/>
                <w:sz w:val="18"/>
                <w:szCs w:val="18"/>
                <w:color w:val="auto"/>
              </w:rPr>
              <w:t>2</w:t>
            </w:r>
          </w:p>
        </w:tc>
        <w:tc>
          <w:tcPr>
            <w:tcW w:w="120" w:type="dxa"/>
            <w:vAlign w:val="bottom"/>
            <w:shd w:val="clear" w:color="auto" w:fill="CFF0FC"/>
          </w:tcPr>
          <w:p>
            <w:pPr>
              <w:spacing w:after="0"/>
              <w:rPr>
                <w:sz w:val="16"/>
                <w:szCs w:val="16"/>
                <w:color w:val="auto"/>
              </w:rPr>
            </w:pPr>
          </w:p>
        </w:tc>
        <w:tc>
          <w:tcPr>
            <w:tcW w:w="1280" w:type="dxa"/>
            <w:vAlign w:val="bottom"/>
            <w:shd w:val="clear" w:color="auto" w:fill="CFF0FC"/>
          </w:tcPr>
          <w:p>
            <w:pPr>
              <w:jc w:val="right"/>
              <w:spacing w:after="0" w:line="193"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bl>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Ecommerce units</w:t>
      </w:r>
    </w:p>
    <w:p>
      <w:pPr>
        <w:spacing w:after="0" w:line="214" w:lineRule="exact"/>
        <w:rPr>
          <w:sz w:val="20"/>
          <w:szCs w:val="20"/>
          <w:color w:val="auto"/>
        </w:rPr>
      </w:pPr>
    </w:p>
    <w:p>
      <w:pPr>
        <w:ind w:right="40" w:firstLine="762"/>
        <w:spacing w:after="0" w:line="233" w:lineRule="auto"/>
        <w:rPr>
          <w:sz w:val="20"/>
          <w:szCs w:val="20"/>
          <w:color w:val="auto"/>
        </w:rPr>
      </w:pPr>
      <w:r>
        <w:rPr>
          <w:rFonts w:ascii="Arial" w:cs="Arial" w:eastAsia="Arial" w:hAnsi="Arial"/>
          <w:sz w:val="18"/>
          <w:szCs w:val="18"/>
          <w:color w:val="auto"/>
        </w:rPr>
        <w:t>Ecommerce units sold increased 11,555, or 172.1%, from 6,713 for the three months ended June 30, 2020 to 18,268 for the three months ended June 30, 2021. This increase was attributable to higher inventory levels, strong national brand recognition driven by our national advertising campaign, an acceleration in the popularity of our business model due to disruptions related to the COVID-19 pandemic and strong market demand for used vehicles, as well as further process improvements in our ecommerce platform. Average monthly unique visitors to our website grew from 999,899 for the three months ended June 30, 2020 to 1,749,480 for the three months ended June 30, 2021, representing year over year growth of 75.0%. We expect ecommerce units sold to continue to grow in the future as we increase our inventory selection and marketing efforts as well as improve conversion.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Vehicle Revenue</w:t>
      </w:r>
    </w:p>
    <w:p>
      <w:pPr>
        <w:spacing w:after="0" w:line="228" w:lineRule="exact"/>
        <w:rPr>
          <w:sz w:val="20"/>
          <w:szCs w:val="20"/>
          <w:color w:val="auto"/>
        </w:rPr>
      </w:pPr>
    </w:p>
    <w:p>
      <w:pPr>
        <w:ind w:right="100" w:firstLine="762"/>
        <w:spacing w:after="0" w:line="233" w:lineRule="auto"/>
        <w:rPr>
          <w:sz w:val="20"/>
          <w:szCs w:val="20"/>
          <w:color w:val="auto"/>
        </w:rPr>
      </w:pPr>
      <w:r>
        <w:rPr>
          <w:rFonts w:ascii="Arial" w:cs="Arial" w:eastAsia="Arial" w:hAnsi="Arial"/>
          <w:sz w:val="18"/>
          <w:szCs w:val="18"/>
          <w:color w:val="auto"/>
        </w:rPr>
        <w:t>Ecommerce vehicle revenue increased $388.5 million, or 227.9%, from $170.5 million for the three months ended June 30, 2020 to $559.0 million for the three months ended June 30, 2021. The increase in ecommerce vehicle revenue was primarily attributable to the 11,555 increase in ecommerce units sold, which increased vehicle revenue by $293.4 million, as well as a higher ASP per unit primarily due to market appreciation, which increased from $25,393 for the three months ended June 30, 2020 to $30,601 for the three months ended June 30, 2021, and increased vehicle revenue by $95.1 million. Furthermore, in the second quarter of 2020, we made a strategic decision to reduce vehicle pricing in order to sell pre-COVID-19 inventory, which negatively impacted vehicle revenue for that quarter. Although we expect ASP to fluctuate in the short-term as a result of market conditions, our long-term strategy continues to move us toward lower-priced inventory, which we expect will result in a lower ASP.</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Revenue</w:t>
      </w:r>
    </w:p>
    <w:p>
      <w:pPr>
        <w:spacing w:after="0" w:line="20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Ecommerce product revenue increased $15.6 million, or 304.3%, from $5.1 million for the three months ended June 30, 2020 to</w:t>
      </w:r>
    </w:p>
    <w:p>
      <w:pPr>
        <w:spacing w:after="0" w:line="231" w:lineRule="auto"/>
        <w:rPr>
          <w:sz w:val="20"/>
          <w:szCs w:val="20"/>
          <w:color w:val="auto"/>
        </w:rPr>
      </w:pPr>
      <w:r>
        <w:rPr>
          <w:rFonts w:ascii="Arial" w:cs="Arial" w:eastAsia="Arial" w:hAnsi="Arial"/>
          <w:sz w:val="18"/>
          <w:szCs w:val="18"/>
          <w:color w:val="auto"/>
        </w:rPr>
        <w:t>$20.7 million for the three months ended June 30, 2021. The increase in ecommerce product revenue was primarily attributable to the 11,555</w:t>
      </w:r>
    </w:p>
    <w:p>
      <w:pPr>
        <w:spacing w:after="0"/>
        <w:rPr>
          <w:sz w:val="20"/>
          <w:szCs w:val="20"/>
          <w:color w:val="auto"/>
        </w:rPr>
      </w:pPr>
      <w:r>
        <w:rPr>
          <w:rFonts w:ascii="Arial" w:cs="Arial" w:eastAsia="Arial" w:hAnsi="Arial"/>
          <w:sz w:val="17"/>
          <w:szCs w:val="17"/>
          <w:color w:val="auto"/>
        </w:rPr>
        <w:t>increase in ecommerce units sold, which increased product revenue by $8.8 million as well as an increase in product revenue per unit of $370,</w:t>
      </w:r>
    </w:p>
    <w:p>
      <w:pPr>
        <w:spacing w:after="0" w:line="236" w:lineRule="auto"/>
        <w:rPr>
          <w:sz w:val="20"/>
          <w:szCs w:val="20"/>
          <w:color w:val="auto"/>
        </w:rPr>
      </w:pPr>
      <w:r>
        <w:rPr>
          <w:rFonts w:ascii="Arial" w:cs="Arial" w:eastAsia="Arial" w:hAnsi="Arial"/>
          <w:sz w:val="18"/>
          <w:szCs w:val="18"/>
          <w:color w:val="auto"/>
        </w:rPr>
        <w:t>which increased product revenue by $6.8 million. Product revenue per unit increased from $761 for the three months ended June 30, 2020 to</w:t>
      </w:r>
    </w:p>
    <w:p>
      <w:pPr>
        <w:spacing w:after="0"/>
        <w:rPr>
          <w:sz w:val="20"/>
          <w:szCs w:val="20"/>
          <w:color w:val="auto"/>
        </w:rPr>
      </w:pPr>
      <w:r>
        <w:rPr>
          <w:rFonts w:ascii="Arial" w:cs="Arial" w:eastAsia="Arial" w:hAnsi="Arial"/>
          <w:sz w:val="17"/>
          <w:szCs w:val="17"/>
          <w:color w:val="auto"/>
        </w:rPr>
        <w:t>$1,131 for the three months ended June 30, 2021, primarily due to higher attachment rates and an increase in the average loan size as a result</w:t>
      </w:r>
    </w:p>
    <w:p>
      <w:pPr>
        <w:spacing w:after="0" w:line="236" w:lineRule="auto"/>
        <w:rPr>
          <w:sz w:val="20"/>
          <w:szCs w:val="20"/>
          <w:color w:val="auto"/>
        </w:rPr>
      </w:pPr>
      <w:r>
        <w:rPr>
          <w:rFonts w:ascii="Arial" w:cs="Arial" w:eastAsia="Arial" w:hAnsi="Arial"/>
          <w:sz w:val="18"/>
          <w:szCs w:val="18"/>
          <w:color w:val="auto"/>
        </w:rPr>
        <w:t>of higher ASP. We expect ecommerce product revenue will continue to grow in the future driven by increases in ecommerce units sold, new</w:t>
      </w:r>
    </w:p>
    <w:p>
      <w:pPr>
        <w:spacing w:after="0"/>
        <w:rPr>
          <w:sz w:val="20"/>
          <w:szCs w:val="20"/>
          <w:color w:val="auto"/>
        </w:rPr>
      </w:pPr>
      <w:r>
        <w:rPr>
          <w:rFonts w:ascii="Arial" w:cs="Arial" w:eastAsia="Arial" w:hAnsi="Arial"/>
          <w:sz w:val="18"/>
          <w:szCs w:val="18"/>
          <w:color w:val="auto"/>
        </w:rPr>
        <w:t>product offerings, initiatives to improve product attachment rates and increases in per unit profit.</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50800</wp:posOffset>
            </wp:positionV>
            <wp:extent cx="715962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Vehicle Gross Profit</w:t>
      </w:r>
    </w:p>
    <w:p>
      <w:pPr>
        <w:spacing w:after="0" w:line="228" w:lineRule="exact"/>
        <w:rPr>
          <w:sz w:val="20"/>
          <w:szCs w:val="20"/>
          <w:color w:val="auto"/>
        </w:rPr>
      </w:pPr>
    </w:p>
    <w:p>
      <w:pPr>
        <w:ind w:right="100" w:firstLine="762"/>
        <w:spacing w:after="0" w:line="232" w:lineRule="auto"/>
        <w:rPr>
          <w:sz w:val="20"/>
          <w:szCs w:val="20"/>
          <w:color w:val="auto"/>
        </w:rPr>
      </w:pPr>
      <w:r>
        <w:rPr>
          <w:rFonts w:ascii="Arial" w:cs="Arial" w:eastAsia="Arial" w:hAnsi="Arial"/>
          <w:sz w:val="18"/>
          <w:szCs w:val="18"/>
          <w:color w:val="auto"/>
        </w:rPr>
        <w:t>Ecommerce vehicle gross profit increased $26.8 million, from $ 2.1 million for the three months ended June 30, 2020 to $28.9 million for the three months ended June 30, 2021. The increase in vehicle gross profit was primarily attributable to a $1,273 increase in vehicle gross profit per unit, which increased vehicle gross profit by $23.3 million as well as the 11,555 increase in ecommerce units sold, which increased vehicle gross profit by $3.5 million. Vehicle gross profit per unit increased from $314 for the three months ended June 30, 2020 to $1,587 for the three months ended June 30, 2021, primarily attributable to higher sales margins (sales price less purchase price of vehicles sold) and improvements in reconditioning and inbound logistics costs, partially offset by a higher inventory reserve as a result of an increase in inventory levels. Strong sales margin per unit was partially driven by a record retail pricing environment during the second quarter of 2021 as well as an increase in vehicles sourced directly from consumers and further improvements in our pricing methodologies. Additionally, in the second quarter of 2020, our sales margin was negatively impacted by a strategic decision to reduce vehicle pricing in order to sell pre-COVID-19 inventory. Based on data from Cox Automotive, retail prices are expected to peak in the third quarter and begin to gradually return to normal market conditions and vehicle depreciation during the second half of 2021.</w:t>
      </w:r>
    </w:p>
    <w:p>
      <w:pPr>
        <w:spacing w:after="0" w:line="208" w:lineRule="exact"/>
        <w:rPr>
          <w:sz w:val="20"/>
          <w:szCs w:val="20"/>
          <w:color w:val="auto"/>
        </w:rPr>
      </w:pPr>
    </w:p>
    <w:p>
      <w:pPr>
        <w:ind w:right="280" w:firstLine="762"/>
        <w:spacing w:after="0" w:line="236" w:lineRule="auto"/>
        <w:rPr>
          <w:sz w:val="20"/>
          <w:szCs w:val="20"/>
          <w:color w:val="auto"/>
        </w:rPr>
      </w:pPr>
      <w:r>
        <w:rPr>
          <w:rFonts w:ascii="Arial" w:cs="Arial" w:eastAsia="Arial" w:hAnsi="Arial"/>
          <w:sz w:val="18"/>
          <w:szCs w:val="18"/>
          <w:color w:val="auto"/>
        </w:rPr>
        <w:t>As we continue to mature our infrastructure, increase and optimize our network of VRCs, and optimize our logistics operations, we expect ecommerce vehicle gross profit per unit to increase in the future driven by optimizing our acquisition strategy and reducing costs in logistics and reconditioning.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Gross Profit</w:t>
      </w:r>
    </w:p>
    <w:p>
      <w:pPr>
        <w:spacing w:after="0" w:line="228" w:lineRule="exact"/>
        <w:rPr>
          <w:sz w:val="20"/>
          <w:szCs w:val="20"/>
          <w:color w:val="auto"/>
        </w:rPr>
      </w:pPr>
    </w:p>
    <w:p>
      <w:pPr>
        <w:ind w:right="40" w:firstLine="762"/>
        <w:spacing w:after="0" w:line="233" w:lineRule="auto"/>
        <w:rPr>
          <w:sz w:val="20"/>
          <w:szCs w:val="20"/>
          <w:color w:val="auto"/>
        </w:rPr>
      </w:pPr>
      <w:r>
        <w:rPr>
          <w:rFonts w:ascii="Arial" w:cs="Arial" w:eastAsia="Arial" w:hAnsi="Arial"/>
          <w:sz w:val="18"/>
          <w:szCs w:val="18"/>
          <w:color w:val="auto"/>
        </w:rPr>
        <w:t>Ecommerce product gross profit increased $15.6 million, or 304.3%, from $ 5.1 million for the three months ended June 30, 2020 to $20.7 million for the three months ended June 30, 2021. The increase in ecommerce product gross profit was primarily attributable to the 11,555 increase in ecommerce units sold which increased product gross profit by $8.8 million, as well as an increase in product gross profit per unit of $370, which increased product gross profit by $6.8 million. Product gross profit per unit increased from $761 for the three months ended June 30, 2020 to $1,131 for the three months ended June 30, 2021, primarily due to higher attachment rates and an increase in the average loan size as a result of higher ASP. We expect ecommerce product gross profit will continue to grow in the future driven by increases in ecommerce units sold, new product offerings, initiatives to improve product attachment rates and increases in per unit profit.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Wholesale</w:t>
      </w:r>
    </w:p>
    <w:p>
      <w:pPr>
        <w:spacing w:after="0" w:line="22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presents our Wholesale segment results of operations for the periods indicated: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700" w:type="dxa"/>
            <w:vAlign w:val="bottom"/>
            <w:gridSpan w:val="5"/>
          </w:tcPr>
          <w:p>
            <w:pPr>
              <w:ind w:left="50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56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3"/>
          </w:tcPr>
          <w:p>
            <w:pPr>
              <w:jc w:val="right"/>
              <w:ind w:right="11"/>
              <w:spacing w:after="0"/>
              <w:rPr>
                <w:sz w:val="20"/>
                <w:szCs w:val="20"/>
                <w:color w:val="auto"/>
              </w:rPr>
            </w:pPr>
            <w:r>
              <w:rPr>
                <w:rFonts w:ascii="Arial" w:cs="Arial" w:eastAsia="Arial" w:hAnsi="Arial"/>
                <w:sz w:val="14"/>
                <w:szCs w:val="14"/>
                <w:b w:val="1"/>
                <w:bCs w:val="1"/>
                <w:color w:val="auto"/>
              </w:rPr>
              <w:t>June 30,</w:t>
            </w:r>
          </w:p>
        </w:tc>
        <w:tc>
          <w:tcPr>
            <w:tcW w:w="10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vMerge w:val="restart"/>
          </w:tcPr>
          <w:p>
            <w:pPr>
              <w:jc w:val="right"/>
              <w:ind w:right="314"/>
              <w:spacing w:after="0"/>
              <w:rPr>
                <w:sz w:val="20"/>
                <w:szCs w:val="20"/>
                <w:color w:val="auto"/>
              </w:rPr>
            </w:pPr>
            <w:r>
              <w:rPr>
                <w:rFonts w:ascii="Arial" w:cs="Arial" w:eastAsia="Arial" w:hAnsi="Arial"/>
                <w:sz w:val="14"/>
                <w:szCs w:val="14"/>
                <w:b w:val="1"/>
                <w:bCs w:val="1"/>
                <w:color w:val="auto"/>
              </w:rPr>
              <w:t>Change</w:t>
            </w:r>
          </w:p>
        </w:tc>
        <w:tc>
          <w:tcPr>
            <w:tcW w:w="120" w:type="dxa"/>
            <w:vAlign w:val="bottom"/>
            <w:vMerge w:val="restart"/>
          </w:tcPr>
          <w:p>
            <w:pPr>
              <w:spacing w:after="0"/>
              <w:rPr>
                <w:sz w:val="15"/>
                <w:szCs w:val="15"/>
                <w:color w:val="auto"/>
              </w:rPr>
            </w:pPr>
          </w:p>
        </w:tc>
        <w:tc>
          <w:tcPr>
            <w:tcW w:w="1320" w:type="dxa"/>
            <w:vAlign w:val="bottom"/>
            <w:vMerge w:val="restart"/>
          </w:tcPr>
          <w:p>
            <w:pPr>
              <w:jc w:val="right"/>
              <w:ind w:right="354"/>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66"/>
        </w:trPr>
        <w:tc>
          <w:tcPr>
            <w:tcW w:w="56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13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5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700" w:type="dxa"/>
            <w:vAlign w:val="bottom"/>
            <w:gridSpan w:val="5"/>
          </w:tcPr>
          <w:p>
            <w:pPr>
              <w:ind w:left="60"/>
              <w:spacing w:after="0"/>
              <w:rPr>
                <w:sz w:val="20"/>
                <w:szCs w:val="20"/>
                <w:color w:val="auto"/>
              </w:rPr>
            </w:pPr>
            <w:r>
              <w:rPr>
                <w:rFonts w:ascii="Arial" w:cs="Arial" w:eastAsia="Arial" w:hAnsi="Arial"/>
                <w:sz w:val="14"/>
                <w:szCs w:val="14"/>
                <w:b w:val="1"/>
                <w:bCs w:val="1"/>
                <w:color w:val="auto"/>
              </w:rPr>
              <w:t>(in thousands, except unit data)</w:t>
            </w: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5600" w:type="dxa"/>
            <w:vAlign w:val="bottom"/>
            <w:shd w:val="clear" w:color="auto" w:fill="CFF0FC"/>
          </w:tcPr>
          <w:p>
            <w:pPr>
              <w:spacing w:after="0"/>
              <w:rPr>
                <w:sz w:val="20"/>
                <w:szCs w:val="20"/>
                <w:color w:val="auto"/>
              </w:rPr>
            </w:pPr>
            <w:r>
              <w:rPr>
                <w:rFonts w:ascii="Arial" w:cs="Arial" w:eastAsia="Arial" w:hAnsi="Arial"/>
                <w:sz w:val="18"/>
                <w:szCs w:val="18"/>
                <w:color w:val="auto"/>
              </w:rPr>
              <w:t>Wholesale units sold</w:t>
            </w:r>
          </w:p>
        </w:tc>
        <w:tc>
          <w:tcPr>
            <w:tcW w:w="18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10,020</w:t>
            </w: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3,259</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6,761</w:t>
            </w:r>
          </w:p>
        </w:tc>
        <w:tc>
          <w:tcPr>
            <w:tcW w:w="12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207.5%</w:t>
            </w:r>
          </w:p>
        </w:tc>
        <w:tc>
          <w:tcPr>
            <w:tcW w:w="0" w:type="dxa"/>
            <w:vAlign w:val="bottom"/>
          </w:tcPr>
          <w:p>
            <w:pPr>
              <w:spacing w:after="0"/>
              <w:rPr>
                <w:sz w:val="1"/>
                <w:szCs w:val="1"/>
                <w:color w:val="auto"/>
              </w:rPr>
            </w:pPr>
          </w:p>
        </w:tc>
      </w:tr>
      <w:tr>
        <w:trPr>
          <w:trHeight w:val="213"/>
        </w:trPr>
        <w:tc>
          <w:tcPr>
            <w:tcW w:w="5600" w:type="dxa"/>
            <w:vAlign w:val="bottom"/>
          </w:tcPr>
          <w:p>
            <w:pPr>
              <w:spacing w:after="0"/>
              <w:rPr>
                <w:sz w:val="20"/>
                <w:szCs w:val="20"/>
                <w:color w:val="auto"/>
              </w:rPr>
            </w:pPr>
            <w:r>
              <w:rPr>
                <w:rFonts w:ascii="Arial" w:cs="Arial" w:eastAsia="Arial" w:hAnsi="Arial"/>
                <w:sz w:val="18"/>
                <w:szCs w:val="18"/>
                <w:color w:val="auto"/>
              </w:rPr>
              <w:t>Wholesale revenue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39"/>
              <w:spacing w:after="0"/>
              <w:rPr>
                <w:sz w:val="20"/>
                <w:szCs w:val="20"/>
                <w:color w:val="auto"/>
              </w:rPr>
            </w:pPr>
            <w:r>
              <w:rPr>
                <w:rFonts w:ascii="Arial" w:cs="Arial" w:eastAsia="Arial" w:hAnsi="Arial"/>
                <w:sz w:val="18"/>
                <w:szCs w:val="18"/>
                <w:color w:val="auto"/>
              </w:rPr>
              <w:t>128,108</w:t>
            </w:r>
          </w:p>
        </w:tc>
        <w:tc>
          <w:tcPr>
            <w:tcW w:w="120" w:type="dxa"/>
            <w:vAlign w:val="bottom"/>
          </w:tcPr>
          <w:p>
            <w:pPr>
              <w:spacing w:after="0"/>
              <w:rPr>
                <w:sz w:val="18"/>
                <w:szCs w:val="18"/>
                <w:color w:val="auto"/>
              </w:rPr>
            </w:pPr>
          </w:p>
        </w:tc>
        <w:tc>
          <w:tcPr>
            <w:tcW w:w="320" w:type="dxa"/>
            <w:vAlign w:val="bottom"/>
          </w:tcPr>
          <w:p>
            <w:pPr>
              <w:jc w:val="right"/>
              <w:ind w:right="131"/>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50,921</w:t>
            </w:r>
          </w:p>
        </w:tc>
        <w:tc>
          <w:tcPr>
            <w:tcW w:w="120" w:type="dxa"/>
            <w:vAlign w:val="bottom"/>
          </w:tcPr>
          <w:p>
            <w:pPr>
              <w:spacing w:after="0"/>
              <w:rPr>
                <w:sz w:val="18"/>
                <w:szCs w:val="18"/>
                <w:color w:val="auto"/>
              </w:rPr>
            </w:pPr>
          </w:p>
        </w:tc>
        <w:tc>
          <w:tcPr>
            <w:tcW w:w="240" w:type="dxa"/>
            <w:vAlign w:val="bottom"/>
          </w:tcPr>
          <w:p>
            <w:pPr>
              <w:jc w:val="right"/>
              <w:ind w:right="51"/>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77,187</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151.6%</w:t>
            </w:r>
          </w:p>
        </w:tc>
        <w:tc>
          <w:tcPr>
            <w:tcW w:w="0" w:type="dxa"/>
            <w:vAlign w:val="bottom"/>
          </w:tcPr>
          <w:p>
            <w:pPr>
              <w:spacing w:after="0"/>
              <w:rPr>
                <w:sz w:val="1"/>
                <w:szCs w:val="1"/>
                <w:color w:val="auto"/>
              </w:rPr>
            </w:pPr>
          </w:p>
        </w:tc>
      </w:tr>
      <w:tr>
        <w:trPr>
          <w:trHeight w:val="213"/>
        </w:trPr>
        <w:tc>
          <w:tcPr>
            <w:tcW w:w="5600" w:type="dxa"/>
            <w:vAlign w:val="bottom"/>
            <w:shd w:val="clear" w:color="auto" w:fill="CFF0FC"/>
          </w:tcPr>
          <w:p>
            <w:pPr>
              <w:spacing w:after="0"/>
              <w:rPr>
                <w:sz w:val="20"/>
                <w:szCs w:val="20"/>
                <w:color w:val="auto"/>
              </w:rPr>
            </w:pPr>
            <w:r>
              <w:rPr>
                <w:rFonts w:ascii="Arial" w:cs="Arial" w:eastAsia="Arial" w:hAnsi="Arial"/>
                <w:sz w:val="18"/>
                <w:szCs w:val="18"/>
                <w:color w:val="auto"/>
              </w:rPr>
              <w:t>Wholesale gross profit (loss)</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8,516</w:t>
            </w: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31"/>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(543)</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9,059</w:t>
            </w:r>
          </w:p>
        </w:tc>
        <w:tc>
          <w:tcPr>
            <w:tcW w:w="12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1,668.3%</w:t>
            </w:r>
          </w:p>
        </w:tc>
        <w:tc>
          <w:tcPr>
            <w:tcW w:w="0" w:type="dxa"/>
            <w:vAlign w:val="bottom"/>
          </w:tcPr>
          <w:p>
            <w:pPr>
              <w:spacing w:after="0"/>
              <w:rPr>
                <w:sz w:val="1"/>
                <w:szCs w:val="1"/>
                <w:color w:val="auto"/>
              </w:rPr>
            </w:pPr>
          </w:p>
        </w:tc>
      </w:tr>
      <w:tr>
        <w:trPr>
          <w:trHeight w:val="213"/>
        </w:trPr>
        <w:tc>
          <w:tcPr>
            <w:tcW w:w="5600" w:type="dxa"/>
            <w:vAlign w:val="bottom"/>
          </w:tcPr>
          <w:p>
            <w:pPr>
              <w:spacing w:after="0"/>
              <w:rPr>
                <w:sz w:val="20"/>
                <w:szCs w:val="20"/>
                <w:color w:val="auto"/>
              </w:rPr>
            </w:pPr>
            <w:r>
              <w:rPr>
                <w:rFonts w:ascii="Arial" w:cs="Arial" w:eastAsia="Arial" w:hAnsi="Arial"/>
                <w:sz w:val="18"/>
                <w:szCs w:val="18"/>
                <w:color w:val="auto"/>
              </w:rPr>
              <w:t>Average selling price per unit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39"/>
              <w:spacing w:after="0"/>
              <w:rPr>
                <w:sz w:val="20"/>
                <w:szCs w:val="20"/>
                <w:color w:val="auto"/>
              </w:rPr>
            </w:pPr>
            <w:r>
              <w:rPr>
                <w:rFonts w:ascii="Arial" w:cs="Arial" w:eastAsia="Arial" w:hAnsi="Arial"/>
                <w:sz w:val="18"/>
                <w:szCs w:val="18"/>
                <w:color w:val="auto"/>
              </w:rPr>
              <w:t>12,785</w:t>
            </w:r>
          </w:p>
        </w:tc>
        <w:tc>
          <w:tcPr>
            <w:tcW w:w="120" w:type="dxa"/>
            <w:vAlign w:val="bottom"/>
          </w:tcPr>
          <w:p>
            <w:pPr>
              <w:spacing w:after="0"/>
              <w:rPr>
                <w:sz w:val="18"/>
                <w:szCs w:val="18"/>
                <w:color w:val="auto"/>
              </w:rPr>
            </w:pPr>
          </w:p>
        </w:tc>
        <w:tc>
          <w:tcPr>
            <w:tcW w:w="320" w:type="dxa"/>
            <w:vAlign w:val="bottom"/>
          </w:tcPr>
          <w:p>
            <w:pPr>
              <w:jc w:val="right"/>
              <w:ind w:right="131"/>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15,625</w:t>
            </w:r>
          </w:p>
        </w:tc>
        <w:tc>
          <w:tcPr>
            <w:tcW w:w="120" w:type="dxa"/>
            <w:vAlign w:val="bottom"/>
          </w:tcPr>
          <w:p>
            <w:pPr>
              <w:spacing w:after="0"/>
              <w:rPr>
                <w:sz w:val="18"/>
                <w:szCs w:val="18"/>
                <w:color w:val="auto"/>
              </w:rPr>
            </w:pPr>
          </w:p>
        </w:tc>
        <w:tc>
          <w:tcPr>
            <w:tcW w:w="240" w:type="dxa"/>
            <w:vAlign w:val="bottom"/>
          </w:tcPr>
          <w:p>
            <w:pPr>
              <w:jc w:val="right"/>
              <w:ind w:right="51"/>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(2,840)</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13"/>
        </w:trPr>
        <w:tc>
          <w:tcPr>
            <w:tcW w:w="5600" w:type="dxa"/>
            <w:vAlign w:val="bottom"/>
            <w:shd w:val="clear" w:color="auto" w:fill="CFF0FC"/>
          </w:tcPr>
          <w:p>
            <w:pPr>
              <w:spacing w:after="0"/>
              <w:rPr>
                <w:sz w:val="20"/>
                <w:szCs w:val="20"/>
                <w:color w:val="auto"/>
              </w:rPr>
            </w:pPr>
            <w:r>
              <w:rPr>
                <w:rFonts w:ascii="Arial" w:cs="Arial" w:eastAsia="Arial" w:hAnsi="Arial"/>
                <w:sz w:val="18"/>
                <w:szCs w:val="18"/>
                <w:color w:val="auto"/>
              </w:rPr>
              <w:t>Wholesale gross profit (loss) per unit</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850</w:t>
            </w: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31"/>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1,017</w:t>
            </w:r>
          </w:p>
        </w:tc>
        <w:tc>
          <w:tcPr>
            <w:tcW w:w="12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609.0%</w:t>
            </w:r>
          </w:p>
        </w:tc>
        <w:tc>
          <w:tcPr>
            <w:tcW w:w="0" w:type="dxa"/>
            <w:vAlign w:val="bottom"/>
          </w:tcPr>
          <w:p>
            <w:pPr>
              <w:spacing w:after="0"/>
              <w:rPr>
                <w:sz w:val="1"/>
                <w:szCs w:val="1"/>
                <w:color w:val="auto"/>
              </w:rPr>
            </w:pPr>
          </w:p>
        </w:tc>
      </w:tr>
    </w:tbl>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Wholesale Units</w:t>
      </w:r>
    </w:p>
    <w:p>
      <w:pPr>
        <w:spacing w:after="0" w:line="228" w:lineRule="exact"/>
        <w:rPr>
          <w:sz w:val="20"/>
          <w:szCs w:val="20"/>
          <w:color w:val="auto"/>
        </w:rPr>
      </w:pPr>
    </w:p>
    <w:p>
      <w:pPr>
        <w:ind w:right="120" w:firstLine="762"/>
        <w:spacing w:after="0" w:line="255" w:lineRule="auto"/>
        <w:rPr>
          <w:sz w:val="20"/>
          <w:szCs w:val="20"/>
          <w:color w:val="auto"/>
        </w:rPr>
      </w:pPr>
      <w:r>
        <w:rPr>
          <w:rFonts w:ascii="Arial" w:cs="Arial" w:eastAsia="Arial" w:hAnsi="Arial"/>
          <w:sz w:val="17"/>
          <w:szCs w:val="17"/>
          <w:color w:val="auto"/>
        </w:rPr>
        <w:t>Wholesale units sold increased 6,761, or 207.5%, from 3,259 for the three months ended June 30, 2020 to 10,020 for the three months ended June 30, 2021, primarily driven by an increase of wholesale grade units purchased from consumers, an increase in the number of trade-in vehicles as a result of the increase in number of ecommerce units sold and strong wholesale market demand for used vehicles.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50800</wp:posOffset>
            </wp:positionV>
            <wp:extent cx="715962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Wholesale Revenue</w:t>
      </w:r>
    </w:p>
    <w:p>
      <w:pPr>
        <w:spacing w:after="0" w:line="228" w:lineRule="exact"/>
        <w:rPr>
          <w:sz w:val="20"/>
          <w:szCs w:val="20"/>
          <w:color w:val="auto"/>
        </w:rPr>
      </w:pPr>
    </w:p>
    <w:p>
      <w:pPr>
        <w:ind w:right="20" w:firstLine="762"/>
        <w:spacing w:after="0" w:line="234" w:lineRule="auto"/>
        <w:rPr>
          <w:sz w:val="20"/>
          <w:szCs w:val="20"/>
          <w:color w:val="auto"/>
        </w:rPr>
      </w:pPr>
      <w:r>
        <w:rPr>
          <w:rFonts w:ascii="Arial" w:cs="Arial" w:eastAsia="Arial" w:hAnsi="Arial"/>
          <w:sz w:val="18"/>
          <w:szCs w:val="18"/>
          <w:color w:val="auto"/>
        </w:rPr>
        <w:t>Wholesale revenue increased $77.2 million, or 151.6%, from $50.9 million for the three months ended June 30, 2020 to $128.1 million for the three months ended June 30, 2021. The increase was primarily attributable to the 6,761 increase in wholesale units sold, which increased wholesale revenue by $105.7 million, partially offset by a lower ASP per wholesale unit, which decreased from $15,625 for the three months ended June 30, 2020 to $ 12,785 for the three months ended June 30, 2021 and decreased wholesale revenue by $28.5 million. The higher ASP in the second quarter of 2020 was primarily driven by the sale of retail vehicles through wholesale channels to reduce our inventory levels at the start of the COVID-19 pandemic.</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Wholesale Gross Profit (Loss)</w:t>
      </w:r>
    </w:p>
    <w:p>
      <w:pPr>
        <w:spacing w:after="0" w:line="228" w:lineRule="exact"/>
        <w:rPr>
          <w:sz w:val="20"/>
          <w:szCs w:val="20"/>
          <w:color w:val="auto"/>
        </w:rPr>
      </w:pPr>
    </w:p>
    <w:p>
      <w:pPr>
        <w:ind w:right="40" w:firstLine="762"/>
        <w:spacing w:after="0" w:line="234" w:lineRule="auto"/>
        <w:rPr>
          <w:sz w:val="20"/>
          <w:szCs w:val="20"/>
          <w:color w:val="auto"/>
        </w:rPr>
      </w:pPr>
      <w:r>
        <w:rPr>
          <w:rFonts w:ascii="Arial" w:cs="Arial" w:eastAsia="Arial" w:hAnsi="Arial"/>
          <w:sz w:val="18"/>
          <w:szCs w:val="18"/>
          <w:color w:val="auto"/>
        </w:rPr>
        <w:t>Wholesale gross profit increased $9.0 million from a loss of $0.5 million for the three months ended June 30, 2020 to profit of $8.5 million for the three months ended June 30, 2021. The increase was primarily attributable to a $1,017 increase in wholesale gross profit per unit as a result of favorable wholesale market conditions. Additionally, in the second quarter of 2020, our sales margin was negatively impacted by the sale of retail vehicles through wholesale channels to reduce our inventory levels at the start of the COVID -19 pandemic. Based on data from Cox Automotive, wholesale prices appear to have reached their peak in June and are expected to begin to gradually return to normal market conditions and vehicle depreciation during the second half of 2021.</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TDA</w:t>
      </w:r>
    </w:p>
    <w:p>
      <w:pPr>
        <w:spacing w:after="0" w:line="1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presents our TDA segment results of operations for the periods indicated: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80" w:type="dxa"/>
            <w:vAlign w:val="bottom"/>
            <w:gridSpan w:val="5"/>
          </w:tcPr>
          <w:p>
            <w:pPr>
              <w:jc w:val="center"/>
              <w:ind w:right="44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56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3"/>
          </w:tcPr>
          <w:p>
            <w:pPr>
              <w:jc w:val="center"/>
              <w:ind w:left="657"/>
              <w:spacing w:after="0"/>
              <w:rPr>
                <w:sz w:val="20"/>
                <w:szCs w:val="20"/>
                <w:color w:val="auto"/>
              </w:rPr>
            </w:pPr>
            <w:r>
              <w:rPr>
                <w:rFonts w:ascii="Arial" w:cs="Arial" w:eastAsia="Arial" w:hAnsi="Arial"/>
                <w:sz w:val="14"/>
                <w:szCs w:val="14"/>
                <w:b w:val="1"/>
                <w:bCs w:val="1"/>
                <w:color w:val="auto"/>
                <w:w w:val="99"/>
              </w:rPr>
              <w:t>June 30,</w:t>
            </w:r>
          </w:p>
        </w:tc>
        <w:tc>
          <w:tcPr>
            <w:tcW w:w="10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vMerge w:val="restart"/>
          </w:tcPr>
          <w:p>
            <w:pPr>
              <w:jc w:val="right"/>
              <w:ind w:right="313"/>
              <w:spacing w:after="0"/>
              <w:rPr>
                <w:sz w:val="20"/>
                <w:szCs w:val="20"/>
                <w:color w:val="auto"/>
              </w:rPr>
            </w:pPr>
            <w:r>
              <w:rPr>
                <w:rFonts w:ascii="Arial" w:cs="Arial" w:eastAsia="Arial" w:hAnsi="Arial"/>
                <w:sz w:val="14"/>
                <w:szCs w:val="14"/>
                <w:b w:val="1"/>
                <w:bCs w:val="1"/>
                <w:color w:val="auto"/>
              </w:rPr>
              <w:t>Change</w:t>
            </w:r>
          </w:p>
        </w:tc>
        <w:tc>
          <w:tcPr>
            <w:tcW w:w="120" w:type="dxa"/>
            <w:vAlign w:val="bottom"/>
            <w:vMerge w:val="restart"/>
          </w:tcPr>
          <w:p>
            <w:pPr>
              <w:spacing w:after="0"/>
              <w:rPr>
                <w:sz w:val="15"/>
                <w:szCs w:val="15"/>
                <w:color w:val="auto"/>
              </w:rPr>
            </w:pPr>
          </w:p>
        </w:tc>
        <w:tc>
          <w:tcPr>
            <w:tcW w:w="1320" w:type="dxa"/>
            <w:vAlign w:val="bottom"/>
            <w:vMerge w:val="restart"/>
          </w:tcPr>
          <w:p>
            <w:pPr>
              <w:jc w:val="right"/>
              <w:ind w:right="353"/>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66"/>
        </w:trPr>
        <w:tc>
          <w:tcPr>
            <w:tcW w:w="56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94"/>
              <w:spacing w:after="0" w:line="166" w:lineRule="exact"/>
              <w:rPr>
                <w:sz w:val="20"/>
                <w:szCs w:val="20"/>
                <w:color w:val="auto"/>
              </w:rPr>
            </w:pPr>
            <w:r>
              <w:rPr>
                <w:rFonts w:ascii="Arial" w:cs="Arial" w:eastAsia="Arial" w:hAnsi="Arial"/>
                <w:sz w:val="12"/>
                <w:szCs w:val="12"/>
                <w:b w:val="1"/>
                <w:bCs w:val="1"/>
                <w:color w:val="auto"/>
              </w:rPr>
              <w:t xml:space="preserve">2020 </w:t>
            </w:r>
            <w:r>
              <w:rPr>
                <w:rFonts w:ascii="Arial" w:cs="Arial" w:eastAsia="Arial" w:hAnsi="Arial"/>
                <w:sz w:val="19"/>
                <w:szCs w:val="19"/>
                <w:b w:val="1"/>
                <w:bCs w:val="1"/>
                <w:color w:val="auto"/>
                <w:vertAlign w:val="superscript"/>
              </w:rPr>
              <w:t>(1)</w:t>
            </w:r>
          </w:p>
        </w:tc>
        <w:tc>
          <w:tcPr>
            <w:tcW w:w="1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13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5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80" w:type="dxa"/>
            <w:vAlign w:val="bottom"/>
            <w:gridSpan w:val="5"/>
          </w:tcPr>
          <w:p>
            <w:pPr>
              <w:jc w:val="center"/>
              <w:ind w:right="440"/>
              <w:spacing w:after="0"/>
              <w:rPr>
                <w:sz w:val="20"/>
                <w:szCs w:val="20"/>
                <w:color w:val="auto"/>
              </w:rPr>
            </w:pPr>
            <w:r>
              <w:rPr>
                <w:rFonts w:ascii="Arial" w:cs="Arial" w:eastAsia="Arial" w:hAnsi="Arial"/>
                <w:sz w:val="14"/>
                <w:szCs w:val="14"/>
                <w:b w:val="1"/>
                <w:bCs w:val="1"/>
                <w:color w:val="auto"/>
              </w:rPr>
              <w:t>(in thousands, except unit</w:t>
            </w: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5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80" w:type="dxa"/>
            <w:vAlign w:val="bottom"/>
            <w:gridSpan w:val="5"/>
          </w:tcPr>
          <w:p>
            <w:pPr>
              <w:jc w:val="center"/>
              <w:ind w:right="460"/>
              <w:spacing w:after="0"/>
              <w:rPr>
                <w:sz w:val="20"/>
                <w:szCs w:val="20"/>
                <w:color w:val="auto"/>
              </w:rPr>
            </w:pPr>
            <w:r>
              <w:rPr>
                <w:rFonts w:ascii="Arial" w:cs="Arial" w:eastAsia="Arial" w:hAnsi="Arial"/>
                <w:sz w:val="14"/>
                <w:szCs w:val="14"/>
                <w:b w:val="1"/>
                <w:bCs w:val="1"/>
                <w:color w:val="auto"/>
              </w:rPr>
              <w:t>data and average days to sale)</w:t>
            </w: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5600" w:type="dxa"/>
            <w:vAlign w:val="bottom"/>
            <w:shd w:val="clear" w:color="auto" w:fill="CFF0FC"/>
          </w:tcPr>
          <w:p>
            <w:pPr>
              <w:spacing w:after="0"/>
              <w:rPr>
                <w:sz w:val="20"/>
                <w:szCs w:val="20"/>
                <w:color w:val="auto"/>
              </w:rPr>
            </w:pPr>
            <w:r>
              <w:rPr>
                <w:rFonts w:ascii="Arial" w:cs="Arial" w:eastAsia="Arial" w:hAnsi="Arial"/>
                <w:sz w:val="18"/>
                <w:szCs w:val="18"/>
                <w:color w:val="auto"/>
              </w:rPr>
              <w:t>TDA units sold</w:t>
            </w:r>
          </w:p>
        </w:tc>
        <w:tc>
          <w:tcPr>
            <w:tcW w:w="2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1,583</w:t>
            </w: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1,110</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473</w:t>
            </w:r>
          </w:p>
        </w:tc>
        <w:tc>
          <w:tcPr>
            <w:tcW w:w="12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42.6%</w:t>
            </w:r>
          </w:p>
        </w:tc>
        <w:tc>
          <w:tcPr>
            <w:tcW w:w="0" w:type="dxa"/>
            <w:vAlign w:val="bottom"/>
          </w:tcPr>
          <w:p>
            <w:pPr>
              <w:spacing w:after="0"/>
              <w:rPr>
                <w:sz w:val="1"/>
                <w:szCs w:val="1"/>
                <w:color w:val="auto"/>
              </w:rPr>
            </w:pPr>
          </w:p>
        </w:tc>
      </w:tr>
      <w:tr>
        <w:trPr>
          <w:trHeight w:val="213"/>
        </w:trPr>
        <w:tc>
          <w:tcPr>
            <w:tcW w:w="5600" w:type="dxa"/>
            <w:vAlign w:val="bottom"/>
          </w:tcPr>
          <w:p>
            <w:pPr>
              <w:spacing w:after="0"/>
              <w:rPr>
                <w:sz w:val="20"/>
                <w:szCs w:val="20"/>
                <w:color w:val="auto"/>
              </w:rPr>
            </w:pPr>
            <w:r>
              <w:rPr>
                <w:rFonts w:ascii="Arial" w:cs="Arial" w:eastAsia="Arial" w:hAnsi="Arial"/>
                <w:sz w:val="18"/>
                <w:szCs w:val="18"/>
                <w:color w:val="auto"/>
              </w:rPr>
              <w:t>TDA revenue:</w:t>
            </w: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6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Vehicle revenue</w:t>
            </w:r>
          </w:p>
        </w:tc>
        <w:tc>
          <w:tcPr>
            <w:tcW w:w="20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49,106</w:t>
            </w: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25,690</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23,416</w:t>
            </w:r>
          </w:p>
        </w:tc>
        <w:tc>
          <w:tcPr>
            <w:tcW w:w="12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91.1%</w:t>
            </w:r>
          </w:p>
        </w:tc>
        <w:tc>
          <w:tcPr>
            <w:tcW w:w="0" w:type="dxa"/>
            <w:vAlign w:val="bottom"/>
          </w:tcPr>
          <w:p>
            <w:pPr>
              <w:spacing w:after="0"/>
              <w:rPr>
                <w:sz w:val="1"/>
                <w:szCs w:val="1"/>
                <w:color w:val="auto"/>
              </w:rPr>
            </w:pPr>
          </w:p>
        </w:tc>
      </w:tr>
      <w:tr>
        <w:trPr>
          <w:trHeight w:val="213"/>
        </w:trPr>
        <w:tc>
          <w:tcPr>
            <w:tcW w:w="560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Product revenue</w:t>
            </w: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1,653</w:t>
            </w:r>
          </w:p>
        </w:tc>
        <w:tc>
          <w:tcPr>
            <w:tcW w:w="12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628</w:t>
            </w:r>
          </w:p>
        </w:tc>
        <w:tc>
          <w:tcPr>
            <w:tcW w:w="12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1,025</w:t>
            </w:r>
          </w:p>
        </w:tc>
        <w:tc>
          <w:tcPr>
            <w:tcW w:w="120" w:type="dxa"/>
            <w:vAlign w:val="bottom"/>
            <w:tcBorders>
              <w:bottom w:val="single" w:sz="8" w:color="CFF0FC"/>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163.2%</w:t>
            </w:r>
          </w:p>
        </w:tc>
        <w:tc>
          <w:tcPr>
            <w:tcW w:w="0" w:type="dxa"/>
            <w:vAlign w:val="bottom"/>
          </w:tcPr>
          <w:p>
            <w:pPr>
              <w:spacing w:after="0"/>
              <w:rPr>
                <w:sz w:val="1"/>
                <w:szCs w:val="1"/>
                <w:color w:val="auto"/>
              </w:rPr>
            </w:pPr>
          </w:p>
        </w:tc>
      </w:tr>
      <w:tr>
        <w:trPr>
          <w:trHeight w:val="206"/>
        </w:trPr>
        <w:tc>
          <w:tcPr>
            <w:tcW w:w="56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TDA revenue</w:t>
            </w:r>
          </w:p>
        </w:tc>
        <w:tc>
          <w:tcPr>
            <w:tcW w:w="200" w:type="dxa"/>
            <w:vAlign w:val="bottom"/>
            <w:tcBorders>
              <w:bottom w:val="single" w:sz="8" w:color="auto"/>
            </w:tcBorders>
            <w:shd w:val="clear" w:color="auto" w:fill="CFF0FC"/>
          </w:tcPr>
          <w:p>
            <w:pPr>
              <w:jc w:val="right"/>
              <w:ind w:right="11"/>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ind w:right="37"/>
              <w:spacing w:after="0"/>
              <w:rPr>
                <w:sz w:val="20"/>
                <w:szCs w:val="20"/>
                <w:color w:val="auto"/>
              </w:rPr>
            </w:pPr>
            <w:r>
              <w:rPr>
                <w:rFonts w:ascii="Arial" w:cs="Arial" w:eastAsia="Arial" w:hAnsi="Arial"/>
                <w:sz w:val="18"/>
                <w:szCs w:val="18"/>
                <w:color w:val="auto"/>
              </w:rPr>
              <w:t>50,759</w:t>
            </w:r>
          </w:p>
        </w:tc>
        <w:tc>
          <w:tcPr>
            <w:tcW w:w="12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jc w:val="right"/>
              <w:ind w:right="71"/>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26,318</w:t>
            </w:r>
          </w:p>
        </w:tc>
        <w:tc>
          <w:tcPr>
            <w:tcW w:w="12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24,441</w:t>
            </w:r>
          </w:p>
        </w:tc>
        <w:tc>
          <w:tcPr>
            <w:tcW w:w="120" w:type="dxa"/>
            <w:vAlign w:val="bottom"/>
            <w:tcBorders>
              <w:bottom w:val="single" w:sz="8" w:color="CFF0FC"/>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92.9%</w:t>
            </w: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Arial" w:cs="Arial" w:eastAsia="Arial" w:hAnsi="Arial"/>
                <w:sz w:val="18"/>
                <w:szCs w:val="18"/>
                <w:color w:val="auto"/>
              </w:rPr>
              <w:t>TDA gross profit:</w:t>
            </w: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560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56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Vehicle gross profit</w:t>
            </w:r>
          </w:p>
        </w:tc>
        <w:tc>
          <w:tcPr>
            <w:tcW w:w="20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1,495</w:t>
            </w: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236</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1,259</w:t>
            </w:r>
          </w:p>
        </w:tc>
        <w:tc>
          <w:tcPr>
            <w:tcW w:w="12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533.5%</w:t>
            </w:r>
          </w:p>
        </w:tc>
        <w:tc>
          <w:tcPr>
            <w:tcW w:w="0" w:type="dxa"/>
            <w:vAlign w:val="bottom"/>
          </w:tcPr>
          <w:p>
            <w:pPr>
              <w:spacing w:after="0"/>
              <w:rPr>
                <w:sz w:val="1"/>
                <w:szCs w:val="1"/>
                <w:color w:val="auto"/>
              </w:rPr>
            </w:pPr>
          </w:p>
        </w:tc>
      </w:tr>
      <w:tr>
        <w:trPr>
          <w:trHeight w:val="213"/>
        </w:trPr>
        <w:tc>
          <w:tcPr>
            <w:tcW w:w="560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Product gross profit</w:t>
            </w: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1,653</w:t>
            </w:r>
          </w:p>
        </w:tc>
        <w:tc>
          <w:tcPr>
            <w:tcW w:w="12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628</w:t>
            </w:r>
          </w:p>
        </w:tc>
        <w:tc>
          <w:tcPr>
            <w:tcW w:w="12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1,025</w:t>
            </w:r>
          </w:p>
        </w:tc>
        <w:tc>
          <w:tcPr>
            <w:tcW w:w="120" w:type="dxa"/>
            <w:vAlign w:val="bottom"/>
            <w:tcBorders>
              <w:bottom w:val="single" w:sz="8" w:color="CFF0FC"/>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163.2%</w:t>
            </w:r>
          </w:p>
        </w:tc>
        <w:tc>
          <w:tcPr>
            <w:tcW w:w="0" w:type="dxa"/>
            <w:vAlign w:val="bottom"/>
          </w:tcPr>
          <w:p>
            <w:pPr>
              <w:spacing w:after="0"/>
              <w:rPr>
                <w:sz w:val="1"/>
                <w:szCs w:val="1"/>
                <w:color w:val="auto"/>
              </w:rPr>
            </w:pPr>
          </w:p>
        </w:tc>
      </w:tr>
      <w:tr>
        <w:trPr>
          <w:trHeight w:val="206"/>
        </w:trPr>
        <w:tc>
          <w:tcPr>
            <w:tcW w:w="56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TDA gross profit</w:t>
            </w:r>
          </w:p>
        </w:tc>
        <w:tc>
          <w:tcPr>
            <w:tcW w:w="200" w:type="dxa"/>
            <w:vAlign w:val="bottom"/>
            <w:tcBorders>
              <w:bottom w:val="single" w:sz="8" w:color="auto"/>
            </w:tcBorders>
            <w:shd w:val="clear" w:color="auto" w:fill="CFF0FC"/>
          </w:tcPr>
          <w:p>
            <w:pPr>
              <w:jc w:val="right"/>
              <w:ind w:right="11"/>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ind w:right="37"/>
              <w:spacing w:after="0"/>
              <w:rPr>
                <w:sz w:val="20"/>
                <w:szCs w:val="20"/>
                <w:color w:val="auto"/>
              </w:rPr>
            </w:pPr>
            <w:r>
              <w:rPr>
                <w:rFonts w:ascii="Arial" w:cs="Arial" w:eastAsia="Arial" w:hAnsi="Arial"/>
                <w:sz w:val="18"/>
                <w:szCs w:val="18"/>
                <w:color w:val="auto"/>
              </w:rPr>
              <w:t>3,148</w:t>
            </w:r>
          </w:p>
        </w:tc>
        <w:tc>
          <w:tcPr>
            <w:tcW w:w="12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jc w:val="right"/>
              <w:ind w:right="71"/>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864</w:t>
            </w:r>
          </w:p>
        </w:tc>
        <w:tc>
          <w:tcPr>
            <w:tcW w:w="12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2,284</w:t>
            </w:r>
          </w:p>
        </w:tc>
        <w:tc>
          <w:tcPr>
            <w:tcW w:w="120" w:type="dxa"/>
            <w:vAlign w:val="bottom"/>
            <w:tcBorders>
              <w:bottom w:val="single" w:sz="8" w:color="CFF0FC"/>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264.4%</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5600" w:type="dxa"/>
            <w:vAlign w:val="bottom"/>
          </w:tcPr>
          <w:p>
            <w:pPr>
              <w:spacing w:after="0" w:line="193" w:lineRule="exact"/>
              <w:rPr>
                <w:sz w:val="20"/>
                <w:szCs w:val="20"/>
                <w:color w:val="auto"/>
              </w:rPr>
            </w:pPr>
            <w:r>
              <w:rPr>
                <w:rFonts w:ascii="Arial" w:cs="Arial" w:eastAsia="Arial" w:hAnsi="Arial"/>
                <w:sz w:val="18"/>
                <w:szCs w:val="18"/>
                <w:color w:val="auto"/>
              </w:rPr>
              <w:t>Average vehicle selling price per TDA unit</w:t>
            </w:r>
          </w:p>
        </w:tc>
        <w:tc>
          <w:tcPr>
            <w:tcW w:w="200" w:type="dxa"/>
            <w:vAlign w:val="bottom"/>
          </w:tcPr>
          <w:p>
            <w:pPr>
              <w:jc w:val="right"/>
              <w:ind w:right="11"/>
              <w:spacing w:after="0" w:line="193" w:lineRule="exact"/>
              <w:rPr>
                <w:sz w:val="20"/>
                <w:szCs w:val="20"/>
                <w:color w:val="auto"/>
              </w:rPr>
            </w:pPr>
            <w:r>
              <w:rPr>
                <w:rFonts w:ascii="Arial" w:cs="Arial" w:eastAsia="Arial" w:hAnsi="Arial"/>
                <w:sz w:val="18"/>
                <w:szCs w:val="18"/>
                <w:color w:val="auto"/>
                <w:w w:val="79"/>
              </w:rPr>
              <w:t>$</w:t>
            </w:r>
          </w:p>
        </w:tc>
        <w:tc>
          <w:tcPr>
            <w:tcW w:w="1120" w:type="dxa"/>
            <w:vAlign w:val="bottom"/>
          </w:tcPr>
          <w:p>
            <w:pPr>
              <w:jc w:val="right"/>
              <w:ind w:right="37"/>
              <w:spacing w:after="0" w:line="193" w:lineRule="exact"/>
              <w:rPr>
                <w:sz w:val="20"/>
                <w:szCs w:val="20"/>
                <w:color w:val="auto"/>
              </w:rPr>
            </w:pPr>
            <w:r>
              <w:rPr>
                <w:rFonts w:ascii="Arial" w:cs="Arial" w:eastAsia="Arial" w:hAnsi="Arial"/>
                <w:sz w:val="18"/>
                <w:szCs w:val="18"/>
                <w:color w:val="auto"/>
              </w:rPr>
              <w:t>31,021</w:t>
            </w:r>
          </w:p>
        </w:tc>
        <w:tc>
          <w:tcPr>
            <w:tcW w:w="120" w:type="dxa"/>
            <w:vAlign w:val="bottom"/>
          </w:tcPr>
          <w:p>
            <w:pPr>
              <w:spacing w:after="0"/>
              <w:rPr>
                <w:sz w:val="16"/>
                <w:szCs w:val="16"/>
                <w:color w:val="auto"/>
              </w:rPr>
            </w:pPr>
          </w:p>
        </w:tc>
        <w:tc>
          <w:tcPr>
            <w:tcW w:w="260" w:type="dxa"/>
            <w:vAlign w:val="bottom"/>
          </w:tcPr>
          <w:p>
            <w:pPr>
              <w:jc w:val="right"/>
              <w:ind w:right="71"/>
              <w:spacing w:after="0" w:line="193" w:lineRule="exact"/>
              <w:rPr>
                <w:sz w:val="20"/>
                <w:szCs w:val="20"/>
                <w:color w:val="auto"/>
              </w:rPr>
            </w:pPr>
            <w:r>
              <w:rPr>
                <w:rFonts w:ascii="Arial" w:cs="Arial" w:eastAsia="Arial" w:hAnsi="Arial"/>
                <w:sz w:val="18"/>
                <w:szCs w:val="18"/>
                <w:color w:val="auto"/>
                <w:w w:val="79"/>
              </w:rPr>
              <w:t>$</w:t>
            </w:r>
          </w:p>
        </w:tc>
        <w:tc>
          <w:tcPr>
            <w:tcW w:w="1060" w:type="dxa"/>
            <w:vAlign w:val="bottom"/>
          </w:tcPr>
          <w:p>
            <w:pPr>
              <w:jc w:val="right"/>
              <w:ind w:right="34"/>
              <w:spacing w:after="0" w:line="193" w:lineRule="exact"/>
              <w:rPr>
                <w:sz w:val="20"/>
                <w:szCs w:val="20"/>
                <w:color w:val="auto"/>
              </w:rPr>
            </w:pPr>
            <w:r>
              <w:rPr>
                <w:rFonts w:ascii="Arial" w:cs="Arial" w:eastAsia="Arial" w:hAnsi="Arial"/>
                <w:sz w:val="18"/>
                <w:szCs w:val="18"/>
                <w:color w:val="auto"/>
              </w:rPr>
              <w:t>23,144</w:t>
            </w:r>
          </w:p>
        </w:tc>
        <w:tc>
          <w:tcPr>
            <w:tcW w:w="120" w:type="dxa"/>
            <w:vAlign w:val="bottom"/>
          </w:tcPr>
          <w:p>
            <w:pPr>
              <w:spacing w:after="0"/>
              <w:rPr>
                <w:sz w:val="16"/>
                <w:szCs w:val="16"/>
                <w:color w:val="auto"/>
              </w:rPr>
            </w:pPr>
          </w:p>
        </w:tc>
        <w:tc>
          <w:tcPr>
            <w:tcW w:w="240" w:type="dxa"/>
            <w:vAlign w:val="bottom"/>
          </w:tcPr>
          <w:p>
            <w:pPr>
              <w:jc w:val="right"/>
              <w:ind w:right="51"/>
              <w:spacing w:after="0" w:line="193" w:lineRule="exact"/>
              <w:rPr>
                <w:sz w:val="20"/>
                <w:szCs w:val="20"/>
                <w:color w:val="auto"/>
              </w:rPr>
            </w:pPr>
            <w:r>
              <w:rPr>
                <w:rFonts w:ascii="Arial" w:cs="Arial" w:eastAsia="Arial" w:hAnsi="Arial"/>
                <w:sz w:val="18"/>
                <w:szCs w:val="18"/>
                <w:color w:val="auto"/>
                <w:w w:val="79"/>
              </w:rPr>
              <w:t>$</w:t>
            </w:r>
          </w:p>
        </w:tc>
        <w:tc>
          <w:tcPr>
            <w:tcW w:w="1080" w:type="dxa"/>
            <w:vAlign w:val="bottom"/>
          </w:tcPr>
          <w:p>
            <w:pPr>
              <w:jc w:val="right"/>
              <w:ind w:right="33"/>
              <w:spacing w:after="0" w:line="193" w:lineRule="exact"/>
              <w:rPr>
                <w:sz w:val="20"/>
                <w:szCs w:val="20"/>
                <w:color w:val="auto"/>
              </w:rPr>
            </w:pPr>
            <w:r>
              <w:rPr>
                <w:rFonts w:ascii="Arial" w:cs="Arial" w:eastAsia="Arial" w:hAnsi="Arial"/>
                <w:sz w:val="18"/>
                <w:szCs w:val="18"/>
                <w:color w:val="auto"/>
              </w:rPr>
              <w:t>7,877</w:t>
            </w:r>
          </w:p>
        </w:tc>
        <w:tc>
          <w:tcPr>
            <w:tcW w:w="120" w:type="dxa"/>
            <w:vAlign w:val="bottom"/>
          </w:tcPr>
          <w:p>
            <w:pPr>
              <w:spacing w:after="0"/>
              <w:rPr>
                <w:sz w:val="16"/>
                <w:szCs w:val="16"/>
                <w:color w:val="auto"/>
              </w:rPr>
            </w:pPr>
          </w:p>
        </w:tc>
        <w:tc>
          <w:tcPr>
            <w:tcW w:w="1320" w:type="dxa"/>
            <w:vAlign w:val="bottom"/>
          </w:tcPr>
          <w:p>
            <w:pPr>
              <w:jc w:val="right"/>
              <w:spacing w:after="0" w:line="193" w:lineRule="exact"/>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13"/>
        </w:trPr>
        <w:tc>
          <w:tcPr>
            <w:tcW w:w="5600" w:type="dxa"/>
            <w:vAlign w:val="bottom"/>
            <w:shd w:val="clear" w:color="auto" w:fill="CFF0FC"/>
          </w:tcPr>
          <w:p>
            <w:pPr>
              <w:spacing w:after="0"/>
              <w:rPr>
                <w:sz w:val="20"/>
                <w:szCs w:val="20"/>
                <w:color w:val="auto"/>
              </w:rPr>
            </w:pPr>
            <w:r>
              <w:rPr>
                <w:rFonts w:ascii="Arial" w:cs="Arial" w:eastAsia="Arial" w:hAnsi="Arial"/>
                <w:sz w:val="18"/>
                <w:szCs w:val="18"/>
                <w:color w:val="auto"/>
              </w:rPr>
              <w:t>Gross profit per TDA unit:</w:t>
            </w:r>
          </w:p>
        </w:tc>
        <w:tc>
          <w:tcPr>
            <w:tcW w:w="2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600" w:type="dxa"/>
            <w:vAlign w:val="bottom"/>
          </w:tcPr>
          <w:p>
            <w:pPr>
              <w:ind w:left="240"/>
              <w:spacing w:after="0"/>
              <w:rPr>
                <w:sz w:val="20"/>
                <w:szCs w:val="20"/>
                <w:color w:val="auto"/>
              </w:rPr>
            </w:pPr>
            <w:r>
              <w:rPr>
                <w:rFonts w:ascii="Arial" w:cs="Arial" w:eastAsia="Arial" w:hAnsi="Arial"/>
                <w:sz w:val="18"/>
                <w:szCs w:val="18"/>
                <w:color w:val="auto"/>
              </w:rPr>
              <w:t>Vehicle gross profit per TDA unit</w:t>
            </w:r>
          </w:p>
        </w:tc>
        <w:tc>
          <w:tcPr>
            <w:tcW w:w="200" w:type="dxa"/>
            <w:vAlign w:val="bottom"/>
          </w:tcPr>
          <w:p>
            <w:pPr>
              <w:jc w:val="right"/>
              <w:ind w:right="11"/>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37"/>
              <w:spacing w:after="0"/>
              <w:rPr>
                <w:sz w:val="20"/>
                <w:szCs w:val="20"/>
                <w:color w:val="auto"/>
              </w:rPr>
            </w:pPr>
            <w:r>
              <w:rPr>
                <w:rFonts w:ascii="Arial" w:cs="Arial" w:eastAsia="Arial" w:hAnsi="Arial"/>
                <w:sz w:val="18"/>
                <w:szCs w:val="18"/>
                <w:color w:val="auto"/>
              </w:rPr>
              <w:t>944</w:t>
            </w:r>
          </w:p>
        </w:tc>
        <w:tc>
          <w:tcPr>
            <w:tcW w:w="120" w:type="dxa"/>
            <w:vAlign w:val="bottom"/>
          </w:tcPr>
          <w:p>
            <w:pPr>
              <w:spacing w:after="0"/>
              <w:rPr>
                <w:sz w:val="18"/>
                <w:szCs w:val="18"/>
                <w:color w:val="auto"/>
              </w:rPr>
            </w:pPr>
          </w:p>
        </w:tc>
        <w:tc>
          <w:tcPr>
            <w:tcW w:w="260" w:type="dxa"/>
            <w:vAlign w:val="bottom"/>
          </w:tcPr>
          <w:p>
            <w:pPr>
              <w:jc w:val="right"/>
              <w:ind w:right="71"/>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212</w:t>
            </w:r>
          </w:p>
        </w:tc>
        <w:tc>
          <w:tcPr>
            <w:tcW w:w="120" w:type="dxa"/>
            <w:vAlign w:val="bottom"/>
          </w:tcPr>
          <w:p>
            <w:pPr>
              <w:spacing w:after="0"/>
              <w:rPr>
                <w:sz w:val="18"/>
                <w:szCs w:val="18"/>
                <w:color w:val="auto"/>
              </w:rPr>
            </w:pPr>
          </w:p>
        </w:tc>
        <w:tc>
          <w:tcPr>
            <w:tcW w:w="240" w:type="dxa"/>
            <w:vAlign w:val="bottom"/>
          </w:tcPr>
          <w:p>
            <w:pPr>
              <w:jc w:val="right"/>
              <w:ind w:right="51"/>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732</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345.3%</w:t>
            </w:r>
          </w:p>
        </w:tc>
        <w:tc>
          <w:tcPr>
            <w:tcW w:w="0" w:type="dxa"/>
            <w:vAlign w:val="bottom"/>
          </w:tcPr>
          <w:p>
            <w:pPr>
              <w:spacing w:after="0"/>
              <w:rPr>
                <w:sz w:val="1"/>
                <w:szCs w:val="1"/>
                <w:color w:val="auto"/>
              </w:rPr>
            </w:pPr>
          </w:p>
        </w:tc>
      </w:tr>
      <w:tr>
        <w:trPr>
          <w:trHeight w:val="213"/>
        </w:trPr>
        <w:tc>
          <w:tcPr>
            <w:tcW w:w="56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Product gross profit per TDA unit</w:t>
            </w:r>
          </w:p>
        </w:tc>
        <w:tc>
          <w:tcPr>
            <w:tcW w:w="20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37"/>
              <w:spacing w:after="0"/>
              <w:rPr>
                <w:sz w:val="20"/>
                <w:szCs w:val="20"/>
                <w:color w:val="auto"/>
              </w:rPr>
            </w:pPr>
            <w:r>
              <w:rPr>
                <w:rFonts w:ascii="Arial" w:cs="Arial" w:eastAsia="Arial" w:hAnsi="Arial"/>
                <w:sz w:val="18"/>
                <w:szCs w:val="18"/>
                <w:color w:val="auto"/>
              </w:rPr>
              <w:t>1,044</w:t>
            </w:r>
          </w:p>
        </w:tc>
        <w:tc>
          <w:tcPr>
            <w:tcW w:w="120" w:type="dxa"/>
            <w:vAlign w:val="bottom"/>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566</w:t>
            </w:r>
          </w:p>
        </w:tc>
        <w:tc>
          <w:tcPr>
            <w:tcW w:w="12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478</w:t>
            </w:r>
          </w:p>
        </w:tc>
        <w:tc>
          <w:tcPr>
            <w:tcW w:w="120" w:type="dxa"/>
            <w:vAlign w:val="bottom"/>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84.5%</w:t>
            </w:r>
          </w:p>
        </w:tc>
        <w:tc>
          <w:tcPr>
            <w:tcW w:w="0" w:type="dxa"/>
            <w:vAlign w:val="bottom"/>
          </w:tcPr>
          <w:p>
            <w:pPr>
              <w:spacing w:after="0"/>
              <w:rPr>
                <w:sz w:val="1"/>
                <w:szCs w:val="1"/>
                <w:color w:val="auto"/>
              </w:rPr>
            </w:pPr>
          </w:p>
        </w:tc>
      </w:tr>
      <w:tr>
        <w:trPr>
          <w:trHeight w:val="246"/>
        </w:trPr>
        <w:tc>
          <w:tcPr>
            <w:tcW w:w="56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gross profit per TDA unit</w:t>
            </w:r>
          </w:p>
        </w:tc>
        <w:tc>
          <w:tcPr>
            <w:tcW w:w="2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1,988</w:t>
            </w:r>
          </w:p>
        </w:tc>
        <w:tc>
          <w:tcPr>
            <w:tcW w:w="120" w:type="dxa"/>
            <w:vAlign w:val="bottom"/>
            <w:tcBorders>
              <w:bottom w:val="single" w:sz="8" w:color="CFF0FC"/>
            </w:tcBorders>
          </w:tcPr>
          <w:p>
            <w:pPr>
              <w:spacing w:after="0"/>
              <w:rPr>
                <w:sz w:val="21"/>
                <w:szCs w:val="21"/>
                <w:color w:val="auto"/>
              </w:rPr>
            </w:pPr>
          </w:p>
        </w:tc>
        <w:tc>
          <w:tcPr>
            <w:tcW w:w="2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778</w:t>
            </w:r>
          </w:p>
        </w:tc>
        <w:tc>
          <w:tcPr>
            <w:tcW w:w="120" w:type="dxa"/>
            <w:vAlign w:val="bottom"/>
            <w:tcBorders>
              <w:bottom w:val="single" w:sz="8" w:color="CFF0FC"/>
            </w:tcBorders>
          </w:tcPr>
          <w:p>
            <w:pPr>
              <w:spacing w:after="0"/>
              <w:rPr>
                <w:sz w:val="21"/>
                <w:szCs w:val="21"/>
                <w:color w:val="auto"/>
              </w:rPr>
            </w:pPr>
          </w:p>
        </w:tc>
        <w:tc>
          <w:tcPr>
            <w:tcW w:w="2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1,210</w:t>
            </w:r>
          </w:p>
        </w:tc>
        <w:tc>
          <w:tcPr>
            <w:tcW w:w="120" w:type="dxa"/>
            <w:vAlign w:val="bottom"/>
            <w:tcBorders>
              <w:bottom w:val="single" w:sz="8" w:color="CFF0FC"/>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155.5%</w:t>
            </w:r>
          </w:p>
        </w:tc>
        <w:tc>
          <w:tcPr>
            <w:tcW w:w="0" w:type="dxa"/>
            <w:vAlign w:val="bottom"/>
          </w:tcPr>
          <w:p>
            <w:pPr>
              <w:spacing w:after="0"/>
              <w:rPr>
                <w:sz w:val="1"/>
                <w:szCs w:val="1"/>
                <w:color w:val="auto"/>
              </w:rPr>
            </w:pPr>
          </w:p>
        </w:tc>
      </w:tr>
      <w:tr>
        <w:trPr>
          <w:trHeight w:val="193"/>
        </w:trPr>
        <w:tc>
          <w:tcPr>
            <w:tcW w:w="5600" w:type="dxa"/>
            <w:vAlign w:val="bottom"/>
            <w:shd w:val="clear" w:color="auto" w:fill="CFF0FC"/>
          </w:tcPr>
          <w:p>
            <w:pPr>
              <w:spacing w:after="0" w:line="193" w:lineRule="exact"/>
              <w:rPr>
                <w:sz w:val="20"/>
                <w:szCs w:val="20"/>
                <w:color w:val="auto"/>
              </w:rPr>
            </w:pPr>
            <w:r>
              <w:rPr>
                <w:rFonts w:ascii="Arial" w:cs="Arial" w:eastAsia="Arial" w:hAnsi="Arial"/>
                <w:sz w:val="18"/>
                <w:szCs w:val="18"/>
                <w:color w:val="auto"/>
              </w:rPr>
              <w:t>TDA average days to sale</w:t>
            </w:r>
          </w:p>
        </w:tc>
        <w:tc>
          <w:tcPr>
            <w:tcW w:w="200" w:type="dxa"/>
            <w:vAlign w:val="bottom"/>
            <w:shd w:val="clear" w:color="auto" w:fill="CFF0FC"/>
          </w:tcPr>
          <w:p>
            <w:pPr>
              <w:spacing w:after="0"/>
              <w:rPr>
                <w:sz w:val="16"/>
                <w:szCs w:val="16"/>
                <w:color w:val="auto"/>
              </w:rPr>
            </w:pPr>
          </w:p>
        </w:tc>
        <w:tc>
          <w:tcPr>
            <w:tcW w:w="1120" w:type="dxa"/>
            <w:vAlign w:val="bottom"/>
            <w:shd w:val="clear" w:color="auto" w:fill="CFF0FC"/>
          </w:tcPr>
          <w:p>
            <w:pPr>
              <w:jc w:val="right"/>
              <w:ind w:right="37"/>
              <w:spacing w:after="0" w:line="193" w:lineRule="exact"/>
              <w:rPr>
                <w:sz w:val="20"/>
                <w:szCs w:val="20"/>
                <w:color w:val="auto"/>
              </w:rPr>
            </w:pPr>
            <w:r>
              <w:rPr>
                <w:rFonts w:ascii="Arial" w:cs="Arial" w:eastAsia="Arial" w:hAnsi="Arial"/>
                <w:sz w:val="18"/>
                <w:szCs w:val="18"/>
                <w:color w:val="auto"/>
              </w:rPr>
              <w:t>38</w:t>
            </w:r>
          </w:p>
        </w:tc>
        <w:tc>
          <w:tcPr>
            <w:tcW w:w="1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60" w:type="dxa"/>
            <w:vAlign w:val="bottom"/>
            <w:shd w:val="clear" w:color="auto" w:fill="CFF0FC"/>
          </w:tcPr>
          <w:p>
            <w:pPr>
              <w:jc w:val="right"/>
              <w:ind w:right="34"/>
              <w:spacing w:after="0" w:line="193" w:lineRule="exact"/>
              <w:rPr>
                <w:sz w:val="20"/>
                <w:szCs w:val="20"/>
                <w:color w:val="auto"/>
              </w:rPr>
            </w:pPr>
            <w:r>
              <w:rPr>
                <w:rFonts w:ascii="Arial" w:cs="Arial" w:eastAsia="Arial" w:hAnsi="Arial"/>
                <w:sz w:val="18"/>
                <w:szCs w:val="18"/>
                <w:color w:val="auto"/>
              </w:rPr>
              <w:t>44</w:t>
            </w:r>
          </w:p>
        </w:tc>
        <w:tc>
          <w:tcPr>
            <w:tcW w:w="1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80" w:type="dxa"/>
            <w:vAlign w:val="bottom"/>
            <w:shd w:val="clear" w:color="auto" w:fill="CFF0FC"/>
          </w:tcPr>
          <w:p>
            <w:pPr>
              <w:jc w:val="right"/>
              <w:spacing w:after="0" w:line="193" w:lineRule="exact"/>
              <w:rPr>
                <w:sz w:val="20"/>
                <w:szCs w:val="20"/>
                <w:color w:val="auto"/>
              </w:rPr>
            </w:pPr>
            <w:r>
              <w:rPr>
                <w:rFonts w:ascii="Arial" w:cs="Arial" w:eastAsia="Arial" w:hAnsi="Arial"/>
                <w:sz w:val="18"/>
                <w:szCs w:val="18"/>
                <w:color w:val="auto"/>
              </w:rPr>
              <w:t>(6)</w:t>
            </w:r>
          </w:p>
        </w:tc>
        <w:tc>
          <w:tcPr>
            <w:tcW w:w="120" w:type="dxa"/>
            <w:vAlign w:val="bottom"/>
            <w:shd w:val="clear" w:color="auto" w:fill="CFF0FC"/>
          </w:tcPr>
          <w:p>
            <w:pPr>
              <w:spacing w:after="0"/>
              <w:rPr>
                <w:sz w:val="16"/>
                <w:szCs w:val="16"/>
                <w:color w:val="auto"/>
              </w:rPr>
            </w:pPr>
          </w:p>
        </w:tc>
        <w:tc>
          <w:tcPr>
            <w:tcW w:w="1320" w:type="dxa"/>
            <w:vAlign w:val="bottom"/>
            <w:shd w:val="clear" w:color="auto" w:fill="CFF0FC"/>
          </w:tcPr>
          <w:p>
            <w:pPr>
              <w:jc w:val="right"/>
              <w:spacing w:after="0" w:line="193" w:lineRule="exact"/>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bl>
    <w:p>
      <w:pPr>
        <w:spacing w:after="0" w:line="244" w:lineRule="exact"/>
        <w:rPr>
          <w:sz w:val="20"/>
          <w:szCs w:val="20"/>
          <w:color w:val="auto"/>
        </w:rPr>
      </w:pPr>
    </w:p>
    <w:p>
      <w:pPr>
        <w:ind w:left="760" w:right="200" w:hanging="381"/>
        <w:spacing w:after="0" w:line="252" w:lineRule="auto"/>
        <w:tabs>
          <w:tab w:leader="none" w:pos="760" w:val="left"/>
        </w:tabs>
        <w:numPr>
          <w:ilvl w:val="0"/>
          <w:numId w:val="18"/>
        </w:numPr>
        <w:rPr>
          <w:rFonts w:ascii="Arial" w:cs="Arial" w:eastAsia="Arial" w:hAnsi="Arial"/>
          <w:sz w:val="14"/>
          <w:szCs w:val="14"/>
          <w:color w:val="auto"/>
        </w:rPr>
      </w:pPr>
      <w:r>
        <w:rPr>
          <w:rFonts w:ascii="Arial" w:cs="Arial" w:eastAsia="Arial" w:hAnsi="Arial"/>
          <w:sz w:val="14"/>
          <w:szCs w:val="14"/>
          <w:color w:val="auto"/>
        </w:rPr>
        <w:t>We reclassified other revenue and gross profit related to the vehicle repair service at TDA from the TDA reportable segment to the “All Other” category to conform to current year presentation.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TDA units</w:t>
      </w:r>
    </w:p>
    <w:p>
      <w:pPr>
        <w:spacing w:after="0" w:line="228" w:lineRule="exact"/>
        <w:rPr>
          <w:sz w:val="20"/>
          <w:szCs w:val="20"/>
          <w:color w:val="auto"/>
        </w:rPr>
      </w:pPr>
    </w:p>
    <w:p>
      <w:pPr>
        <w:ind w:right="180" w:firstLine="762"/>
        <w:spacing w:after="0" w:line="235" w:lineRule="auto"/>
        <w:rPr>
          <w:sz w:val="20"/>
          <w:szCs w:val="20"/>
          <w:color w:val="auto"/>
        </w:rPr>
      </w:pPr>
      <w:r>
        <w:rPr>
          <w:rFonts w:ascii="Arial" w:cs="Arial" w:eastAsia="Arial" w:hAnsi="Arial"/>
          <w:sz w:val="18"/>
          <w:szCs w:val="18"/>
          <w:color w:val="auto"/>
        </w:rPr>
        <w:t>TDA units sold increased 473, or 42.6%, from 1,110 for the three months ended June 30, 2020 to 1,583 for the three months ended June 30, 2021. Despite strong market demand for used vehicles, TDA unit sales continue to be negatively impacted by reduced inventory at the TDA location as the ecommerce business continues to scale. TDA units sold were negatively impacted during the second quarter of 2020 as a result of a significant reduction in foot traffic due to the COVID-19 pandemic.</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Vehicle Revenue</w:t>
      </w:r>
    </w:p>
    <w:p>
      <w:pPr>
        <w:spacing w:after="0" w:line="228" w:lineRule="exact"/>
        <w:rPr>
          <w:sz w:val="20"/>
          <w:szCs w:val="20"/>
          <w:color w:val="auto"/>
        </w:rPr>
      </w:pPr>
    </w:p>
    <w:p>
      <w:pPr>
        <w:ind w:right="60" w:firstLine="762"/>
        <w:spacing w:after="0" w:line="234" w:lineRule="auto"/>
        <w:rPr>
          <w:sz w:val="20"/>
          <w:szCs w:val="20"/>
          <w:color w:val="auto"/>
        </w:rPr>
      </w:pPr>
      <w:r>
        <w:rPr>
          <w:rFonts w:ascii="Arial" w:cs="Arial" w:eastAsia="Arial" w:hAnsi="Arial"/>
          <w:sz w:val="18"/>
          <w:szCs w:val="18"/>
          <w:color w:val="auto"/>
        </w:rPr>
        <w:t>TDA vehicle revenue increased $ 23.4 million, or 91.1%, from $25.7 million for the three months ended June 30, 2020 to $49.1 million for the three months ended June 30, 2021. The increase in TDA vehicle revenue was primarily due to a higher ASP per unit primarily due to market appreciation, which increased from $23,144 for the three months ended June 30, 2020 to $31,021 for the three months ended June 30, 2021 and increased revenue by $12.5 million and the 473 increase in TDA units sold, which increased TDA vehicle revenue by $ 10.9 million. Furthermore, in the second quarter of 2020, we made a strategic decision to reduce vehicle pricing in order to sell pre-COVID-19 inventory, which negatively impacted vehicle revenue for that quarter.</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5962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Revenue</w:t>
      </w:r>
    </w:p>
    <w:p>
      <w:pPr>
        <w:spacing w:after="0" w:line="228" w:lineRule="exact"/>
        <w:rPr>
          <w:sz w:val="20"/>
          <w:szCs w:val="20"/>
          <w:color w:val="auto"/>
        </w:rPr>
      </w:pPr>
    </w:p>
    <w:p>
      <w:pPr>
        <w:ind w:right="80" w:firstLine="762"/>
        <w:spacing w:after="0" w:line="235" w:lineRule="auto"/>
        <w:rPr>
          <w:sz w:val="20"/>
          <w:szCs w:val="20"/>
          <w:color w:val="auto"/>
        </w:rPr>
      </w:pPr>
      <w:r>
        <w:rPr>
          <w:rFonts w:ascii="Arial" w:cs="Arial" w:eastAsia="Arial" w:hAnsi="Arial"/>
          <w:sz w:val="18"/>
          <w:szCs w:val="18"/>
          <w:color w:val="auto"/>
        </w:rPr>
        <w:t>TDA product revenue increased $1.1 million, or 163.2%, from $0.6 million for the three months ended June 30, 2020 to $1.7 million for the three months ended June 30, 2021. The increase in TDA product revenue was primarily attributable to an increase in product revenue per unit, which increased revenue by $0.8 million as well as the 473 increase in TDA units sold, which increased TDA product revenue by $0.3 million.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Vehicle Gross Profit</w:t>
      </w:r>
    </w:p>
    <w:p>
      <w:pPr>
        <w:spacing w:after="0" w:line="228" w:lineRule="exact"/>
        <w:rPr>
          <w:sz w:val="20"/>
          <w:szCs w:val="20"/>
          <w:color w:val="auto"/>
        </w:rPr>
      </w:pPr>
    </w:p>
    <w:p>
      <w:pPr>
        <w:ind w:firstLine="762"/>
        <w:spacing w:after="0" w:line="232" w:lineRule="auto"/>
        <w:rPr>
          <w:sz w:val="20"/>
          <w:szCs w:val="20"/>
          <w:color w:val="auto"/>
        </w:rPr>
      </w:pPr>
      <w:r>
        <w:rPr>
          <w:rFonts w:ascii="Arial" w:cs="Arial" w:eastAsia="Arial" w:hAnsi="Arial"/>
          <w:sz w:val="18"/>
          <w:szCs w:val="18"/>
          <w:color w:val="auto"/>
        </w:rPr>
        <w:t>TDA vehicle gross profit increased $1.3 million, or 533.5%, from $0.2 million for the three months ended June 30, 2020 to $1.5 million for the three months ended June 30, 2021. The increase in vehicle gross profit was primarily attributable to a $732 increase in TDA vehicle gross profit per unit, which increased vehicle gross profit by $1.2 million as well as the 473 increase in TDA units sold, which increased TDA vehicle gross profit by $0.1 million. Vehicle gross profit per unit increased from $212 for the three months ended June 30, 2020 to $944 for the three months ended June 30, 2021, primarily attributable to higher sales margins and improvements in reconditioning and inbound logistics costs, partially offset by a higher inventory reserve as a result of an increase in inventory levels. Strong sales margin per unit was partially driven by a record retail pricing environment during the second quarter of 2021 as well as an increase in vehicles sourced directly from consumers and further improvements in our pricing methodologies. Additionally, in the second quarter of 2020, our sales margin was negatively impacted by a strategic decision to reduce vehicle pricing in order to sell pre-COVID-19 inventory. Based on data from Cox Automotive, retail prices are expected to peak in the third quarter and begin to gradually return to normal market conditions and vehicle depreciation during the second half of 2021.</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Gross Profit</w:t>
      </w:r>
    </w:p>
    <w:p>
      <w:pPr>
        <w:spacing w:after="0" w:line="228" w:lineRule="exact"/>
        <w:rPr>
          <w:sz w:val="20"/>
          <w:szCs w:val="20"/>
          <w:color w:val="auto"/>
        </w:rPr>
      </w:pPr>
    </w:p>
    <w:p>
      <w:pPr>
        <w:ind w:right="20" w:firstLine="762"/>
        <w:spacing w:after="0" w:line="235" w:lineRule="auto"/>
        <w:rPr>
          <w:sz w:val="20"/>
          <w:szCs w:val="20"/>
          <w:color w:val="auto"/>
        </w:rPr>
      </w:pPr>
      <w:r>
        <w:rPr>
          <w:rFonts w:ascii="Arial" w:cs="Arial" w:eastAsia="Arial" w:hAnsi="Arial"/>
          <w:sz w:val="18"/>
          <w:szCs w:val="18"/>
          <w:color w:val="auto"/>
        </w:rPr>
        <w:t>TDA product gross profit increased $1.1 million, or 163.2% from $0.6 million for the three months ended June 30, 2020 to $1.7 million for the three months ended June 30, 2021. The increase in TDA product gross profit was primarily attributable to an increase in product gross profit per unit, which increased gross profit by $0.8 million as well as the 473 increase in TDA units sold, which increased TDA product gross profit by $0.3 million.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0" w:type="dxa"/>
            <w:vAlign w:val="bottom"/>
            <w:gridSpan w:val="4"/>
          </w:tcPr>
          <w:p>
            <w:pPr>
              <w:jc w:val="center"/>
              <w:ind w:right="193"/>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58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3"/>
          </w:tcPr>
          <w:p>
            <w:pPr>
              <w:jc w:val="center"/>
              <w:ind w:left="458"/>
              <w:spacing w:after="0"/>
              <w:rPr>
                <w:sz w:val="20"/>
                <w:szCs w:val="20"/>
                <w:color w:val="auto"/>
              </w:rPr>
            </w:pPr>
            <w:r>
              <w:rPr>
                <w:rFonts w:ascii="Arial" w:cs="Arial" w:eastAsia="Arial" w:hAnsi="Arial"/>
                <w:sz w:val="14"/>
                <w:szCs w:val="14"/>
                <w:b w:val="1"/>
                <w:bCs w:val="1"/>
                <w:color w:val="auto"/>
                <w:w w:val="99"/>
              </w:rPr>
              <w:t>June 30,</w:t>
            </w:r>
          </w:p>
        </w:tc>
        <w:tc>
          <w:tcPr>
            <w:tcW w:w="8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vMerge w:val="restart"/>
          </w:tcPr>
          <w:p>
            <w:pPr>
              <w:jc w:val="right"/>
              <w:ind w:right="313"/>
              <w:spacing w:after="0"/>
              <w:rPr>
                <w:sz w:val="20"/>
                <w:szCs w:val="20"/>
                <w:color w:val="auto"/>
              </w:rPr>
            </w:pPr>
            <w:r>
              <w:rPr>
                <w:rFonts w:ascii="Arial" w:cs="Arial" w:eastAsia="Arial" w:hAnsi="Arial"/>
                <w:sz w:val="14"/>
                <w:szCs w:val="14"/>
                <w:b w:val="1"/>
                <w:bCs w:val="1"/>
                <w:color w:val="auto"/>
              </w:rPr>
              <w:t>Change</w:t>
            </w:r>
          </w:p>
        </w:tc>
        <w:tc>
          <w:tcPr>
            <w:tcW w:w="120" w:type="dxa"/>
            <w:vAlign w:val="bottom"/>
            <w:vMerge w:val="restart"/>
          </w:tcPr>
          <w:p>
            <w:pPr>
              <w:spacing w:after="0"/>
              <w:rPr>
                <w:sz w:val="15"/>
                <w:szCs w:val="15"/>
                <w:color w:val="auto"/>
              </w:rPr>
            </w:pPr>
          </w:p>
        </w:tc>
        <w:tc>
          <w:tcPr>
            <w:tcW w:w="1240" w:type="dxa"/>
            <w:vAlign w:val="bottom"/>
            <w:vMerge w:val="restart"/>
          </w:tcPr>
          <w:p>
            <w:pPr>
              <w:jc w:val="right"/>
              <w:ind w:right="293"/>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66"/>
        </w:trPr>
        <w:tc>
          <w:tcPr>
            <w:tcW w:w="58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98"/>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12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58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80" w:type="dxa"/>
            <w:vAlign w:val="bottom"/>
            <w:gridSpan w:val="3"/>
          </w:tcPr>
          <w:p>
            <w:pPr>
              <w:jc w:val="center"/>
              <w:ind w:left="478"/>
              <w:spacing w:after="0"/>
              <w:rPr>
                <w:sz w:val="20"/>
                <w:szCs w:val="20"/>
                <w:color w:val="auto"/>
              </w:rPr>
            </w:pPr>
            <w:r>
              <w:rPr>
                <w:rFonts w:ascii="Arial" w:cs="Arial" w:eastAsia="Arial" w:hAnsi="Arial"/>
                <w:sz w:val="14"/>
                <w:szCs w:val="14"/>
                <w:b w:val="1"/>
                <w:bCs w:val="1"/>
                <w:color w:val="auto"/>
              </w:rPr>
              <w:t>(in thousands)</w:t>
            </w: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5880" w:type="dxa"/>
            <w:vAlign w:val="bottom"/>
            <w:shd w:val="clear" w:color="auto" w:fill="CFF0FC"/>
          </w:tcPr>
          <w:p>
            <w:pPr>
              <w:spacing w:after="0"/>
              <w:rPr>
                <w:sz w:val="20"/>
                <w:szCs w:val="20"/>
                <w:color w:val="auto"/>
              </w:rPr>
            </w:pPr>
            <w:r>
              <w:rPr>
                <w:rFonts w:ascii="Arial" w:cs="Arial" w:eastAsia="Arial" w:hAnsi="Arial"/>
                <w:sz w:val="18"/>
                <w:szCs w:val="18"/>
                <w:color w:val="auto"/>
              </w:rPr>
              <w:t>Compensation &amp; benefits</w:t>
            </w:r>
          </w:p>
        </w:tc>
        <w:tc>
          <w:tcPr>
            <w:tcW w:w="280" w:type="dxa"/>
            <w:vAlign w:val="bottom"/>
            <w:shd w:val="clear" w:color="auto" w:fill="CFF0FC"/>
          </w:tcPr>
          <w:p>
            <w:pPr>
              <w:jc w:val="right"/>
              <w:ind w:right="91"/>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ind w:right="38"/>
              <w:spacing w:after="0"/>
              <w:rPr>
                <w:sz w:val="20"/>
                <w:szCs w:val="20"/>
                <w:color w:val="auto"/>
              </w:rPr>
            </w:pPr>
            <w:r>
              <w:rPr>
                <w:rFonts w:ascii="Arial" w:cs="Arial" w:eastAsia="Arial" w:hAnsi="Arial"/>
                <w:sz w:val="18"/>
                <w:szCs w:val="18"/>
                <w:color w:val="auto"/>
              </w:rPr>
              <w:t>51,811</w:t>
            </w:r>
          </w:p>
        </w:tc>
        <w:tc>
          <w:tcPr>
            <w:tcW w:w="58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20,618</w:t>
            </w:r>
          </w:p>
        </w:tc>
        <w:tc>
          <w:tcPr>
            <w:tcW w:w="3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31,193</w:t>
            </w:r>
          </w:p>
        </w:tc>
        <w:tc>
          <w:tcPr>
            <w:tcW w:w="12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151.3%</w:t>
            </w:r>
          </w:p>
        </w:tc>
        <w:tc>
          <w:tcPr>
            <w:tcW w:w="0" w:type="dxa"/>
            <w:vAlign w:val="bottom"/>
          </w:tcPr>
          <w:p>
            <w:pPr>
              <w:spacing w:after="0"/>
              <w:rPr>
                <w:sz w:val="1"/>
                <w:szCs w:val="1"/>
                <w:color w:val="auto"/>
              </w:rPr>
            </w:pPr>
          </w:p>
        </w:tc>
      </w:tr>
      <w:tr>
        <w:trPr>
          <w:trHeight w:val="213"/>
        </w:trPr>
        <w:tc>
          <w:tcPr>
            <w:tcW w:w="5880" w:type="dxa"/>
            <w:vAlign w:val="bottom"/>
          </w:tcPr>
          <w:p>
            <w:pPr>
              <w:spacing w:after="0"/>
              <w:rPr>
                <w:sz w:val="20"/>
                <w:szCs w:val="20"/>
                <w:color w:val="auto"/>
              </w:rPr>
            </w:pPr>
            <w:r>
              <w:rPr>
                <w:rFonts w:ascii="Arial" w:cs="Arial" w:eastAsia="Arial" w:hAnsi="Arial"/>
                <w:sz w:val="18"/>
                <w:szCs w:val="18"/>
                <w:color w:val="auto"/>
              </w:rPr>
              <w:t>Marketing expense</w:t>
            </w:r>
          </w:p>
        </w:tc>
        <w:tc>
          <w:tcPr>
            <w:tcW w:w="280" w:type="dxa"/>
            <w:vAlign w:val="bottom"/>
          </w:tcPr>
          <w:p>
            <w:pPr>
              <w:spacing w:after="0"/>
              <w:rPr>
                <w:sz w:val="18"/>
                <w:szCs w:val="18"/>
                <w:color w:val="auto"/>
              </w:rPr>
            </w:pPr>
          </w:p>
        </w:tc>
        <w:tc>
          <w:tcPr>
            <w:tcW w:w="1000" w:type="dxa"/>
            <w:vAlign w:val="bottom"/>
          </w:tcPr>
          <w:p>
            <w:pPr>
              <w:jc w:val="right"/>
              <w:ind w:right="38"/>
              <w:spacing w:after="0"/>
              <w:rPr>
                <w:sz w:val="20"/>
                <w:szCs w:val="20"/>
                <w:color w:val="auto"/>
              </w:rPr>
            </w:pPr>
            <w:r>
              <w:rPr>
                <w:rFonts w:ascii="Arial" w:cs="Arial" w:eastAsia="Arial" w:hAnsi="Arial"/>
                <w:sz w:val="18"/>
                <w:szCs w:val="18"/>
                <w:color w:val="auto"/>
              </w:rPr>
              <w:t>23,495</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jc w:val="right"/>
              <w:ind w:right="33"/>
              <w:spacing w:after="0"/>
              <w:rPr>
                <w:sz w:val="20"/>
                <w:szCs w:val="20"/>
                <w:color w:val="auto"/>
              </w:rPr>
            </w:pPr>
            <w:r>
              <w:rPr>
                <w:rFonts w:ascii="Arial" w:cs="Arial" w:eastAsia="Arial" w:hAnsi="Arial"/>
                <w:sz w:val="18"/>
                <w:szCs w:val="18"/>
                <w:color w:val="auto"/>
              </w:rPr>
              <w:t>11,573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11,922</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103.0%</w:t>
            </w:r>
          </w:p>
        </w:tc>
        <w:tc>
          <w:tcPr>
            <w:tcW w:w="0" w:type="dxa"/>
            <w:vAlign w:val="bottom"/>
          </w:tcPr>
          <w:p>
            <w:pPr>
              <w:spacing w:after="0"/>
              <w:rPr>
                <w:sz w:val="1"/>
                <w:szCs w:val="1"/>
                <w:color w:val="auto"/>
              </w:rPr>
            </w:pPr>
          </w:p>
        </w:tc>
      </w:tr>
      <w:tr>
        <w:trPr>
          <w:trHeight w:val="213"/>
        </w:trPr>
        <w:tc>
          <w:tcPr>
            <w:tcW w:w="588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Outbound logistics </w:t>
            </w:r>
            <w:r>
              <w:rPr>
                <w:rFonts w:ascii="Arial" w:cs="Arial" w:eastAsia="Arial" w:hAnsi="Arial"/>
                <w:sz w:val="15"/>
                <w:szCs w:val="15"/>
                <w:color w:val="auto"/>
              </w:rPr>
              <w:t>(1)</w:t>
            </w: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8"/>
              <w:spacing w:after="0"/>
              <w:rPr>
                <w:sz w:val="20"/>
                <w:szCs w:val="20"/>
                <w:color w:val="auto"/>
              </w:rPr>
            </w:pPr>
            <w:r>
              <w:rPr>
                <w:rFonts w:ascii="Arial" w:cs="Arial" w:eastAsia="Arial" w:hAnsi="Arial"/>
                <w:sz w:val="18"/>
                <w:szCs w:val="18"/>
                <w:color w:val="auto"/>
              </w:rPr>
              <w:t>20,153</w:t>
            </w:r>
          </w:p>
        </w:tc>
        <w:tc>
          <w:tcPr>
            <w:tcW w:w="1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8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5,470</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14,683</w:t>
            </w:r>
          </w:p>
        </w:tc>
        <w:tc>
          <w:tcPr>
            <w:tcW w:w="12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268.4%</w:t>
            </w:r>
          </w:p>
        </w:tc>
        <w:tc>
          <w:tcPr>
            <w:tcW w:w="0" w:type="dxa"/>
            <w:vAlign w:val="bottom"/>
          </w:tcPr>
          <w:p>
            <w:pPr>
              <w:spacing w:after="0"/>
              <w:rPr>
                <w:sz w:val="1"/>
                <w:szCs w:val="1"/>
                <w:color w:val="auto"/>
              </w:rPr>
            </w:pPr>
          </w:p>
        </w:tc>
      </w:tr>
      <w:tr>
        <w:trPr>
          <w:trHeight w:val="213"/>
        </w:trPr>
        <w:tc>
          <w:tcPr>
            <w:tcW w:w="5880" w:type="dxa"/>
            <w:vAlign w:val="bottom"/>
          </w:tcPr>
          <w:p>
            <w:pPr>
              <w:spacing w:after="0"/>
              <w:rPr>
                <w:sz w:val="20"/>
                <w:szCs w:val="20"/>
                <w:color w:val="auto"/>
              </w:rPr>
            </w:pPr>
            <w:r>
              <w:rPr>
                <w:rFonts w:ascii="Arial" w:cs="Arial" w:eastAsia="Arial" w:hAnsi="Arial"/>
                <w:sz w:val="18"/>
                <w:szCs w:val="18"/>
                <w:color w:val="auto"/>
              </w:rPr>
              <w:t>Occupancy and related costs</w:t>
            </w:r>
          </w:p>
        </w:tc>
        <w:tc>
          <w:tcPr>
            <w:tcW w:w="280" w:type="dxa"/>
            <w:vAlign w:val="bottom"/>
          </w:tcPr>
          <w:p>
            <w:pPr>
              <w:spacing w:after="0"/>
              <w:rPr>
                <w:sz w:val="18"/>
                <w:szCs w:val="18"/>
                <w:color w:val="auto"/>
              </w:rPr>
            </w:pPr>
          </w:p>
        </w:tc>
        <w:tc>
          <w:tcPr>
            <w:tcW w:w="1000" w:type="dxa"/>
            <w:vAlign w:val="bottom"/>
          </w:tcPr>
          <w:p>
            <w:pPr>
              <w:jc w:val="right"/>
              <w:ind w:right="38"/>
              <w:spacing w:after="0"/>
              <w:rPr>
                <w:sz w:val="20"/>
                <w:szCs w:val="20"/>
                <w:color w:val="auto"/>
              </w:rPr>
            </w:pPr>
            <w:r>
              <w:rPr>
                <w:rFonts w:ascii="Arial" w:cs="Arial" w:eastAsia="Arial" w:hAnsi="Arial"/>
                <w:sz w:val="18"/>
                <w:szCs w:val="18"/>
                <w:color w:val="auto"/>
              </w:rPr>
              <w:t>4,042</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jc w:val="right"/>
              <w:ind w:right="33"/>
              <w:spacing w:after="0"/>
              <w:rPr>
                <w:sz w:val="20"/>
                <w:szCs w:val="20"/>
                <w:color w:val="auto"/>
              </w:rPr>
            </w:pPr>
            <w:r>
              <w:rPr>
                <w:rFonts w:ascii="Arial" w:cs="Arial" w:eastAsia="Arial" w:hAnsi="Arial"/>
                <w:sz w:val="18"/>
                <w:szCs w:val="18"/>
                <w:color w:val="auto"/>
              </w:rPr>
              <w:t>2,267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1,775</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78.3%</w:t>
            </w:r>
          </w:p>
        </w:tc>
        <w:tc>
          <w:tcPr>
            <w:tcW w:w="0" w:type="dxa"/>
            <w:vAlign w:val="bottom"/>
          </w:tcPr>
          <w:p>
            <w:pPr>
              <w:spacing w:after="0"/>
              <w:rPr>
                <w:sz w:val="1"/>
                <w:szCs w:val="1"/>
                <w:color w:val="auto"/>
              </w:rPr>
            </w:pPr>
          </w:p>
        </w:tc>
      </w:tr>
      <w:tr>
        <w:trPr>
          <w:trHeight w:val="213"/>
        </w:trPr>
        <w:tc>
          <w:tcPr>
            <w:tcW w:w="5880" w:type="dxa"/>
            <w:vAlign w:val="bottom"/>
            <w:shd w:val="clear" w:color="auto" w:fill="CFF0FC"/>
          </w:tcPr>
          <w:p>
            <w:pPr>
              <w:spacing w:after="0"/>
              <w:rPr>
                <w:sz w:val="20"/>
                <w:szCs w:val="20"/>
                <w:color w:val="auto"/>
              </w:rPr>
            </w:pPr>
            <w:r>
              <w:rPr>
                <w:rFonts w:ascii="Arial" w:cs="Arial" w:eastAsia="Arial" w:hAnsi="Arial"/>
                <w:sz w:val="18"/>
                <w:szCs w:val="18"/>
                <w:color w:val="auto"/>
              </w:rPr>
              <w:t>Professional fees</w:t>
            </w: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8"/>
              <w:spacing w:after="0"/>
              <w:rPr>
                <w:sz w:val="20"/>
                <w:szCs w:val="20"/>
                <w:color w:val="auto"/>
              </w:rPr>
            </w:pPr>
            <w:r>
              <w:rPr>
                <w:rFonts w:ascii="Arial" w:cs="Arial" w:eastAsia="Arial" w:hAnsi="Arial"/>
                <w:sz w:val="18"/>
                <w:szCs w:val="18"/>
                <w:color w:val="auto"/>
              </w:rPr>
              <w:t>4,259</w:t>
            </w:r>
          </w:p>
        </w:tc>
        <w:tc>
          <w:tcPr>
            <w:tcW w:w="1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8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1,465</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2,794</w:t>
            </w:r>
          </w:p>
        </w:tc>
        <w:tc>
          <w:tcPr>
            <w:tcW w:w="12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190.7%</w:t>
            </w:r>
          </w:p>
        </w:tc>
        <w:tc>
          <w:tcPr>
            <w:tcW w:w="0" w:type="dxa"/>
            <w:vAlign w:val="bottom"/>
          </w:tcPr>
          <w:p>
            <w:pPr>
              <w:spacing w:after="0"/>
              <w:rPr>
                <w:sz w:val="1"/>
                <w:szCs w:val="1"/>
                <w:color w:val="auto"/>
              </w:rPr>
            </w:pPr>
          </w:p>
        </w:tc>
      </w:tr>
      <w:tr>
        <w:trPr>
          <w:trHeight w:val="213"/>
        </w:trPr>
        <w:tc>
          <w:tcPr>
            <w:tcW w:w="58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8"/>
              <w:spacing w:after="0"/>
              <w:rPr>
                <w:sz w:val="20"/>
                <w:szCs w:val="20"/>
                <w:color w:val="auto"/>
              </w:rPr>
            </w:pPr>
            <w:r>
              <w:rPr>
                <w:rFonts w:ascii="Arial" w:cs="Arial" w:eastAsia="Arial" w:hAnsi="Arial"/>
                <w:sz w:val="18"/>
                <w:szCs w:val="18"/>
                <w:color w:val="auto"/>
              </w:rPr>
              <w:t>20,138</w:t>
            </w:r>
          </w:p>
        </w:tc>
        <w:tc>
          <w:tcPr>
            <w:tcW w:w="120" w:type="dxa"/>
            <w:vAlign w:val="bottom"/>
            <w:tcBorders>
              <w:bottom w:val="single" w:sz="8" w:color="CFF0FC"/>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6,518</w:t>
            </w:r>
          </w:p>
        </w:tc>
        <w:tc>
          <w:tcPr>
            <w:tcW w:w="12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13,620</w:t>
            </w:r>
          </w:p>
        </w:tc>
        <w:tc>
          <w:tcPr>
            <w:tcW w:w="120" w:type="dxa"/>
            <w:vAlign w:val="bottom"/>
            <w:tcBorders>
              <w:bottom w:val="single" w:sz="8" w:color="CFF0FC"/>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209.0%</w:t>
            </w:r>
          </w:p>
        </w:tc>
        <w:tc>
          <w:tcPr>
            <w:tcW w:w="0" w:type="dxa"/>
            <w:vAlign w:val="bottom"/>
          </w:tcPr>
          <w:p>
            <w:pPr>
              <w:spacing w:after="0"/>
              <w:rPr>
                <w:sz w:val="1"/>
                <w:szCs w:val="1"/>
                <w:color w:val="auto"/>
              </w:rPr>
            </w:pPr>
          </w:p>
        </w:tc>
      </w:tr>
      <w:tr>
        <w:trPr>
          <w:trHeight w:val="206"/>
        </w:trPr>
        <w:tc>
          <w:tcPr>
            <w:tcW w:w="5880" w:type="dxa"/>
            <w:vAlign w:val="bottom"/>
            <w:shd w:val="clear" w:color="auto" w:fill="CFF0FC"/>
          </w:tcPr>
          <w:p>
            <w:pPr>
              <w:spacing w:after="0"/>
              <w:rPr>
                <w:sz w:val="20"/>
                <w:szCs w:val="20"/>
                <w:color w:val="auto"/>
              </w:rPr>
            </w:pPr>
            <w:r>
              <w:rPr>
                <w:rFonts w:ascii="Arial" w:cs="Arial" w:eastAsia="Arial" w:hAnsi="Arial"/>
                <w:sz w:val="18"/>
                <w:szCs w:val="18"/>
                <w:color w:val="auto"/>
              </w:rPr>
              <w:t>Total selling, general &amp; administrative expenses</w:t>
            </w:r>
          </w:p>
        </w:tc>
        <w:tc>
          <w:tcPr>
            <w:tcW w:w="280" w:type="dxa"/>
            <w:vAlign w:val="bottom"/>
            <w:shd w:val="clear" w:color="auto" w:fill="CFF0FC"/>
          </w:tcPr>
          <w:p>
            <w:pPr>
              <w:jc w:val="right"/>
              <w:ind w:right="91"/>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ind w:right="38"/>
              <w:spacing w:after="0"/>
              <w:rPr>
                <w:sz w:val="20"/>
                <w:szCs w:val="20"/>
                <w:color w:val="auto"/>
              </w:rPr>
            </w:pPr>
            <w:r>
              <w:rPr>
                <w:rFonts w:ascii="Arial" w:cs="Arial" w:eastAsia="Arial" w:hAnsi="Arial"/>
                <w:sz w:val="18"/>
                <w:szCs w:val="18"/>
                <w:color w:val="auto"/>
              </w:rPr>
              <w:t>123,898</w:t>
            </w:r>
          </w:p>
        </w:tc>
        <w:tc>
          <w:tcPr>
            <w:tcW w:w="58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47,911</w:t>
            </w:r>
          </w:p>
        </w:tc>
        <w:tc>
          <w:tcPr>
            <w:tcW w:w="3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75,987</w:t>
            </w:r>
          </w:p>
        </w:tc>
        <w:tc>
          <w:tcPr>
            <w:tcW w:w="12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158.6%</w:t>
            </w:r>
          </w:p>
        </w:tc>
        <w:tc>
          <w:tcPr>
            <w:tcW w:w="0" w:type="dxa"/>
            <w:vAlign w:val="bottom"/>
          </w:tcPr>
          <w:p>
            <w:pPr>
              <w:spacing w:after="0"/>
              <w:rPr>
                <w:sz w:val="1"/>
                <w:szCs w:val="1"/>
                <w:color w:val="auto"/>
              </w:rPr>
            </w:pPr>
          </w:p>
        </w:tc>
      </w:tr>
      <w:tr>
        <w:trPr>
          <w:trHeight w:val="20"/>
        </w:trPr>
        <w:tc>
          <w:tcPr>
            <w:tcW w:w="588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1" w:lineRule="exact"/>
        <w:rPr>
          <w:sz w:val="20"/>
          <w:szCs w:val="20"/>
          <w:color w:val="auto"/>
        </w:rPr>
      </w:pPr>
    </w:p>
    <w:p>
      <w:pPr>
        <w:ind w:left="760" w:right="480" w:hanging="381"/>
        <w:spacing w:after="0" w:line="331" w:lineRule="auto"/>
        <w:tabs>
          <w:tab w:leader="none" w:pos="7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Outbound logistics primarily includes third-party transportation fees as well as cost related to operating our proprietary logistics network, including fuel, tolls, and maintenance expenses. Inbound transportation costs, from the point of acquisition to the relevant reconditioning facility, are included in cost of sales.</w:t>
      </w:r>
    </w:p>
    <w:p>
      <w:pPr>
        <w:spacing w:after="0" w:line="189" w:lineRule="exact"/>
        <w:rPr>
          <w:sz w:val="20"/>
          <w:szCs w:val="20"/>
          <w:color w:val="auto"/>
        </w:rPr>
      </w:pPr>
    </w:p>
    <w:p>
      <w:pPr>
        <w:ind w:right="200" w:firstLine="762"/>
        <w:spacing w:after="0" w:line="239" w:lineRule="auto"/>
        <w:rPr>
          <w:sz w:val="20"/>
          <w:szCs w:val="20"/>
          <w:color w:val="auto"/>
        </w:rPr>
      </w:pPr>
      <w:r>
        <w:rPr>
          <w:rFonts w:ascii="Arial" w:cs="Arial" w:eastAsia="Arial" w:hAnsi="Arial"/>
          <w:sz w:val="18"/>
          <w:szCs w:val="18"/>
          <w:color w:val="auto"/>
        </w:rPr>
        <w:t>SG&amp;A expenses increased $76.0 million, or 158.6%, from $47.9 million for the three months ended June 30, 2020 to $123.9 million for the three months ended June 30, 2021. The increase was primarily due to:</w:t>
      </w:r>
    </w:p>
    <w:p>
      <w:pPr>
        <w:spacing w:after="0" w:line="94" w:lineRule="exact"/>
        <w:rPr>
          <w:sz w:val="20"/>
          <w:szCs w:val="20"/>
          <w:color w:val="auto"/>
        </w:rPr>
      </w:pPr>
    </w:p>
    <w:p>
      <w:pPr>
        <w:ind w:left="1020" w:right="320" w:hanging="255"/>
        <w:spacing w:after="0" w:line="235" w:lineRule="auto"/>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$31.2 million increase in compensation and benefits as a result of an increase in headcount, an increase in variable fees for third-party sales and sales support providers as a result of an increase in units sold, as well as a $1.3 million increase in stock-based compensation from $4.1 million for the three months ended June 30, 2020 to $5.4 million for the three months ended June 30, 2021;</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50800</wp:posOffset>
            </wp:positionV>
            <wp:extent cx="715962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8" w:lineRule="exact"/>
        <w:rPr>
          <w:sz w:val="20"/>
          <w:szCs w:val="20"/>
          <w:color w:val="auto"/>
        </w:rPr>
      </w:pPr>
    </w:p>
    <w:p>
      <w:pPr>
        <w:ind w:left="1020" w:right="100" w:hanging="255"/>
        <w:spacing w:after="0" w:line="236" w:lineRule="auto"/>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$14.7 million increase in outbound logistics costs attributable to the growth in ecommerce units sold, which increased outbound logistics costs by $9.4 million, and increases in market rates of logistics providers, which increased outbound logistics costs by $5.3 million;</w:t>
      </w:r>
    </w:p>
    <w:p>
      <w:pPr>
        <w:spacing w:after="0" w:line="94" w:lineRule="exact"/>
        <w:rPr>
          <w:rFonts w:ascii="Arial" w:cs="Arial" w:eastAsia="Arial" w:hAnsi="Arial"/>
          <w:sz w:val="18"/>
          <w:szCs w:val="18"/>
          <w:color w:val="auto"/>
        </w:rPr>
      </w:pPr>
    </w:p>
    <w:p>
      <w:pPr>
        <w:ind w:left="1020" w:right="160" w:hanging="255"/>
        <w:spacing w:after="0" w:line="236" w:lineRule="auto"/>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$13.6 million increase in other SG&amp;A expenses primarily related to volume-based fees for software licenses and other variable expenses as our business continues to scale as well as additional insurance costs associated with being a publicly traded company and growing inventory; and</w:t>
      </w:r>
    </w:p>
    <w:p>
      <w:pPr>
        <w:spacing w:after="0" w:line="94" w:lineRule="exact"/>
        <w:rPr>
          <w:rFonts w:ascii="Arial" w:cs="Arial" w:eastAsia="Arial" w:hAnsi="Arial"/>
          <w:sz w:val="18"/>
          <w:szCs w:val="18"/>
          <w:color w:val="auto"/>
        </w:rPr>
      </w:pPr>
    </w:p>
    <w:p>
      <w:pPr>
        <w:ind w:left="1020" w:right="600" w:hanging="255"/>
        <w:spacing w:after="0" w:line="239" w:lineRule="auto"/>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 $11.9 million increase in marketing expense as we expanded our national broad-reach brand advertising and increased performance marketing as we continue to grow our listed inventory.</w:t>
      </w:r>
    </w:p>
    <w:p>
      <w:pPr>
        <w:spacing w:after="0" w:line="227" w:lineRule="exact"/>
        <w:rPr>
          <w:sz w:val="20"/>
          <w:szCs w:val="20"/>
          <w:color w:val="auto"/>
        </w:rPr>
      </w:pPr>
    </w:p>
    <w:p>
      <w:pPr>
        <w:ind w:firstLine="762"/>
        <w:spacing w:after="0" w:line="236" w:lineRule="auto"/>
        <w:rPr>
          <w:sz w:val="20"/>
          <w:szCs w:val="20"/>
          <w:color w:val="auto"/>
        </w:rPr>
      </w:pPr>
      <w:r>
        <w:rPr>
          <w:rFonts w:ascii="Arial" w:cs="Arial" w:eastAsia="Arial" w:hAnsi="Arial"/>
          <w:sz w:val="18"/>
          <w:szCs w:val="18"/>
          <w:color w:val="auto"/>
        </w:rPr>
        <w:t>We expect SG&amp;A expenses to increase in the future as we scale our business and sell more ecommerce units. We also expect to incur increased SG&amp;A expenses as we continue to invest in and improve our customer experience, invest in expanding our proprietary logistics and reconditioning networks, and explore a variety of strategies for a proprietary lending operation.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 and amortization</w:t>
      </w:r>
    </w:p>
    <w:p>
      <w:pPr>
        <w:spacing w:after="0" w:line="228" w:lineRule="exact"/>
        <w:rPr>
          <w:sz w:val="20"/>
          <w:szCs w:val="20"/>
          <w:color w:val="auto"/>
        </w:rPr>
      </w:pPr>
    </w:p>
    <w:p>
      <w:pPr>
        <w:jc w:val="both"/>
        <w:ind w:right="260" w:firstLine="762"/>
        <w:spacing w:after="0" w:line="236" w:lineRule="auto"/>
        <w:rPr>
          <w:sz w:val="20"/>
          <w:szCs w:val="20"/>
          <w:color w:val="auto"/>
        </w:rPr>
      </w:pPr>
      <w:r>
        <w:rPr>
          <w:rFonts w:ascii="Arial" w:cs="Arial" w:eastAsia="Arial" w:hAnsi="Arial"/>
          <w:sz w:val="18"/>
          <w:szCs w:val="18"/>
          <w:color w:val="auto"/>
        </w:rPr>
        <w:t>Depreciation and amortization expenses increased $2.0 million, or 182.4%, from $1.1 million for the three months ended June 30, 2020 to $3.1 million for the three months ended June 30, 2021. The increase was primarily due to amortization expense of intangible assets acquired as part of the acquisition of the CarStory business on January 7, 2021.</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8" w:lineRule="exact"/>
        <w:rPr>
          <w:sz w:val="20"/>
          <w:szCs w:val="20"/>
          <w:color w:val="auto"/>
        </w:rPr>
      </w:pPr>
    </w:p>
    <w:p>
      <w:pPr>
        <w:ind w:right="20" w:firstLine="762"/>
        <w:spacing w:after="0" w:line="236" w:lineRule="auto"/>
        <w:rPr>
          <w:sz w:val="20"/>
          <w:szCs w:val="20"/>
          <w:color w:val="auto"/>
        </w:rPr>
      </w:pPr>
      <w:r>
        <w:rPr>
          <w:rFonts w:ascii="Arial" w:cs="Arial" w:eastAsia="Arial" w:hAnsi="Arial"/>
          <w:sz w:val="18"/>
          <w:szCs w:val="18"/>
          <w:color w:val="auto"/>
        </w:rPr>
        <w:t>Interest expense increased $2.6 million, or 199.2%, from $1.3 million for the three months ended June 30, 2020 to $3.9 million for the three months ended June 30, 2021. The increase was primarily attributable to a higher outstanding balance of the 2020 Vehicle Floorplan Facility due to the increase in vehicle inventory levels as the business continues to scale.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228" w:lineRule="exact"/>
        <w:rPr>
          <w:sz w:val="20"/>
          <w:szCs w:val="20"/>
          <w:color w:val="auto"/>
        </w:rPr>
      </w:pPr>
    </w:p>
    <w:p>
      <w:pPr>
        <w:jc w:val="both"/>
        <w:ind w:right="120" w:firstLine="762"/>
        <w:spacing w:after="0" w:line="255" w:lineRule="auto"/>
        <w:rPr>
          <w:sz w:val="20"/>
          <w:szCs w:val="20"/>
          <w:color w:val="auto"/>
        </w:rPr>
      </w:pPr>
      <w:r>
        <w:rPr>
          <w:rFonts w:ascii="Arial" w:cs="Arial" w:eastAsia="Arial" w:hAnsi="Arial"/>
          <w:sz w:val="17"/>
          <w:szCs w:val="17"/>
          <w:color w:val="auto"/>
        </w:rPr>
        <w:t>Interest income increased $1.4 million, or 188.4%, from $0.7 million for the three months ended June 30, 2020 to $2.1 million for the three months ended June 30, 2021. The increase in interest income was primarily driven by higher cash and cash equivalent balances for the three months ended June 30, 2021 as compared to June 30, 2021, as a result of the follow-on public offering and issuance of the Notes.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Revaluation of preferred stock warrant</w:t>
      </w:r>
    </w:p>
    <w:p>
      <w:pPr>
        <w:spacing w:after="0" w:line="228" w:lineRule="exact"/>
        <w:rPr>
          <w:sz w:val="20"/>
          <w:szCs w:val="20"/>
          <w:color w:val="auto"/>
        </w:rPr>
      </w:pPr>
    </w:p>
    <w:p>
      <w:pPr>
        <w:ind w:right="60" w:firstLine="749"/>
        <w:spacing w:after="0" w:line="239" w:lineRule="auto"/>
        <w:rPr>
          <w:sz w:val="20"/>
          <w:szCs w:val="20"/>
          <w:color w:val="auto"/>
        </w:rPr>
      </w:pPr>
      <w:r>
        <w:rPr>
          <w:rFonts w:ascii="Arial" w:cs="Arial" w:eastAsia="Arial" w:hAnsi="Arial"/>
          <w:sz w:val="18"/>
          <w:szCs w:val="18"/>
          <w:color w:val="auto"/>
        </w:rPr>
        <w:t>For the three months ended June 30, 2020, the revaluation of the preferred stock warrant was $21.3 million related to the conversion and exercise of the Series F preferred stock warrant to purchase common stock upon the IPO in June 2020.</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50800</wp:posOffset>
            </wp:positionV>
            <wp:extent cx="715962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 2021 and 2020</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Ecommerce</w:t>
      </w:r>
    </w:p>
    <w:p>
      <w:pPr>
        <w:spacing w:after="0" w:line="22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presents our Ecommerce segment results of operations for the periods indicated:</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720" w:type="dxa"/>
            <w:vAlign w:val="bottom"/>
            <w:gridSpan w:val="5"/>
          </w:tcPr>
          <w:p>
            <w:pPr>
              <w:jc w:val="center"/>
              <w:ind w:right="480"/>
              <w:spacing w:after="0"/>
              <w:rPr>
                <w:sz w:val="20"/>
                <w:szCs w:val="20"/>
                <w:color w:val="auto"/>
              </w:rPr>
            </w:pPr>
            <w:r>
              <w:rPr>
                <w:rFonts w:ascii="Arial" w:cs="Arial" w:eastAsia="Arial" w:hAnsi="Arial"/>
                <w:sz w:val="14"/>
                <w:szCs w:val="14"/>
                <w:b w:val="1"/>
                <w:bCs w:val="1"/>
                <w:color w:val="auto"/>
              </w:rPr>
              <w:t>Six Months Ended</w:t>
            </w: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56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3"/>
          </w:tcPr>
          <w:p>
            <w:pPr>
              <w:jc w:val="center"/>
              <w:ind w:left="597"/>
              <w:spacing w:after="0"/>
              <w:rPr>
                <w:sz w:val="20"/>
                <w:szCs w:val="20"/>
                <w:color w:val="auto"/>
              </w:rPr>
            </w:pPr>
            <w:r>
              <w:rPr>
                <w:rFonts w:ascii="Arial" w:cs="Arial" w:eastAsia="Arial" w:hAnsi="Arial"/>
                <w:sz w:val="14"/>
                <w:szCs w:val="14"/>
                <w:b w:val="1"/>
                <w:bCs w:val="1"/>
                <w:color w:val="auto"/>
                <w:w w:val="99"/>
              </w:rPr>
              <w:t>June 30,</w:t>
            </w:r>
          </w:p>
        </w:tc>
        <w:tc>
          <w:tcPr>
            <w:tcW w:w="102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56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Change</w:t>
            </w:r>
          </w:p>
        </w:tc>
        <w:tc>
          <w:tcPr>
            <w:tcW w:w="120" w:type="dxa"/>
            <w:vAlign w:val="bottom"/>
          </w:tcPr>
          <w:p>
            <w:pPr>
              <w:spacing w:after="0"/>
              <w:rPr>
                <w:sz w:val="14"/>
                <w:szCs w:val="14"/>
                <w:color w:val="auto"/>
              </w:rPr>
            </w:pPr>
          </w:p>
        </w:tc>
        <w:tc>
          <w:tcPr>
            <w:tcW w:w="128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53"/>
        </w:trPr>
        <w:tc>
          <w:tcPr>
            <w:tcW w:w="5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720" w:type="dxa"/>
            <w:vAlign w:val="bottom"/>
            <w:gridSpan w:val="5"/>
          </w:tcPr>
          <w:p>
            <w:pPr>
              <w:jc w:val="center"/>
              <w:ind w:right="480"/>
              <w:spacing w:after="0" w:line="153" w:lineRule="exact"/>
              <w:rPr>
                <w:sz w:val="20"/>
                <w:szCs w:val="20"/>
                <w:color w:val="auto"/>
              </w:rPr>
            </w:pPr>
            <w:r>
              <w:rPr>
                <w:rFonts w:ascii="Arial" w:cs="Arial" w:eastAsia="Arial" w:hAnsi="Arial"/>
                <w:sz w:val="14"/>
                <w:szCs w:val="14"/>
                <w:b w:val="1"/>
                <w:bCs w:val="1"/>
                <w:color w:val="auto"/>
              </w:rPr>
              <w:t>(in thousands, except unit</w:t>
            </w:r>
          </w:p>
        </w:tc>
        <w:tc>
          <w:tcPr>
            <w:tcW w:w="2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720" w:type="dxa"/>
            <w:vAlign w:val="bottom"/>
            <w:gridSpan w:val="5"/>
          </w:tcPr>
          <w:p>
            <w:pPr>
              <w:jc w:val="center"/>
              <w:ind w:right="460"/>
              <w:spacing w:after="0"/>
              <w:rPr>
                <w:sz w:val="20"/>
                <w:szCs w:val="20"/>
                <w:color w:val="auto"/>
              </w:rPr>
            </w:pPr>
            <w:r>
              <w:rPr>
                <w:rFonts w:ascii="Arial" w:cs="Arial" w:eastAsia="Arial" w:hAnsi="Arial"/>
                <w:sz w:val="14"/>
                <w:szCs w:val="14"/>
                <w:b w:val="1"/>
                <w:bCs w:val="1"/>
                <w:color w:val="auto"/>
              </w:rPr>
              <w:t>data and average days to sale)</w:t>
            </w: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5620" w:type="dxa"/>
            <w:vAlign w:val="bottom"/>
            <w:shd w:val="clear" w:color="auto" w:fill="CFF0FC"/>
          </w:tcPr>
          <w:p>
            <w:pPr>
              <w:spacing w:after="0"/>
              <w:rPr>
                <w:sz w:val="20"/>
                <w:szCs w:val="20"/>
                <w:color w:val="auto"/>
              </w:rPr>
            </w:pPr>
            <w:r>
              <w:rPr>
                <w:rFonts w:ascii="Arial" w:cs="Arial" w:eastAsia="Arial" w:hAnsi="Arial"/>
                <w:sz w:val="18"/>
                <w:szCs w:val="18"/>
                <w:color w:val="auto"/>
              </w:rPr>
              <w:t>Ecommerce units sold</w:t>
            </w:r>
          </w:p>
        </w:tc>
        <w:tc>
          <w:tcPr>
            <w:tcW w:w="22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33,772</w:t>
            </w: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14,643</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19,129</w:t>
            </w:r>
          </w:p>
        </w:tc>
        <w:tc>
          <w:tcPr>
            <w:tcW w:w="12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130.6%</w:t>
            </w:r>
          </w:p>
        </w:tc>
        <w:tc>
          <w:tcPr>
            <w:tcW w:w="0" w:type="dxa"/>
            <w:vAlign w:val="bottom"/>
          </w:tcPr>
          <w:p>
            <w:pPr>
              <w:spacing w:after="0"/>
              <w:rPr>
                <w:sz w:val="1"/>
                <w:szCs w:val="1"/>
                <w:color w:val="auto"/>
              </w:rPr>
            </w:pPr>
          </w:p>
        </w:tc>
      </w:tr>
      <w:tr>
        <w:trPr>
          <w:trHeight w:val="213"/>
        </w:trPr>
        <w:tc>
          <w:tcPr>
            <w:tcW w:w="5620" w:type="dxa"/>
            <w:vAlign w:val="bottom"/>
          </w:tcPr>
          <w:p>
            <w:pPr>
              <w:spacing w:after="0"/>
              <w:rPr>
                <w:sz w:val="20"/>
                <w:szCs w:val="20"/>
                <w:color w:val="auto"/>
              </w:rPr>
            </w:pPr>
            <w:r>
              <w:rPr>
                <w:rFonts w:ascii="Arial" w:cs="Arial" w:eastAsia="Arial" w:hAnsi="Arial"/>
                <w:sz w:val="18"/>
                <w:szCs w:val="18"/>
                <w:color w:val="auto"/>
              </w:rPr>
              <w:t>Ecommerce revenue:</w:t>
            </w: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6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Vehicle revenue</w:t>
            </w:r>
          </w:p>
        </w:tc>
        <w:tc>
          <w:tcPr>
            <w:tcW w:w="22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967,324</w:t>
            </w: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11"/>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396,065</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571,259</w:t>
            </w:r>
          </w:p>
        </w:tc>
        <w:tc>
          <w:tcPr>
            <w:tcW w:w="12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144.2%</w:t>
            </w:r>
          </w:p>
        </w:tc>
        <w:tc>
          <w:tcPr>
            <w:tcW w:w="0" w:type="dxa"/>
            <w:vAlign w:val="bottom"/>
          </w:tcPr>
          <w:p>
            <w:pPr>
              <w:spacing w:after="0"/>
              <w:rPr>
                <w:sz w:val="1"/>
                <w:szCs w:val="1"/>
                <w:color w:val="auto"/>
              </w:rPr>
            </w:pPr>
          </w:p>
        </w:tc>
      </w:tr>
      <w:tr>
        <w:trPr>
          <w:trHeight w:val="213"/>
        </w:trPr>
        <w:tc>
          <w:tcPr>
            <w:tcW w:w="562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Product revenue</w:t>
            </w: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34,647</w:t>
            </w:r>
          </w:p>
        </w:tc>
        <w:tc>
          <w:tcPr>
            <w:tcW w:w="120" w:type="dxa"/>
            <w:vAlign w:val="bottom"/>
            <w:tcBorders>
              <w:bottom w:val="single" w:sz="8" w:color="CFF0FC"/>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12,675</w:t>
            </w:r>
          </w:p>
        </w:tc>
        <w:tc>
          <w:tcPr>
            <w:tcW w:w="14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21,972</w:t>
            </w:r>
          </w:p>
        </w:tc>
        <w:tc>
          <w:tcPr>
            <w:tcW w:w="120" w:type="dxa"/>
            <w:vAlign w:val="bottom"/>
            <w:tcBorders>
              <w:bottom w:val="single" w:sz="8" w:color="CFF0FC"/>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173.3%</w:t>
            </w:r>
          </w:p>
        </w:tc>
        <w:tc>
          <w:tcPr>
            <w:tcW w:w="0" w:type="dxa"/>
            <w:vAlign w:val="bottom"/>
          </w:tcPr>
          <w:p>
            <w:pPr>
              <w:spacing w:after="0"/>
              <w:rPr>
                <w:sz w:val="1"/>
                <w:szCs w:val="1"/>
                <w:color w:val="auto"/>
              </w:rPr>
            </w:pPr>
          </w:p>
        </w:tc>
      </w:tr>
      <w:tr>
        <w:trPr>
          <w:trHeight w:val="206"/>
        </w:trPr>
        <w:tc>
          <w:tcPr>
            <w:tcW w:w="56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ecommerce revenue</w:t>
            </w:r>
          </w:p>
        </w:tc>
        <w:tc>
          <w:tcPr>
            <w:tcW w:w="220" w:type="dxa"/>
            <w:vAlign w:val="bottom"/>
            <w:tcBorders>
              <w:bottom w:val="single" w:sz="8" w:color="auto"/>
            </w:tcBorders>
            <w:shd w:val="clear" w:color="auto" w:fill="CFF0FC"/>
          </w:tcPr>
          <w:p>
            <w:pPr>
              <w:jc w:val="right"/>
              <w:ind w:right="11"/>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FF0FC"/>
          </w:tcPr>
          <w:p>
            <w:pPr>
              <w:jc w:val="right"/>
              <w:ind w:right="37"/>
              <w:spacing w:after="0"/>
              <w:rPr>
                <w:sz w:val="20"/>
                <w:szCs w:val="20"/>
                <w:color w:val="auto"/>
              </w:rPr>
            </w:pPr>
            <w:r>
              <w:rPr>
                <w:rFonts w:ascii="Arial" w:cs="Arial" w:eastAsia="Arial" w:hAnsi="Arial"/>
                <w:sz w:val="18"/>
                <w:szCs w:val="18"/>
                <w:color w:val="auto"/>
              </w:rPr>
              <w:t>1,001,971</w:t>
            </w:r>
          </w:p>
        </w:tc>
        <w:tc>
          <w:tcPr>
            <w:tcW w:w="12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jc w:val="right"/>
              <w:ind w:right="111"/>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408,740</w:t>
            </w:r>
          </w:p>
        </w:tc>
        <w:tc>
          <w:tcPr>
            <w:tcW w:w="14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jc w:val="right"/>
              <w:ind w:right="71"/>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593,231</w:t>
            </w:r>
          </w:p>
        </w:tc>
        <w:tc>
          <w:tcPr>
            <w:tcW w:w="120" w:type="dxa"/>
            <w:vAlign w:val="bottom"/>
            <w:tcBorders>
              <w:bottom w:val="single" w:sz="8" w:color="CFF0FC"/>
            </w:tcBorders>
            <w:shd w:val="clear" w:color="auto" w:fill="CFF0FC"/>
          </w:tcPr>
          <w:p>
            <w:pPr>
              <w:spacing w:after="0"/>
              <w:rPr>
                <w:sz w:val="17"/>
                <w:szCs w:val="17"/>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145.1%</w:t>
            </w:r>
          </w:p>
        </w:tc>
        <w:tc>
          <w:tcPr>
            <w:tcW w:w="0" w:type="dxa"/>
            <w:vAlign w:val="bottom"/>
          </w:tcPr>
          <w:p>
            <w:pPr>
              <w:spacing w:after="0"/>
              <w:rPr>
                <w:sz w:val="1"/>
                <w:szCs w:val="1"/>
                <w:color w:val="auto"/>
              </w:rPr>
            </w:pPr>
          </w:p>
        </w:tc>
      </w:tr>
      <w:tr>
        <w:trPr>
          <w:trHeight w:val="20"/>
        </w:trPr>
        <w:tc>
          <w:tcPr>
            <w:tcW w:w="5620" w:type="dxa"/>
            <w:vAlign w:val="bottom"/>
            <w:vMerge w:val="restart"/>
          </w:tcPr>
          <w:p>
            <w:pPr>
              <w:spacing w:after="0"/>
              <w:rPr>
                <w:sz w:val="20"/>
                <w:szCs w:val="20"/>
                <w:color w:val="auto"/>
              </w:rPr>
            </w:pPr>
            <w:r>
              <w:rPr>
                <w:rFonts w:ascii="Arial" w:cs="Arial" w:eastAsia="Arial" w:hAnsi="Arial"/>
                <w:sz w:val="18"/>
                <w:szCs w:val="18"/>
                <w:color w:val="auto"/>
              </w:rPr>
              <w:t>Ecommerce gross profit:</w:t>
            </w: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562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56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Vehicle gross profit</w:t>
            </w:r>
          </w:p>
        </w:tc>
        <w:tc>
          <w:tcPr>
            <w:tcW w:w="22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46,828</w:t>
            </w: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11"/>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8,811</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38,017</w:t>
            </w:r>
          </w:p>
        </w:tc>
        <w:tc>
          <w:tcPr>
            <w:tcW w:w="12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431.5%</w:t>
            </w:r>
          </w:p>
        </w:tc>
        <w:tc>
          <w:tcPr>
            <w:tcW w:w="0" w:type="dxa"/>
            <w:vAlign w:val="bottom"/>
          </w:tcPr>
          <w:p>
            <w:pPr>
              <w:spacing w:after="0"/>
              <w:rPr>
                <w:sz w:val="1"/>
                <w:szCs w:val="1"/>
                <w:color w:val="auto"/>
              </w:rPr>
            </w:pPr>
          </w:p>
        </w:tc>
      </w:tr>
      <w:tr>
        <w:trPr>
          <w:trHeight w:val="213"/>
        </w:trPr>
        <w:tc>
          <w:tcPr>
            <w:tcW w:w="562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Product gross profit</w:t>
            </w: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34,647</w:t>
            </w:r>
          </w:p>
        </w:tc>
        <w:tc>
          <w:tcPr>
            <w:tcW w:w="120" w:type="dxa"/>
            <w:vAlign w:val="bottom"/>
            <w:tcBorders>
              <w:bottom w:val="single" w:sz="8" w:color="CFF0FC"/>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12,675</w:t>
            </w:r>
          </w:p>
        </w:tc>
        <w:tc>
          <w:tcPr>
            <w:tcW w:w="14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21,972</w:t>
            </w:r>
          </w:p>
        </w:tc>
        <w:tc>
          <w:tcPr>
            <w:tcW w:w="120" w:type="dxa"/>
            <w:vAlign w:val="bottom"/>
            <w:tcBorders>
              <w:bottom w:val="single" w:sz="8" w:color="CFF0FC"/>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173.3%</w:t>
            </w:r>
          </w:p>
        </w:tc>
        <w:tc>
          <w:tcPr>
            <w:tcW w:w="0" w:type="dxa"/>
            <w:vAlign w:val="bottom"/>
          </w:tcPr>
          <w:p>
            <w:pPr>
              <w:spacing w:after="0"/>
              <w:rPr>
                <w:sz w:val="1"/>
                <w:szCs w:val="1"/>
                <w:color w:val="auto"/>
              </w:rPr>
            </w:pPr>
          </w:p>
        </w:tc>
      </w:tr>
      <w:tr>
        <w:trPr>
          <w:trHeight w:val="206"/>
        </w:trPr>
        <w:tc>
          <w:tcPr>
            <w:tcW w:w="56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ecommerce gross profit</w:t>
            </w:r>
          </w:p>
        </w:tc>
        <w:tc>
          <w:tcPr>
            <w:tcW w:w="220" w:type="dxa"/>
            <w:vAlign w:val="bottom"/>
            <w:tcBorders>
              <w:bottom w:val="single" w:sz="8" w:color="auto"/>
            </w:tcBorders>
            <w:shd w:val="clear" w:color="auto" w:fill="CFF0FC"/>
          </w:tcPr>
          <w:p>
            <w:pPr>
              <w:jc w:val="right"/>
              <w:ind w:right="11"/>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FF0FC"/>
          </w:tcPr>
          <w:p>
            <w:pPr>
              <w:jc w:val="right"/>
              <w:ind w:right="37"/>
              <w:spacing w:after="0"/>
              <w:rPr>
                <w:sz w:val="20"/>
                <w:szCs w:val="20"/>
                <w:color w:val="auto"/>
              </w:rPr>
            </w:pPr>
            <w:r>
              <w:rPr>
                <w:rFonts w:ascii="Arial" w:cs="Arial" w:eastAsia="Arial" w:hAnsi="Arial"/>
                <w:sz w:val="18"/>
                <w:szCs w:val="18"/>
                <w:color w:val="auto"/>
              </w:rPr>
              <w:t>81,475</w:t>
            </w:r>
          </w:p>
        </w:tc>
        <w:tc>
          <w:tcPr>
            <w:tcW w:w="12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jc w:val="right"/>
              <w:ind w:right="111"/>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21,486</w:t>
            </w:r>
          </w:p>
        </w:tc>
        <w:tc>
          <w:tcPr>
            <w:tcW w:w="14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jc w:val="right"/>
              <w:ind w:right="71"/>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59,989</w:t>
            </w:r>
          </w:p>
        </w:tc>
        <w:tc>
          <w:tcPr>
            <w:tcW w:w="120" w:type="dxa"/>
            <w:vAlign w:val="bottom"/>
            <w:tcBorders>
              <w:bottom w:val="single" w:sz="8" w:color="CFF0FC"/>
            </w:tcBorders>
            <w:shd w:val="clear" w:color="auto" w:fill="CFF0FC"/>
          </w:tcPr>
          <w:p>
            <w:pPr>
              <w:spacing w:after="0"/>
              <w:rPr>
                <w:sz w:val="17"/>
                <w:szCs w:val="17"/>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279.2%</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5620" w:type="dxa"/>
            <w:vAlign w:val="bottom"/>
          </w:tcPr>
          <w:p>
            <w:pPr>
              <w:spacing w:after="0" w:line="193" w:lineRule="exact"/>
              <w:rPr>
                <w:sz w:val="20"/>
                <w:szCs w:val="20"/>
                <w:color w:val="auto"/>
              </w:rPr>
            </w:pPr>
            <w:r>
              <w:rPr>
                <w:rFonts w:ascii="Arial" w:cs="Arial" w:eastAsia="Arial" w:hAnsi="Arial"/>
                <w:sz w:val="18"/>
                <w:szCs w:val="18"/>
                <w:color w:val="auto"/>
              </w:rPr>
              <w:t>Average vehicle selling price per ecommerce unit</w:t>
            </w:r>
          </w:p>
        </w:tc>
        <w:tc>
          <w:tcPr>
            <w:tcW w:w="220" w:type="dxa"/>
            <w:vAlign w:val="bottom"/>
          </w:tcPr>
          <w:p>
            <w:pPr>
              <w:jc w:val="right"/>
              <w:ind w:right="11"/>
              <w:spacing w:after="0" w:line="193" w:lineRule="exact"/>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7"/>
              <w:spacing w:after="0" w:line="193" w:lineRule="exact"/>
              <w:rPr>
                <w:sz w:val="20"/>
                <w:szCs w:val="20"/>
                <w:color w:val="auto"/>
              </w:rPr>
            </w:pPr>
            <w:r>
              <w:rPr>
                <w:rFonts w:ascii="Arial" w:cs="Arial" w:eastAsia="Arial" w:hAnsi="Arial"/>
                <w:sz w:val="18"/>
                <w:szCs w:val="18"/>
                <w:color w:val="auto"/>
              </w:rPr>
              <w:t>28,643</w:t>
            </w:r>
          </w:p>
        </w:tc>
        <w:tc>
          <w:tcPr>
            <w:tcW w:w="120" w:type="dxa"/>
            <w:vAlign w:val="bottom"/>
          </w:tcPr>
          <w:p>
            <w:pPr>
              <w:spacing w:after="0"/>
              <w:rPr>
                <w:sz w:val="16"/>
                <w:szCs w:val="16"/>
                <w:color w:val="auto"/>
              </w:rPr>
            </w:pPr>
          </w:p>
        </w:tc>
        <w:tc>
          <w:tcPr>
            <w:tcW w:w="320" w:type="dxa"/>
            <w:vAlign w:val="bottom"/>
          </w:tcPr>
          <w:p>
            <w:pPr>
              <w:jc w:val="right"/>
              <w:ind w:right="111"/>
              <w:spacing w:after="0" w:line="193" w:lineRule="exact"/>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3"/>
              <w:spacing w:after="0" w:line="193" w:lineRule="exact"/>
              <w:rPr>
                <w:sz w:val="20"/>
                <w:szCs w:val="20"/>
                <w:color w:val="auto"/>
              </w:rPr>
            </w:pPr>
            <w:r>
              <w:rPr>
                <w:rFonts w:ascii="Arial" w:cs="Arial" w:eastAsia="Arial" w:hAnsi="Arial"/>
                <w:sz w:val="18"/>
                <w:szCs w:val="18"/>
                <w:color w:val="auto"/>
              </w:rPr>
              <w:t>27,048</w:t>
            </w:r>
          </w:p>
        </w:tc>
        <w:tc>
          <w:tcPr>
            <w:tcW w:w="140" w:type="dxa"/>
            <w:vAlign w:val="bottom"/>
          </w:tcPr>
          <w:p>
            <w:pPr>
              <w:spacing w:after="0"/>
              <w:rPr>
                <w:sz w:val="16"/>
                <w:szCs w:val="16"/>
                <w:color w:val="auto"/>
              </w:rPr>
            </w:pPr>
          </w:p>
        </w:tc>
        <w:tc>
          <w:tcPr>
            <w:tcW w:w="260" w:type="dxa"/>
            <w:vAlign w:val="bottom"/>
          </w:tcPr>
          <w:p>
            <w:pPr>
              <w:jc w:val="right"/>
              <w:ind w:right="71"/>
              <w:spacing w:after="0" w:line="193" w:lineRule="exact"/>
              <w:rPr>
                <w:sz w:val="20"/>
                <w:szCs w:val="20"/>
                <w:color w:val="auto"/>
              </w:rPr>
            </w:pPr>
            <w:r>
              <w:rPr>
                <w:rFonts w:ascii="Arial" w:cs="Arial" w:eastAsia="Arial" w:hAnsi="Arial"/>
                <w:sz w:val="18"/>
                <w:szCs w:val="18"/>
                <w:color w:val="auto"/>
                <w:w w:val="79"/>
              </w:rPr>
              <w:t>$</w:t>
            </w:r>
          </w:p>
        </w:tc>
        <w:tc>
          <w:tcPr>
            <w:tcW w:w="1020" w:type="dxa"/>
            <w:vAlign w:val="bottom"/>
          </w:tcPr>
          <w:p>
            <w:pPr>
              <w:jc w:val="right"/>
              <w:ind w:right="33"/>
              <w:spacing w:after="0" w:line="193" w:lineRule="exact"/>
              <w:rPr>
                <w:sz w:val="20"/>
                <w:szCs w:val="20"/>
                <w:color w:val="auto"/>
              </w:rPr>
            </w:pPr>
            <w:r>
              <w:rPr>
                <w:rFonts w:ascii="Arial" w:cs="Arial" w:eastAsia="Arial" w:hAnsi="Arial"/>
                <w:sz w:val="18"/>
                <w:szCs w:val="18"/>
                <w:color w:val="auto"/>
              </w:rPr>
              <w:t>1,595</w:t>
            </w:r>
          </w:p>
        </w:tc>
        <w:tc>
          <w:tcPr>
            <w:tcW w:w="120" w:type="dxa"/>
            <w:vAlign w:val="bottom"/>
          </w:tcPr>
          <w:p>
            <w:pPr>
              <w:spacing w:after="0"/>
              <w:rPr>
                <w:sz w:val="16"/>
                <w:szCs w:val="16"/>
                <w:color w:val="auto"/>
              </w:rPr>
            </w:pPr>
          </w:p>
        </w:tc>
        <w:tc>
          <w:tcPr>
            <w:tcW w:w="1280" w:type="dxa"/>
            <w:vAlign w:val="bottom"/>
          </w:tcPr>
          <w:p>
            <w:pPr>
              <w:jc w:val="right"/>
              <w:spacing w:after="0" w:line="193" w:lineRule="exact"/>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3"/>
        </w:trPr>
        <w:tc>
          <w:tcPr>
            <w:tcW w:w="5620" w:type="dxa"/>
            <w:vAlign w:val="bottom"/>
            <w:shd w:val="clear" w:color="auto" w:fill="CFF0FC"/>
          </w:tcPr>
          <w:p>
            <w:pPr>
              <w:spacing w:after="0"/>
              <w:rPr>
                <w:sz w:val="20"/>
                <w:szCs w:val="20"/>
                <w:color w:val="auto"/>
              </w:rPr>
            </w:pPr>
            <w:r>
              <w:rPr>
                <w:rFonts w:ascii="Arial" w:cs="Arial" w:eastAsia="Arial" w:hAnsi="Arial"/>
                <w:sz w:val="18"/>
                <w:szCs w:val="18"/>
                <w:color w:val="auto"/>
              </w:rPr>
              <w:t>Gross profit per ecommerce unit:</w:t>
            </w:r>
          </w:p>
        </w:tc>
        <w:tc>
          <w:tcPr>
            <w:tcW w:w="2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620" w:type="dxa"/>
            <w:vAlign w:val="bottom"/>
          </w:tcPr>
          <w:p>
            <w:pPr>
              <w:ind w:left="240"/>
              <w:spacing w:after="0"/>
              <w:rPr>
                <w:sz w:val="20"/>
                <w:szCs w:val="20"/>
                <w:color w:val="auto"/>
              </w:rPr>
            </w:pPr>
            <w:r>
              <w:rPr>
                <w:rFonts w:ascii="Arial" w:cs="Arial" w:eastAsia="Arial" w:hAnsi="Arial"/>
                <w:sz w:val="18"/>
                <w:szCs w:val="18"/>
                <w:color w:val="auto"/>
              </w:rPr>
              <w:t>Vehicle gross profit per ecommerce unit</w:t>
            </w:r>
          </w:p>
        </w:tc>
        <w:tc>
          <w:tcPr>
            <w:tcW w:w="220" w:type="dxa"/>
            <w:vAlign w:val="bottom"/>
          </w:tcPr>
          <w:p>
            <w:pPr>
              <w:jc w:val="right"/>
              <w:ind w:right="11"/>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7"/>
              <w:spacing w:after="0"/>
              <w:rPr>
                <w:sz w:val="20"/>
                <w:szCs w:val="20"/>
                <w:color w:val="auto"/>
              </w:rPr>
            </w:pPr>
            <w:r>
              <w:rPr>
                <w:rFonts w:ascii="Arial" w:cs="Arial" w:eastAsia="Arial" w:hAnsi="Arial"/>
                <w:sz w:val="18"/>
                <w:szCs w:val="18"/>
                <w:color w:val="auto"/>
              </w:rPr>
              <w:t>1,387</w:t>
            </w:r>
          </w:p>
        </w:tc>
        <w:tc>
          <w:tcPr>
            <w:tcW w:w="120" w:type="dxa"/>
            <w:vAlign w:val="bottom"/>
          </w:tcPr>
          <w:p>
            <w:pPr>
              <w:spacing w:after="0"/>
              <w:rPr>
                <w:sz w:val="18"/>
                <w:szCs w:val="18"/>
                <w:color w:val="auto"/>
              </w:rPr>
            </w:pPr>
          </w:p>
        </w:tc>
        <w:tc>
          <w:tcPr>
            <w:tcW w:w="320" w:type="dxa"/>
            <w:vAlign w:val="bottom"/>
          </w:tcPr>
          <w:p>
            <w:pPr>
              <w:jc w:val="right"/>
              <w:ind w:right="111"/>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602</w:t>
            </w:r>
          </w:p>
        </w:tc>
        <w:tc>
          <w:tcPr>
            <w:tcW w:w="140" w:type="dxa"/>
            <w:vAlign w:val="bottom"/>
          </w:tcPr>
          <w:p>
            <w:pPr>
              <w:spacing w:after="0"/>
              <w:rPr>
                <w:sz w:val="18"/>
                <w:szCs w:val="18"/>
                <w:color w:val="auto"/>
              </w:rPr>
            </w:pPr>
          </w:p>
        </w:tc>
        <w:tc>
          <w:tcPr>
            <w:tcW w:w="260" w:type="dxa"/>
            <w:vAlign w:val="bottom"/>
          </w:tcPr>
          <w:p>
            <w:pPr>
              <w:jc w:val="right"/>
              <w:ind w:right="71"/>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785</w:t>
            </w: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130.4%</w:t>
            </w:r>
          </w:p>
        </w:tc>
        <w:tc>
          <w:tcPr>
            <w:tcW w:w="0" w:type="dxa"/>
            <w:vAlign w:val="bottom"/>
          </w:tcPr>
          <w:p>
            <w:pPr>
              <w:spacing w:after="0"/>
              <w:rPr>
                <w:sz w:val="1"/>
                <w:szCs w:val="1"/>
                <w:color w:val="auto"/>
              </w:rPr>
            </w:pPr>
          </w:p>
        </w:tc>
      </w:tr>
      <w:tr>
        <w:trPr>
          <w:trHeight w:val="213"/>
        </w:trPr>
        <w:tc>
          <w:tcPr>
            <w:tcW w:w="56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Product gross profit per ecommerce unit</w:t>
            </w:r>
          </w:p>
        </w:tc>
        <w:tc>
          <w:tcPr>
            <w:tcW w:w="22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37"/>
              <w:spacing w:after="0"/>
              <w:rPr>
                <w:sz w:val="20"/>
                <w:szCs w:val="20"/>
                <w:color w:val="auto"/>
              </w:rPr>
            </w:pPr>
            <w:r>
              <w:rPr>
                <w:rFonts w:ascii="Arial" w:cs="Arial" w:eastAsia="Arial" w:hAnsi="Arial"/>
                <w:sz w:val="18"/>
                <w:szCs w:val="18"/>
                <w:color w:val="auto"/>
              </w:rPr>
              <w:t>1,026</w:t>
            </w:r>
          </w:p>
        </w:tc>
        <w:tc>
          <w:tcPr>
            <w:tcW w:w="120" w:type="dxa"/>
            <w:vAlign w:val="bottom"/>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866</w:t>
            </w:r>
          </w:p>
        </w:tc>
        <w:tc>
          <w:tcPr>
            <w:tcW w:w="140" w:type="dxa"/>
            <w:vAlign w:val="bottom"/>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160</w:t>
            </w:r>
          </w:p>
        </w:tc>
        <w:tc>
          <w:tcPr>
            <w:tcW w:w="120" w:type="dxa"/>
            <w:vAlign w:val="bottom"/>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46"/>
        </w:trPr>
        <w:tc>
          <w:tcPr>
            <w:tcW w:w="56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gross profit per ecommerce unit</w:t>
            </w:r>
          </w:p>
        </w:tc>
        <w:tc>
          <w:tcPr>
            <w:tcW w:w="2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2,413</w:t>
            </w:r>
          </w:p>
        </w:tc>
        <w:tc>
          <w:tcPr>
            <w:tcW w:w="120" w:type="dxa"/>
            <w:vAlign w:val="bottom"/>
            <w:tcBorders>
              <w:bottom w:val="single" w:sz="8" w:color="CFF0FC"/>
            </w:tcBorders>
          </w:tcPr>
          <w:p>
            <w:pPr>
              <w:spacing w:after="0"/>
              <w:rPr>
                <w:sz w:val="21"/>
                <w:szCs w:val="21"/>
                <w:color w:val="auto"/>
              </w:rPr>
            </w:pPr>
          </w:p>
        </w:tc>
        <w:tc>
          <w:tcPr>
            <w:tcW w:w="32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1,468</w:t>
            </w:r>
          </w:p>
        </w:tc>
        <w:tc>
          <w:tcPr>
            <w:tcW w:w="140" w:type="dxa"/>
            <w:vAlign w:val="bottom"/>
            <w:tcBorders>
              <w:bottom w:val="single" w:sz="8" w:color="CFF0FC"/>
            </w:tcBorders>
          </w:tcPr>
          <w:p>
            <w:pPr>
              <w:spacing w:after="0"/>
              <w:rPr>
                <w:sz w:val="21"/>
                <w:szCs w:val="21"/>
                <w:color w:val="auto"/>
              </w:rPr>
            </w:pPr>
          </w:p>
        </w:tc>
        <w:tc>
          <w:tcPr>
            <w:tcW w:w="2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945</w:t>
            </w:r>
          </w:p>
        </w:tc>
        <w:tc>
          <w:tcPr>
            <w:tcW w:w="120" w:type="dxa"/>
            <w:vAlign w:val="bottom"/>
            <w:tcBorders>
              <w:bottom w:val="single" w:sz="8" w:color="CFF0FC"/>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64.4%</w:t>
            </w:r>
          </w:p>
        </w:tc>
        <w:tc>
          <w:tcPr>
            <w:tcW w:w="0" w:type="dxa"/>
            <w:vAlign w:val="bottom"/>
          </w:tcPr>
          <w:p>
            <w:pPr>
              <w:spacing w:after="0"/>
              <w:rPr>
                <w:sz w:val="1"/>
                <w:szCs w:val="1"/>
                <w:color w:val="auto"/>
              </w:rPr>
            </w:pPr>
          </w:p>
        </w:tc>
      </w:tr>
      <w:tr>
        <w:trPr>
          <w:trHeight w:val="193"/>
        </w:trPr>
        <w:tc>
          <w:tcPr>
            <w:tcW w:w="5620" w:type="dxa"/>
            <w:vAlign w:val="bottom"/>
            <w:shd w:val="clear" w:color="auto" w:fill="CFF0FC"/>
          </w:tcPr>
          <w:p>
            <w:pPr>
              <w:spacing w:after="0" w:line="193" w:lineRule="exact"/>
              <w:rPr>
                <w:sz w:val="20"/>
                <w:szCs w:val="20"/>
                <w:color w:val="auto"/>
              </w:rPr>
            </w:pPr>
            <w:r>
              <w:rPr>
                <w:rFonts w:ascii="Arial" w:cs="Arial" w:eastAsia="Arial" w:hAnsi="Arial"/>
                <w:sz w:val="18"/>
                <w:szCs w:val="18"/>
                <w:color w:val="auto"/>
              </w:rPr>
              <w:t>Ecommerce average days to sale</w:t>
            </w:r>
          </w:p>
        </w:tc>
        <w:tc>
          <w:tcPr>
            <w:tcW w:w="220" w:type="dxa"/>
            <w:vAlign w:val="bottom"/>
            <w:shd w:val="clear" w:color="auto" w:fill="CFF0FC"/>
          </w:tcPr>
          <w:p>
            <w:pPr>
              <w:spacing w:after="0"/>
              <w:rPr>
                <w:sz w:val="16"/>
                <w:szCs w:val="16"/>
                <w:color w:val="auto"/>
              </w:rPr>
            </w:pPr>
          </w:p>
        </w:tc>
        <w:tc>
          <w:tcPr>
            <w:tcW w:w="1120" w:type="dxa"/>
            <w:vAlign w:val="bottom"/>
            <w:shd w:val="clear" w:color="auto" w:fill="CFF0FC"/>
          </w:tcPr>
          <w:p>
            <w:pPr>
              <w:jc w:val="right"/>
              <w:ind w:right="37"/>
              <w:spacing w:after="0" w:line="193" w:lineRule="exact"/>
              <w:rPr>
                <w:sz w:val="20"/>
                <w:szCs w:val="20"/>
                <w:color w:val="auto"/>
              </w:rPr>
            </w:pPr>
            <w:r>
              <w:rPr>
                <w:rFonts w:ascii="Arial" w:cs="Arial" w:eastAsia="Arial" w:hAnsi="Arial"/>
                <w:sz w:val="18"/>
                <w:szCs w:val="18"/>
                <w:color w:val="auto"/>
              </w:rPr>
              <w:t>76</w:t>
            </w:r>
          </w:p>
        </w:tc>
        <w:tc>
          <w:tcPr>
            <w:tcW w:w="12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020" w:type="dxa"/>
            <w:vAlign w:val="bottom"/>
            <w:shd w:val="clear" w:color="auto" w:fill="CFF0FC"/>
          </w:tcPr>
          <w:p>
            <w:pPr>
              <w:jc w:val="right"/>
              <w:ind w:right="33"/>
              <w:spacing w:after="0" w:line="193" w:lineRule="exact"/>
              <w:rPr>
                <w:sz w:val="20"/>
                <w:szCs w:val="20"/>
                <w:color w:val="auto"/>
              </w:rPr>
            </w:pPr>
            <w:r>
              <w:rPr>
                <w:rFonts w:ascii="Arial" w:cs="Arial" w:eastAsia="Arial" w:hAnsi="Arial"/>
                <w:sz w:val="18"/>
                <w:szCs w:val="18"/>
                <w:color w:val="auto"/>
              </w:rPr>
              <w:t>67</w:t>
            </w:r>
          </w:p>
        </w:tc>
        <w:tc>
          <w:tcPr>
            <w:tcW w:w="1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20" w:type="dxa"/>
            <w:vAlign w:val="bottom"/>
            <w:shd w:val="clear" w:color="auto" w:fill="CFF0FC"/>
          </w:tcPr>
          <w:p>
            <w:pPr>
              <w:jc w:val="right"/>
              <w:ind w:right="33"/>
              <w:spacing w:after="0" w:line="193" w:lineRule="exact"/>
              <w:rPr>
                <w:sz w:val="20"/>
                <w:szCs w:val="20"/>
                <w:color w:val="auto"/>
              </w:rPr>
            </w:pPr>
            <w:r>
              <w:rPr>
                <w:rFonts w:ascii="Arial" w:cs="Arial" w:eastAsia="Arial" w:hAnsi="Arial"/>
                <w:sz w:val="18"/>
                <w:szCs w:val="18"/>
                <w:color w:val="auto"/>
              </w:rPr>
              <w:t>9</w:t>
            </w:r>
          </w:p>
        </w:tc>
        <w:tc>
          <w:tcPr>
            <w:tcW w:w="120" w:type="dxa"/>
            <w:vAlign w:val="bottom"/>
            <w:shd w:val="clear" w:color="auto" w:fill="CFF0FC"/>
          </w:tcPr>
          <w:p>
            <w:pPr>
              <w:spacing w:after="0"/>
              <w:rPr>
                <w:sz w:val="16"/>
                <w:szCs w:val="16"/>
                <w:color w:val="auto"/>
              </w:rPr>
            </w:pPr>
          </w:p>
        </w:tc>
        <w:tc>
          <w:tcPr>
            <w:tcW w:w="1280" w:type="dxa"/>
            <w:vAlign w:val="bottom"/>
            <w:shd w:val="clear" w:color="auto" w:fill="CFF0FC"/>
          </w:tcPr>
          <w:p>
            <w:pPr>
              <w:jc w:val="right"/>
              <w:spacing w:after="0" w:line="193" w:lineRule="exact"/>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bl>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Ecommerce units</w:t>
      </w:r>
    </w:p>
    <w:p>
      <w:pPr>
        <w:spacing w:after="0" w:line="228" w:lineRule="exact"/>
        <w:rPr>
          <w:sz w:val="20"/>
          <w:szCs w:val="20"/>
          <w:color w:val="auto"/>
        </w:rPr>
      </w:pPr>
    </w:p>
    <w:p>
      <w:pPr>
        <w:ind w:right="40" w:firstLine="764"/>
        <w:spacing w:after="0" w:line="233" w:lineRule="auto"/>
        <w:rPr>
          <w:sz w:val="20"/>
          <w:szCs w:val="20"/>
          <w:color w:val="auto"/>
        </w:rPr>
      </w:pPr>
      <w:r>
        <w:rPr>
          <w:rFonts w:ascii="Arial" w:cs="Arial" w:eastAsia="Arial" w:hAnsi="Arial"/>
          <w:sz w:val="18"/>
          <w:szCs w:val="18"/>
          <w:color w:val="auto"/>
        </w:rPr>
        <w:t>Ecommerce units sold increased 19,129, or 130.6%, from 14,643 for the six months ended June 30, 2020 to 33,772 for the six months ended June 30, 2021. This increase was attributable to higher inventory levels, strong national brand recognition driven by our national advertising campaign, an acceleration in the popularity of our business model due to disruptions related to the COVID-19 pandemic and strong market demand for used vehicles, as well as further process improvements in our ecommerce platform. Average monthly unique visitors to our website increased from 973,457 for the six months ended June 30, 2020 to 1,649,869 for the six months ended June 30, 2021. We expect ecommerce units sold to continue to grow in the future as we increase our inventory selection and marketing efforts, as well as improve conversion.</w:t>
      </w:r>
    </w:p>
    <w:p>
      <w:pPr>
        <w:spacing w:after="0" w:line="204" w:lineRule="exact"/>
        <w:rPr>
          <w:sz w:val="20"/>
          <w:szCs w:val="20"/>
          <w:color w:val="auto"/>
        </w:rPr>
      </w:pPr>
    </w:p>
    <w:p>
      <w:pPr>
        <w:ind w:right="160" w:firstLine="764"/>
        <w:spacing w:after="0" w:line="235" w:lineRule="auto"/>
        <w:rPr>
          <w:sz w:val="20"/>
          <w:szCs w:val="20"/>
          <w:color w:val="auto"/>
        </w:rPr>
      </w:pPr>
      <w:r>
        <w:rPr>
          <w:rFonts w:ascii="Arial" w:cs="Arial" w:eastAsia="Arial" w:hAnsi="Arial"/>
          <w:sz w:val="18"/>
          <w:szCs w:val="18"/>
          <w:color w:val="auto"/>
        </w:rPr>
        <w:t>Ecommerce average days to sale increased from 67 days for the six months ended June 30, 2020 to 76 days for the six months ended June 30, 2021. The increase was primarily driven by constraints experienced in sales support in response to accelerating demand and the sale of aged inventory during the first quarter of 2021. Average days to sale returned to normalized levels during the second quarter of 2021.</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Vehicle Revenue</w:t>
      </w:r>
    </w:p>
    <w:p>
      <w:pPr>
        <w:spacing w:after="0" w:line="228" w:lineRule="exact"/>
        <w:rPr>
          <w:sz w:val="20"/>
          <w:szCs w:val="20"/>
          <w:color w:val="auto"/>
        </w:rPr>
      </w:pPr>
    </w:p>
    <w:p>
      <w:pPr>
        <w:ind w:right="80" w:firstLine="762"/>
        <w:spacing w:after="0" w:line="234" w:lineRule="auto"/>
        <w:rPr>
          <w:sz w:val="20"/>
          <w:szCs w:val="20"/>
          <w:color w:val="auto"/>
        </w:rPr>
      </w:pPr>
      <w:r>
        <w:rPr>
          <w:rFonts w:ascii="Arial" w:cs="Arial" w:eastAsia="Arial" w:hAnsi="Arial"/>
          <w:sz w:val="18"/>
          <w:szCs w:val="18"/>
          <w:color w:val="auto"/>
        </w:rPr>
        <w:t>Ecommerce vehicle revenue increased $571.2 million, or 144.2%, from $396.1 million for the six months ended June 30, 2020 to $967.3 million for the six months ended June 30, 2021. The increase in ecommerce vehicle revenue was primarily attributable to the 19,129 increase in ecommerce units sold, which increased revenue by $517.4 million, as well as a higher ASP per unit, which increased from $27,048 for the six months ended June 30, 2020 to $28,643 for the six months ended June 30, 2021 and increased revenue by $53.8 million, primarily due to market appreciation. Although we expect ASP to fluctuate in the short-term as a result of market conditions, our long-term strategy continues to move us toward lower-priced inventory, which we expect will result in a lower ASP.</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50800</wp:posOffset>
            </wp:positionV>
            <wp:extent cx="715962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Revenue</w:t>
      </w:r>
    </w:p>
    <w:p>
      <w:pPr>
        <w:spacing w:after="0" w:line="214" w:lineRule="exact"/>
        <w:rPr>
          <w:sz w:val="20"/>
          <w:szCs w:val="20"/>
          <w:color w:val="auto"/>
        </w:rPr>
      </w:pPr>
    </w:p>
    <w:p>
      <w:pPr>
        <w:jc w:val="both"/>
        <w:ind w:right="60" w:firstLine="762"/>
        <w:spacing w:after="0" w:line="245" w:lineRule="auto"/>
        <w:rPr>
          <w:sz w:val="20"/>
          <w:szCs w:val="20"/>
          <w:color w:val="auto"/>
        </w:rPr>
      </w:pPr>
      <w:r>
        <w:rPr>
          <w:rFonts w:ascii="Arial" w:cs="Arial" w:eastAsia="Arial" w:hAnsi="Arial"/>
          <w:sz w:val="17"/>
          <w:szCs w:val="17"/>
          <w:color w:val="auto"/>
        </w:rPr>
        <w:t>Ecommerce product revenue increased $21.9 million, or 173.3%, from $12.7 million for the six months ended June 30, 2020 to $34.6 million for the six months ended June 30, 2021. The increase was attributable to the 19,129 increase in ecommerce units sold which increased product revenue by $16.6 million and the increase in product revenue per unit of $160, which increased product revenue by $5.3 million.</w:t>
      </w:r>
    </w:p>
    <w:p>
      <w:pPr>
        <w:ind w:right="280"/>
        <w:spacing w:after="0" w:line="235" w:lineRule="auto"/>
        <w:rPr>
          <w:sz w:val="20"/>
          <w:szCs w:val="20"/>
          <w:color w:val="auto"/>
        </w:rPr>
      </w:pPr>
      <w:r>
        <w:rPr>
          <w:rFonts w:ascii="Arial" w:cs="Arial" w:eastAsia="Arial" w:hAnsi="Arial"/>
          <w:sz w:val="18"/>
          <w:szCs w:val="18"/>
          <w:color w:val="auto"/>
        </w:rPr>
        <w:t>Product revenue per unit increased from $866 for the six months ended June 30, 2020 to $1,026 for the six months ended June 30, 2021, primarily due to higher attachment rates and an increase in the average loan size as a result of higher ASP. We expect ecommerce product revenue will continue to grow in the future driven by increases in ecommerce units sold, new product offerings, initiatives to improve product attachment rates and increases in per unit profit.</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Vehicle Gross Profit</w:t>
      </w:r>
    </w:p>
    <w:p>
      <w:pPr>
        <w:spacing w:after="0" w:line="22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Ecommerce vehicle gross profit increased $38.0 million, or 431.5%, from $8.8 million for the six months ended June 30, 2020 to</w:t>
      </w:r>
    </w:p>
    <w:p>
      <w:pPr>
        <w:spacing w:after="0" w:line="231" w:lineRule="auto"/>
        <w:rPr>
          <w:sz w:val="20"/>
          <w:szCs w:val="20"/>
          <w:color w:val="auto"/>
        </w:rPr>
      </w:pPr>
      <w:r>
        <w:rPr>
          <w:rFonts w:ascii="Arial" w:cs="Arial" w:eastAsia="Arial" w:hAnsi="Arial"/>
          <w:sz w:val="18"/>
          <w:szCs w:val="18"/>
          <w:color w:val="auto"/>
        </w:rPr>
        <w:t>$46.8 million for the six months ended June 30, 2021. The increase was attributable to a higher vehicle gross profit per unit, which increased</w:t>
      </w:r>
    </w:p>
    <w:p>
      <w:pPr>
        <w:spacing w:after="0" w:line="232" w:lineRule="auto"/>
        <w:rPr>
          <w:sz w:val="20"/>
          <w:szCs w:val="20"/>
          <w:color w:val="auto"/>
        </w:rPr>
      </w:pPr>
      <w:r>
        <w:rPr>
          <w:rFonts w:ascii="Arial" w:cs="Arial" w:eastAsia="Arial" w:hAnsi="Arial"/>
          <w:sz w:val="18"/>
          <w:szCs w:val="18"/>
          <w:color w:val="auto"/>
        </w:rPr>
        <w:t>vehicle gross profit by $26.5 million and the 19,129 increase in ecommerce units sold which increased vehicle gross profit by $11.5 million.</w:t>
      </w:r>
    </w:p>
    <w:p>
      <w:pPr>
        <w:spacing w:after="0"/>
        <w:rPr>
          <w:sz w:val="20"/>
          <w:szCs w:val="20"/>
          <w:color w:val="auto"/>
        </w:rPr>
      </w:pPr>
      <w:r>
        <w:rPr>
          <w:rFonts w:ascii="Arial" w:cs="Arial" w:eastAsia="Arial" w:hAnsi="Arial"/>
          <w:sz w:val="17"/>
          <w:szCs w:val="17"/>
          <w:color w:val="auto"/>
        </w:rPr>
        <w:t>Vehicle gross profit per unit increased by $785 from $602 for the six months ended June 30, 2020 to $1,387 for the six months ended June 30,</w:t>
      </w:r>
    </w:p>
    <w:p>
      <w:pPr>
        <w:spacing w:after="0" w:line="236" w:lineRule="auto"/>
        <w:rPr>
          <w:sz w:val="20"/>
          <w:szCs w:val="20"/>
          <w:color w:val="auto"/>
        </w:rPr>
      </w:pPr>
      <w:r>
        <w:rPr>
          <w:rFonts w:ascii="Arial" w:cs="Arial" w:eastAsia="Arial" w:hAnsi="Arial"/>
          <w:sz w:val="18"/>
          <w:szCs w:val="18"/>
          <w:color w:val="auto"/>
        </w:rPr>
        <w:t>2021, primarily attributable to higher sales margins and improvements in reconditioning and inbound logistics costs. Strong sales margin per</w:t>
      </w:r>
    </w:p>
    <w:p>
      <w:pPr>
        <w:spacing w:after="0" w:line="231" w:lineRule="auto"/>
        <w:rPr>
          <w:sz w:val="20"/>
          <w:szCs w:val="20"/>
          <w:color w:val="auto"/>
        </w:rPr>
      </w:pPr>
      <w:r>
        <w:rPr>
          <w:rFonts w:ascii="Arial" w:cs="Arial" w:eastAsia="Arial" w:hAnsi="Arial"/>
          <w:sz w:val="18"/>
          <w:szCs w:val="18"/>
          <w:color w:val="auto"/>
        </w:rPr>
        <w:t>unit was partially driven by a record retail pricing environment during the first half of 2021 as well as an increase in vehicles sourced directly</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from consumers and further improvements in our pricing methodologies. Additionally, in the first half of 2020, our sales margin was negatively</w:t>
      </w:r>
    </w:p>
    <w:p>
      <w:pPr>
        <w:spacing w:after="0" w:line="236" w:lineRule="auto"/>
        <w:rPr>
          <w:sz w:val="20"/>
          <w:szCs w:val="20"/>
          <w:color w:val="auto"/>
        </w:rPr>
      </w:pPr>
      <w:r>
        <w:rPr>
          <w:rFonts w:ascii="Arial" w:cs="Arial" w:eastAsia="Arial" w:hAnsi="Arial"/>
          <w:sz w:val="18"/>
          <w:szCs w:val="18"/>
          <w:color w:val="auto"/>
        </w:rPr>
        <w:t>impacted by a strategic decision to reduce vehicle pricing in order to sell pre-COVID-19 inventory. Based on data from Cox Automotive, retail</w:t>
      </w:r>
    </w:p>
    <w:p>
      <w:pPr>
        <w:spacing w:after="0" w:line="231" w:lineRule="auto"/>
        <w:rPr>
          <w:sz w:val="20"/>
          <w:szCs w:val="20"/>
          <w:color w:val="auto"/>
        </w:rPr>
      </w:pPr>
      <w:r>
        <w:rPr>
          <w:rFonts w:ascii="Arial" w:cs="Arial" w:eastAsia="Arial" w:hAnsi="Arial"/>
          <w:sz w:val="18"/>
          <w:szCs w:val="18"/>
          <w:color w:val="auto"/>
        </w:rPr>
        <w:t>prices are expected to peak in the third quarter and begin to gradually return to normal market conditions and vehicle depreciation during the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second half of 2021.</w:t>
      </w:r>
    </w:p>
    <w:p>
      <w:pPr>
        <w:spacing w:after="0" w:line="206" w:lineRule="exact"/>
        <w:rPr>
          <w:sz w:val="20"/>
          <w:szCs w:val="20"/>
          <w:color w:val="auto"/>
        </w:rPr>
      </w:pPr>
    </w:p>
    <w:p>
      <w:pPr>
        <w:ind w:right="320" w:firstLine="762"/>
        <w:spacing w:after="0" w:line="266" w:lineRule="auto"/>
        <w:rPr>
          <w:sz w:val="20"/>
          <w:szCs w:val="20"/>
          <w:color w:val="auto"/>
        </w:rPr>
      </w:pPr>
      <w:r>
        <w:rPr>
          <w:rFonts w:ascii="Arial" w:cs="Arial" w:eastAsia="Arial" w:hAnsi="Arial"/>
          <w:sz w:val="17"/>
          <w:szCs w:val="17"/>
          <w:color w:val="auto"/>
        </w:rPr>
        <w:t>As we continue to mature our infrastructure and increase and optimize our network of VRCs, we expect ecommerce vehicle gross profit per unit to increase in the future driven by optimizing our acquisition strategy and reducing costs in logistics and reconditioning.</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Gross Profit</w:t>
      </w:r>
    </w:p>
    <w:p>
      <w:pPr>
        <w:spacing w:after="0" w:line="228" w:lineRule="exact"/>
        <w:rPr>
          <w:sz w:val="20"/>
          <w:szCs w:val="20"/>
          <w:color w:val="auto"/>
        </w:rPr>
      </w:pPr>
    </w:p>
    <w:p>
      <w:pPr>
        <w:ind w:right="40" w:firstLine="762"/>
        <w:spacing w:after="0" w:line="233" w:lineRule="auto"/>
        <w:rPr>
          <w:sz w:val="20"/>
          <w:szCs w:val="20"/>
          <w:color w:val="auto"/>
        </w:rPr>
      </w:pPr>
      <w:r>
        <w:rPr>
          <w:rFonts w:ascii="Arial" w:cs="Arial" w:eastAsia="Arial" w:hAnsi="Arial"/>
          <w:sz w:val="18"/>
          <w:szCs w:val="18"/>
          <w:color w:val="auto"/>
        </w:rPr>
        <w:t>Ecommerce product gross profit increased $ 21.9 million, or 173.3%, from $12.7 million for the six months ended June 30, 2020 to $34.6 million for the six months ended June 30, 2021. The increase was attributable to the 19,129 increase in ecommerce units sold which increased product gross profit by $16.6 million and the increase in product gross profit per unit of $160, which increased product gross profit by $5.3 million. Product gross profit per unit increased from $866 for the six months ended June 30, 2020 to $1,026 for the six months ended June 30, 2021, primarily due to higher attachment rates and an increase in the average loan size as a result of higher ASP. We expect ecommerce product gross profit will continue to grow in the future driven by increases in ecommerce units sold, new product offerings, initiatives to improve product attachment rates and increases in per unit profit.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Wholesale</w:t>
      </w:r>
    </w:p>
    <w:p>
      <w:pPr>
        <w:spacing w:after="0" w:line="22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presents our Wholesale segment results of operations for the periods indicated: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60" w:type="dxa"/>
            <w:vAlign w:val="bottom"/>
            <w:gridSpan w:val="4"/>
          </w:tcPr>
          <w:p>
            <w:pPr>
              <w:ind w:left="580"/>
              <w:spacing w:after="0"/>
              <w:rPr>
                <w:sz w:val="20"/>
                <w:szCs w:val="20"/>
                <w:color w:val="auto"/>
              </w:rPr>
            </w:pPr>
            <w:r>
              <w:rPr>
                <w:rFonts w:ascii="Arial" w:cs="Arial" w:eastAsia="Arial" w:hAnsi="Arial"/>
                <w:sz w:val="14"/>
                <w:szCs w:val="14"/>
                <w:b w:val="1"/>
                <w:bCs w:val="1"/>
                <w:color w:val="auto"/>
              </w:rPr>
              <w:t>Six Months Ended</w:t>
            </w: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56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2"/>
          </w:tcPr>
          <w:p>
            <w:pPr>
              <w:jc w:val="right"/>
              <w:ind w:right="11"/>
              <w:spacing w:after="0"/>
              <w:rPr>
                <w:sz w:val="20"/>
                <w:szCs w:val="20"/>
                <w:color w:val="auto"/>
              </w:rPr>
            </w:pPr>
            <w:r>
              <w:rPr>
                <w:rFonts w:ascii="Arial" w:cs="Arial" w:eastAsia="Arial" w:hAnsi="Arial"/>
                <w:sz w:val="14"/>
                <w:szCs w:val="14"/>
                <w:b w:val="1"/>
                <w:bCs w:val="1"/>
                <w:color w:val="auto"/>
              </w:rPr>
              <w:t>June 30,</w:t>
            </w:r>
          </w:p>
        </w:tc>
        <w:tc>
          <w:tcPr>
            <w:tcW w:w="9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Change</w:t>
            </w:r>
          </w:p>
        </w:tc>
        <w:tc>
          <w:tcPr>
            <w:tcW w:w="140" w:type="dxa"/>
            <w:vAlign w:val="bottom"/>
            <w:vMerge w:val="restart"/>
          </w:tcPr>
          <w:p>
            <w:pPr>
              <w:spacing w:after="0"/>
              <w:rPr>
                <w:sz w:val="15"/>
                <w:szCs w:val="15"/>
                <w:color w:val="auto"/>
              </w:rPr>
            </w:pPr>
          </w:p>
        </w:tc>
        <w:tc>
          <w:tcPr>
            <w:tcW w:w="1340" w:type="dxa"/>
            <w:vAlign w:val="bottom"/>
            <w:vMerge w:val="restart"/>
          </w:tcPr>
          <w:p>
            <w:pPr>
              <w:jc w:val="right"/>
              <w:ind w:right="374"/>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66"/>
        </w:trPr>
        <w:tc>
          <w:tcPr>
            <w:tcW w:w="56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2021</w:t>
            </w:r>
          </w:p>
        </w:tc>
        <w:tc>
          <w:tcPr>
            <w:tcW w:w="4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13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60" w:type="dxa"/>
            <w:vAlign w:val="bottom"/>
            <w:gridSpan w:val="4"/>
          </w:tcPr>
          <w:p>
            <w:pPr>
              <w:ind w:left="60"/>
              <w:spacing w:after="0"/>
              <w:rPr>
                <w:sz w:val="20"/>
                <w:szCs w:val="20"/>
                <w:color w:val="auto"/>
              </w:rPr>
            </w:pPr>
            <w:r>
              <w:rPr>
                <w:rFonts w:ascii="Arial" w:cs="Arial" w:eastAsia="Arial" w:hAnsi="Arial"/>
                <w:sz w:val="14"/>
                <w:szCs w:val="14"/>
                <w:b w:val="1"/>
                <w:bCs w:val="1"/>
                <w:color w:val="auto"/>
              </w:rPr>
              <w:t>(in thousands, except unit data)</w:t>
            </w: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5660" w:type="dxa"/>
            <w:vAlign w:val="bottom"/>
            <w:shd w:val="clear" w:color="auto" w:fill="CFF0FC"/>
          </w:tcPr>
          <w:p>
            <w:pPr>
              <w:spacing w:after="0"/>
              <w:rPr>
                <w:sz w:val="20"/>
                <w:szCs w:val="20"/>
                <w:color w:val="auto"/>
              </w:rPr>
            </w:pPr>
            <w:r>
              <w:rPr>
                <w:rFonts w:ascii="Arial" w:cs="Arial" w:eastAsia="Arial" w:hAnsi="Arial"/>
                <w:sz w:val="18"/>
                <w:szCs w:val="18"/>
                <w:color w:val="auto"/>
              </w:rPr>
              <w:t>Wholesale units sold</w:t>
            </w:r>
          </w:p>
        </w:tc>
        <w:tc>
          <w:tcPr>
            <w:tcW w:w="16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59"/>
              <w:spacing w:after="0"/>
              <w:rPr>
                <w:sz w:val="20"/>
                <w:szCs w:val="20"/>
                <w:color w:val="auto"/>
              </w:rPr>
            </w:pPr>
            <w:r>
              <w:rPr>
                <w:rFonts w:ascii="Arial" w:cs="Arial" w:eastAsia="Arial" w:hAnsi="Arial"/>
                <w:sz w:val="18"/>
                <w:szCs w:val="18"/>
                <w:color w:val="auto"/>
              </w:rPr>
              <w:t>18,661</w:t>
            </w:r>
          </w:p>
        </w:tc>
        <w:tc>
          <w:tcPr>
            <w:tcW w:w="44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7,944</w:t>
            </w: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10,717</w:t>
            </w:r>
          </w:p>
        </w:tc>
        <w:tc>
          <w:tcPr>
            <w:tcW w:w="1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134.9%</w:t>
            </w:r>
          </w:p>
        </w:tc>
        <w:tc>
          <w:tcPr>
            <w:tcW w:w="0" w:type="dxa"/>
            <w:vAlign w:val="bottom"/>
          </w:tcPr>
          <w:p>
            <w:pPr>
              <w:spacing w:after="0"/>
              <w:rPr>
                <w:sz w:val="1"/>
                <w:szCs w:val="1"/>
                <w:color w:val="auto"/>
              </w:rPr>
            </w:pPr>
          </w:p>
        </w:tc>
      </w:tr>
      <w:tr>
        <w:trPr>
          <w:trHeight w:val="213"/>
        </w:trPr>
        <w:tc>
          <w:tcPr>
            <w:tcW w:w="5660" w:type="dxa"/>
            <w:vAlign w:val="bottom"/>
          </w:tcPr>
          <w:p>
            <w:pPr>
              <w:spacing w:after="0"/>
              <w:rPr>
                <w:sz w:val="20"/>
                <w:szCs w:val="20"/>
                <w:color w:val="auto"/>
              </w:rPr>
            </w:pPr>
            <w:r>
              <w:rPr>
                <w:rFonts w:ascii="Arial" w:cs="Arial" w:eastAsia="Arial" w:hAnsi="Arial"/>
                <w:sz w:val="18"/>
                <w:szCs w:val="18"/>
                <w:color w:val="auto"/>
              </w:rPr>
              <w:t>Wholesale revenue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59"/>
              <w:spacing w:after="0"/>
              <w:rPr>
                <w:sz w:val="20"/>
                <w:szCs w:val="20"/>
                <w:color w:val="auto"/>
              </w:rPr>
            </w:pPr>
            <w:r>
              <w:rPr>
                <w:rFonts w:ascii="Arial" w:cs="Arial" w:eastAsia="Arial" w:hAnsi="Arial"/>
                <w:sz w:val="18"/>
                <w:szCs w:val="18"/>
                <w:color w:val="auto"/>
              </w:rPr>
              <w:t>246,132</w:t>
            </w:r>
          </w:p>
        </w:tc>
        <w:tc>
          <w:tcPr>
            <w:tcW w:w="44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106,497</w:t>
            </w:r>
          </w:p>
        </w:tc>
        <w:tc>
          <w:tcPr>
            <w:tcW w:w="120" w:type="dxa"/>
            <w:vAlign w:val="bottom"/>
          </w:tcPr>
          <w:p>
            <w:pPr>
              <w:spacing w:after="0"/>
              <w:rPr>
                <w:sz w:val="18"/>
                <w:szCs w:val="18"/>
                <w:color w:val="auto"/>
              </w:rPr>
            </w:pPr>
          </w:p>
        </w:tc>
        <w:tc>
          <w:tcPr>
            <w:tcW w:w="260" w:type="dxa"/>
            <w:vAlign w:val="bottom"/>
          </w:tcPr>
          <w:p>
            <w:pPr>
              <w:jc w:val="right"/>
              <w:ind w:right="51"/>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139,635</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131.1%</w:t>
            </w:r>
          </w:p>
        </w:tc>
        <w:tc>
          <w:tcPr>
            <w:tcW w:w="0" w:type="dxa"/>
            <w:vAlign w:val="bottom"/>
          </w:tcPr>
          <w:p>
            <w:pPr>
              <w:spacing w:after="0"/>
              <w:rPr>
                <w:sz w:val="1"/>
                <w:szCs w:val="1"/>
                <w:color w:val="auto"/>
              </w:rPr>
            </w:pPr>
          </w:p>
        </w:tc>
      </w:tr>
      <w:tr>
        <w:trPr>
          <w:trHeight w:val="213"/>
        </w:trPr>
        <w:tc>
          <w:tcPr>
            <w:tcW w:w="5660" w:type="dxa"/>
            <w:vAlign w:val="bottom"/>
            <w:shd w:val="clear" w:color="auto" w:fill="CFF0FC"/>
          </w:tcPr>
          <w:p>
            <w:pPr>
              <w:spacing w:after="0"/>
              <w:rPr>
                <w:sz w:val="20"/>
                <w:szCs w:val="20"/>
                <w:color w:val="auto"/>
              </w:rPr>
            </w:pPr>
            <w:r>
              <w:rPr>
                <w:rFonts w:ascii="Arial" w:cs="Arial" w:eastAsia="Arial" w:hAnsi="Arial"/>
                <w:sz w:val="18"/>
                <w:szCs w:val="18"/>
                <w:color w:val="auto"/>
              </w:rPr>
              <w:t>Wholesale gross profit (loss)</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FF0FC"/>
          </w:tcPr>
          <w:p>
            <w:pPr>
              <w:jc w:val="right"/>
              <w:ind w:right="59"/>
              <w:spacing w:after="0"/>
              <w:rPr>
                <w:sz w:val="20"/>
                <w:szCs w:val="20"/>
                <w:color w:val="auto"/>
              </w:rPr>
            </w:pPr>
            <w:r>
              <w:rPr>
                <w:rFonts w:ascii="Arial" w:cs="Arial" w:eastAsia="Arial" w:hAnsi="Arial"/>
                <w:sz w:val="18"/>
                <w:szCs w:val="18"/>
                <w:color w:val="auto"/>
              </w:rPr>
              <w:t>8,234</w:t>
            </w:r>
          </w:p>
        </w:tc>
        <w:tc>
          <w:tcPr>
            <w:tcW w:w="440" w:type="dxa"/>
            <w:vAlign w:val="bottom"/>
            <w:shd w:val="clear" w:color="auto" w:fill="CFF0FC"/>
          </w:tcPr>
          <w:p>
            <w:pPr>
              <w:jc w:val="right"/>
              <w:ind w:right="131"/>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(1,838)</w:t>
            </w: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10,072</w:t>
            </w:r>
          </w:p>
        </w:tc>
        <w:tc>
          <w:tcPr>
            <w:tcW w:w="1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548.0%</w:t>
            </w:r>
          </w:p>
        </w:tc>
        <w:tc>
          <w:tcPr>
            <w:tcW w:w="0" w:type="dxa"/>
            <w:vAlign w:val="bottom"/>
          </w:tcPr>
          <w:p>
            <w:pPr>
              <w:spacing w:after="0"/>
              <w:rPr>
                <w:sz w:val="1"/>
                <w:szCs w:val="1"/>
                <w:color w:val="auto"/>
              </w:rPr>
            </w:pPr>
          </w:p>
        </w:tc>
      </w:tr>
      <w:tr>
        <w:trPr>
          <w:trHeight w:val="213"/>
        </w:trPr>
        <w:tc>
          <w:tcPr>
            <w:tcW w:w="5660" w:type="dxa"/>
            <w:vAlign w:val="bottom"/>
          </w:tcPr>
          <w:p>
            <w:pPr>
              <w:spacing w:after="0"/>
              <w:rPr>
                <w:sz w:val="20"/>
                <w:szCs w:val="20"/>
                <w:color w:val="auto"/>
              </w:rPr>
            </w:pPr>
            <w:r>
              <w:rPr>
                <w:rFonts w:ascii="Arial" w:cs="Arial" w:eastAsia="Arial" w:hAnsi="Arial"/>
                <w:sz w:val="18"/>
                <w:szCs w:val="18"/>
                <w:color w:val="auto"/>
              </w:rPr>
              <w:t>Average selling price per unit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59"/>
              <w:spacing w:after="0"/>
              <w:rPr>
                <w:sz w:val="20"/>
                <w:szCs w:val="20"/>
                <w:color w:val="auto"/>
              </w:rPr>
            </w:pPr>
            <w:r>
              <w:rPr>
                <w:rFonts w:ascii="Arial" w:cs="Arial" w:eastAsia="Arial" w:hAnsi="Arial"/>
                <w:sz w:val="18"/>
                <w:szCs w:val="18"/>
                <w:color w:val="auto"/>
              </w:rPr>
              <w:t>13,190</w:t>
            </w:r>
          </w:p>
        </w:tc>
        <w:tc>
          <w:tcPr>
            <w:tcW w:w="44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13,406</w:t>
            </w:r>
          </w:p>
        </w:tc>
        <w:tc>
          <w:tcPr>
            <w:tcW w:w="120" w:type="dxa"/>
            <w:vAlign w:val="bottom"/>
          </w:tcPr>
          <w:p>
            <w:pPr>
              <w:spacing w:after="0"/>
              <w:rPr>
                <w:sz w:val="18"/>
                <w:szCs w:val="18"/>
                <w:color w:val="auto"/>
              </w:rPr>
            </w:pPr>
          </w:p>
        </w:tc>
        <w:tc>
          <w:tcPr>
            <w:tcW w:w="260" w:type="dxa"/>
            <w:vAlign w:val="bottom"/>
          </w:tcPr>
          <w:p>
            <w:pPr>
              <w:jc w:val="right"/>
              <w:ind w:right="51"/>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(216)</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3"/>
        </w:trPr>
        <w:tc>
          <w:tcPr>
            <w:tcW w:w="5660" w:type="dxa"/>
            <w:vAlign w:val="bottom"/>
            <w:shd w:val="clear" w:color="auto" w:fill="CFF0FC"/>
          </w:tcPr>
          <w:p>
            <w:pPr>
              <w:spacing w:after="0"/>
              <w:rPr>
                <w:sz w:val="20"/>
                <w:szCs w:val="20"/>
                <w:color w:val="auto"/>
              </w:rPr>
            </w:pPr>
            <w:r>
              <w:rPr>
                <w:rFonts w:ascii="Arial" w:cs="Arial" w:eastAsia="Arial" w:hAnsi="Arial"/>
                <w:sz w:val="18"/>
                <w:szCs w:val="18"/>
                <w:color w:val="auto"/>
              </w:rPr>
              <w:t>Wholesale gross profit (loss) per unit</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FF0FC"/>
          </w:tcPr>
          <w:p>
            <w:pPr>
              <w:jc w:val="right"/>
              <w:ind w:right="59"/>
              <w:spacing w:after="0"/>
              <w:rPr>
                <w:sz w:val="20"/>
                <w:szCs w:val="20"/>
                <w:color w:val="auto"/>
              </w:rPr>
            </w:pPr>
            <w:r>
              <w:rPr>
                <w:rFonts w:ascii="Arial" w:cs="Arial" w:eastAsia="Arial" w:hAnsi="Arial"/>
                <w:sz w:val="18"/>
                <w:szCs w:val="18"/>
                <w:color w:val="auto"/>
              </w:rPr>
              <w:t>441</w:t>
            </w:r>
          </w:p>
        </w:tc>
        <w:tc>
          <w:tcPr>
            <w:tcW w:w="440" w:type="dxa"/>
            <w:vAlign w:val="bottom"/>
            <w:shd w:val="clear" w:color="auto" w:fill="CFF0FC"/>
          </w:tcPr>
          <w:p>
            <w:pPr>
              <w:jc w:val="right"/>
              <w:ind w:right="131"/>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(231)</w:t>
            </w: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672</w:t>
            </w:r>
          </w:p>
        </w:tc>
        <w:tc>
          <w:tcPr>
            <w:tcW w:w="1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290.9%</w:t>
            </w:r>
          </w:p>
        </w:tc>
        <w:tc>
          <w:tcPr>
            <w:tcW w:w="0" w:type="dxa"/>
            <w:vAlign w:val="bottom"/>
          </w:tcPr>
          <w:p>
            <w:pPr>
              <w:spacing w:after="0"/>
              <w:rPr>
                <w:sz w:val="1"/>
                <w:szCs w:val="1"/>
                <w:color w:val="auto"/>
              </w:rPr>
            </w:pPr>
          </w:p>
        </w:tc>
      </w:tr>
    </w:tbl>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Wholesale Units</w:t>
      </w:r>
    </w:p>
    <w:p>
      <w:pPr>
        <w:spacing w:after="0" w:line="228" w:lineRule="exact"/>
        <w:rPr>
          <w:sz w:val="20"/>
          <w:szCs w:val="20"/>
          <w:color w:val="auto"/>
        </w:rPr>
      </w:pPr>
    </w:p>
    <w:p>
      <w:pPr>
        <w:ind w:right="40" w:firstLine="762"/>
        <w:spacing w:after="0" w:line="255" w:lineRule="auto"/>
        <w:rPr>
          <w:sz w:val="20"/>
          <w:szCs w:val="20"/>
          <w:color w:val="auto"/>
        </w:rPr>
      </w:pPr>
      <w:r>
        <w:rPr>
          <w:rFonts w:ascii="Arial" w:cs="Arial" w:eastAsia="Arial" w:hAnsi="Arial"/>
          <w:sz w:val="17"/>
          <w:szCs w:val="17"/>
          <w:color w:val="auto"/>
        </w:rPr>
        <w:t>Wholesale units sold increased 10,717, or 134.9%, from 7,944 for the six months ended June 30, 2020 to 18,661 for the six months ended June 30, 2021, primarily driven by an increase of wholesale grade units purchased from consumers, an increase in the number of trade-in vehicles as a result of the increase in number of ecommerce units sold and strong wholesale market demand for used vehicles.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50800</wp:posOffset>
            </wp:positionV>
            <wp:extent cx="715962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Wholesale Revenue</w:t>
      </w:r>
    </w:p>
    <w:p>
      <w:pPr>
        <w:spacing w:after="0" w:line="228" w:lineRule="exact"/>
        <w:rPr>
          <w:sz w:val="20"/>
          <w:szCs w:val="20"/>
          <w:color w:val="auto"/>
        </w:rPr>
      </w:pPr>
    </w:p>
    <w:p>
      <w:pPr>
        <w:ind w:right="180" w:firstLine="762"/>
        <w:spacing w:after="0" w:line="235" w:lineRule="auto"/>
        <w:rPr>
          <w:sz w:val="20"/>
          <w:szCs w:val="20"/>
          <w:color w:val="auto"/>
        </w:rPr>
      </w:pPr>
      <w:r>
        <w:rPr>
          <w:rFonts w:ascii="Arial" w:cs="Arial" w:eastAsia="Arial" w:hAnsi="Arial"/>
          <w:sz w:val="18"/>
          <w:szCs w:val="18"/>
          <w:color w:val="auto"/>
        </w:rPr>
        <w:t>Wholesale revenue increased $ 139.6 million, or 131.1%, from $106.5 million for the six months ended June 30, 2020 to $246.1 million for the six months ended June 30, 2021. The increase in wholesale revenue was attributable to the 10,717 increase in wholesale units sold, which increased wholesale revenue by $143.6 million, partially offset by a lower ASP per unit which decreased from $13,406 million for the six months ended June 30, 2020 to $13,190 for the six months ended June 30, 2021 and decreased revenue by $4.0 million.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Wholesale Gross Profit (Loss)</w:t>
      </w:r>
    </w:p>
    <w:p>
      <w:pPr>
        <w:spacing w:after="0" w:line="228" w:lineRule="exact"/>
        <w:rPr>
          <w:sz w:val="20"/>
          <w:szCs w:val="20"/>
          <w:color w:val="auto"/>
        </w:rPr>
      </w:pPr>
    </w:p>
    <w:p>
      <w:pPr>
        <w:ind w:firstLine="762"/>
        <w:spacing w:after="0" w:line="234" w:lineRule="auto"/>
        <w:rPr>
          <w:sz w:val="20"/>
          <w:szCs w:val="20"/>
          <w:color w:val="auto"/>
        </w:rPr>
      </w:pPr>
      <w:r>
        <w:rPr>
          <w:rFonts w:ascii="Arial" w:cs="Arial" w:eastAsia="Arial" w:hAnsi="Arial"/>
          <w:sz w:val="18"/>
          <w:szCs w:val="18"/>
          <w:color w:val="auto"/>
        </w:rPr>
        <w:t>Wholesale gross profit increased $10.0 million, or 548.0%, from a gross loss of $1.8 million for the six months ended June 30, 2020 to gross profit of $8.2 million for the six months ended June 30, 2021. The increase was primarily attributable to a $672 increase in wholesale gross profit per unit as a result of favorable wholesale market conditions. Additionally, in the first half of 2020, our sales margin was negatively impacted by the sale of retail vehicles through wholesale channels to reduce our inventory levels at the start of the COVID-19 pandemic. Based on data from Cox Automotive, wholesale prices appear to have reached their peak in June and are expected to begin to gradually return to normal market conditions and vehicle depreciation during the second half of 2021.</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TDA</w:t>
      </w:r>
    </w:p>
    <w:p>
      <w:pPr>
        <w:spacing w:after="0" w:line="12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presents our TDA segment results of operations for the periods indicated: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80" w:type="dxa"/>
            <w:vAlign w:val="bottom"/>
            <w:gridSpan w:val="5"/>
          </w:tcPr>
          <w:p>
            <w:pPr>
              <w:jc w:val="center"/>
              <w:ind w:right="440"/>
              <w:spacing w:after="0"/>
              <w:rPr>
                <w:sz w:val="20"/>
                <w:szCs w:val="20"/>
                <w:color w:val="auto"/>
              </w:rPr>
            </w:pPr>
            <w:r>
              <w:rPr>
                <w:rFonts w:ascii="Arial" w:cs="Arial" w:eastAsia="Arial" w:hAnsi="Arial"/>
                <w:sz w:val="14"/>
                <w:szCs w:val="14"/>
                <w:b w:val="1"/>
                <w:bCs w:val="1"/>
                <w:color w:val="auto"/>
              </w:rPr>
              <w:t>Six Months Ended</w:t>
            </w: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56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3"/>
          </w:tcPr>
          <w:p>
            <w:pPr>
              <w:jc w:val="center"/>
              <w:ind w:left="657"/>
              <w:spacing w:after="0"/>
              <w:rPr>
                <w:sz w:val="20"/>
                <w:szCs w:val="20"/>
                <w:color w:val="auto"/>
              </w:rPr>
            </w:pPr>
            <w:r>
              <w:rPr>
                <w:rFonts w:ascii="Arial" w:cs="Arial" w:eastAsia="Arial" w:hAnsi="Arial"/>
                <w:sz w:val="14"/>
                <w:szCs w:val="14"/>
                <w:b w:val="1"/>
                <w:bCs w:val="1"/>
                <w:color w:val="auto"/>
                <w:w w:val="99"/>
              </w:rPr>
              <w:t>June 30,</w:t>
            </w:r>
          </w:p>
        </w:tc>
        <w:tc>
          <w:tcPr>
            <w:tcW w:w="10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vMerge w:val="restart"/>
          </w:tcPr>
          <w:p>
            <w:pPr>
              <w:jc w:val="right"/>
              <w:ind w:right="313"/>
              <w:spacing w:after="0"/>
              <w:rPr>
                <w:sz w:val="20"/>
                <w:szCs w:val="20"/>
                <w:color w:val="auto"/>
              </w:rPr>
            </w:pPr>
            <w:r>
              <w:rPr>
                <w:rFonts w:ascii="Arial" w:cs="Arial" w:eastAsia="Arial" w:hAnsi="Arial"/>
                <w:sz w:val="14"/>
                <w:szCs w:val="14"/>
                <w:b w:val="1"/>
                <w:bCs w:val="1"/>
                <w:color w:val="auto"/>
              </w:rPr>
              <w:t>Change</w:t>
            </w:r>
          </w:p>
        </w:tc>
        <w:tc>
          <w:tcPr>
            <w:tcW w:w="120" w:type="dxa"/>
            <w:vAlign w:val="bottom"/>
            <w:vMerge w:val="restart"/>
          </w:tcPr>
          <w:p>
            <w:pPr>
              <w:spacing w:after="0"/>
              <w:rPr>
                <w:sz w:val="15"/>
                <w:szCs w:val="15"/>
                <w:color w:val="auto"/>
              </w:rPr>
            </w:pPr>
          </w:p>
        </w:tc>
        <w:tc>
          <w:tcPr>
            <w:tcW w:w="1320" w:type="dxa"/>
            <w:vAlign w:val="bottom"/>
            <w:vMerge w:val="restart"/>
          </w:tcPr>
          <w:p>
            <w:pPr>
              <w:jc w:val="right"/>
              <w:ind w:right="353"/>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66"/>
        </w:trPr>
        <w:tc>
          <w:tcPr>
            <w:tcW w:w="56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94"/>
              <w:spacing w:after="0" w:line="166" w:lineRule="exact"/>
              <w:rPr>
                <w:sz w:val="20"/>
                <w:szCs w:val="20"/>
                <w:color w:val="auto"/>
              </w:rPr>
            </w:pPr>
            <w:r>
              <w:rPr>
                <w:rFonts w:ascii="Arial" w:cs="Arial" w:eastAsia="Arial" w:hAnsi="Arial"/>
                <w:sz w:val="12"/>
                <w:szCs w:val="12"/>
                <w:b w:val="1"/>
                <w:bCs w:val="1"/>
                <w:color w:val="auto"/>
              </w:rPr>
              <w:t xml:space="preserve">2020 </w:t>
            </w:r>
            <w:r>
              <w:rPr>
                <w:rFonts w:ascii="Arial" w:cs="Arial" w:eastAsia="Arial" w:hAnsi="Arial"/>
                <w:sz w:val="19"/>
                <w:szCs w:val="19"/>
                <w:b w:val="1"/>
                <w:bCs w:val="1"/>
                <w:color w:val="auto"/>
                <w:vertAlign w:val="superscript"/>
              </w:rPr>
              <w:t>(1)</w:t>
            </w:r>
          </w:p>
        </w:tc>
        <w:tc>
          <w:tcPr>
            <w:tcW w:w="1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13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5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80" w:type="dxa"/>
            <w:vAlign w:val="bottom"/>
            <w:gridSpan w:val="5"/>
          </w:tcPr>
          <w:p>
            <w:pPr>
              <w:jc w:val="center"/>
              <w:ind w:right="440"/>
              <w:spacing w:after="0" w:line="153" w:lineRule="exact"/>
              <w:rPr>
                <w:sz w:val="20"/>
                <w:szCs w:val="20"/>
                <w:color w:val="auto"/>
              </w:rPr>
            </w:pPr>
            <w:r>
              <w:rPr>
                <w:rFonts w:ascii="Arial" w:cs="Arial" w:eastAsia="Arial" w:hAnsi="Arial"/>
                <w:sz w:val="14"/>
                <w:szCs w:val="14"/>
                <w:b w:val="1"/>
                <w:bCs w:val="1"/>
                <w:color w:val="auto"/>
              </w:rPr>
              <w:t>(in thousands, except unit</w:t>
            </w:r>
          </w:p>
        </w:tc>
        <w:tc>
          <w:tcPr>
            <w:tcW w:w="2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80" w:type="dxa"/>
            <w:vAlign w:val="bottom"/>
            <w:gridSpan w:val="5"/>
          </w:tcPr>
          <w:p>
            <w:pPr>
              <w:jc w:val="center"/>
              <w:ind w:right="460"/>
              <w:spacing w:after="0"/>
              <w:rPr>
                <w:sz w:val="20"/>
                <w:szCs w:val="20"/>
                <w:color w:val="auto"/>
              </w:rPr>
            </w:pPr>
            <w:r>
              <w:rPr>
                <w:rFonts w:ascii="Arial" w:cs="Arial" w:eastAsia="Arial" w:hAnsi="Arial"/>
                <w:sz w:val="14"/>
                <w:szCs w:val="14"/>
                <w:b w:val="1"/>
                <w:bCs w:val="1"/>
                <w:color w:val="auto"/>
              </w:rPr>
              <w:t>data and average days to sale)</w:t>
            </w: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5600" w:type="dxa"/>
            <w:vAlign w:val="bottom"/>
            <w:shd w:val="clear" w:color="auto" w:fill="CFF0FC"/>
          </w:tcPr>
          <w:p>
            <w:pPr>
              <w:spacing w:after="0"/>
              <w:rPr>
                <w:sz w:val="20"/>
                <w:szCs w:val="20"/>
                <w:color w:val="auto"/>
              </w:rPr>
            </w:pPr>
            <w:r>
              <w:rPr>
                <w:rFonts w:ascii="Arial" w:cs="Arial" w:eastAsia="Arial" w:hAnsi="Arial"/>
                <w:sz w:val="18"/>
                <w:szCs w:val="18"/>
                <w:color w:val="auto"/>
              </w:rPr>
              <w:t>TDA units sold</w:t>
            </w:r>
          </w:p>
        </w:tc>
        <w:tc>
          <w:tcPr>
            <w:tcW w:w="2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3,358</w:t>
            </w: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4,145</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(787)</w:t>
            </w:r>
          </w:p>
        </w:tc>
        <w:tc>
          <w:tcPr>
            <w:tcW w:w="12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13"/>
        </w:trPr>
        <w:tc>
          <w:tcPr>
            <w:tcW w:w="5600" w:type="dxa"/>
            <w:vAlign w:val="bottom"/>
          </w:tcPr>
          <w:p>
            <w:pPr>
              <w:spacing w:after="0"/>
              <w:rPr>
                <w:sz w:val="20"/>
                <w:szCs w:val="20"/>
                <w:color w:val="auto"/>
              </w:rPr>
            </w:pPr>
            <w:r>
              <w:rPr>
                <w:rFonts w:ascii="Arial" w:cs="Arial" w:eastAsia="Arial" w:hAnsi="Arial"/>
                <w:sz w:val="18"/>
                <w:szCs w:val="18"/>
                <w:color w:val="auto"/>
              </w:rPr>
              <w:t>TDA revenue:</w:t>
            </w: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6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Vehicle revenue</w:t>
            </w:r>
          </w:p>
        </w:tc>
        <w:tc>
          <w:tcPr>
            <w:tcW w:w="20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95,115</w:t>
            </w: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108,797</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(13,682)</w:t>
            </w:r>
          </w:p>
        </w:tc>
        <w:tc>
          <w:tcPr>
            <w:tcW w:w="12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13"/>
        </w:trPr>
        <w:tc>
          <w:tcPr>
            <w:tcW w:w="560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Product revenue</w:t>
            </w: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3,231</w:t>
            </w:r>
          </w:p>
        </w:tc>
        <w:tc>
          <w:tcPr>
            <w:tcW w:w="12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4,105</w:t>
            </w:r>
          </w:p>
        </w:tc>
        <w:tc>
          <w:tcPr>
            <w:tcW w:w="12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(874)</w:t>
            </w:r>
          </w:p>
        </w:tc>
        <w:tc>
          <w:tcPr>
            <w:tcW w:w="120" w:type="dxa"/>
            <w:vAlign w:val="bottom"/>
            <w:tcBorders>
              <w:bottom w:val="single" w:sz="8" w:color="CFF0FC"/>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06"/>
        </w:trPr>
        <w:tc>
          <w:tcPr>
            <w:tcW w:w="56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TDA revenue</w:t>
            </w:r>
          </w:p>
        </w:tc>
        <w:tc>
          <w:tcPr>
            <w:tcW w:w="200" w:type="dxa"/>
            <w:vAlign w:val="bottom"/>
            <w:tcBorders>
              <w:bottom w:val="single" w:sz="8" w:color="auto"/>
            </w:tcBorders>
            <w:shd w:val="clear" w:color="auto" w:fill="CFF0FC"/>
          </w:tcPr>
          <w:p>
            <w:pPr>
              <w:jc w:val="right"/>
              <w:ind w:right="11"/>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ind w:right="37"/>
              <w:spacing w:after="0"/>
              <w:rPr>
                <w:sz w:val="20"/>
                <w:szCs w:val="20"/>
                <w:color w:val="auto"/>
              </w:rPr>
            </w:pPr>
            <w:r>
              <w:rPr>
                <w:rFonts w:ascii="Arial" w:cs="Arial" w:eastAsia="Arial" w:hAnsi="Arial"/>
                <w:sz w:val="18"/>
                <w:szCs w:val="18"/>
                <w:color w:val="auto"/>
              </w:rPr>
              <w:t>98,346</w:t>
            </w:r>
          </w:p>
        </w:tc>
        <w:tc>
          <w:tcPr>
            <w:tcW w:w="12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jc w:val="right"/>
              <w:ind w:right="71"/>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112,902</w:t>
            </w:r>
          </w:p>
        </w:tc>
        <w:tc>
          <w:tcPr>
            <w:tcW w:w="12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(14,556)</w:t>
            </w:r>
          </w:p>
        </w:tc>
        <w:tc>
          <w:tcPr>
            <w:tcW w:w="120" w:type="dxa"/>
            <w:vAlign w:val="bottom"/>
            <w:tcBorders>
              <w:bottom w:val="single" w:sz="8" w:color="CFF0FC"/>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Arial" w:cs="Arial" w:eastAsia="Arial" w:hAnsi="Arial"/>
                <w:sz w:val="18"/>
                <w:szCs w:val="18"/>
                <w:color w:val="auto"/>
              </w:rPr>
              <w:t>TDA gross profit:</w:t>
            </w: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560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56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Vehicle gross profit</w:t>
            </w:r>
          </w:p>
        </w:tc>
        <w:tc>
          <w:tcPr>
            <w:tcW w:w="20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2,708</w:t>
            </w: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2,019</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689</w:t>
            </w:r>
          </w:p>
        </w:tc>
        <w:tc>
          <w:tcPr>
            <w:tcW w:w="12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34.1%</w:t>
            </w:r>
          </w:p>
        </w:tc>
        <w:tc>
          <w:tcPr>
            <w:tcW w:w="0" w:type="dxa"/>
            <w:vAlign w:val="bottom"/>
          </w:tcPr>
          <w:p>
            <w:pPr>
              <w:spacing w:after="0"/>
              <w:rPr>
                <w:sz w:val="1"/>
                <w:szCs w:val="1"/>
                <w:color w:val="auto"/>
              </w:rPr>
            </w:pPr>
          </w:p>
        </w:tc>
      </w:tr>
      <w:tr>
        <w:trPr>
          <w:trHeight w:val="213"/>
        </w:trPr>
        <w:tc>
          <w:tcPr>
            <w:tcW w:w="560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Product gross profit</w:t>
            </w: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3,231</w:t>
            </w:r>
          </w:p>
        </w:tc>
        <w:tc>
          <w:tcPr>
            <w:tcW w:w="12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4,105</w:t>
            </w:r>
          </w:p>
        </w:tc>
        <w:tc>
          <w:tcPr>
            <w:tcW w:w="12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(874)</w:t>
            </w:r>
          </w:p>
        </w:tc>
        <w:tc>
          <w:tcPr>
            <w:tcW w:w="120" w:type="dxa"/>
            <w:vAlign w:val="bottom"/>
            <w:tcBorders>
              <w:bottom w:val="single" w:sz="8" w:color="CFF0FC"/>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06"/>
        </w:trPr>
        <w:tc>
          <w:tcPr>
            <w:tcW w:w="56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TDA gross profit</w:t>
            </w:r>
          </w:p>
        </w:tc>
        <w:tc>
          <w:tcPr>
            <w:tcW w:w="200" w:type="dxa"/>
            <w:vAlign w:val="bottom"/>
            <w:tcBorders>
              <w:bottom w:val="single" w:sz="8" w:color="auto"/>
            </w:tcBorders>
            <w:shd w:val="clear" w:color="auto" w:fill="CFF0FC"/>
          </w:tcPr>
          <w:p>
            <w:pPr>
              <w:jc w:val="right"/>
              <w:ind w:right="11"/>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ind w:right="37"/>
              <w:spacing w:after="0"/>
              <w:rPr>
                <w:sz w:val="20"/>
                <w:szCs w:val="20"/>
                <w:color w:val="auto"/>
              </w:rPr>
            </w:pPr>
            <w:r>
              <w:rPr>
                <w:rFonts w:ascii="Arial" w:cs="Arial" w:eastAsia="Arial" w:hAnsi="Arial"/>
                <w:sz w:val="18"/>
                <w:szCs w:val="18"/>
                <w:color w:val="auto"/>
              </w:rPr>
              <w:t>5,939</w:t>
            </w:r>
          </w:p>
        </w:tc>
        <w:tc>
          <w:tcPr>
            <w:tcW w:w="12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jc w:val="right"/>
              <w:ind w:right="71"/>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6,124</w:t>
            </w:r>
          </w:p>
        </w:tc>
        <w:tc>
          <w:tcPr>
            <w:tcW w:w="12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(185)</w:t>
            </w:r>
          </w:p>
        </w:tc>
        <w:tc>
          <w:tcPr>
            <w:tcW w:w="120" w:type="dxa"/>
            <w:vAlign w:val="bottom"/>
            <w:tcBorders>
              <w:bottom w:val="single" w:sz="8" w:color="CFF0FC"/>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5600" w:type="dxa"/>
            <w:vAlign w:val="bottom"/>
          </w:tcPr>
          <w:p>
            <w:pPr>
              <w:spacing w:after="0" w:line="193" w:lineRule="exact"/>
              <w:rPr>
                <w:sz w:val="20"/>
                <w:szCs w:val="20"/>
                <w:color w:val="auto"/>
              </w:rPr>
            </w:pPr>
            <w:r>
              <w:rPr>
                <w:rFonts w:ascii="Arial" w:cs="Arial" w:eastAsia="Arial" w:hAnsi="Arial"/>
                <w:sz w:val="18"/>
                <w:szCs w:val="18"/>
                <w:color w:val="auto"/>
              </w:rPr>
              <w:t>Average vehicle selling price per TDA unit</w:t>
            </w:r>
          </w:p>
        </w:tc>
        <w:tc>
          <w:tcPr>
            <w:tcW w:w="200" w:type="dxa"/>
            <w:vAlign w:val="bottom"/>
          </w:tcPr>
          <w:p>
            <w:pPr>
              <w:jc w:val="right"/>
              <w:ind w:right="11"/>
              <w:spacing w:after="0" w:line="193" w:lineRule="exact"/>
              <w:rPr>
                <w:sz w:val="20"/>
                <w:szCs w:val="20"/>
                <w:color w:val="auto"/>
              </w:rPr>
            </w:pPr>
            <w:r>
              <w:rPr>
                <w:rFonts w:ascii="Arial" w:cs="Arial" w:eastAsia="Arial" w:hAnsi="Arial"/>
                <w:sz w:val="18"/>
                <w:szCs w:val="18"/>
                <w:color w:val="auto"/>
                <w:w w:val="79"/>
              </w:rPr>
              <w:t>$</w:t>
            </w:r>
          </w:p>
        </w:tc>
        <w:tc>
          <w:tcPr>
            <w:tcW w:w="1120" w:type="dxa"/>
            <w:vAlign w:val="bottom"/>
          </w:tcPr>
          <w:p>
            <w:pPr>
              <w:jc w:val="right"/>
              <w:ind w:right="37"/>
              <w:spacing w:after="0" w:line="193" w:lineRule="exact"/>
              <w:rPr>
                <w:sz w:val="20"/>
                <w:szCs w:val="20"/>
                <w:color w:val="auto"/>
              </w:rPr>
            </w:pPr>
            <w:r>
              <w:rPr>
                <w:rFonts w:ascii="Arial" w:cs="Arial" w:eastAsia="Arial" w:hAnsi="Arial"/>
                <w:sz w:val="18"/>
                <w:szCs w:val="18"/>
                <w:color w:val="auto"/>
              </w:rPr>
              <w:t>28,325</w:t>
            </w:r>
          </w:p>
        </w:tc>
        <w:tc>
          <w:tcPr>
            <w:tcW w:w="120" w:type="dxa"/>
            <w:vAlign w:val="bottom"/>
          </w:tcPr>
          <w:p>
            <w:pPr>
              <w:spacing w:after="0"/>
              <w:rPr>
                <w:sz w:val="16"/>
                <w:szCs w:val="16"/>
                <w:color w:val="auto"/>
              </w:rPr>
            </w:pPr>
          </w:p>
        </w:tc>
        <w:tc>
          <w:tcPr>
            <w:tcW w:w="260" w:type="dxa"/>
            <w:vAlign w:val="bottom"/>
          </w:tcPr>
          <w:p>
            <w:pPr>
              <w:jc w:val="right"/>
              <w:ind w:right="71"/>
              <w:spacing w:after="0" w:line="193" w:lineRule="exact"/>
              <w:rPr>
                <w:sz w:val="20"/>
                <w:szCs w:val="20"/>
                <w:color w:val="auto"/>
              </w:rPr>
            </w:pPr>
            <w:r>
              <w:rPr>
                <w:rFonts w:ascii="Arial" w:cs="Arial" w:eastAsia="Arial" w:hAnsi="Arial"/>
                <w:sz w:val="18"/>
                <w:szCs w:val="18"/>
                <w:color w:val="auto"/>
                <w:w w:val="79"/>
              </w:rPr>
              <w:t>$</w:t>
            </w:r>
          </w:p>
        </w:tc>
        <w:tc>
          <w:tcPr>
            <w:tcW w:w="1060" w:type="dxa"/>
            <w:vAlign w:val="bottom"/>
          </w:tcPr>
          <w:p>
            <w:pPr>
              <w:jc w:val="right"/>
              <w:ind w:right="34"/>
              <w:spacing w:after="0" w:line="193" w:lineRule="exact"/>
              <w:rPr>
                <w:sz w:val="20"/>
                <w:szCs w:val="20"/>
                <w:color w:val="auto"/>
              </w:rPr>
            </w:pPr>
            <w:r>
              <w:rPr>
                <w:rFonts w:ascii="Arial" w:cs="Arial" w:eastAsia="Arial" w:hAnsi="Arial"/>
                <w:sz w:val="18"/>
                <w:szCs w:val="18"/>
                <w:color w:val="auto"/>
              </w:rPr>
              <w:t>26,248</w:t>
            </w:r>
          </w:p>
        </w:tc>
        <w:tc>
          <w:tcPr>
            <w:tcW w:w="120" w:type="dxa"/>
            <w:vAlign w:val="bottom"/>
          </w:tcPr>
          <w:p>
            <w:pPr>
              <w:spacing w:after="0"/>
              <w:rPr>
                <w:sz w:val="16"/>
                <w:szCs w:val="16"/>
                <w:color w:val="auto"/>
              </w:rPr>
            </w:pPr>
          </w:p>
        </w:tc>
        <w:tc>
          <w:tcPr>
            <w:tcW w:w="240" w:type="dxa"/>
            <w:vAlign w:val="bottom"/>
          </w:tcPr>
          <w:p>
            <w:pPr>
              <w:jc w:val="right"/>
              <w:ind w:right="51"/>
              <w:spacing w:after="0" w:line="193" w:lineRule="exact"/>
              <w:rPr>
                <w:sz w:val="20"/>
                <w:szCs w:val="20"/>
                <w:color w:val="auto"/>
              </w:rPr>
            </w:pPr>
            <w:r>
              <w:rPr>
                <w:rFonts w:ascii="Arial" w:cs="Arial" w:eastAsia="Arial" w:hAnsi="Arial"/>
                <w:sz w:val="18"/>
                <w:szCs w:val="18"/>
                <w:color w:val="auto"/>
                <w:w w:val="79"/>
              </w:rPr>
              <w:t>$</w:t>
            </w:r>
          </w:p>
        </w:tc>
        <w:tc>
          <w:tcPr>
            <w:tcW w:w="1080" w:type="dxa"/>
            <w:vAlign w:val="bottom"/>
          </w:tcPr>
          <w:p>
            <w:pPr>
              <w:jc w:val="right"/>
              <w:ind w:right="33"/>
              <w:spacing w:after="0" w:line="193" w:lineRule="exact"/>
              <w:rPr>
                <w:sz w:val="20"/>
                <w:szCs w:val="20"/>
                <w:color w:val="auto"/>
              </w:rPr>
            </w:pPr>
            <w:r>
              <w:rPr>
                <w:rFonts w:ascii="Arial" w:cs="Arial" w:eastAsia="Arial" w:hAnsi="Arial"/>
                <w:sz w:val="18"/>
                <w:szCs w:val="18"/>
                <w:color w:val="auto"/>
              </w:rPr>
              <w:t>2,077</w:t>
            </w:r>
          </w:p>
        </w:tc>
        <w:tc>
          <w:tcPr>
            <w:tcW w:w="120" w:type="dxa"/>
            <w:vAlign w:val="bottom"/>
          </w:tcPr>
          <w:p>
            <w:pPr>
              <w:spacing w:after="0"/>
              <w:rPr>
                <w:sz w:val="16"/>
                <w:szCs w:val="16"/>
                <w:color w:val="auto"/>
              </w:rPr>
            </w:pPr>
          </w:p>
        </w:tc>
        <w:tc>
          <w:tcPr>
            <w:tcW w:w="1320" w:type="dxa"/>
            <w:vAlign w:val="bottom"/>
          </w:tcPr>
          <w:p>
            <w:pPr>
              <w:jc w:val="right"/>
              <w:spacing w:after="0" w:line="193" w:lineRule="exact"/>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3"/>
        </w:trPr>
        <w:tc>
          <w:tcPr>
            <w:tcW w:w="5600" w:type="dxa"/>
            <w:vAlign w:val="bottom"/>
            <w:shd w:val="clear" w:color="auto" w:fill="CFF0FC"/>
          </w:tcPr>
          <w:p>
            <w:pPr>
              <w:spacing w:after="0"/>
              <w:rPr>
                <w:sz w:val="20"/>
                <w:szCs w:val="20"/>
                <w:color w:val="auto"/>
              </w:rPr>
            </w:pPr>
            <w:r>
              <w:rPr>
                <w:rFonts w:ascii="Arial" w:cs="Arial" w:eastAsia="Arial" w:hAnsi="Arial"/>
                <w:sz w:val="18"/>
                <w:szCs w:val="18"/>
                <w:color w:val="auto"/>
              </w:rPr>
              <w:t>Gross profit per TDA unit:</w:t>
            </w:r>
          </w:p>
        </w:tc>
        <w:tc>
          <w:tcPr>
            <w:tcW w:w="2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600" w:type="dxa"/>
            <w:vAlign w:val="bottom"/>
          </w:tcPr>
          <w:p>
            <w:pPr>
              <w:ind w:left="240"/>
              <w:spacing w:after="0"/>
              <w:rPr>
                <w:sz w:val="20"/>
                <w:szCs w:val="20"/>
                <w:color w:val="auto"/>
              </w:rPr>
            </w:pPr>
            <w:r>
              <w:rPr>
                <w:rFonts w:ascii="Arial" w:cs="Arial" w:eastAsia="Arial" w:hAnsi="Arial"/>
                <w:sz w:val="18"/>
                <w:szCs w:val="18"/>
                <w:color w:val="auto"/>
              </w:rPr>
              <w:t>Vehicle gross profit per TDA unit</w:t>
            </w:r>
          </w:p>
        </w:tc>
        <w:tc>
          <w:tcPr>
            <w:tcW w:w="200" w:type="dxa"/>
            <w:vAlign w:val="bottom"/>
          </w:tcPr>
          <w:p>
            <w:pPr>
              <w:jc w:val="right"/>
              <w:ind w:right="11"/>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37"/>
              <w:spacing w:after="0"/>
              <w:rPr>
                <w:sz w:val="20"/>
                <w:szCs w:val="20"/>
                <w:color w:val="auto"/>
              </w:rPr>
            </w:pPr>
            <w:r>
              <w:rPr>
                <w:rFonts w:ascii="Arial" w:cs="Arial" w:eastAsia="Arial" w:hAnsi="Arial"/>
                <w:sz w:val="18"/>
                <w:szCs w:val="18"/>
                <w:color w:val="auto"/>
              </w:rPr>
              <w:t>806</w:t>
            </w:r>
          </w:p>
        </w:tc>
        <w:tc>
          <w:tcPr>
            <w:tcW w:w="120" w:type="dxa"/>
            <w:vAlign w:val="bottom"/>
          </w:tcPr>
          <w:p>
            <w:pPr>
              <w:spacing w:after="0"/>
              <w:rPr>
                <w:sz w:val="18"/>
                <w:szCs w:val="18"/>
                <w:color w:val="auto"/>
              </w:rPr>
            </w:pPr>
          </w:p>
        </w:tc>
        <w:tc>
          <w:tcPr>
            <w:tcW w:w="260" w:type="dxa"/>
            <w:vAlign w:val="bottom"/>
          </w:tcPr>
          <w:p>
            <w:pPr>
              <w:jc w:val="right"/>
              <w:ind w:right="71"/>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487</w:t>
            </w:r>
          </w:p>
        </w:tc>
        <w:tc>
          <w:tcPr>
            <w:tcW w:w="120" w:type="dxa"/>
            <w:vAlign w:val="bottom"/>
          </w:tcPr>
          <w:p>
            <w:pPr>
              <w:spacing w:after="0"/>
              <w:rPr>
                <w:sz w:val="18"/>
                <w:szCs w:val="18"/>
                <w:color w:val="auto"/>
              </w:rPr>
            </w:pPr>
          </w:p>
        </w:tc>
        <w:tc>
          <w:tcPr>
            <w:tcW w:w="240" w:type="dxa"/>
            <w:vAlign w:val="bottom"/>
          </w:tcPr>
          <w:p>
            <w:pPr>
              <w:jc w:val="right"/>
              <w:ind w:right="51"/>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319</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65.5%</w:t>
            </w:r>
          </w:p>
        </w:tc>
        <w:tc>
          <w:tcPr>
            <w:tcW w:w="0" w:type="dxa"/>
            <w:vAlign w:val="bottom"/>
          </w:tcPr>
          <w:p>
            <w:pPr>
              <w:spacing w:after="0"/>
              <w:rPr>
                <w:sz w:val="1"/>
                <w:szCs w:val="1"/>
                <w:color w:val="auto"/>
              </w:rPr>
            </w:pPr>
          </w:p>
        </w:tc>
      </w:tr>
      <w:tr>
        <w:trPr>
          <w:trHeight w:val="213"/>
        </w:trPr>
        <w:tc>
          <w:tcPr>
            <w:tcW w:w="56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Product gross profit per TDA unit</w:t>
            </w:r>
          </w:p>
        </w:tc>
        <w:tc>
          <w:tcPr>
            <w:tcW w:w="20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37"/>
              <w:spacing w:after="0"/>
              <w:rPr>
                <w:sz w:val="20"/>
                <w:szCs w:val="20"/>
                <w:color w:val="auto"/>
              </w:rPr>
            </w:pPr>
            <w:r>
              <w:rPr>
                <w:rFonts w:ascii="Arial" w:cs="Arial" w:eastAsia="Arial" w:hAnsi="Arial"/>
                <w:sz w:val="18"/>
                <w:szCs w:val="18"/>
                <w:color w:val="auto"/>
              </w:rPr>
              <w:t>962</w:t>
            </w:r>
          </w:p>
        </w:tc>
        <w:tc>
          <w:tcPr>
            <w:tcW w:w="120" w:type="dxa"/>
            <w:vAlign w:val="bottom"/>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990</w:t>
            </w:r>
          </w:p>
        </w:tc>
        <w:tc>
          <w:tcPr>
            <w:tcW w:w="12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46"/>
        </w:trPr>
        <w:tc>
          <w:tcPr>
            <w:tcW w:w="56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gross profit per TDA unit</w:t>
            </w:r>
          </w:p>
        </w:tc>
        <w:tc>
          <w:tcPr>
            <w:tcW w:w="2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1,768</w:t>
            </w:r>
          </w:p>
        </w:tc>
        <w:tc>
          <w:tcPr>
            <w:tcW w:w="120" w:type="dxa"/>
            <w:vAlign w:val="bottom"/>
            <w:tcBorders>
              <w:bottom w:val="single" w:sz="8" w:color="CFF0FC"/>
            </w:tcBorders>
          </w:tcPr>
          <w:p>
            <w:pPr>
              <w:spacing w:after="0"/>
              <w:rPr>
                <w:sz w:val="21"/>
                <w:szCs w:val="21"/>
                <w:color w:val="auto"/>
              </w:rPr>
            </w:pPr>
          </w:p>
        </w:tc>
        <w:tc>
          <w:tcPr>
            <w:tcW w:w="2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1,477</w:t>
            </w:r>
          </w:p>
        </w:tc>
        <w:tc>
          <w:tcPr>
            <w:tcW w:w="120" w:type="dxa"/>
            <w:vAlign w:val="bottom"/>
            <w:tcBorders>
              <w:bottom w:val="single" w:sz="8" w:color="CFF0FC"/>
            </w:tcBorders>
          </w:tcPr>
          <w:p>
            <w:pPr>
              <w:spacing w:after="0"/>
              <w:rPr>
                <w:sz w:val="21"/>
                <w:szCs w:val="21"/>
                <w:color w:val="auto"/>
              </w:rPr>
            </w:pPr>
          </w:p>
        </w:tc>
        <w:tc>
          <w:tcPr>
            <w:tcW w:w="2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291</w:t>
            </w:r>
          </w:p>
        </w:tc>
        <w:tc>
          <w:tcPr>
            <w:tcW w:w="120" w:type="dxa"/>
            <w:vAlign w:val="bottom"/>
            <w:tcBorders>
              <w:bottom w:val="single" w:sz="8" w:color="CFF0FC"/>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193"/>
        </w:trPr>
        <w:tc>
          <w:tcPr>
            <w:tcW w:w="5600" w:type="dxa"/>
            <w:vAlign w:val="bottom"/>
            <w:shd w:val="clear" w:color="auto" w:fill="CFF0FC"/>
          </w:tcPr>
          <w:p>
            <w:pPr>
              <w:spacing w:after="0" w:line="193" w:lineRule="exact"/>
              <w:rPr>
                <w:sz w:val="20"/>
                <w:szCs w:val="20"/>
                <w:color w:val="auto"/>
              </w:rPr>
            </w:pPr>
            <w:r>
              <w:rPr>
                <w:rFonts w:ascii="Arial" w:cs="Arial" w:eastAsia="Arial" w:hAnsi="Arial"/>
                <w:sz w:val="18"/>
                <w:szCs w:val="18"/>
                <w:color w:val="auto"/>
              </w:rPr>
              <w:t>TDA average days to sale</w:t>
            </w:r>
          </w:p>
        </w:tc>
        <w:tc>
          <w:tcPr>
            <w:tcW w:w="200" w:type="dxa"/>
            <w:vAlign w:val="bottom"/>
            <w:shd w:val="clear" w:color="auto" w:fill="CFF0FC"/>
          </w:tcPr>
          <w:p>
            <w:pPr>
              <w:spacing w:after="0"/>
              <w:rPr>
                <w:sz w:val="16"/>
                <w:szCs w:val="16"/>
                <w:color w:val="auto"/>
              </w:rPr>
            </w:pPr>
          </w:p>
        </w:tc>
        <w:tc>
          <w:tcPr>
            <w:tcW w:w="1120" w:type="dxa"/>
            <w:vAlign w:val="bottom"/>
            <w:shd w:val="clear" w:color="auto" w:fill="CFF0FC"/>
          </w:tcPr>
          <w:p>
            <w:pPr>
              <w:jc w:val="right"/>
              <w:ind w:right="37"/>
              <w:spacing w:after="0" w:line="193" w:lineRule="exact"/>
              <w:rPr>
                <w:sz w:val="20"/>
                <w:szCs w:val="20"/>
                <w:color w:val="auto"/>
              </w:rPr>
            </w:pPr>
            <w:r>
              <w:rPr>
                <w:rFonts w:ascii="Arial" w:cs="Arial" w:eastAsia="Arial" w:hAnsi="Arial"/>
                <w:sz w:val="18"/>
                <w:szCs w:val="18"/>
                <w:color w:val="auto"/>
              </w:rPr>
              <w:t>47</w:t>
            </w:r>
          </w:p>
        </w:tc>
        <w:tc>
          <w:tcPr>
            <w:tcW w:w="1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60" w:type="dxa"/>
            <w:vAlign w:val="bottom"/>
            <w:shd w:val="clear" w:color="auto" w:fill="CFF0FC"/>
          </w:tcPr>
          <w:p>
            <w:pPr>
              <w:jc w:val="right"/>
              <w:ind w:right="34"/>
              <w:spacing w:after="0" w:line="193" w:lineRule="exact"/>
              <w:rPr>
                <w:sz w:val="20"/>
                <w:szCs w:val="20"/>
                <w:color w:val="auto"/>
              </w:rPr>
            </w:pPr>
            <w:r>
              <w:rPr>
                <w:rFonts w:ascii="Arial" w:cs="Arial" w:eastAsia="Arial" w:hAnsi="Arial"/>
                <w:sz w:val="18"/>
                <w:szCs w:val="18"/>
                <w:color w:val="auto"/>
              </w:rPr>
              <w:t>47</w:t>
            </w:r>
          </w:p>
        </w:tc>
        <w:tc>
          <w:tcPr>
            <w:tcW w:w="1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200" w:type="dxa"/>
            <w:vAlign w:val="bottom"/>
            <w:gridSpan w:val="2"/>
            <w:shd w:val="clear" w:color="auto" w:fill="CFF0FC"/>
          </w:tcPr>
          <w:p>
            <w:pPr>
              <w:jc w:val="right"/>
              <w:ind w:right="240"/>
              <w:spacing w:after="0" w:line="193" w:lineRule="exact"/>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spacing w:after="0" w:line="193" w:lineRule="exact"/>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bl>
    <w:p>
      <w:pPr>
        <w:spacing w:after="0" w:line="244" w:lineRule="exact"/>
        <w:rPr>
          <w:sz w:val="20"/>
          <w:szCs w:val="20"/>
          <w:color w:val="auto"/>
        </w:rPr>
      </w:pPr>
    </w:p>
    <w:p>
      <w:pPr>
        <w:ind w:left="760" w:right="200" w:hanging="381"/>
        <w:spacing w:after="0" w:line="252" w:lineRule="auto"/>
        <w:tabs>
          <w:tab w:leader="none" w:pos="760" w:val="left"/>
        </w:tabs>
        <w:numPr>
          <w:ilvl w:val="0"/>
          <w:numId w:val="22"/>
        </w:numPr>
        <w:rPr>
          <w:rFonts w:ascii="Arial" w:cs="Arial" w:eastAsia="Arial" w:hAnsi="Arial"/>
          <w:sz w:val="14"/>
          <w:szCs w:val="14"/>
          <w:color w:val="auto"/>
        </w:rPr>
      </w:pPr>
      <w:r>
        <w:rPr>
          <w:rFonts w:ascii="Arial" w:cs="Arial" w:eastAsia="Arial" w:hAnsi="Arial"/>
          <w:sz w:val="14"/>
          <w:szCs w:val="14"/>
          <w:color w:val="auto"/>
        </w:rPr>
        <w:t>We reclassified other revenue and gross profit related to the vehicle repair service at TDA from the TDA reportable segment to the “All Other” category to conform to current year presentation.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TDA units</w:t>
      </w:r>
    </w:p>
    <w:p>
      <w:pPr>
        <w:spacing w:after="0" w:line="228" w:lineRule="exact"/>
        <w:rPr>
          <w:sz w:val="20"/>
          <w:szCs w:val="20"/>
          <w:color w:val="auto"/>
        </w:rPr>
      </w:pPr>
    </w:p>
    <w:p>
      <w:pPr>
        <w:ind w:right="140" w:firstLine="762"/>
        <w:spacing w:after="0" w:line="252" w:lineRule="auto"/>
        <w:rPr>
          <w:sz w:val="20"/>
          <w:szCs w:val="20"/>
          <w:color w:val="auto"/>
        </w:rPr>
      </w:pPr>
      <w:r>
        <w:rPr>
          <w:rFonts w:ascii="Arial" w:cs="Arial" w:eastAsia="Arial" w:hAnsi="Arial"/>
          <w:sz w:val="17"/>
          <w:szCs w:val="17"/>
          <w:color w:val="auto"/>
        </w:rPr>
        <w:t>TDA units sold decreased 787, or 19.0%, from 4,145 for the six months ended June 30, 2020 to 3,358 for the six months ended June 30, 2021. Despite the strong market demand for used vehicles experienced through the first six months of 2021, the first quarter of 2021 had a decrease in units as a result of reduced inventory at the TDA location as the ecommerce business continues to scale. TDA units sold were negatively impacted during the first half of 2020 as a result of a significant reduction in foot traffic due to the COVID-19 pandemic.</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Vehicle Revenue</w:t>
      </w:r>
    </w:p>
    <w:p>
      <w:pPr>
        <w:spacing w:after="0" w:line="214" w:lineRule="exact"/>
        <w:rPr>
          <w:sz w:val="20"/>
          <w:szCs w:val="20"/>
          <w:color w:val="auto"/>
        </w:rPr>
      </w:pPr>
    </w:p>
    <w:p>
      <w:pPr>
        <w:ind w:firstLine="762"/>
        <w:spacing w:after="0" w:line="234" w:lineRule="auto"/>
        <w:rPr>
          <w:sz w:val="20"/>
          <w:szCs w:val="20"/>
          <w:color w:val="auto"/>
        </w:rPr>
      </w:pPr>
      <w:r>
        <w:rPr>
          <w:rFonts w:ascii="Arial" w:cs="Arial" w:eastAsia="Arial" w:hAnsi="Arial"/>
          <w:sz w:val="18"/>
          <w:szCs w:val="18"/>
          <w:color w:val="auto"/>
        </w:rPr>
        <w:t>TDA vehicle revenue decreased $13.7 million, or 12.6%, from $ 108.8 million for the six months ended June 30, 2020 to $95.1 million for the six months ended June 30, 2021. The decrease was driven by the 787 decrease in TDA units sold, which decreased vehicle revenue by $20.7 million, partially offset by a higher ASP per unit, which increased from $26,248 for the six months ended June 30, 2020 to $28,325 for the six months ended June 30, 2021 and increased vehicle revenue by $7.0 million. The increase in ASP was primarily a result of market appreciation.</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50800</wp:posOffset>
            </wp:positionV>
            <wp:extent cx="715962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Revenue</w:t>
      </w:r>
    </w:p>
    <w:p>
      <w:pPr>
        <w:spacing w:after="0" w:line="228" w:lineRule="exact"/>
        <w:rPr>
          <w:sz w:val="20"/>
          <w:szCs w:val="20"/>
          <w:color w:val="auto"/>
        </w:rPr>
      </w:pPr>
    </w:p>
    <w:p>
      <w:pPr>
        <w:ind w:right="180" w:firstLine="762"/>
        <w:spacing w:after="0" w:line="239" w:lineRule="auto"/>
        <w:rPr>
          <w:sz w:val="20"/>
          <w:szCs w:val="20"/>
          <w:color w:val="auto"/>
        </w:rPr>
      </w:pPr>
      <w:r>
        <w:rPr>
          <w:rFonts w:ascii="Arial" w:cs="Arial" w:eastAsia="Arial" w:hAnsi="Arial"/>
          <w:sz w:val="18"/>
          <w:szCs w:val="18"/>
          <w:color w:val="auto"/>
        </w:rPr>
        <w:t>TDA product revenue decreased $0.9 million, or 21.3%, from $ 4.1 million for the six months ended June 30, 2020 to $3.2 million for the six months ended June 30, 2021. The decrease was primarily driven by the 787 decrease in TDA units sold.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Vehicle Gross Profit</w:t>
      </w:r>
    </w:p>
    <w:p>
      <w:pPr>
        <w:spacing w:after="0" w:line="228" w:lineRule="exact"/>
        <w:rPr>
          <w:sz w:val="20"/>
          <w:szCs w:val="20"/>
          <w:color w:val="auto"/>
        </w:rPr>
      </w:pPr>
    </w:p>
    <w:p>
      <w:pPr>
        <w:jc w:val="both"/>
        <w:ind w:right="20" w:firstLine="762"/>
        <w:spacing w:after="0" w:line="245" w:lineRule="auto"/>
        <w:rPr>
          <w:sz w:val="20"/>
          <w:szCs w:val="20"/>
          <w:color w:val="auto"/>
        </w:rPr>
      </w:pPr>
      <w:r>
        <w:rPr>
          <w:rFonts w:ascii="Arial" w:cs="Arial" w:eastAsia="Arial" w:hAnsi="Arial"/>
          <w:sz w:val="17"/>
          <w:szCs w:val="17"/>
          <w:color w:val="auto"/>
        </w:rPr>
        <w:t>TDA vehicle gross profit increased $0.7 million, or 34.1%, from $2.0 million for the six months ended June 30, 2020 to $2.7 million for the six months ended June 30, 2021. The increase was attributable to an increase in TDA vehicle gross profit per unit of $319, which increased vehicle gross profit by $1.1 million, partially offset by the 787 decrease in TDA units sold, which decreased vehicle gross profit by $0.4 million.</w:t>
      </w:r>
    </w:p>
    <w:p>
      <w:pPr>
        <w:ind w:right="240"/>
        <w:spacing w:after="0" w:line="236" w:lineRule="auto"/>
        <w:rPr>
          <w:sz w:val="20"/>
          <w:szCs w:val="20"/>
          <w:color w:val="auto"/>
        </w:rPr>
      </w:pPr>
      <w:r>
        <w:rPr>
          <w:rFonts w:ascii="Arial" w:cs="Arial" w:eastAsia="Arial" w:hAnsi="Arial"/>
          <w:sz w:val="18"/>
          <w:szCs w:val="18"/>
          <w:color w:val="auto"/>
        </w:rPr>
        <w:t>Vehicle gross profit per unit increased from $487 for the six months ended June 30, 2020 to $806 for the six months ended June 30, 2021, primarily attributable to improvements in reconditioning costs as well as a higher inventory reserve for the first half of 2020 due to the start of the COVID-19 pandemic.</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Gross Profit</w:t>
      </w:r>
    </w:p>
    <w:p>
      <w:pPr>
        <w:spacing w:after="0" w:line="228" w:lineRule="exact"/>
        <w:rPr>
          <w:sz w:val="20"/>
          <w:szCs w:val="20"/>
          <w:color w:val="auto"/>
        </w:rPr>
      </w:pPr>
    </w:p>
    <w:p>
      <w:pPr>
        <w:ind w:right="200" w:firstLine="762"/>
        <w:spacing w:after="0" w:line="239" w:lineRule="auto"/>
        <w:rPr>
          <w:sz w:val="20"/>
          <w:szCs w:val="20"/>
          <w:color w:val="auto"/>
        </w:rPr>
      </w:pPr>
      <w:r>
        <w:rPr>
          <w:rFonts w:ascii="Arial" w:cs="Arial" w:eastAsia="Arial" w:hAnsi="Arial"/>
          <w:sz w:val="18"/>
          <w:szCs w:val="18"/>
          <w:color w:val="auto"/>
        </w:rPr>
        <w:t>TDA product gross profit decreased $0.9 million, or 21.3%, from $ 4.1 million for the six months ended June 30, 2020 to $3.2 million for the six months ended June 30, 2021. The decrease was primarily driven by the 787 decrease in TDA units sold.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0" w:type="dxa"/>
            <w:vAlign w:val="bottom"/>
            <w:gridSpan w:val="4"/>
          </w:tcPr>
          <w:p>
            <w:pPr>
              <w:jc w:val="center"/>
              <w:ind w:right="193"/>
              <w:spacing w:after="0"/>
              <w:rPr>
                <w:sz w:val="20"/>
                <w:szCs w:val="20"/>
                <w:color w:val="auto"/>
              </w:rPr>
            </w:pPr>
            <w:r>
              <w:rPr>
                <w:rFonts w:ascii="Arial" w:cs="Arial" w:eastAsia="Arial" w:hAnsi="Arial"/>
                <w:sz w:val="14"/>
                <w:szCs w:val="14"/>
                <w:b w:val="1"/>
                <w:bCs w:val="1"/>
                <w:color w:val="auto"/>
              </w:rPr>
              <w:t>Six Months Ended</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58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3"/>
          </w:tcPr>
          <w:p>
            <w:pPr>
              <w:jc w:val="center"/>
              <w:ind w:left="458"/>
              <w:spacing w:after="0"/>
              <w:rPr>
                <w:sz w:val="20"/>
                <w:szCs w:val="20"/>
                <w:color w:val="auto"/>
              </w:rPr>
            </w:pPr>
            <w:r>
              <w:rPr>
                <w:rFonts w:ascii="Arial" w:cs="Arial" w:eastAsia="Arial" w:hAnsi="Arial"/>
                <w:sz w:val="14"/>
                <w:szCs w:val="14"/>
                <w:b w:val="1"/>
                <w:bCs w:val="1"/>
                <w:color w:val="auto"/>
                <w:w w:val="99"/>
              </w:rPr>
              <w:t>June 30,</w:t>
            </w:r>
          </w:p>
        </w:tc>
        <w:tc>
          <w:tcPr>
            <w:tcW w:w="8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vMerge w:val="restart"/>
          </w:tcPr>
          <w:p>
            <w:pPr>
              <w:jc w:val="right"/>
              <w:ind w:right="313"/>
              <w:spacing w:after="0"/>
              <w:rPr>
                <w:sz w:val="20"/>
                <w:szCs w:val="20"/>
                <w:color w:val="auto"/>
              </w:rPr>
            </w:pPr>
            <w:r>
              <w:rPr>
                <w:rFonts w:ascii="Arial" w:cs="Arial" w:eastAsia="Arial" w:hAnsi="Arial"/>
                <w:sz w:val="14"/>
                <w:szCs w:val="14"/>
                <w:b w:val="1"/>
                <w:bCs w:val="1"/>
                <w:color w:val="auto"/>
              </w:rPr>
              <w:t>Change</w:t>
            </w:r>
          </w:p>
        </w:tc>
        <w:tc>
          <w:tcPr>
            <w:tcW w:w="120" w:type="dxa"/>
            <w:vAlign w:val="bottom"/>
            <w:vMerge w:val="restart"/>
          </w:tcPr>
          <w:p>
            <w:pPr>
              <w:spacing w:after="0"/>
              <w:rPr>
                <w:sz w:val="15"/>
                <w:szCs w:val="15"/>
                <w:color w:val="auto"/>
              </w:rPr>
            </w:pPr>
          </w:p>
        </w:tc>
        <w:tc>
          <w:tcPr>
            <w:tcW w:w="1240" w:type="dxa"/>
            <w:vAlign w:val="bottom"/>
            <w:vMerge w:val="restart"/>
          </w:tcPr>
          <w:p>
            <w:pPr>
              <w:jc w:val="right"/>
              <w:ind w:right="293"/>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66"/>
        </w:trPr>
        <w:tc>
          <w:tcPr>
            <w:tcW w:w="58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98"/>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12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58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80" w:type="dxa"/>
            <w:vAlign w:val="bottom"/>
            <w:gridSpan w:val="3"/>
          </w:tcPr>
          <w:p>
            <w:pPr>
              <w:jc w:val="center"/>
              <w:ind w:left="478"/>
              <w:spacing w:after="0"/>
              <w:rPr>
                <w:sz w:val="20"/>
                <w:szCs w:val="20"/>
                <w:color w:val="auto"/>
              </w:rPr>
            </w:pPr>
            <w:r>
              <w:rPr>
                <w:rFonts w:ascii="Arial" w:cs="Arial" w:eastAsia="Arial" w:hAnsi="Arial"/>
                <w:sz w:val="14"/>
                <w:szCs w:val="14"/>
                <w:b w:val="1"/>
                <w:bCs w:val="1"/>
                <w:color w:val="auto"/>
              </w:rPr>
              <w:t>(in thousands)</w:t>
            </w: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5880" w:type="dxa"/>
            <w:vAlign w:val="bottom"/>
            <w:shd w:val="clear" w:color="auto" w:fill="CFF0FC"/>
          </w:tcPr>
          <w:p>
            <w:pPr>
              <w:spacing w:after="0"/>
              <w:rPr>
                <w:sz w:val="20"/>
                <w:szCs w:val="20"/>
                <w:color w:val="auto"/>
              </w:rPr>
            </w:pPr>
            <w:r>
              <w:rPr>
                <w:rFonts w:ascii="Arial" w:cs="Arial" w:eastAsia="Arial" w:hAnsi="Arial"/>
                <w:sz w:val="18"/>
                <w:szCs w:val="18"/>
                <w:color w:val="auto"/>
              </w:rPr>
              <w:t>Compensation &amp; benefits</w:t>
            </w:r>
          </w:p>
        </w:tc>
        <w:tc>
          <w:tcPr>
            <w:tcW w:w="280" w:type="dxa"/>
            <w:vAlign w:val="bottom"/>
            <w:shd w:val="clear" w:color="auto" w:fill="CFF0FC"/>
          </w:tcPr>
          <w:p>
            <w:pPr>
              <w:jc w:val="right"/>
              <w:ind w:right="91"/>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ind w:right="38"/>
              <w:spacing w:after="0"/>
              <w:rPr>
                <w:sz w:val="20"/>
                <w:szCs w:val="20"/>
                <w:color w:val="auto"/>
              </w:rPr>
            </w:pPr>
            <w:r>
              <w:rPr>
                <w:rFonts w:ascii="Arial" w:cs="Arial" w:eastAsia="Arial" w:hAnsi="Arial"/>
                <w:sz w:val="18"/>
                <w:szCs w:val="18"/>
                <w:color w:val="auto"/>
              </w:rPr>
              <w:t>91,681</w:t>
            </w:r>
          </w:p>
        </w:tc>
        <w:tc>
          <w:tcPr>
            <w:tcW w:w="58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40,940</w:t>
            </w:r>
          </w:p>
        </w:tc>
        <w:tc>
          <w:tcPr>
            <w:tcW w:w="3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50,741</w:t>
            </w:r>
          </w:p>
        </w:tc>
        <w:tc>
          <w:tcPr>
            <w:tcW w:w="12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123.9%</w:t>
            </w:r>
          </w:p>
        </w:tc>
        <w:tc>
          <w:tcPr>
            <w:tcW w:w="0" w:type="dxa"/>
            <w:vAlign w:val="bottom"/>
          </w:tcPr>
          <w:p>
            <w:pPr>
              <w:spacing w:after="0"/>
              <w:rPr>
                <w:sz w:val="1"/>
                <w:szCs w:val="1"/>
                <w:color w:val="auto"/>
              </w:rPr>
            </w:pPr>
          </w:p>
        </w:tc>
      </w:tr>
      <w:tr>
        <w:trPr>
          <w:trHeight w:val="213"/>
        </w:trPr>
        <w:tc>
          <w:tcPr>
            <w:tcW w:w="5880" w:type="dxa"/>
            <w:vAlign w:val="bottom"/>
          </w:tcPr>
          <w:p>
            <w:pPr>
              <w:spacing w:after="0"/>
              <w:rPr>
                <w:sz w:val="20"/>
                <w:szCs w:val="20"/>
                <w:color w:val="auto"/>
              </w:rPr>
            </w:pPr>
            <w:r>
              <w:rPr>
                <w:rFonts w:ascii="Arial" w:cs="Arial" w:eastAsia="Arial" w:hAnsi="Arial"/>
                <w:sz w:val="18"/>
                <w:szCs w:val="18"/>
                <w:color w:val="auto"/>
              </w:rPr>
              <w:t>Marketing expense</w:t>
            </w:r>
          </w:p>
        </w:tc>
        <w:tc>
          <w:tcPr>
            <w:tcW w:w="280" w:type="dxa"/>
            <w:vAlign w:val="bottom"/>
          </w:tcPr>
          <w:p>
            <w:pPr>
              <w:spacing w:after="0"/>
              <w:rPr>
                <w:sz w:val="18"/>
                <w:szCs w:val="18"/>
                <w:color w:val="auto"/>
              </w:rPr>
            </w:pPr>
          </w:p>
        </w:tc>
        <w:tc>
          <w:tcPr>
            <w:tcW w:w="1000" w:type="dxa"/>
            <w:vAlign w:val="bottom"/>
          </w:tcPr>
          <w:p>
            <w:pPr>
              <w:jc w:val="right"/>
              <w:ind w:right="38"/>
              <w:spacing w:after="0"/>
              <w:rPr>
                <w:sz w:val="20"/>
                <w:szCs w:val="20"/>
                <w:color w:val="auto"/>
              </w:rPr>
            </w:pPr>
            <w:r>
              <w:rPr>
                <w:rFonts w:ascii="Arial" w:cs="Arial" w:eastAsia="Arial" w:hAnsi="Arial"/>
                <w:sz w:val="18"/>
                <w:szCs w:val="18"/>
                <w:color w:val="auto"/>
              </w:rPr>
              <w:t>53,053</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jc w:val="right"/>
              <w:ind w:right="33"/>
              <w:spacing w:after="0"/>
              <w:rPr>
                <w:sz w:val="20"/>
                <w:szCs w:val="20"/>
                <w:color w:val="auto"/>
              </w:rPr>
            </w:pPr>
            <w:r>
              <w:rPr>
                <w:rFonts w:ascii="Arial" w:cs="Arial" w:eastAsia="Arial" w:hAnsi="Arial"/>
                <w:sz w:val="18"/>
                <w:szCs w:val="18"/>
                <w:color w:val="auto"/>
              </w:rPr>
              <w:t>29,488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23,565</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79.9%</w:t>
            </w:r>
          </w:p>
        </w:tc>
        <w:tc>
          <w:tcPr>
            <w:tcW w:w="0" w:type="dxa"/>
            <w:vAlign w:val="bottom"/>
          </w:tcPr>
          <w:p>
            <w:pPr>
              <w:spacing w:after="0"/>
              <w:rPr>
                <w:sz w:val="1"/>
                <w:szCs w:val="1"/>
                <w:color w:val="auto"/>
              </w:rPr>
            </w:pPr>
          </w:p>
        </w:tc>
      </w:tr>
      <w:tr>
        <w:trPr>
          <w:trHeight w:val="213"/>
        </w:trPr>
        <w:tc>
          <w:tcPr>
            <w:tcW w:w="588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Outbound logistics </w:t>
            </w:r>
            <w:r>
              <w:rPr>
                <w:rFonts w:ascii="Arial" w:cs="Arial" w:eastAsia="Arial" w:hAnsi="Arial"/>
                <w:sz w:val="15"/>
                <w:szCs w:val="15"/>
                <w:color w:val="auto"/>
              </w:rPr>
              <w:t>(1)</w:t>
            </w: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8"/>
              <w:spacing w:after="0"/>
              <w:rPr>
                <w:sz w:val="20"/>
                <w:szCs w:val="20"/>
                <w:color w:val="auto"/>
              </w:rPr>
            </w:pPr>
            <w:r>
              <w:rPr>
                <w:rFonts w:ascii="Arial" w:cs="Arial" w:eastAsia="Arial" w:hAnsi="Arial"/>
                <w:sz w:val="18"/>
                <w:szCs w:val="18"/>
                <w:color w:val="auto"/>
              </w:rPr>
              <w:t>35,271</w:t>
            </w:r>
          </w:p>
        </w:tc>
        <w:tc>
          <w:tcPr>
            <w:tcW w:w="1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8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11,261</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24,010</w:t>
            </w:r>
          </w:p>
        </w:tc>
        <w:tc>
          <w:tcPr>
            <w:tcW w:w="12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213.2%</w:t>
            </w:r>
          </w:p>
        </w:tc>
        <w:tc>
          <w:tcPr>
            <w:tcW w:w="0" w:type="dxa"/>
            <w:vAlign w:val="bottom"/>
          </w:tcPr>
          <w:p>
            <w:pPr>
              <w:spacing w:after="0"/>
              <w:rPr>
                <w:sz w:val="1"/>
                <w:szCs w:val="1"/>
                <w:color w:val="auto"/>
              </w:rPr>
            </w:pPr>
          </w:p>
        </w:tc>
      </w:tr>
      <w:tr>
        <w:trPr>
          <w:trHeight w:val="213"/>
        </w:trPr>
        <w:tc>
          <w:tcPr>
            <w:tcW w:w="5880" w:type="dxa"/>
            <w:vAlign w:val="bottom"/>
          </w:tcPr>
          <w:p>
            <w:pPr>
              <w:spacing w:after="0"/>
              <w:rPr>
                <w:sz w:val="20"/>
                <w:szCs w:val="20"/>
                <w:color w:val="auto"/>
              </w:rPr>
            </w:pPr>
            <w:r>
              <w:rPr>
                <w:rFonts w:ascii="Arial" w:cs="Arial" w:eastAsia="Arial" w:hAnsi="Arial"/>
                <w:sz w:val="18"/>
                <w:szCs w:val="18"/>
                <w:color w:val="auto"/>
              </w:rPr>
              <w:t>Occupancy and related costs</w:t>
            </w:r>
          </w:p>
        </w:tc>
        <w:tc>
          <w:tcPr>
            <w:tcW w:w="280" w:type="dxa"/>
            <w:vAlign w:val="bottom"/>
          </w:tcPr>
          <w:p>
            <w:pPr>
              <w:spacing w:after="0"/>
              <w:rPr>
                <w:sz w:val="18"/>
                <w:szCs w:val="18"/>
                <w:color w:val="auto"/>
              </w:rPr>
            </w:pPr>
          </w:p>
        </w:tc>
        <w:tc>
          <w:tcPr>
            <w:tcW w:w="1000" w:type="dxa"/>
            <w:vAlign w:val="bottom"/>
          </w:tcPr>
          <w:p>
            <w:pPr>
              <w:jc w:val="right"/>
              <w:ind w:right="38"/>
              <w:spacing w:after="0"/>
              <w:rPr>
                <w:sz w:val="20"/>
                <w:szCs w:val="20"/>
                <w:color w:val="auto"/>
              </w:rPr>
            </w:pPr>
            <w:r>
              <w:rPr>
                <w:rFonts w:ascii="Arial" w:cs="Arial" w:eastAsia="Arial" w:hAnsi="Arial"/>
                <w:sz w:val="18"/>
                <w:szCs w:val="18"/>
                <w:color w:val="auto"/>
              </w:rPr>
              <w:t>7,964</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jc w:val="right"/>
              <w:ind w:right="33"/>
              <w:spacing w:after="0"/>
              <w:rPr>
                <w:sz w:val="20"/>
                <w:szCs w:val="20"/>
                <w:color w:val="auto"/>
              </w:rPr>
            </w:pPr>
            <w:r>
              <w:rPr>
                <w:rFonts w:ascii="Arial" w:cs="Arial" w:eastAsia="Arial" w:hAnsi="Arial"/>
                <w:sz w:val="18"/>
                <w:szCs w:val="18"/>
                <w:color w:val="auto"/>
              </w:rPr>
              <w:t>4,964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3,000</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60.4%</w:t>
            </w:r>
          </w:p>
        </w:tc>
        <w:tc>
          <w:tcPr>
            <w:tcW w:w="0" w:type="dxa"/>
            <w:vAlign w:val="bottom"/>
          </w:tcPr>
          <w:p>
            <w:pPr>
              <w:spacing w:after="0"/>
              <w:rPr>
                <w:sz w:val="1"/>
                <w:szCs w:val="1"/>
                <w:color w:val="auto"/>
              </w:rPr>
            </w:pPr>
          </w:p>
        </w:tc>
      </w:tr>
      <w:tr>
        <w:trPr>
          <w:trHeight w:val="213"/>
        </w:trPr>
        <w:tc>
          <w:tcPr>
            <w:tcW w:w="5880" w:type="dxa"/>
            <w:vAlign w:val="bottom"/>
            <w:shd w:val="clear" w:color="auto" w:fill="CFF0FC"/>
          </w:tcPr>
          <w:p>
            <w:pPr>
              <w:spacing w:after="0"/>
              <w:rPr>
                <w:sz w:val="20"/>
                <w:szCs w:val="20"/>
                <w:color w:val="auto"/>
              </w:rPr>
            </w:pPr>
            <w:r>
              <w:rPr>
                <w:rFonts w:ascii="Arial" w:cs="Arial" w:eastAsia="Arial" w:hAnsi="Arial"/>
                <w:sz w:val="18"/>
                <w:szCs w:val="18"/>
                <w:color w:val="auto"/>
              </w:rPr>
              <w:t>Professional fees</w:t>
            </w: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8"/>
              <w:spacing w:after="0"/>
              <w:rPr>
                <w:sz w:val="20"/>
                <w:szCs w:val="20"/>
                <w:color w:val="auto"/>
              </w:rPr>
            </w:pPr>
            <w:r>
              <w:rPr>
                <w:rFonts w:ascii="Arial" w:cs="Arial" w:eastAsia="Arial" w:hAnsi="Arial"/>
                <w:sz w:val="18"/>
                <w:szCs w:val="18"/>
                <w:color w:val="auto"/>
              </w:rPr>
              <w:t>8,257</w:t>
            </w:r>
          </w:p>
        </w:tc>
        <w:tc>
          <w:tcPr>
            <w:tcW w:w="1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8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3,924</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4,333</w:t>
            </w:r>
          </w:p>
        </w:tc>
        <w:tc>
          <w:tcPr>
            <w:tcW w:w="12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110.4%</w:t>
            </w:r>
          </w:p>
        </w:tc>
        <w:tc>
          <w:tcPr>
            <w:tcW w:w="0" w:type="dxa"/>
            <w:vAlign w:val="bottom"/>
          </w:tcPr>
          <w:p>
            <w:pPr>
              <w:spacing w:after="0"/>
              <w:rPr>
                <w:sz w:val="1"/>
                <w:szCs w:val="1"/>
                <w:color w:val="auto"/>
              </w:rPr>
            </w:pPr>
          </w:p>
        </w:tc>
      </w:tr>
      <w:tr>
        <w:trPr>
          <w:trHeight w:val="213"/>
        </w:trPr>
        <w:tc>
          <w:tcPr>
            <w:tcW w:w="58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8"/>
              <w:spacing w:after="0"/>
              <w:rPr>
                <w:sz w:val="20"/>
                <w:szCs w:val="20"/>
                <w:color w:val="auto"/>
              </w:rPr>
            </w:pPr>
            <w:r>
              <w:rPr>
                <w:rFonts w:ascii="Arial" w:cs="Arial" w:eastAsia="Arial" w:hAnsi="Arial"/>
                <w:sz w:val="18"/>
                <w:szCs w:val="18"/>
                <w:color w:val="auto"/>
              </w:rPr>
              <w:t>36,538</w:t>
            </w:r>
          </w:p>
        </w:tc>
        <w:tc>
          <w:tcPr>
            <w:tcW w:w="120" w:type="dxa"/>
            <w:vAlign w:val="bottom"/>
            <w:tcBorders>
              <w:bottom w:val="single" w:sz="8" w:color="CFF0FC"/>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15,714</w:t>
            </w:r>
          </w:p>
        </w:tc>
        <w:tc>
          <w:tcPr>
            <w:tcW w:w="12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20,824</w:t>
            </w:r>
          </w:p>
        </w:tc>
        <w:tc>
          <w:tcPr>
            <w:tcW w:w="120" w:type="dxa"/>
            <w:vAlign w:val="bottom"/>
            <w:tcBorders>
              <w:bottom w:val="single" w:sz="8" w:color="CFF0FC"/>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132.5%</w:t>
            </w:r>
          </w:p>
        </w:tc>
        <w:tc>
          <w:tcPr>
            <w:tcW w:w="0" w:type="dxa"/>
            <w:vAlign w:val="bottom"/>
          </w:tcPr>
          <w:p>
            <w:pPr>
              <w:spacing w:after="0"/>
              <w:rPr>
                <w:sz w:val="1"/>
                <w:szCs w:val="1"/>
                <w:color w:val="auto"/>
              </w:rPr>
            </w:pPr>
          </w:p>
        </w:tc>
      </w:tr>
      <w:tr>
        <w:trPr>
          <w:trHeight w:val="206"/>
        </w:trPr>
        <w:tc>
          <w:tcPr>
            <w:tcW w:w="5880" w:type="dxa"/>
            <w:vAlign w:val="bottom"/>
            <w:shd w:val="clear" w:color="auto" w:fill="CFF0FC"/>
          </w:tcPr>
          <w:p>
            <w:pPr>
              <w:spacing w:after="0"/>
              <w:rPr>
                <w:sz w:val="20"/>
                <w:szCs w:val="20"/>
                <w:color w:val="auto"/>
              </w:rPr>
            </w:pPr>
            <w:r>
              <w:rPr>
                <w:rFonts w:ascii="Arial" w:cs="Arial" w:eastAsia="Arial" w:hAnsi="Arial"/>
                <w:sz w:val="18"/>
                <w:szCs w:val="18"/>
                <w:color w:val="auto"/>
              </w:rPr>
              <w:t>Total selling, general &amp; administrative expenses</w:t>
            </w:r>
          </w:p>
        </w:tc>
        <w:tc>
          <w:tcPr>
            <w:tcW w:w="280" w:type="dxa"/>
            <w:vAlign w:val="bottom"/>
            <w:shd w:val="clear" w:color="auto" w:fill="CFF0FC"/>
          </w:tcPr>
          <w:p>
            <w:pPr>
              <w:jc w:val="right"/>
              <w:ind w:right="91"/>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ind w:right="38"/>
              <w:spacing w:after="0"/>
              <w:rPr>
                <w:sz w:val="20"/>
                <w:szCs w:val="20"/>
                <w:color w:val="auto"/>
              </w:rPr>
            </w:pPr>
            <w:r>
              <w:rPr>
                <w:rFonts w:ascii="Arial" w:cs="Arial" w:eastAsia="Arial" w:hAnsi="Arial"/>
                <w:sz w:val="18"/>
                <w:szCs w:val="18"/>
                <w:color w:val="auto"/>
              </w:rPr>
              <w:t>232,764</w:t>
            </w:r>
          </w:p>
        </w:tc>
        <w:tc>
          <w:tcPr>
            <w:tcW w:w="58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106,291</w:t>
            </w:r>
          </w:p>
        </w:tc>
        <w:tc>
          <w:tcPr>
            <w:tcW w:w="3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126,473</w:t>
            </w:r>
          </w:p>
        </w:tc>
        <w:tc>
          <w:tcPr>
            <w:tcW w:w="12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119.0%</w:t>
            </w:r>
          </w:p>
        </w:tc>
        <w:tc>
          <w:tcPr>
            <w:tcW w:w="0" w:type="dxa"/>
            <w:vAlign w:val="bottom"/>
          </w:tcPr>
          <w:p>
            <w:pPr>
              <w:spacing w:after="0"/>
              <w:rPr>
                <w:sz w:val="1"/>
                <w:szCs w:val="1"/>
                <w:color w:val="auto"/>
              </w:rPr>
            </w:pPr>
          </w:p>
        </w:tc>
      </w:tr>
      <w:tr>
        <w:trPr>
          <w:trHeight w:val="20"/>
        </w:trPr>
        <w:tc>
          <w:tcPr>
            <w:tcW w:w="588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4" w:lineRule="exact"/>
        <w:rPr>
          <w:sz w:val="20"/>
          <w:szCs w:val="20"/>
          <w:color w:val="auto"/>
        </w:rPr>
      </w:pPr>
    </w:p>
    <w:p>
      <w:pPr>
        <w:ind w:left="1120" w:right="100" w:hanging="741"/>
        <w:spacing w:after="0" w:line="252" w:lineRule="auto"/>
        <w:tabs>
          <w:tab w:leader="none" w:pos="11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Outbound logistics primarily includes third-party transportation fees as well as cost related to operating our proprietary logistics network, including fuel, tolls, and maintenance expenses. Inbound transportation costs, from the point of acquisition to the relevant reconditioning facility, are included in cost of sales.</w:t>
      </w:r>
    </w:p>
    <w:p>
      <w:pPr>
        <w:spacing w:after="0" w:line="122" w:lineRule="exact"/>
        <w:rPr>
          <w:sz w:val="20"/>
          <w:szCs w:val="20"/>
          <w:color w:val="auto"/>
        </w:rPr>
      </w:pPr>
    </w:p>
    <w:p>
      <w:pPr>
        <w:ind w:right="200" w:firstLine="762"/>
        <w:spacing w:after="0" w:line="239" w:lineRule="auto"/>
        <w:rPr>
          <w:sz w:val="20"/>
          <w:szCs w:val="20"/>
          <w:color w:val="auto"/>
        </w:rPr>
      </w:pPr>
      <w:r>
        <w:rPr>
          <w:rFonts w:ascii="Arial" w:cs="Arial" w:eastAsia="Arial" w:hAnsi="Arial"/>
          <w:sz w:val="18"/>
          <w:szCs w:val="18"/>
          <w:color w:val="auto"/>
        </w:rPr>
        <w:t>SG&amp;A expenses increased $126.5 million, or 119.0%, from $106.3 million for the six months ended June 30, 2020 to $232.8 million for the six months ended June 30, 2021. The increase was primarily due to:</w:t>
      </w:r>
    </w:p>
    <w:p>
      <w:pPr>
        <w:spacing w:after="0" w:line="94" w:lineRule="exact"/>
        <w:rPr>
          <w:sz w:val="20"/>
          <w:szCs w:val="20"/>
          <w:color w:val="auto"/>
        </w:rPr>
      </w:pPr>
    </w:p>
    <w:p>
      <w:pPr>
        <w:ind w:left="1020" w:right="200" w:hanging="255"/>
        <w:spacing w:after="0" w:line="235" w:lineRule="auto"/>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$50.7 million increase in compensation and benefits as a result of an increase in headcount, an increase in variable fees for third-party sales and sales support providers as a result of an increase in units sold, as well as a $3.5 million increase in stock-based compensation from $4.7 million for the six months ended June 30, 2020 to $8.2 million for the six months ended June 30, 2021;</w:t>
      </w:r>
    </w:p>
    <w:p>
      <w:pPr>
        <w:spacing w:after="0" w:line="94" w:lineRule="exact"/>
        <w:rPr>
          <w:rFonts w:ascii="Arial" w:cs="Arial" w:eastAsia="Arial" w:hAnsi="Arial"/>
          <w:sz w:val="18"/>
          <w:szCs w:val="18"/>
          <w:color w:val="auto"/>
        </w:rPr>
      </w:pPr>
    </w:p>
    <w:p>
      <w:pPr>
        <w:ind w:left="1020" w:right="120" w:hanging="255"/>
        <w:spacing w:after="0" w:line="236" w:lineRule="auto"/>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$24.0 million increase in outbound logistics costs attributable to the growth in ecommerce units sold, which increased outbound logistics costs by $14.7 million, and increases in market rates of logistics providers, which increased outbound logistics costs by $9.3 million;</w:t>
      </w:r>
    </w:p>
    <w:p>
      <w:pPr>
        <w:spacing w:after="0" w:line="94" w:lineRule="exact"/>
        <w:rPr>
          <w:rFonts w:ascii="Arial" w:cs="Arial" w:eastAsia="Arial" w:hAnsi="Arial"/>
          <w:sz w:val="18"/>
          <w:szCs w:val="18"/>
          <w:color w:val="auto"/>
        </w:rPr>
      </w:pPr>
    </w:p>
    <w:p>
      <w:pPr>
        <w:ind w:left="1020" w:right="240" w:hanging="255"/>
        <w:spacing w:after="0" w:line="239" w:lineRule="auto"/>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$23.6 million increase in marketing expense as we expanded our national broad-reach brand advertising, aired our first Super Bowl commercial, and increased performance and online marketing as we continue to grow our listed inventory; and</w:t>
      </w:r>
    </w:p>
    <w:p>
      <w:pPr>
        <w:spacing w:after="0" w:line="93" w:lineRule="exact"/>
        <w:rPr>
          <w:rFonts w:ascii="Arial" w:cs="Arial" w:eastAsia="Arial" w:hAnsi="Arial"/>
          <w:sz w:val="18"/>
          <w:szCs w:val="18"/>
          <w:color w:val="auto"/>
        </w:rPr>
      </w:pPr>
    </w:p>
    <w:p>
      <w:pPr>
        <w:ind w:left="1020" w:right="180" w:hanging="255"/>
        <w:spacing w:after="0" w:line="236" w:lineRule="auto"/>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$20.8 million increase in other SG&amp;A expenses primarily related to volume-based fees for software licenses and other variable expenses as our business continues to scale as well as additional insurance costs associated with being a publicly traded company and growing inventory.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50800</wp:posOffset>
            </wp:positionV>
            <wp:extent cx="715962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p>
      <w:pPr>
        <w:ind w:firstLine="762"/>
        <w:spacing w:after="0" w:line="236" w:lineRule="auto"/>
        <w:rPr>
          <w:sz w:val="20"/>
          <w:szCs w:val="20"/>
          <w:color w:val="auto"/>
        </w:rPr>
      </w:pPr>
      <w:r>
        <w:rPr>
          <w:rFonts w:ascii="Arial" w:cs="Arial" w:eastAsia="Arial" w:hAnsi="Arial"/>
          <w:sz w:val="18"/>
          <w:szCs w:val="18"/>
          <w:color w:val="auto"/>
        </w:rPr>
        <w:t>We expect SG&amp;A expenses to increase in the future as we scale our business and sell more ecommerce units. We also expect to incur increased SG&amp;A expenses as we continue to invest in and improve our customer experience, invest in expanding our proprietary logistics and reconditioning networks, and explore a variety of strategies for a proprietary lending operation.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 and amortization</w:t>
      </w:r>
    </w:p>
    <w:p>
      <w:pPr>
        <w:spacing w:after="0" w:line="228" w:lineRule="exact"/>
        <w:rPr>
          <w:sz w:val="20"/>
          <w:szCs w:val="20"/>
          <w:color w:val="auto"/>
        </w:rPr>
      </w:pPr>
    </w:p>
    <w:p>
      <w:pPr>
        <w:ind w:right="40" w:firstLine="762"/>
        <w:spacing w:after="0" w:line="236" w:lineRule="auto"/>
        <w:rPr>
          <w:sz w:val="20"/>
          <w:szCs w:val="20"/>
          <w:color w:val="auto"/>
        </w:rPr>
      </w:pPr>
      <w:r>
        <w:rPr>
          <w:rFonts w:ascii="Arial" w:cs="Arial" w:eastAsia="Arial" w:hAnsi="Arial"/>
          <w:sz w:val="18"/>
          <w:szCs w:val="18"/>
          <w:color w:val="auto"/>
        </w:rPr>
        <w:t>Depreciation and amortization expenses increased $3.9 million, or 187.9%, from $2.0 million for the six months ended June 30, 2020 to $5.9 million for the six months ended June 30, 2021. The increase was primarily due to amortization expense of intangible assets acquired as part of the acquisition of the CarStory business on January 7, 2021.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8" w:lineRule="exact"/>
        <w:rPr>
          <w:sz w:val="20"/>
          <w:szCs w:val="20"/>
          <w:color w:val="auto"/>
        </w:rPr>
      </w:pPr>
    </w:p>
    <w:p>
      <w:pPr>
        <w:ind w:right="40" w:firstLine="762"/>
        <w:spacing w:after="0" w:line="236" w:lineRule="auto"/>
        <w:rPr>
          <w:sz w:val="20"/>
          <w:szCs w:val="20"/>
          <w:color w:val="auto"/>
        </w:rPr>
      </w:pPr>
      <w:r>
        <w:rPr>
          <w:rFonts w:ascii="Arial" w:cs="Arial" w:eastAsia="Arial" w:hAnsi="Arial"/>
          <w:sz w:val="18"/>
          <w:szCs w:val="18"/>
          <w:color w:val="auto"/>
        </w:rPr>
        <w:t>Interest expense increased $3.6 million, or 86.6%, from $4.1 million for the six months ended June 30, 2020 to $ 7.7 million for the six months ended June 30, 2021. The increase was primarily attributable to a higher outstanding balance of the 2020 Vehicle Floorplan Facility due to the increase in vehicle inventory levels as the business continues to scale.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214" w:lineRule="exact"/>
        <w:rPr>
          <w:sz w:val="20"/>
          <w:szCs w:val="20"/>
          <w:color w:val="auto"/>
        </w:rPr>
      </w:pPr>
    </w:p>
    <w:p>
      <w:pPr>
        <w:jc w:val="both"/>
        <w:ind w:right="80" w:firstLine="762"/>
        <w:spacing w:after="0" w:line="236" w:lineRule="auto"/>
        <w:rPr>
          <w:sz w:val="20"/>
          <w:szCs w:val="20"/>
          <w:color w:val="auto"/>
        </w:rPr>
      </w:pPr>
      <w:r>
        <w:rPr>
          <w:rFonts w:ascii="Arial" w:cs="Arial" w:eastAsia="Arial" w:hAnsi="Arial"/>
          <w:sz w:val="18"/>
          <w:szCs w:val="18"/>
          <w:color w:val="auto"/>
        </w:rPr>
        <w:t>Interest income increased $1.7 million, or 63.2%, from $2.7 million for the six months ended June 30, 2020 to $4.4 million for the six months ended June 30, 2021. The increase in interest income was primarily driven by higher cash and cash equivalent balances as a result of the follow-on public offering and issuance of the convertible senior notes.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Revaluation of preferred stock warrant</w:t>
      </w:r>
    </w:p>
    <w:p>
      <w:pPr>
        <w:spacing w:after="0" w:line="228" w:lineRule="exact"/>
        <w:rPr>
          <w:sz w:val="20"/>
          <w:szCs w:val="20"/>
          <w:color w:val="auto"/>
        </w:rPr>
      </w:pPr>
    </w:p>
    <w:p>
      <w:pPr>
        <w:ind w:right="200" w:firstLine="749"/>
        <w:spacing w:after="0" w:line="239" w:lineRule="auto"/>
        <w:rPr>
          <w:sz w:val="20"/>
          <w:szCs w:val="20"/>
          <w:color w:val="auto"/>
        </w:rPr>
      </w:pPr>
      <w:r>
        <w:rPr>
          <w:rFonts w:ascii="Arial" w:cs="Arial" w:eastAsia="Arial" w:hAnsi="Arial"/>
          <w:sz w:val="18"/>
          <w:szCs w:val="18"/>
          <w:color w:val="auto"/>
        </w:rPr>
        <w:t>For the six months ended June 30, 2020, the revaluation of the preferred stock warrant was $20.5 million, related to the conversion and exercise of the Series F preferred stock warrant to purchase common stock upon the IPO in June 2020.</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Liquidity and Capital Resources</w:t>
      </w:r>
    </w:p>
    <w:p>
      <w:pPr>
        <w:spacing w:after="0" w:line="214" w:lineRule="exact"/>
        <w:rPr>
          <w:sz w:val="20"/>
          <w:szCs w:val="20"/>
          <w:color w:val="auto"/>
        </w:rPr>
      </w:pPr>
    </w:p>
    <w:p>
      <w:pPr>
        <w:ind w:right="160" w:firstLine="762"/>
        <w:spacing w:after="0" w:line="234" w:lineRule="auto"/>
        <w:rPr>
          <w:sz w:val="20"/>
          <w:szCs w:val="20"/>
          <w:color w:val="auto"/>
        </w:rPr>
      </w:pPr>
      <w:r>
        <w:rPr>
          <w:rFonts w:ascii="Arial" w:cs="Arial" w:eastAsia="Arial" w:hAnsi="Arial"/>
          <w:sz w:val="18"/>
          <w:szCs w:val="18"/>
          <w:color w:val="auto"/>
        </w:rPr>
        <w:t>On June 11, 2020, we completed our IPO in which we sold 24,437,500 shares of our common stock, which included 3,187,500 shares sold pursuant to the exercise by the underwriters of an over-allotment option to purchase additional shares, for proceeds of $504.0 million, net of the underwriting discount and before deducting offering expenses of $7.5 million. On September 15, 2020, we completed our follow-on public offering in which we sold 10,800,000 shares of common stock for proceeds of $569.5 million, net of the underwriting discount and before deducting offering expenses of $1.5 million. On June 18, 2021, we issued $625.0 million aggregate principal amount of the Notes for net proceeds of $608.8 million. As of June 30, 2021, we had cash and cash equivalents of $1,463.6 million.</w:t>
      </w:r>
    </w:p>
    <w:p>
      <w:pPr>
        <w:spacing w:after="0" w:line="200" w:lineRule="exact"/>
        <w:rPr>
          <w:sz w:val="20"/>
          <w:szCs w:val="20"/>
          <w:color w:val="auto"/>
        </w:rPr>
      </w:pPr>
    </w:p>
    <w:p>
      <w:pPr>
        <w:ind w:right="140" w:firstLine="762"/>
        <w:spacing w:after="0" w:line="235" w:lineRule="auto"/>
        <w:rPr>
          <w:sz w:val="20"/>
          <w:szCs w:val="20"/>
          <w:color w:val="auto"/>
        </w:rPr>
      </w:pPr>
      <w:r>
        <w:rPr>
          <w:rFonts w:ascii="Arial" w:cs="Arial" w:eastAsia="Arial" w:hAnsi="Arial"/>
          <w:sz w:val="18"/>
          <w:szCs w:val="18"/>
          <w:color w:val="auto"/>
        </w:rPr>
        <w:t>We anticipate that our existing cash and cash equivalents and the 2020 Vehicle Floorplan Facility will be sufficient to support our working capital and capital expenditure requirements for at least the next twelve months from the date of this Quarterly Report on Form 10-Q. For the three and six months ended June 30, 2021, we generated a net loss. We have not been profitable since our inception in 2012 and we expect to incur additional losses in the future.</w:t>
      </w:r>
    </w:p>
    <w:p>
      <w:pPr>
        <w:spacing w:after="0" w:line="201" w:lineRule="exact"/>
        <w:rPr>
          <w:sz w:val="20"/>
          <w:szCs w:val="20"/>
          <w:color w:val="auto"/>
        </w:rPr>
      </w:pPr>
    </w:p>
    <w:p>
      <w:pPr>
        <w:ind w:firstLine="762"/>
        <w:spacing w:after="0" w:line="233" w:lineRule="auto"/>
        <w:rPr>
          <w:sz w:val="20"/>
          <w:szCs w:val="20"/>
          <w:color w:val="auto"/>
        </w:rPr>
      </w:pPr>
      <w:r>
        <w:rPr>
          <w:rFonts w:ascii="Arial" w:cs="Arial" w:eastAsia="Arial" w:hAnsi="Arial"/>
          <w:sz w:val="18"/>
          <w:szCs w:val="18"/>
          <w:color w:val="auto"/>
        </w:rPr>
        <w:t>We historically have funded vehicle inventory purchases primarily through our floorplan financing arrangements. Our cash flows from operations may differ substantially from our net loss due to non-cash charges or due to changes in balance sheet accounts. The timing of our cash flows from operating activities can also vary among periods due to the timing of payments made or received. Our future capital requirements will depend on many factors, including our rate of revenue growth, our efforts to reduce costs per unit, the expansion of our inventory, sales and marketing activities, investment in our reconditioning, logistics, finance and customer experience operations, enhancements to our ecommerce platform, and increased hiring efforts. We may be required to seek additional equity or debt financing in the future to fund our operations or to fund our needs for capital expenditures. In the event that additional financing is required, we may not be able to raise it on terms acceptable to us, or at all. If we are unable to raise additional capital or generate cash flows necessary to expand our operations, our business, results of operations and financial condition could be adversely affected.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Senior Notes</w:t>
      </w:r>
    </w:p>
    <w:p>
      <w:pPr>
        <w:spacing w:after="0" w:line="228" w:lineRule="exact"/>
        <w:rPr>
          <w:sz w:val="20"/>
          <w:szCs w:val="20"/>
          <w:color w:val="auto"/>
        </w:rPr>
      </w:pPr>
    </w:p>
    <w:p>
      <w:pPr>
        <w:ind w:left="760"/>
        <w:spacing w:after="0"/>
        <w:rPr>
          <w:sz w:val="20"/>
          <w:szCs w:val="20"/>
          <w:color w:val="auto"/>
        </w:rPr>
      </w:pPr>
      <w:r>
        <w:rPr>
          <w:rFonts w:ascii="Arial" w:cs="Arial" w:eastAsia="Arial" w:hAnsi="Arial"/>
          <w:sz w:val="17"/>
          <w:szCs w:val="17"/>
          <w:color w:val="auto"/>
        </w:rPr>
        <w:t>On June 18, 2021, we issued $625.0 million aggregate principal amount of the Notes pursuant to an indenture between us and U.S.</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Bank National Association, as trustee (the “Indenture”).</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50800</wp:posOffset>
            </wp:positionV>
            <wp:extent cx="715962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4" w:lineRule="exact"/>
        <w:rPr>
          <w:sz w:val="20"/>
          <w:szCs w:val="20"/>
          <w:color w:val="auto"/>
        </w:rPr>
      </w:pPr>
    </w:p>
    <w:p>
      <w:pPr>
        <w:ind w:right="280" w:firstLine="749"/>
        <w:spacing w:after="0" w:line="235" w:lineRule="auto"/>
        <w:rPr>
          <w:sz w:val="20"/>
          <w:szCs w:val="20"/>
          <w:color w:val="auto"/>
        </w:rPr>
      </w:pPr>
      <w:r>
        <w:rPr>
          <w:rFonts w:ascii="Arial" w:cs="Arial" w:eastAsia="Arial" w:hAnsi="Arial"/>
          <w:sz w:val="18"/>
          <w:szCs w:val="18"/>
          <w:color w:val="auto"/>
        </w:rPr>
        <w:t>The Notes bear interest at a rate of 0.75% per annum, payable semiannually in arrears on January 1 and July 1 of each year, beginning on January 1, 2022. The Notes will mature on July 1, 2026, subject to earlier repurchase, redemption or conversion. The total net proceeds from the offering, after deducting commissions paid to the initial purchasers and debt issuance costs paid to third-parties, were approximately $608.8 million.</w:t>
      </w:r>
    </w:p>
    <w:p>
      <w:pPr>
        <w:spacing w:after="0" w:line="188" w:lineRule="exact"/>
        <w:rPr>
          <w:sz w:val="20"/>
          <w:szCs w:val="20"/>
          <w:color w:val="auto"/>
        </w:rPr>
      </w:pPr>
    </w:p>
    <w:p>
      <w:pPr>
        <w:ind w:firstLine="749"/>
        <w:spacing w:after="0" w:line="235" w:lineRule="auto"/>
        <w:rPr>
          <w:sz w:val="20"/>
          <w:szCs w:val="20"/>
          <w:color w:val="auto"/>
        </w:rPr>
      </w:pPr>
      <w:r>
        <w:rPr>
          <w:rFonts w:ascii="Arial" w:cs="Arial" w:eastAsia="Arial" w:hAnsi="Arial"/>
          <w:sz w:val="18"/>
          <w:szCs w:val="18"/>
          <w:color w:val="auto"/>
        </w:rPr>
        <w:t>Each $1,000 principal amount of the Notes will initially be convertible into 17.8527 shares of our common stock, which is equivalent to an initial conversion price of approximately $ 56.01 per share, subject to adjustment upon the occurrence of specified events. The Notes are convertible, at the option of the noteholders, on or after April 1, 2026. Prior to April 1, 2026, the Notes are convertible only under certain circumstances:</w:t>
      </w:r>
    </w:p>
    <w:p>
      <w:pPr>
        <w:spacing w:after="0" w:line="201" w:lineRule="exact"/>
        <w:rPr>
          <w:sz w:val="20"/>
          <w:szCs w:val="20"/>
          <w:color w:val="auto"/>
        </w:rPr>
      </w:pPr>
    </w:p>
    <w:p>
      <w:pPr>
        <w:ind w:left="1500" w:right="80" w:hanging="375"/>
        <w:spacing w:after="0" w:line="235" w:lineRule="auto"/>
        <w:tabs>
          <w:tab w:leader="none" w:pos="15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During any fiscal quarter commencing after the fiscal quarter ending on September 30, 2021 (and only during such fiscal quarter), if the last reported sale price of our common stock for at least 20 trading days (whether or not consecutive) during a period of 30 consecutive trading days ending on the last trading day of the immediately preceding fiscal quarter is greater than or equal to 130% of the conversion price of the Notes on each applicable trading day;</w:t>
      </w:r>
    </w:p>
    <w:p>
      <w:pPr>
        <w:spacing w:after="0" w:line="200" w:lineRule="exact"/>
        <w:rPr>
          <w:rFonts w:ascii="Arial" w:cs="Arial" w:eastAsia="Arial" w:hAnsi="Arial"/>
          <w:sz w:val="18"/>
          <w:szCs w:val="18"/>
          <w:color w:val="auto"/>
        </w:rPr>
      </w:pPr>
    </w:p>
    <w:p>
      <w:pPr>
        <w:ind w:left="1500" w:right="160" w:hanging="375"/>
        <w:spacing w:after="0" w:line="255" w:lineRule="auto"/>
        <w:tabs>
          <w:tab w:leader="none" w:pos="15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During the five consecutive business day period after any ten consecutive trading day period in which the trading price per $1,000 principal amount of the Notes for each day of that ten consecutive trading day period was less than 98% of the product of the last reported sale price of our common stock and the conversion rate of the Notes on such trading day;</w:t>
      </w:r>
    </w:p>
    <w:p>
      <w:pPr>
        <w:spacing w:after="0" w:line="188" w:lineRule="exact"/>
        <w:rPr>
          <w:rFonts w:ascii="Arial" w:cs="Arial" w:eastAsia="Arial" w:hAnsi="Arial"/>
          <w:sz w:val="17"/>
          <w:szCs w:val="17"/>
          <w:color w:val="auto"/>
        </w:rPr>
      </w:pPr>
    </w:p>
    <w:p>
      <w:pPr>
        <w:ind w:left="1500" w:hanging="375"/>
        <w:spacing w:after="0"/>
        <w:tabs>
          <w:tab w:leader="none" w:pos="15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If we call any or all of the Notes for redemption; or</w:t>
      </w:r>
    </w:p>
    <w:p>
      <w:pPr>
        <w:spacing w:after="0" w:line="245" w:lineRule="exact"/>
        <w:rPr>
          <w:rFonts w:ascii="Arial" w:cs="Arial" w:eastAsia="Arial" w:hAnsi="Arial"/>
          <w:sz w:val="18"/>
          <w:szCs w:val="18"/>
          <w:color w:val="auto"/>
        </w:rPr>
      </w:pPr>
    </w:p>
    <w:p>
      <w:pPr>
        <w:ind w:left="1500" w:right="140" w:hanging="375"/>
        <w:spacing w:after="0" w:line="239" w:lineRule="auto"/>
        <w:tabs>
          <w:tab w:leader="none" w:pos="15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Upon the occurrence of specific corporate events such as a change in control or certain beneficial distributions to common stockholders (as set forth in the Indenture).</w:t>
      </w:r>
    </w:p>
    <w:p>
      <w:pPr>
        <w:spacing w:after="0" w:line="200" w:lineRule="exact"/>
        <w:rPr>
          <w:sz w:val="20"/>
          <w:szCs w:val="20"/>
          <w:color w:val="auto"/>
        </w:rPr>
      </w:pPr>
    </w:p>
    <w:p>
      <w:pPr>
        <w:ind w:right="260" w:firstLine="749"/>
        <w:spacing w:after="0" w:line="239" w:lineRule="auto"/>
        <w:rPr>
          <w:sz w:val="20"/>
          <w:szCs w:val="20"/>
          <w:color w:val="auto"/>
        </w:rPr>
      </w:pPr>
      <w:r>
        <w:rPr>
          <w:rFonts w:ascii="Arial" w:cs="Arial" w:eastAsia="Arial" w:hAnsi="Arial"/>
          <w:sz w:val="18"/>
          <w:szCs w:val="18"/>
          <w:color w:val="auto"/>
        </w:rPr>
        <w:t>We may settle conversions by paying or delivering, as applicable, cash, shares of our common stock or a combination of cash and shares of our common stock, at our election.</w:t>
      </w:r>
    </w:p>
    <w:p>
      <w:pPr>
        <w:spacing w:after="0" w:line="200" w:lineRule="exact"/>
        <w:rPr>
          <w:sz w:val="20"/>
          <w:szCs w:val="20"/>
          <w:color w:val="auto"/>
        </w:rPr>
      </w:pPr>
    </w:p>
    <w:p>
      <w:pPr>
        <w:ind w:right="100" w:firstLine="749"/>
        <w:spacing w:after="0" w:line="235" w:lineRule="auto"/>
        <w:rPr>
          <w:sz w:val="20"/>
          <w:szCs w:val="20"/>
          <w:color w:val="auto"/>
        </w:rPr>
      </w:pPr>
      <w:r>
        <w:rPr>
          <w:rFonts w:ascii="Arial" w:cs="Arial" w:eastAsia="Arial" w:hAnsi="Arial"/>
          <w:sz w:val="18"/>
          <w:szCs w:val="18"/>
          <w:color w:val="auto"/>
        </w:rPr>
        <w:t>We may not redeem the Notes prior to July 6, 2024. On or after July 6, 2024, we may redeem all or any portion of the Notes for cash equal to 100% of the principal amount of the Notes being redeemed plus any accrued and unpaid interest if the last reported sale price of our common stock has been at least 130% of the conversion price then in effect for at least 20 trading days (whether or not consecutive) during any 30 consecutive trading day period.</w:t>
      </w:r>
    </w:p>
    <w:p>
      <w:pPr>
        <w:spacing w:after="0" w:line="201" w:lineRule="exact"/>
        <w:rPr>
          <w:sz w:val="20"/>
          <w:szCs w:val="20"/>
          <w:color w:val="auto"/>
        </w:rPr>
      </w:pPr>
    </w:p>
    <w:p>
      <w:pPr>
        <w:ind w:right="120" w:firstLine="749"/>
        <w:spacing w:after="0" w:line="234" w:lineRule="auto"/>
        <w:rPr>
          <w:sz w:val="20"/>
          <w:szCs w:val="20"/>
          <w:color w:val="auto"/>
        </w:rPr>
      </w:pPr>
      <w:r>
        <w:rPr>
          <w:rFonts w:ascii="Arial" w:cs="Arial" w:eastAsia="Arial" w:hAnsi="Arial"/>
          <w:sz w:val="18"/>
          <w:szCs w:val="18"/>
          <w:color w:val="auto"/>
        </w:rPr>
        <w:t>If we undergo a fundamental change (as defined in the Indenture), subject to certain conditions, holders of the Notes may require us to repurchase for cash all or any portion of their Notes at a repurchase price equal to 100% of the principal amount of the Notes plus any accrued and unpaid interest. In addition, if specific corporate events occur prior to the maturity date or if we issue a notice of redemption, we will increase the conversion rate by pre-defined amounts for a holder who elects to convert their Notes in connection with such a corporate event. During the three months ended June 30, 2021, the conditions allowing holders of the Notes to convert were not met.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Vehicle Financing</w:t>
      </w:r>
    </w:p>
    <w:p>
      <w:pPr>
        <w:spacing w:after="0" w:line="121" w:lineRule="exact"/>
        <w:rPr>
          <w:sz w:val="20"/>
          <w:szCs w:val="20"/>
          <w:color w:val="auto"/>
        </w:rPr>
      </w:pPr>
    </w:p>
    <w:p>
      <w:pPr>
        <w:ind w:right="280" w:firstLine="762"/>
        <w:spacing w:after="0" w:line="239" w:lineRule="auto"/>
        <w:rPr>
          <w:sz w:val="20"/>
          <w:szCs w:val="20"/>
          <w:color w:val="auto"/>
        </w:rPr>
      </w:pPr>
      <w:r>
        <w:rPr>
          <w:rFonts w:ascii="Arial" w:cs="Arial" w:eastAsia="Arial" w:hAnsi="Arial"/>
          <w:sz w:val="18"/>
          <w:szCs w:val="18"/>
          <w:color w:val="auto"/>
        </w:rPr>
        <w:t>As of June 30, 2021, we finance our inventory with a vehicle floorplan facility (the “2020 Vehicle Floorplan Facility”) with Ally Bank, which provides a committed credit line of up to $450.0 million.</w:t>
      </w:r>
    </w:p>
    <w:p>
      <w:pPr>
        <w:spacing w:after="0" w:line="200" w:lineRule="exact"/>
        <w:rPr>
          <w:sz w:val="20"/>
          <w:szCs w:val="20"/>
          <w:color w:val="auto"/>
        </w:rPr>
      </w:pPr>
    </w:p>
    <w:p>
      <w:pPr>
        <w:ind w:right="40" w:firstLine="762"/>
        <w:spacing w:after="0" w:line="233" w:lineRule="auto"/>
        <w:rPr>
          <w:sz w:val="20"/>
          <w:szCs w:val="20"/>
          <w:color w:val="auto"/>
        </w:rPr>
      </w:pPr>
      <w:r>
        <w:rPr>
          <w:rFonts w:ascii="Arial" w:cs="Arial" w:eastAsia="Arial" w:hAnsi="Arial"/>
          <w:sz w:val="18"/>
          <w:szCs w:val="18"/>
          <w:color w:val="auto"/>
        </w:rPr>
        <w:t>The amount of credit available to us under the 2020 Vehicle Floorplan Facility is determined on a monthly basis based on a calculation that considers average outstanding borrowings and vehicle units paid off by us within the three immediately preceding months. Approximately $86.4 million was available under this facility as of June 30, 2021. The maturity date of 2020 Vehicle Floorplan Facility is September 30, 2022. We are required to pay an availability fee on the average unused capacity from the prior quarter if it was greater than 50% of the calculated floorplan allowance, as defined. We are subject to financial covenants that require us to maintain a certain level of equity in the vehicles that are financed, to maintain at least 7.5% of the credit line in cash and cash equivalents and to maintain 10% of the monthly daily floorplan principal balance outstanding on deposit with Ally Bank.</w:t>
      </w:r>
    </w:p>
    <w:p>
      <w:pPr>
        <w:spacing w:after="0" w:line="204" w:lineRule="exact"/>
        <w:rPr>
          <w:sz w:val="20"/>
          <w:szCs w:val="20"/>
          <w:color w:val="auto"/>
        </w:rPr>
      </w:pPr>
    </w:p>
    <w:p>
      <w:pPr>
        <w:ind w:right="120" w:firstLine="762"/>
        <w:spacing w:after="0" w:line="236" w:lineRule="auto"/>
        <w:rPr>
          <w:sz w:val="20"/>
          <w:szCs w:val="20"/>
          <w:color w:val="auto"/>
        </w:rPr>
      </w:pPr>
      <w:r>
        <w:rPr>
          <w:rFonts w:ascii="Arial" w:cs="Arial" w:eastAsia="Arial" w:hAnsi="Arial"/>
          <w:sz w:val="18"/>
          <w:szCs w:val="18"/>
          <w:color w:val="auto"/>
        </w:rPr>
        <w:t>Outstanding borrowings are due as the vehicles financed are sold, or in any event, on the maturity date. The 2020 Vehicle Floorplan Facility bears interest at a rate equal to the 1-Month LIBOR rate applicable in the immediately preceding month plus a spread of 425 basis points.</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50800</wp:posOffset>
            </wp:positionV>
            <wp:extent cx="715962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Cash Flows from Operating, Investing, and Financing Activities</w:t>
      </w:r>
    </w:p>
    <w:p>
      <w:pPr>
        <w:spacing w:after="0" w:line="22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summarizes our cash flows for the six months ended June 30, 2021 and 2020:</w:t>
      </w:r>
    </w:p>
    <w:p>
      <w:pPr>
        <w:spacing w:after="0" w:line="233" w:lineRule="exact"/>
        <w:rPr>
          <w:sz w:val="20"/>
          <w:szCs w:val="20"/>
          <w:color w:val="auto"/>
        </w:rPr>
      </w:pPr>
    </w:p>
    <w:p>
      <w:pPr>
        <w:jc w:val="center"/>
        <w:ind w:left="7660"/>
        <w:spacing w:after="0"/>
        <w:rPr>
          <w:sz w:val="20"/>
          <w:szCs w:val="20"/>
          <w:color w:val="auto"/>
        </w:rPr>
      </w:pPr>
      <w:r>
        <w:rPr>
          <w:rFonts w:ascii="Arial" w:cs="Arial" w:eastAsia="Arial" w:hAnsi="Arial"/>
          <w:sz w:val="14"/>
          <w:szCs w:val="14"/>
          <w:b w:val="1"/>
          <w:bCs w:val="1"/>
          <w:color w:val="auto"/>
        </w:rPr>
        <w:t>Six Months Ended</w:t>
      </w:r>
    </w:p>
    <w:p>
      <w:pPr>
        <w:spacing w:after="0" w:line="11" w:lineRule="exact"/>
        <w:rPr>
          <w:sz w:val="20"/>
          <w:szCs w:val="20"/>
          <w:color w:val="auto"/>
        </w:rPr>
      </w:pPr>
    </w:p>
    <w:p>
      <w:pPr>
        <w:jc w:val="center"/>
        <w:ind w:left="7660"/>
        <w:spacing w:after="0"/>
        <w:rPr>
          <w:sz w:val="20"/>
          <w:szCs w:val="20"/>
          <w:color w:val="auto"/>
        </w:rPr>
      </w:pPr>
      <w:r>
        <w:rPr>
          <w:rFonts w:ascii="Arial" w:cs="Arial" w:eastAsia="Arial" w:hAnsi="Arial"/>
          <w:sz w:val="14"/>
          <w:szCs w:val="14"/>
          <w:b w:val="1"/>
          <w:bCs w:val="1"/>
          <w:color w:val="auto"/>
        </w:rPr>
        <w:t>June 30,</w:t>
      </w:r>
    </w:p>
    <w:tbl>
      <w:tblPr>
        <w:tblLayout w:type="fixed"/>
        <w:tblInd w:w="0" w:type="dxa"/>
        <w:tblCellMar>
          <w:top w:w="0" w:type="dxa"/>
          <w:left w:w="0" w:type="dxa"/>
          <w:bottom w:w="0" w:type="dxa"/>
          <w:right w:w="0" w:type="dxa"/>
        </w:tblCellMar>
      </w:tblPr>
      <w:tr>
        <w:trPr>
          <w:trHeight w:val="166"/>
        </w:trPr>
        <w:tc>
          <w:tcPr>
            <w:tcW w:w="65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0" w:type="dxa"/>
            <w:vAlign w:val="bottom"/>
            <w:tcBorders>
              <w:top w:val="single" w:sz="8" w:color="auto"/>
              <w:bottom w:val="single" w:sz="8" w:color="auto"/>
            </w:tcBorders>
          </w:tcPr>
          <w:p>
            <w:pPr>
              <w:spacing w:after="0"/>
              <w:rPr>
                <w:sz w:val="14"/>
                <w:szCs w:val="14"/>
                <w:color w:val="auto"/>
              </w:rPr>
            </w:pPr>
          </w:p>
        </w:tc>
        <w:tc>
          <w:tcPr>
            <w:tcW w:w="1300" w:type="dxa"/>
            <w:vAlign w:val="bottom"/>
            <w:tcBorders>
              <w:top w:val="single" w:sz="8" w:color="auto"/>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top w:val="single" w:sz="8" w:color="auto"/>
            </w:tcBorders>
          </w:tcPr>
          <w:p>
            <w:pPr>
              <w:spacing w:after="0"/>
              <w:rPr>
                <w:sz w:val="14"/>
                <w:szCs w:val="14"/>
                <w:color w:val="auto"/>
              </w:rPr>
            </w:pPr>
          </w:p>
        </w:tc>
        <w:tc>
          <w:tcPr>
            <w:tcW w:w="52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2020</w:t>
            </w:r>
          </w:p>
        </w:tc>
      </w:tr>
      <w:tr>
        <w:trPr>
          <w:trHeight w:val="193"/>
        </w:trPr>
        <w:tc>
          <w:tcPr>
            <w:tcW w:w="65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0" w:type="dxa"/>
            <w:vAlign w:val="bottom"/>
            <w:gridSpan w:val="3"/>
          </w:tcPr>
          <w:p>
            <w:pPr>
              <w:jc w:val="right"/>
              <w:ind w:right="108"/>
              <w:spacing w:after="0"/>
              <w:rPr>
                <w:sz w:val="20"/>
                <w:szCs w:val="20"/>
                <w:color w:val="auto"/>
              </w:rPr>
            </w:pPr>
            <w:r>
              <w:rPr>
                <w:rFonts w:ascii="Arial" w:cs="Arial" w:eastAsia="Arial" w:hAnsi="Arial"/>
                <w:sz w:val="14"/>
                <w:szCs w:val="14"/>
                <w:b w:val="1"/>
                <w:bCs w:val="1"/>
                <w:color w:val="auto"/>
              </w:rPr>
              <w:t>(in thousands)</w:t>
            </w:r>
          </w:p>
        </w:tc>
        <w:tc>
          <w:tcPr>
            <w:tcW w:w="1200" w:type="dxa"/>
            <w:vAlign w:val="bottom"/>
          </w:tcPr>
          <w:p>
            <w:pPr>
              <w:spacing w:after="0"/>
              <w:rPr>
                <w:sz w:val="16"/>
                <w:szCs w:val="16"/>
                <w:color w:val="auto"/>
              </w:rPr>
            </w:pPr>
          </w:p>
        </w:tc>
      </w:tr>
      <w:tr>
        <w:trPr>
          <w:trHeight w:val="213"/>
        </w:trPr>
        <w:tc>
          <w:tcPr>
            <w:tcW w:w="6540" w:type="dxa"/>
            <w:vAlign w:val="bottom"/>
            <w:shd w:val="clear" w:color="auto" w:fill="CFF0FC"/>
          </w:tcPr>
          <w:p>
            <w:pPr>
              <w:spacing w:after="0"/>
              <w:rPr>
                <w:sz w:val="20"/>
                <w:szCs w:val="20"/>
                <w:color w:val="auto"/>
              </w:rPr>
            </w:pPr>
            <w:r>
              <w:rPr>
                <w:rFonts w:ascii="Arial" w:cs="Arial" w:eastAsia="Arial" w:hAnsi="Arial"/>
                <w:sz w:val="18"/>
                <w:szCs w:val="18"/>
                <w:color w:val="auto"/>
              </w:rPr>
              <w:t>Net cash (used in) provided by operating activities</w:t>
            </w:r>
          </w:p>
        </w:tc>
        <w:tc>
          <w:tcPr>
            <w:tcW w:w="15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(151,851)</w:t>
            </w:r>
          </w:p>
        </w:tc>
        <w:tc>
          <w:tcPr>
            <w:tcW w:w="180" w:type="dxa"/>
            <w:vAlign w:val="bottom"/>
            <w:shd w:val="clear" w:color="auto" w:fill="CFF0FC"/>
          </w:tcPr>
          <w:p>
            <w:pPr>
              <w:spacing w:after="0"/>
              <w:rPr>
                <w:sz w:val="18"/>
                <w:szCs w:val="18"/>
                <w:color w:val="auto"/>
              </w:rPr>
            </w:pPr>
          </w:p>
        </w:tc>
        <w:tc>
          <w:tcPr>
            <w:tcW w:w="520" w:type="dxa"/>
            <w:vAlign w:val="bottom"/>
            <w:shd w:val="clear" w:color="auto" w:fill="CFF0FC"/>
          </w:tcPr>
          <w:p>
            <w:pPr>
              <w:jc w:val="right"/>
              <w:ind w:right="368"/>
              <w:spacing w:after="0"/>
              <w:rPr>
                <w:sz w:val="20"/>
                <w:szCs w:val="20"/>
                <w:color w:val="auto"/>
              </w:rPr>
            </w:pPr>
            <w:r>
              <w:rPr>
                <w:rFonts w:ascii="Arial" w:cs="Arial" w:eastAsia="Arial" w:hAnsi="Arial"/>
                <w:sz w:val="14"/>
                <w:szCs w:val="14"/>
                <w:color w:val="auto"/>
                <w:w w:val="76"/>
              </w:rPr>
              <w:t>$</w:t>
            </w:r>
          </w:p>
        </w:tc>
        <w:tc>
          <w:tcPr>
            <w:tcW w:w="120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4</w:t>
            </w:r>
          </w:p>
        </w:tc>
      </w:tr>
      <w:tr>
        <w:trPr>
          <w:trHeight w:val="213"/>
        </w:trPr>
        <w:tc>
          <w:tcPr>
            <w:tcW w:w="654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(85,088)</w:t>
            </w: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(3,128)</w:t>
            </w:r>
          </w:p>
        </w:tc>
      </w:tr>
      <w:tr>
        <w:trPr>
          <w:trHeight w:val="213"/>
        </w:trPr>
        <w:tc>
          <w:tcPr>
            <w:tcW w:w="654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financing activities</w:t>
            </w:r>
          </w:p>
        </w:tc>
        <w:tc>
          <w:tcPr>
            <w:tcW w:w="1100" w:type="dxa"/>
            <w:vAlign w:val="bottom"/>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647,589</w:t>
            </w:r>
          </w:p>
        </w:tc>
        <w:tc>
          <w:tcPr>
            <w:tcW w:w="180" w:type="dxa"/>
            <w:vAlign w:val="bottom"/>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ind w:right="54"/>
              <w:spacing w:after="0"/>
              <w:rPr>
                <w:sz w:val="20"/>
                <w:szCs w:val="20"/>
                <w:color w:val="auto"/>
              </w:rPr>
            </w:pPr>
            <w:r>
              <w:rPr>
                <w:rFonts w:ascii="Arial" w:cs="Arial" w:eastAsia="Arial" w:hAnsi="Arial"/>
                <w:sz w:val="18"/>
                <w:szCs w:val="18"/>
                <w:color w:val="auto"/>
              </w:rPr>
              <w:t>456,425</w:t>
            </w:r>
          </w:p>
        </w:tc>
      </w:tr>
      <w:tr>
        <w:trPr>
          <w:trHeight w:val="206"/>
        </w:trPr>
        <w:tc>
          <w:tcPr>
            <w:tcW w:w="6540" w:type="dxa"/>
            <w:vAlign w:val="bottom"/>
          </w:tcPr>
          <w:p>
            <w:pPr>
              <w:spacing w:after="0"/>
              <w:rPr>
                <w:sz w:val="20"/>
                <w:szCs w:val="20"/>
                <w:color w:val="auto"/>
              </w:rPr>
            </w:pPr>
            <w:r>
              <w:rPr>
                <w:rFonts w:ascii="Arial" w:cs="Arial" w:eastAsia="Arial" w:hAnsi="Arial"/>
                <w:sz w:val="18"/>
                <w:szCs w:val="18"/>
                <w:color w:val="auto"/>
              </w:rPr>
              <w:t>Net increase in cash and cash equivalents and restricted cash</w:t>
            </w:r>
          </w:p>
        </w:tc>
        <w:tc>
          <w:tcPr>
            <w:tcW w:w="1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jc w:val="right"/>
              <w:ind w:right="36"/>
              <w:spacing w:after="0"/>
              <w:rPr>
                <w:sz w:val="20"/>
                <w:szCs w:val="20"/>
                <w:color w:val="auto"/>
              </w:rPr>
            </w:pPr>
            <w:r>
              <w:rPr>
                <w:rFonts w:ascii="Arial" w:cs="Arial" w:eastAsia="Arial" w:hAnsi="Arial"/>
                <w:sz w:val="18"/>
                <w:szCs w:val="18"/>
                <w:color w:val="auto"/>
              </w:rPr>
              <w:t>410,650</w:t>
            </w: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0" w:type="dxa"/>
            <w:vAlign w:val="bottom"/>
          </w:tcPr>
          <w:p>
            <w:pPr>
              <w:jc w:val="right"/>
              <w:ind w:right="54"/>
              <w:spacing w:after="0"/>
              <w:rPr>
                <w:sz w:val="20"/>
                <w:szCs w:val="20"/>
                <w:color w:val="auto"/>
              </w:rPr>
            </w:pPr>
            <w:r>
              <w:rPr>
                <w:rFonts w:ascii="Arial" w:cs="Arial" w:eastAsia="Arial" w:hAnsi="Arial"/>
                <w:sz w:val="18"/>
                <w:szCs w:val="18"/>
                <w:color w:val="auto"/>
              </w:rPr>
              <w:t>453,301</w:t>
            </w:r>
          </w:p>
        </w:tc>
      </w:tr>
      <w:tr>
        <w:trPr>
          <w:trHeight w:val="213"/>
        </w:trPr>
        <w:tc>
          <w:tcPr>
            <w:tcW w:w="654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 and restricted cash at beginning of period</w:t>
            </w:r>
          </w:p>
        </w:tc>
        <w:tc>
          <w:tcPr>
            <w:tcW w:w="1100" w:type="dxa"/>
            <w:vAlign w:val="bottom"/>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1,090,039</w:t>
            </w:r>
          </w:p>
        </w:tc>
        <w:tc>
          <w:tcPr>
            <w:tcW w:w="180" w:type="dxa"/>
            <w:vAlign w:val="bottom"/>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ind w:right="54"/>
              <w:spacing w:after="0"/>
              <w:rPr>
                <w:sz w:val="20"/>
                <w:szCs w:val="20"/>
                <w:color w:val="auto"/>
              </w:rPr>
            </w:pPr>
            <w:r>
              <w:rPr>
                <w:rFonts w:ascii="Arial" w:cs="Arial" w:eastAsia="Arial" w:hAnsi="Arial"/>
                <w:sz w:val="18"/>
                <w:szCs w:val="18"/>
                <w:color w:val="auto"/>
              </w:rPr>
              <w:t>219,587</w:t>
            </w:r>
          </w:p>
        </w:tc>
      </w:tr>
      <w:tr>
        <w:trPr>
          <w:trHeight w:val="206"/>
        </w:trPr>
        <w:tc>
          <w:tcPr>
            <w:tcW w:w="6540" w:type="dxa"/>
            <w:vAlign w:val="bottom"/>
          </w:tcPr>
          <w:p>
            <w:pPr>
              <w:spacing w:after="0"/>
              <w:rPr>
                <w:sz w:val="20"/>
                <w:szCs w:val="20"/>
                <w:color w:val="auto"/>
              </w:rPr>
            </w:pPr>
            <w:r>
              <w:rPr>
                <w:rFonts w:ascii="Arial" w:cs="Arial" w:eastAsia="Arial" w:hAnsi="Arial"/>
                <w:sz w:val="18"/>
                <w:szCs w:val="18"/>
                <w:color w:val="auto"/>
              </w:rPr>
              <w:t>Cash and cash equivalents and restricted cash at end of period</w:t>
            </w:r>
          </w:p>
        </w:tc>
        <w:tc>
          <w:tcPr>
            <w:tcW w:w="15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6"/>
              <w:spacing w:after="0"/>
              <w:rPr>
                <w:sz w:val="20"/>
                <w:szCs w:val="20"/>
                <w:color w:val="auto"/>
              </w:rPr>
            </w:pPr>
            <w:r>
              <w:rPr>
                <w:rFonts w:ascii="Arial" w:cs="Arial" w:eastAsia="Arial" w:hAnsi="Arial"/>
                <w:sz w:val="18"/>
                <w:szCs w:val="18"/>
                <w:color w:val="auto"/>
              </w:rPr>
              <w:t>1,500,689</w:t>
            </w:r>
          </w:p>
        </w:tc>
        <w:tc>
          <w:tcPr>
            <w:tcW w:w="180" w:type="dxa"/>
            <w:vAlign w:val="bottom"/>
          </w:tcPr>
          <w:p>
            <w:pPr>
              <w:spacing w:after="0"/>
              <w:rPr>
                <w:sz w:val="17"/>
                <w:szCs w:val="17"/>
                <w:color w:val="auto"/>
              </w:rPr>
            </w:pPr>
          </w:p>
        </w:tc>
        <w:tc>
          <w:tcPr>
            <w:tcW w:w="520" w:type="dxa"/>
            <w:vAlign w:val="bottom"/>
          </w:tcPr>
          <w:p>
            <w:pPr>
              <w:jc w:val="right"/>
              <w:ind w:right="368"/>
              <w:spacing w:after="0"/>
              <w:rPr>
                <w:sz w:val="20"/>
                <w:szCs w:val="20"/>
                <w:color w:val="auto"/>
              </w:rPr>
            </w:pPr>
            <w:r>
              <w:rPr>
                <w:rFonts w:ascii="Arial" w:cs="Arial" w:eastAsia="Arial" w:hAnsi="Arial"/>
                <w:sz w:val="14"/>
                <w:szCs w:val="14"/>
                <w:color w:val="auto"/>
                <w:w w:val="76"/>
              </w:rPr>
              <w:t>$</w:t>
            </w:r>
          </w:p>
        </w:tc>
        <w:tc>
          <w:tcPr>
            <w:tcW w:w="1200" w:type="dxa"/>
            <w:vAlign w:val="bottom"/>
          </w:tcPr>
          <w:p>
            <w:pPr>
              <w:jc w:val="right"/>
              <w:ind w:right="54"/>
              <w:spacing w:after="0"/>
              <w:rPr>
                <w:sz w:val="20"/>
                <w:szCs w:val="20"/>
                <w:color w:val="auto"/>
              </w:rPr>
            </w:pPr>
            <w:r>
              <w:rPr>
                <w:rFonts w:ascii="Arial" w:cs="Arial" w:eastAsia="Arial" w:hAnsi="Arial"/>
                <w:sz w:val="18"/>
                <w:szCs w:val="18"/>
                <w:color w:val="auto"/>
              </w:rPr>
              <w:t>672,888</w:t>
            </w:r>
          </w:p>
        </w:tc>
      </w:tr>
      <w:tr>
        <w:trPr>
          <w:trHeight w:val="20"/>
        </w:trPr>
        <w:tc>
          <w:tcPr>
            <w:tcW w:w="65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8" w:lineRule="exact"/>
        <w:rPr>
          <w:sz w:val="20"/>
          <w:szCs w:val="20"/>
          <w:color w:val="auto"/>
        </w:rPr>
      </w:pPr>
    </w:p>
    <w:p>
      <w:pPr>
        <w:ind w:right="80" w:firstLine="762"/>
        <w:spacing w:after="0" w:line="235" w:lineRule="auto"/>
        <w:rPr>
          <w:sz w:val="20"/>
          <w:szCs w:val="20"/>
          <w:color w:val="auto"/>
        </w:rPr>
      </w:pPr>
      <w:r>
        <w:rPr>
          <w:rFonts w:ascii="Arial" w:cs="Arial" w:eastAsia="Arial" w:hAnsi="Arial"/>
          <w:sz w:val="18"/>
          <w:szCs w:val="18"/>
          <w:color w:val="auto"/>
        </w:rPr>
        <w:t>Net cash flows from operating activities changed by $151.9 million from net cash provided by operating activities of $4 thousand for the six months ended June 30, 2020 to net cash used in operating activities of $151.9 million for the six months ended June 30, 2021. The change is primarily attributable to higher inventory levels for the six months ended June 30, 2021, resulting in an increase in the use of cash of $165.7 million.</w:t>
      </w:r>
    </w:p>
    <w:p>
      <w:pPr>
        <w:spacing w:after="0" w:line="201" w:lineRule="exact"/>
        <w:rPr>
          <w:sz w:val="20"/>
          <w:szCs w:val="20"/>
          <w:color w:val="auto"/>
        </w:rPr>
      </w:pPr>
    </w:p>
    <w:p>
      <w:pPr>
        <w:jc w:val="both"/>
        <w:ind w:right="380" w:firstLine="762"/>
        <w:spacing w:after="0" w:line="236" w:lineRule="auto"/>
        <w:rPr>
          <w:sz w:val="20"/>
          <w:szCs w:val="20"/>
          <w:color w:val="auto"/>
        </w:rPr>
      </w:pPr>
      <w:r>
        <w:rPr>
          <w:rFonts w:ascii="Arial" w:cs="Arial" w:eastAsia="Arial" w:hAnsi="Arial"/>
          <w:sz w:val="18"/>
          <w:szCs w:val="18"/>
          <w:color w:val="auto"/>
        </w:rPr>
        <w:t>We finance substantially all our inventories with the 2020 Vehicle Floorplan Facility. In accordance with U.S. GAAP relating to the statement of cash flows, we report all cash flows arising in connection with the 2020 Vehicle Floorplan Facility, as a financing activity in our statement of cash flows.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14" w:lineRule="exact"/>
        <w:rPr>
          <w:sz w:val="20"/>
          <w:szCs w:val="20"/>
          <w:color w:val="auto"/>
        </w:rPr>
      </w:pPr>
    </w:p>
    <w:p>
      <w:pPr>
        <w:ind w:right="100" w:firstLine="762"/>
        <w:spacing w:after="0" w:line="239" w:lineRule="auto"/>
        <w:rPr>
          <w:sz w:val="20"/>
          <w:szCs w:val="20"/>
          <w:color w:val="auto"/>
        </w:rPr>
      </w:pPr>
      <w:r>
        <w:rPr>
          <w:rFonts w:ascii="Arial" w:cs="Arial" w:eastAsia="Arial" w:hAnsi="Arial"/>
          <w:sz w:val="18"/>
          <w:szCs w:val="18"/>
          <w:color w:val="auto"/>
        </w:rPr>
        <w:t>Net cash flows used in investing activities increased $82.0 million, from $3.1 million for the six months ended June 30, 2020 to $85.1 million for the six months ended June 30, 2021, primarily as a result of the acquisition of the CarStory business on January 7, 2021.</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34" w:lineRule="exact"/>
        <w:rPr>
          <w:sz w:val="20"/>
          <w:szCs w:val="20"/>
          <w:color w:val="auto"/>
        </w:rPr>
      </w:pPr>
    </w:p>
    <w:p>
      <w:pPr>
        <w:ind w:right="180" w:firstLine="762"/>
        <w:spacing w:after="0" w:line="234" w:lineRule="auto"/>
        <w:rPr>
          <w:sz w:val="20"/>
          <w:szCs w:val="20"/>
          <w:color w:val="auto"/>
        </w:rPr>
      </w:pPr>
      <w:r>
        <w:rPr>
          <w:rFonts w:ascii="Arial" w:cs="Arial" w:eastAsia="Arial" w:hAnsi="Arial"/>
          <w:sz w:val="18"/>
          <w:szCs w:val="18"/>
          <w:color w:val="auto"/>
        </w:rPr>
        <w:t>Net cash flows provided by financing activities increased $191.2 million from $456.4 million for the six months ended June 30, 2020 to $647.6 million for the six months ended June 30, 2021. The increase was primarily related to net proceeds of $608.8 million received upon issuance of the Notes, net of issuance costs and a net increase in cash of $99.2 million related to our Vehicle Floorplan Facility. The increase was partially offset by net decrease in cash of $502.3 million of net proceeds received upon completion of the IPO in 2020 and $21.7 million related to the net issuance of Series H preferred stock.</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228" w:lineRule="exact"/>
        <w:rPr>
          <w:sz w:val="20"/>
          <w:szCs w:val="20"/>
          <w:color w:val="auto"/>
        </w:rPr>
      </w:pPr>
    </w:p>
    <w:p>
      <w:pPr>
        <w:ind w:right="300" w:firstLine="749"/>
        <w:spacing w:after="0" w:line="239" w:lineRule="auto"/>
        <w:rPr>
          <w:sz w:val="20"/>
          <w:szCs w:val="20"/>
          <w:color w:val="auto"/>
        </w:rPr>
      </w:pPr>
      <w:r>
        <w:rPr>
          <w:rFonts w:ascii="Arial" w:cs="Arial" w:eastAsia="Arial" w:hAnsi="Arial"/>
          <w:sz w:val="18"/>
          <w:szCs w:val="18"/>
          <w:color w:val="auto"/>
        </w:rPr>
        <w:t>There have been no material changes to our contractual obligations or commitments outside of the ordinary course of business as compared to those described in our Annual Report.</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Off Balance Sheet Arrangements</w:t>
      </w:r>
    </w:p>
    <w:p>
      <w:pPr>
        <w:spacing w:after="0" w:line="228" w:lineRule="exact"/>
        <w:rPr>
          <w:sz w:val="20"/>
          <w:szCs w:val="20"/>
          <w:color w:val="auto"/>
        </w:rPr>
      </w:pPr>
    </w:p>
    <w:p>
      <w:pPr>
        <w:ind w:right="280" w:firstLine="762"/>
        <w:spacing w:after="0" w:line="266" w:lineRule="auto"/>
        <w:rPr>
          <w:sz w:val="20"/>
          <w:szCs w:val="20"/>
          <w:color w:val="auto"/>
        </w:rPr>
      </w:pPr>
      <w:r>
        <w:rPr>
          <w:rFonts w:ascii="Arial" w:cs="Arial" w:eastAsia="Arial" w:hAnsi="Arial"/>
          <w:sz w:val="17"/>
          <w:szCs w:val="17"/>
          <w:color w:val="auto"/>
        </w:rPr>
        <w:t>We do not have any off balance sheet arrangements, as defined by applicable regulations of the SEC, that are reasonably likely to have a current or future material effect on our financial condition, results of operations, liquidity, capital expenditures or capital resources.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50800</wp:posOffset>
            </wp:positionV>
            <wp:extent cx="715962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8" w:lineRule="exact"/>
        <w:rPr>
          <w:sz w:val="20"/>
          <w:szCs w:val="20"/>
          <w:color w:val="auto"/>
        </w:rPr>
      </w:pPr>
    </w:p>
    <w:p>
      <w:pPr>
        <w:jc w:val="both"/>
        <w:ind w:firstLine="762"/>
        <w:spacing w:after="0" w:line="245" w:lineRule="auto"/>
        <w:rPr>
          <w:sz w:val="20"/>
          <w:szCs w:val="20"/>
          <w:color w:val="auto"/>
        </w:rPr>
      </w:pPr>
      <w:r>
        <w:rPr>
          <w:rFonts w:ascii="Arial" w:cs="Arial" w:eastAsia="Arial" w:hAnsi="Arial"/>
          <w:sz w:val="17"/>
          <w:szCs w:val="17"/>
          <w:color w:val="auto"/>
        </w:rPr>
        <w:t>Our discussion and analysis of our financial condition and results of operations are based upon our condensed consolidated financial statements, which have been prepared in accordance with U.S. GAAP. In preparing the condensed consolidated financial statements, we make estimates, assumptions and judgments that affect the reported amounts of assets, liabilities, revenue, and expenses and related disclosures.</w:t>
      </w:r>
    </w:p>
    <w:p>
      <w:pPr>
        <w:ind w:right="200"/>
        <w:spacing w:after="0" w:line="235" w:lineRule="auto"/>
        <w:rPr>
          <w:sz w:val="20"/>
          <w:szCs w:val="20"/>
          <w:color w:val="auto"/>
        </w:rPr>
      </w:pPr>
      <w:r>
        <w:rPr>
          <w:rFonts w:ascii="Arial" w:cs="Arial" w:eastAsia="Arial" w:hAnsi="Arial"/>
          <w:sz w:val="18"/>
          <w:szCs w:val="18"/>
          <w:color w:val="auto"/>
        </w:rPr>
        <w:t>On an ongoing basis, we evaluate our estimates, including, among others, those related to income taxes, the realizability of inventory, stock-based compensation, revenue-related reserves, as well as impairment of goodwill and long-lived assets. We base our estimates on historical experience, market conditions and on various other assumptions that are believed to be reasonable. Actual results may differ from these estimates.</w:t>
      </w:r>
    </w:p>
    <w:p>
      <w:pPr>
        <w:spacing w:after="0" w:line="201" w:lineRule="exact"/>
        <w:rPr>
          <w:sz w:val="20"/>
          <w:szCs w:val="20"/>
          <w:color w:val="auto"/>
        </w:rPr>
      </w:pPr>
    </w:p>
    <w:p>
      <w:pPr>
        <w:ind w:firstLine="762"/>
        <w:spacing w:after="0" w:line="234" w:lineRule="auto"/>
        <w:rPr>
          <w:sz w:val="20"/>
          <w:szCs w:val="20"/>
          <w:color w:val="auto"/>
        </w:rPr>
      </w:pPr>
      <w:r>
        <w:rPr>
          <w:rFonts w:ascii="Arial" w:cs="Arial" w:eastAsia="Arial" w:hAnsi="Arial"/>
          <w:sz w:val="18"/>
          <w:szCs w:val="18"/>
          <w:color w:val="auto"/>
        </w:rPr>
        <w:t>Due to the evolving and uncertain nature of the COVID-19 pandemic, it is reasonably possible that it could materially impact our estimates, particularly those noted above that require consideration of forecasted financial information, in the near to medium term. The ultimate impact will depend on numerous evolving factors that we may not be able to accurately predict, including the duration and extent of the pandemic, the impact of federal, state, local and foreign governmental actions, consumer behavior in response to the pandemic and other economic and operational conditions we may face.</w:t>
      </w:r>
    </w:p>
    <w:p>
      <w:pPr>
        <w:spacing w:after="0" w:line="202" w:lineRule="exact"/>
        <w:rPr>
          <w:sz w:val="20"/>
          <w:szCs w:val="20"/>
          <w:color w:val="auto"/>
        </w:rPr>
      </w:pPr>
    </w:p>
    <w:p>
      <w:pPr>
        <w:ind w:right="260" w:firstLine="762"/>
        <w:spacing w:after="0" w:line="235" w:lineRule="auto"/>
        <w:rPr>
          <w:sz w:val="20"/>
          <w:szCs w:val="20"/>
          <w:color w:val="auto"/>
        </w:rPr>
      </w:pPr>
      <w:r>
        <w:rPr>
          <w:rFonts w:ascii="Arial" w:cs="Arial" w:eastAsia="Arial" w:hAnsi="Arial"/>
          <w:sz w:val="18"/>
          <w:szCs w:val="18"/>
          <w:color w:val="auto"/>
        </w:rPr>
        <w:t>The critical accounting policies that reflect our more significant judgments and estimates used in the preparation of our condensed consolidated financial statements include those described in Note 2—Summary of Significant Accounting Policies and Note 3—Revenue Recognition to our condensed consolidated financial statements included elsewhere in this Quarterly Report on Form 10-Q and Note 2— Summary of Significant Accounting Policies to our consolidated financial statements included in our Annual Report.</w:t>
      </w:r>
    </w:p>
    <w:p>
      <w:pPr>
        <w:spacing w:after="0" w:line="201" w:lineRule="exact"/>
        <w:rPr>
          <w:sz w:val="20"/>
          <w:szCs w:val="20"/>
          <w:color w:val="auto"/>
        </w:rPr>
      </w:pPr>
    </w:p>
    <w:p>
      <w:pPr>
        <w:ind w:right="20" w:firstLine="762"/>
        <w:spacing w:after="0" w:line="236" w:lineRule="auto"/>
        <w:rPr>
          <w:sz w:val="20"/>
          <w:szCs w:val="20"/>
          <w:color w:val="auto"/>
        </w:rPr>
      </w:pPr>
      <w:r>
        <w:rPr>
          <w:rFonts w:ascii="Arial" w:cs="Arial" w:eastAsia="Arial" w:hAnsi="Arial"/>
          <w:sz w:val="18"/>
          <w:szCs w:val="18"/>
          <w:color w:val="auto"/>
        </w:rPr>
        <w:t>Except as described in Note 2 to our condensed consolidated financial statements, there have been no material changes to our critical accounting policies and estimates as compared to the critical accounting policies and estimates disclosed in our Annual Report on Form 10-K for the year ended December 31, 2020.</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Recently Issued and Adopted Accounting Pronouncements</w:t>
      </w:r>
    </w:p>
    <w:p>
      <w:pPr>
        <w:spacing w:after="0" w:line="228" w:lineRule="exact"/>
        <w:rPr>
          <w:sz w:val="20"/>
          <w:szCs w:val="20"/>
          <w:color w:val="auto"/>
        </w:rPr>
      </w:pPr>
    </w:p>
    <w:p>
      <w:pPr>
        <w:ind w:right="40" w:firstLine="762"/>
        <w:spacing w:after="0" w:line="236" w:lineRule="auto"/>
        <w:rPr>
          <w:sz w:val="20"/>
          <w:szCs w:val="20"/>
          <w:color w:val="auto"/>
        </w:rPr>
      </w:pPr>
      <w:r>
        <w:rPr>
          <w:rFonts w:ascii="Arial" w:cs="Arial" w:eastAsia="Arial" w:hAnsi="Arial"/>
          <w:sz w:val="18"/>
          <w:szCs w:val="18"/>
          <w:color w:val="auto"/>
        </w:rPr>
        <w:t>See Note 2—Summary of Significant Accounting Policies to our condensed consolidated financial statements included elsewhere in this Quarterly Report on Form 10-Q for a discussion about new accounting pronouncements adopted and not yet adopted as of the date of this report.</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 About Market Risk</w:t>
      </w:r>
    </w:p>
    <w:p>
      <w:pPr>
        <w:spacing w:after="0" w:line="214" w:lineRule="exact"/>
        <w:rPr>
          <w:sz w:val="20"/>
          <w:szCs w:val="20"/>
          <w:color w:val="auto"/>
        </w:rPr>
      </w:pPr>
    </w:p>
    <w:p>
      <w:pPr>
        <w:ind w:right="200" w:firstLine="762"/>
        <w:spacing w:after="0" w:line="239" w:lineRule="auto"/>
        <w:rPr>
          <w:sz w:val="20"/>
          <w:szCs w:val="20"/>
          <w:color w:val="auto"/>
        </w:rPr>
      </w:pPr>
      <w:r>
        <w:rPr>
          <w:rFonts w:ascii="Arial" w:cs="Arial" w:eastAsia="Arial" w:hAnsi="Arial"/>
          <w:sz w:val="18"/>
          <w:szCs w:val="18"/>
          <w:color w:val="auto"/>
        </w:rPr>
        <w:t>Market risk is the risk of economic losses due to adverse changes in financial market prices and rates. Our primary market risk has been interest rate risk. We do not have material exposure to commodity risk.</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21" w:lineRule="exact"/>
        <w:rPr>
          <w:sz w:val="20"/>
          <w:szCs w:val="20"/>
          <w:color w:val="auto"/>
        </w:rPr>
      </w:pPr>
    </w:p>
    <w:p>
      <w:pPr>
        <w:ind w:right="20" w:firstLine="762"/>
        <w:spacing w:after="0" w:line="235" w:lineRule="auto"/>
        <w:rPr>
          <w:sz w:val="20"/>
          <w:szCs w:val="20"/>
          <w:color w:val="auto"/>
        </w:rPr>
      </w:pPr>
      <w:r>
        <w:rPr>
          <w:rFonts w:ascii="Arial" w:cs="Arial" w:eastAsia="Arial" w:hAnsi="Arial"/>
          <w:sz w:val="18"/>
          <w:szCs w:val="18"/>
          <w:color w:val="auto"/>
        </w:rPr>
        <w:t>As of June 30, 2021, we had an outstanding balance under the 2020 Vehicle Floorplan Facility of $363.6 million. The 2020 Vehicle Floorplan Facility bears interest at a rate equal to the 1-Month LIBOR rate applicable in the immediately preceding month, plus a spread of 425 basis points. A hypothetical 10% change in interest rates during the periods presented would result in a change to interest expense of $0.3 million and $0.7 million for the three and six months ended June 30, 2021, respectively.</w:t>
      </w:r>
    </w:p>
    <w:p>
      <w:pPr>
        <w:spacing w:after="0" w:line="95" w:lineRule="exact"/>
        <w:rPr>
          <w:sz w:val="20"/>
          <w:szCs w:val="20"/>
          <w:color w:val="auto"/>
        </w:rPr>
      </w:pPr>
    </w:p>
    <w:p>
      <w:pPr>
        <w:ind w:right="380" w:firstLine="762"/>
        <w:spacing w:after="0" w:line="239" w:lineRule="auto"/>
        <w:rPr>
          <w:sz w:val="20"/>
          <w:szCs w:val="20"/>
          <w:color w:val="auto"/>
        </w:rPr>
      </w:pPr>
      <w:r>
        <w:rPr>
          <w:rFonts w:ascii="Arial" w:cs="Arial" w:eastAsia="Arial" w:hAnsi="Arial"/>
          <w:sz w:val="18"/>
          <w:szCs w:val="18"/>
          <w:color w:val="auto"/>
        </w:rPr>
        <w:t>As of June 30, 2021, we had an outstanding principal balance on our Notes of $625.0 million. As the interest rate on the Notes is fixed, we do not have exposure to interest rate risk.</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50800</wp:posOffset>
            </wp:positionV>
            <wp:extent cx="715962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effectiveness of controls and procedures</w:t>
      </w:r>
    </w:p>
    <w:p>
      <w:pPr>
        <w:spacing w:after="0" w:line="228" w:lineRule="exact"/>
        <w:rPr>
          <w:sz w:val="20"/>
          <w:szCs w:val="20"/>
          <w:color w:val="auto"/>
        </w:rPr>
      </w:pPr>
    </w:p>
    <w:p>
      <w:pPr>
        <w:ind w:right="40" w:firstLine="762"/>
        <w:spacing w:after="0" w:line="235" w:lineRule="auto"/>
        <w:rPr>
          <w:sz w:val="20"/>
          <w:szCs w:val="20"/>
          <w:color w:val="auto"/>
        </w:rPr>
      </w:pPr>
      <w:r>
        <w:rPr>
          <w:rFonts w:ascii="Arial" w:cs="Arial" w:eastAsia="Arial" w:hAnsi="Arial"/>
          <w:sz w:val="18"/>
          <w:szCs w:val="18"/>
          <w:color w:val="auto"/>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54" w:lineRule="exact"/>
        <w:rPr>
          <w:sz w:val="20"/>
          <w:szCs w:val="20"/>
          <w:color w:val="auto"/>
        </w:rPr>
      </w:pPr>
    </w:p>
    <w:p>
      <w:pPr>
        <w:ind w:right="80" w:firstLine="762"/>
        <w:spacing w:after="0" w:line="233" w:lineRule="auto"/>
        <w:rPr>
          <w:sz w:val="20"/>
          <w:szCs w:val="20"/>
          <w:color w:val="auto"/>
        </w:rPr>
      </w:pPr>
      <w:r>
        <w:rPr>
          <w:rFonts w:ascii="Arial" w:cs="Arial" w:eastAsia="Arial" w:hAnsi="Arial"/>
          <w:sz w:val="18"/>
          <w:szCs w:val="18"/>
          <w:color w:val="auto"/>
        </w:rPr>
        <w:t>Our management, with the participation of our principal executive officer and principal financial officer, evaluated, as of the end of the period covered by this Quarterly Report on Form 10-Q, the effectiveness of our disclosure controls and procedures (as defined in Rules 13a-15(e) and 15d-15(e) under the Exchange Act). Based on that evaluation, and as a result of the material weaknesses described below, our principal executive officer and principal financial officer concluded that, as of June 30, 2021, our disclosure controls and procedures were not effective. In light of this fact, our management has performed additional analyses, reconciliations, and other post-closing procedures and has concluded that, notwithstanding the material weaknesses in our internal control over financial reporting, the condensed consolidated financial statements for the periods covered by and included in this Quarterly Report on Form 10-Q fairly state, in all material respects, our financial position, results of operations and cash flows for the periods presented in conformity with U.S. GAAP.</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Weaknesses</w:t>
      </w:r>
    </w:p>
    <w:p>
      <w:pPr>
        <w:spacing w:after="0" w:line="228" w:lineRule="exact"/>
        <w:rPr>
          <w:sz w:val="20"/>
          <w:szCs w:val="20"/>
          <w:color w:val="auto"/>
        </w:rPr>
      </w:pPr>
    </w:p>
    <w:p>
      <w:pPr>
        <w:ind w:firstLine="762"/>
        <w:spacing w:after="0" w:line="233" w:lineRule="auto"/>
        <w:rPr>
          <w:sz w:val="20"/>
          <w:szCs w:val="20"/>
          <w:color w:val="auto"/>
        </w:rPr>
      </w:pPr>
      <w:r>
        <w:rPr>
          <w:rFonts w:ascii="Arial" w:cs="Arial" w:eastAsia="Arial" w:hAnsi="Arial"/>
          <w:sz w:val="18"/>
          <w:szCs w:val="18"/>
          <w:color w:val="auto"/>
        </w:rPr>
        <w:t>A material weakness is a deficiency, or combination of deficiencies, in internal control over financial reporting such that there is a reasonable possibility that a material misstatement of annual or interim financial statements will not be prevented or detected on a timely basis. Internal control over financial reporting is a process designed to provide reasonable assurance regarding the reliability of financial reporting and the preparation of financial statements in accordance with GAAP. In connection with our audit of consolidated financial statements for the year ended December 31, 2018, we identified material weaknesses in our internal control over financial reporting. We did not design or maintain an effective control environment commensurate with our financial reporting requirements. Specifically, we lacked a sufficient complement of personnel with (i) an appropriate level of accounting knowledge, training and experience to appropriately analyze, record and disclose accounting matters timely and accurately, and (ii) an appropriate level of knowledge and experience to establish effective information technology processes and controls. This material weakness contributed to the following material weaknesses:</w:t>
      </w:r>
    </w:p>
    <w:p>
      <w:pPr>
        <w:spacing w:after="0" w:line="202" w:lineRule="exact"/>
        <w:rPr>
          <w:sz w:val="20"/>
          <w:szCs w:val="20"/>
          <w:color w:val="auto"/>
        </w:rPr>
      </w:pPr>
    </w:p>
    <w:p>
      <w:pPr>
        <w:ind w:left="1020" w:right="140" w:hanging="255"/>
        <w:spacing w:after="0" w:line="235" w:lineRule="auto"/>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did not design and maintain adequate controls over the preparation and review of certain account reconciliations and journal entries. Specifically, we did not design and maintain controls to ensure (i) the appropriate segregation of duties in the preparation and review of account reconciliations and journal entries and (ii) account reconciliations and journal entries were reviewed at the appropriate level of precision.</w:t>
      </w:r>
    </w:p>
    <w:p>
      <w:pPr>
        <w:spacing w:after="0" w:line="107" w:lineRule="exact"/>
        <w:rPr>
          <w:rFonts w:ascii="Arial" w:cs="Arial" w:eastAsia="Arial" w:hAnsi="Arial"/>
          <w:sz w:val="18"/>
          <w:szCs w:val="18"/>
          <w:color w:val="auto"/>
        </w:rPr>
      </w:pPr>
    </w:p>
    <w:p>
      <w:pPr>
        <w:ind w:left="1020" w:right="40" w:hanging="255"/>
        <w:spacing w:after="0" w:line="234" w:lineRule="auto"/>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did not design and maintain effective controls over certain information technology general controls for information systems and applications that are relevant to the preparation of the consolidated financial statements. Specifically, we did not design and maintain sufficient user and privileged access controls to ensure appropriate segregation of duties and adequate restricted user access to financial applications; program change management controls to ensure that IT program and data changes affecting financial IT applications and underlying accounting records are identified, tested, authorized and implemented appropriately; or computer operations controls as well as testing and approval controls for program development.</w:t>
      </w:r>
    </w:p>
    <w:p>
      <w:pPr>
        <w:spacing w:after="0" w:line="227" w:lineRule="exact"/>
        <w:rPr>
          <w:sz w:val="20"/>
          <w:szCs w:val="20"/>
          <w:color w:val="auto"/>
        </w:rPr>
      </w:pPr>
    </w:p>
    <w:p>
      <w:pPr>
        <w:ind w:right="160" w:firstLine="762"/>
        <w:spacing w:after="0" w:line="235" w:lineRule="auto"/>
        <w:rPr>
          <w:sz w:val="20"/>
          <w:szCs w:val="20"/>
          <w:color w:val="auto"/>
        </w:rPr>
      </w:pPr>
      <w:r>
        <w:rPr>
          <w:rFonts w:ascii="Arial" w:cs="Arial" w:eastAsia="Arial" w:hAnsi="Arial"/>
          <w:sz w:val="18"/>
          <w:szCs w:val="18"/>
          <w:color w:val="auto"/>
        </w:rPr>
        <w:t>The control deficiencies described above did not result in a misstatement to our annual or interim consolidated financial statements. However, each of the control deficiencies described above, if not remediated, could result in a misstatement of one or more account balances or disclosures that would result in a material misstatement to the annual or interim consolidated financial statements that would not be prevented or detected, and, accordingly, we determined that these control deficiencies constitute material weaknesses.</w:t>
      </w:r>
    </w:p>
    <w:p>
      <w:pPr>
        <w:spacing w:after="0" w:line="201" w:lineRule="exact"/>
        <w:rPr>
          <w:sz w:val="20"/>
          <w:szCs w:val="20"/>
          <w:color w:val="auto"/>
        </w:rPr>
      </w:pPr>
    </w:p>
    <w:p>
      <w:pPr>
        <w:ind w:right="160" w:firstLine="762"/>
        <w:spacing w:after="0" w:line="239" w:lineRule="auto"/>
        <w:rPr>
          <w:sz w:val="20"/>
          <w:szCs w:val="20"/>
          <w:color w:val="auto"/>
        </w:rPr>
      </w:pPr>
      <w:r>
        <w:rPr>
          <w:rFonts w:ascii="Arial" w:cs="Arial" w:eastAsia="Arial" w:hAnsi="Arial"/>
          <w:sz w:val="18"/>
          <w:szCs w:val="18"/>
          <w:color w:val="auto"/>
        </w:rPr>
        <w:t>We have concluded that these material weaknesses arose because, as a private company, we did not have the necessary business processes, systems, personnel and related internal controls.</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50800</wp:posOffset>
            </wp:positionV>
            <wp:extent cx="715962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p>
      <w:pPr>
        <w:ind w:firstLine="762"/>
        <w:spacing w:after="0" w:line="234" w:lineRule="auto"/>
        <w:rPr>
          <w:sz w:val="20"/>
          <w:szCs w:val="20"/>
          <w:color w:val="auto"/>
        </w:rPr>
      </w:pPr>
      <w:r>
        <w:rPr>
          <w:rFonts w:ascii="Arial" w:cs="Arial" w:eastAsia="Arial" w:hAnsi="Arial"/>
          <w:sz w:val="18"/>
          <w:szCs w:val="18"/>
          <w:color w:val="auto"/>
        </w:rPr>
        <w:t>During the years ended December 31, 2019 and 2020, we commenced measures to address material weaknesses in our internal controls. In particular, we (i) hired additional finance and accounting personnel with expertise in preparation of financial statements and account reconciliations; (ii) further developed and documented our accounting policies; and (iii) hired a director responsible for implementation of information technology general controls. Further, we have continued to take additional steps to remediate these material weaknesses, including:</w:t>
      </w:r>
    </w:p>
    <w:p>
      <w:pPr>
        <w:spacing w:after="0" w:line="202" w:lineRule="exact"/>
        <w:rPr>
          <w:sz w:val="20"/>
          <w:szCs w:val="20"/>
          <w:color w:val="auto"/>
        </w:rPr>
      </w:pPr>
    </w:p>
    <w:p>
      <w:pPr>
        <w:ind w:left="1020" w:right="280" w:hanging="255"/>
        <w:spacing w:after="0" w:line="239" w:lineRule="auto"/>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hired additional qualified accounting, financial reporting and information technology personnel with public company experience, including a Chief Information Security Officer;</w:t>
      </w:r>
    </w:p>
    <w:p>
      <w:pPr>
        <w:spacing w:after="0" w:line="106" w:lineRule="exact"/>
        <w:rPr>
          <w:rFonts w:ascii="Arial" w:cs="Arial" w:eastAsia="Arial" w:hAnsi="Arial"/>
          <w:sz w:val="18"/>
          <w:szCs w:val="18"/>
          <w:color w:val="auto"/>
        </w:rPr>
      </w:pPr>
    </w:p>
    <w:p>
      <w:pPr>
        <w:ind w:left="1020" w:hanging="255"/>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provided additional training for our personnel on internal control over financial reporting;</w:t>
      </w:r>
    </w:p>
    <w:p>
      <w:pPr>
        <w:spacing w:after="0" w:line="139" w:lineRule="exact"/>
        <w:rPr>
          <w:rFonts w:ascii="Arial" w:cs="Arial" w:eastAsia="Arial" w:hAnsi="Arial"/>
          <w:sz w:val="18"/>
          <w:szCs w:val="18"/>
          <w:color w:val="auto"/>
        </w:rPr>
      </w:pPr>
    </w:p>
    <w:p>
      <w:pPr>
        <w:ind w:left="1020" w:hanging="255"/>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implemented new financial systems and processes;</w:t>
      </w:r>
    </w:p>
    <w:p>
      <w:pPr>
        <w:spacing w:after="0" w:line="139" w:lineRule="exact"/>
        <w:rPr>
          <w:rFonts w:ascii="Arial" w:cs="Arial" w:eastAsia="Arial" w:hAnsi="Arial"/>
          <w:sz w:val="18"/>
          <w:szCs w:val="18"/>
          <w:color w:val="auto"/>
        </w:rPr>
      </w:pPr>
    </w:p>
    <w:p>
      <w:pPr>
        <w:ind w:left="1020" w:hanging="255"/>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implemented additional review controls and processes and timely preparation of account reconciliations and analyses;</w:t>
      </w:r>
    </w:p>
    <w:p>
      <w:pPr>
        <w:spacing w:after="0" w:line="139" w:lineRule="exact"/>
        <w:rPr>
          <w:rFonts w:ascii="Arial" w:cs="Arial" w:eastAsia="Arial" w:hAnsi="Arial"/>
          <w:sz w:val="18"/>
          <w:szCs w:val="18"/>
          <w:color w:val="auto"/>
        </w:rPr>
      </w:pPr>
    </w:p>
    <w:p>
      <w:pPr>
        <w:ind w:left="1020" w:hanging="255"/>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implemented processes and controls to better identify and manage segregation of duties; and</w:t>
      </w:r>
    </w:p>
    <w:p>
      <w:pPr>
        <w:spacing w:after="0" w:line="139" w:lineRule="exact"/>
        <w:rPr>
          <w:rFonts w:ascii="Arial" w:cs="Arial" w:eastAsia="Arial" w:hAnsi="Arial"/>
          <w:sz w:val="18"/>
          <w:szCs w:val="18"/>
          <w:color w:val="auto"/>
        </w:rPr>
      </w:pPr>
    </w:p>
    <w:p>
      <w:pPr>
        <w:ind w:left="1020" w:right="60" w:hanging="255"/>
        <w:spacing w:after="0" w:line="239" w:lineRule="auto"/>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engaged an external advisor to assist with evaluating and documenting the design and operating effectiveness of internal controls and assisting with the remediation of deficiencies, as necessary.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8" w:lineRule="exact"/>
        <w:rPr>
          <w:sz w:val="20"/>
          <w:szCs w:val="20"/>
          <w:color w:val="auto"/>
        </w:rPr>
      </w:pPr>
    </w:p>
    <w:p>
      <w:pPr>
        <w:ind w:firstLine="762"/>
        <w:spacing w:after="0" w:line="234" w:lineRule="auto"/>
        <w:rPr>
          <w:sz w:val="20"/>
          <w:szCs w:val="20"/>
          <w:color w:val="auto"/>
        </w:rPr>
      </w:pPr>
      <w:r>
        <w:rPr>
          <w:rFonts w:ascii="Arial" w:cs="Arial" w:eastAsia="Arial" w:hAnsi="Arial"/>
          <w:sz w:val="18"/>
          <w:szCs w:val="18"/>
          <w:color w:val="auto"/>
        </w:rPr>
        <w:t>While we believe that the efforts, as described above, have improved our internal control over financial reporting, the implementation of our remediation for the material weaknesses is ongoing and requires validation and testing of the design and operating effectiveness of internal controls over a sustained period of financial reporting cycles. Accordingly, we will not be able to fully remediate these material weaknesses until these steps have been completed. Except as otherwise described herein, there was no change in our internal control over financial reporting (as defined in Rules 13a-15(f) and 15d-15(f) under the Exchange Act) during the three months ended June 30, 2021 that has materially affected, or is reasonably likely to materially affect, our internal control over financial reporting.</w:t>
      </w: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50800</wp:posOffset>
            </wp:positionV>
            <wp:extent cx="715962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8" w:lineRule="exact"/>
        <w:rPr>
          <w:sz w:val="20"/>
          <w:szCs w:val="20"/>
          <w:color w:val="auto"/>
        </w:rPr>
      </w:pPr>
    </w:p>
    <w:p>
      <w:pPr>
        <w:ind w:firstLine="749"/>
        <w:spacing w:after="0" w:line="246" w:lineRule="auto"/>
        <w:rPr>
          <w:sz w:val="20"/>
          <w:szCs w:val="20"/>
          <w:color w:val="auto"/>
        </w:rPr>
      </w:pPr>
      <w:r>
        <w:rPr>
          <w:rFonts w:ascii="Arial" w:cs="Arial" w:eastAsia="Arial" w:hAnsi="Arial"/>
          <w:sz w:val="17"/>
          <w:szCs w:val="17"/>
          <w:color w:val="auto"/>
        </w:rPr>
        <w:t>From time to time, we are subject to legal proceedings in the normal course of operating our business. The outcome of litigation, regardless of the merits, is inherently uncertain. Beginning in March 2021, multiple putative class actions were filed in the U.S. District Court for the Southern District of New York by certain of our stockholders against us and certain of our officers alleging violations of federal securities laws. The lawsuits are captioned Zawatsky et al. v. Vroom, Inc. et al., Case No. 21-cv-2477; Holbrook v. Vroom, Inc. et al., Case No. 21-cv-2551; and Hudda v. Vroom, Inc. et al., Case No. 21-cv-3296. All three of the lawsuits assert similar claims under Sections 10(b) and 20(a) of the Exchange Act, and SEC Rule 10b-5. The complaints seek damages purportedly caused by alleged materially misleading statements and/or omissions by us and the named individual officers. In each case, the named plaintiff(s) seek to represent a proposed class of all persons who purchased or otherwise acquired our securities during a period from June 9, 2020 to March 3, 2021 (in the case of Holbrook and Hudda), or November 11, 2020 to March 3, 2021 (in the case of Zawatsky). In August 2021, the Court consolidated the cases, appointed a lead plaintiff and lead counsel and ordered a consolidated amended complaint to be filed. The consolidated case is in preliminary stages, and we have not yet responded. We believe these lawsuits are without merit and intend to vigorously contest these claims. While the outcome of any complex legal proceeding is inherently unpredictable and subject to significant uncertainties, based upon information presently known to management, we believe that the potential liability, if any, will not have a material adverse effect on our financial condition, cash flows, or results of operations.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8" w:lineRule="exact"/>
        <w:rPr>
          <w:sz w:val="20"/>
          <w:szCs w:val="20"/>
          <w:color w:val="auto"/>
        </w:rPr>
      </w:pPr>
    </w:p>
    <w:p>
      <w:pPr>
        <w:ind w:right="20" w:firstLine="749"/>
        <w:spacing w:after="0" w:line="252" w:lineRule="auto"/>
        <w:rPr>
          <w:sz w:val="20"/>
          <w:szCs w:val="20"/>
          <w:color w:val="auto"/>
        </w:rPr>
      </w:pPr>
      <w:r>
        <w:rPr>
          <w:rFonts w:ascii="Arial" w:cs="Arial" w:eastAsia="Arial" w:hAnsi="Arial"/>
          <w:sz w:val="17"/>
          <w:szCs w:val="17"/>
          <w:color w:val="auto"/>
        </w:rPr>
        <w:t xml:space="preserve">Our operations and financial results are subject to various risks and uncertainties including those disclosed under “Item 1A. Risk Factors” in our </w:t>
      </w:r>
      <w:r>
        <w:rPr>
          <w:rFonts w:ascii="Arial" w:cs="Arial" w:eastAsia="Arial" w:hAnsi="Arial"/>
          <w:sz w:val="17"/>
          <w:szCs w:val="17"/>
          <w:u w:val="single" w:color="auto"/>
          <w:color w:val="auto"/>
        </w:rPr>
        <w:t>Annual Report</w:t>
      </w:r>
      <w:r>
        <w:rPr>
          <w:rFonts w:ascii="Arial" w:cs="Arial" w:eastAsia="Arial" w:hAnsi="Arial"/>
          <w:sz w:val="17"/>
          <w:szCs w:val="17"/>
          <w:color w:val="auto"/>
        </w:rPr>
        <w:t xml:space="preserve">. We provide below the material changes to our risk factors described in our </w:t>
      </w:r>
      <w:r>
        <w:rPr>
          <w:rFonts w:ascii="Arial" w:cs="Arial" w:eastAsia="Arial" w:hAnsi="Arial"/>
          <w:sz w:val="17"/>
          <w:szCs w:val="17"/>
          <w:u w:val="single" w:color="auto"/>
          <w:color w:val="auto"/>
        </w:rPr>
        <w:t>Annual Report.</w:t>
      </w:r>
      <w:r>
        <w:rPr>
          <w:rFonts w:ascii="Arial" w:cs="Arial" w:eastAsia="Arial" w:hAnsi="Arial"/>
          <w:sz w:val="17"/>
          <w:szCs w:val="17"/>
          <w:color w:val="auto"/>
        </w:rPr>
        <w:t xml:space="preserve"> If any of these risks or others not specified materialize, our business, financial condition and results of operations could be materially and adversely affected. In that case, the trading price of our common stock could decline and you could lose all or part of your investment in our common stock:</w:t>
      </w:r>
    </w:p>
    <w:p>
      <w:pPr>
        <w:spacing w:after="0" w:line="169" w:lineRule="exact"/>
        <w:rPr>
          <w:sz w:val="20"/>
          <w:szCs w:val="20"/>
          <w:color w:val="auto"/>
        </w:rPr>
      </w:pPr>
    </w:p>
    <w:p>
      <w:pPr>
        <w:ind w:right="180" w:firstLine="637"/>
        <w:spacing w:after="0" w:line="263" w:lineRule="auto"/>
        <w:rPr>
          <w:sz w:val="20"/>
          <w:szCs w:val="20"/>
          <w:color w:val="auto"/>
        </w:rPr>
      </w:pPr>
      <w:r>
        <w:rPr>
          <w:rFonts w:ascii="Arial" w:cs="Arial" w:eastAsia="Arial" w:hAnsi="Arial"/>
          <w:sz w:val="18"/>
          <w:szCs w:val="18"/>
          <w:b w:val="1"/>
          <w:bCs w:val="1"/>
          <w:i w:val="1"/>
          <w:iCs w:val="1"/>
          <w:color w:val="auto"/>
        </w:rPr>
        <w:t>The full extent of the future impact of the COVID-19 pandemic is uncertain and may have an adverse effect on our business, financial condition and results of operations.</w:t>
      </w:r>
    </w:p>
    <w:p>
      <w:pPr>
        <w:spacing w:after="0" w:line="101" w:lineRule="exact"/>
        <w:rPr>
          <w:sz w:val="20"/>
          <w:szCs w:val="20"/>
          <w:color w:val="auto"/>
        </w:rPr>
      </w:pPr>
    </w:p>
    <w:p>
      <w:pPr>
        <w:ind w:right="200" w:firstLine="637"/>
        <w:spacing w:after="0" w:line="236" w:lineRule="auto"/>
        <w:rPr>
          <w:sz w:val="20"/>
          <w:szCs w:val="20"/>
          <w:color w:val="auto"/>
        </w:rPr>
      </w:pPr>
      <w:r>
        <w:rPr>
          <w:rFonts w:ascii="Arial" w:cs="Arial" w:eastAsia="Arial" w:hAnsi="Arial"/>
          <w:sz w:val="18"/>
          <w:szCs w:val="18"/>
          <w:color w:val="auto"/>
        </w:rPr>
        <w:t>Governmental authorities around the world have implemented measures to reduce the spread of COVID-19. These measures have adversely affected workforces, customers, supply chains, consumer sentiment, economies, and financial markets, and, along with decreased consumer spending, led to an economic downturn across many global economies.</w:t>
      </w:r>
    </w:p>
    <w:p>
      <w:pPr>
        <w:spacing w:after="0" w:line="161" w:lineRule="exact"/>
        <w:rPr>
          <w:sz w:val="20"/>
          <w:szCs w:val="20"/>
          <w:color w:val="auto"/>
        </w:rPr>
      </w:pPr>
    </w:p>
    <w:p>
      <w:pPr>
        <w:ind w:firstLine="637"/>
        <w:spacing w:after="0" w:line="232" w:lineRule="auto"/>
        <w:rPr>
          <w:sz w:val="20"/>
          <w:szCs w:val="20"/>
          <w:color w:val="auto"/>
        </w:rPr>
      </w:pPr>
      <w:r>
        <w:rPr>
          <w:rFonts w:ascii="Arial" w:cs="Arial" w:eastAsia="Arial" w:hAnsi="Arial"/>
          <w:sz w:val="18"/>
          <w:szCs w:val="18"/>
          <w:color w:val="auto"/>
        </w:rPr>
        <w:t>The COVID-19 pandemic rapidly escalated in the United States, creating significant uncertainty and economic disruption, and leading to record levels of unemployment nationally. Numerous state and local jurisdictions imposed, and others in the future may impose, shelter-in-place orders, quarantines, shut-downs or restrictions on operations of non-essential businesses, and similar government orders and restrictions on their residents to control the spread of COVID-19. While such orders or restrictions have been lifted in many jurisdictions, certain of those orders have been or may be re-instated, new orders have been imposed and future orders may be imposed as the COVID-19 pandemic continues and new variants of the virus surface. Such orders or restrictions resulted in temporary facility closures (including certain of our third-party VRCs), work stoppages, slowdowns and travel restrictions, among other effects, thereby adversely impacting our operations. While vaccination efforts have led to the lifting of many of the shut-down orders and restrictions across the country, due to the evolving nature of the COVID-19 crisis, including the spread of new variants of the virus, and the uncertainties surrounding the efficacy of vaccines and other treatments for COVID-19, including with respect to the success of vaccination efforts, we continue to monitor the situation closely and assess the impact on our business.</w:t>
      </w:r>
    </w:p>
    <w:p>
      <w:pPr>
        <w:spacing w:after="0" w:line="208" w:lineRule="exact"/>
        <w:rPr>
          <w:sz w:val="20"/>
          <w:szCs w:val="20"/>
          <w:color w:val="auto"/>
        </w:rPr>
      </w:pPr>
    </w:p>
    <w:p>
      <w:pPr>
        <w:ind w:right="40" w:firstLine="644"/>
        <w:spacing w:after="0" w:line="247" w:lineRule="auto"/>
        <w:rPr>
          <w:sz w:val="20"/>
          <w:szCs w:val="20"/>
          <w:color w:val="auto"/>
        </w:rPr>
      </w:pPr>
      <w:r>
        <w:rPr>
          <w:rFonts w:ascii="Arial" w:cs="Arial" w:eastAsia="Arial" w:hAnsi="Arial"/>
          <w:sz w:val="17"/>
          <w:szCs w:val="17"/>
          <w:color w:val="auto"/>
        </w:rPr>
        <w:t>In response to the COVID-19 disruptions, we implemented a number of measures designed to protect the health and safety of our workforce. These measures included restrictions on non-essential business travel, the institution of work-from-home policies wherever feasible and the implementation of strategies for workplace safety at our facilities that remain open. We are following the guidance from public health officials and government agencies, including limiting the number of employees in our office facilities, implementation of enhanced cleaning measures, social distancing guidelines, wearing of masks, eliminating non-essential vendor / guest visitation, and requiring health attestations and temperature checks prior to entering facilities, in each case subject to local requirements. Seating, signage, and cleaning materials have been added to ensure adherence to best practices for employee health and safety during this pandemic. Where feasible, we operate on a rotating team schedule to reduce exposure and also require any diagnosed or exposed employees to self-isolate for up to two weeks before returning to work. The TDA dealership, our Stafford, TX reconditioning center and our back-office facility in Houston continued to remain open during the year ended December 31, 2020 and through the date of this Quarterly Report on Form 10-Q. The nature of work over the last year has been greatly altered by COVID-19 and related protocols which have, in turn, broadly shifted employee sentiment regarding in-person work, compensation, and flexibility. As many state and local jurisdictions lift shelter-in-place orders, quarantines,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50800</wp:posOffset>
            </wp:positionV>
            <wp:extent cx="715962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1" w:lineRule="exact"/>
        <w:rPr>
          <w:sz w:val="20"/>
          <w:szCs w:val="20"/>
          <w:color w:val="auto"/>
        </w:rPr>
      </w:pPr>
    </w:p>
    <w:p>
      <w:pPr>
        <w:ind w:right="160"/>
        <w:spacing w:after="0" w:line="233" w:lineRule="auto"/>
        <w:rPr>
          <w:sz w:val="20"/>
          <w:szCs w:val="20"/>
          <w:color w:val="auto"/>
        </w:rPr>
      </w:pPr>
      <w:r>
        <w:rPr>
          <w:rFonts w:ascii="Arial" w:cs="Arial" w:eastAsia="Arial" w:hAnsi="Arial"/>
          <w:sz w:val="18"/>
          <w:szCs w:val="18"/>
          <w:color w:val="auto"/>
        </w:rPr>
        <w:t>shut-downs or restrictions on operations of non-essential businesses, and similar government orders and restrictions, we have begun modifying our policies and practice regarding in-person work and intend to begin re-opening additional offices and instituting return-to-office policies on a modified basis for some employees who have been working remotely throughout the pandemic. All actions will be taken in accordance with updated state and local health and safety guidance and requirements for in-office work. Nevertheless, the unpredictable nature of the virus, its treatment and worker sentiment may further delay routine in-person work and reduce the effectiveness of efforts aimed at improving employee retention; there can be no assurance that there will not be future material disruptions in our workforce. The various workforce health and safety measures we have taken have led to increased operating expenses and future health and safety measures may lead to further increases.</w:t>
      </w:r>
    </w:p>
    <w:p>
      <w:pPr>
        <w:spacing w:after="0" w:line="150" w:lineRule="exact"/>
        <w:rPr>
          <w:sz w:val="20"/>
          <w:szCs w:val="20"/>
          <w:color w:val="auto"/>
        </w:rPr>
      </w:pPr>
    </w:p>
    <w:p>
      <w:pPr>
        <w:ind w:right="80" w:firstLine="637"/>
        <w:spacing w:after="0" w:line="234" w:lineRule="auto"/>
        <w:rPr>
          <w:sz w:val="20"/>
          <w:szCs w:val="20"/>
          <w:color w:val="auto"/>
        </w:rPr>
      </w:pPr>
      <w:r>
        <w:rPr>
          <w:rFonts w:ascii="Arial" w:cs="Arial" w:eastAsia="Arial" w:hAnsi="Arial"/>
          <w:sz w:val="18"/>
          <w:szCs w:val="18"/>
          <w:color w:val="auto"/>
        </w:rPr>
        <w:t>The extent to which COVID-19 ultimately impacts our business, financial condition and results of operations will depend on future developments, which are highly uncertain and unpredictable, including new information which may emerge concerning the severity and duration of the COVID-19 pandemic and the effectiveness of actions taken to contain the spread of COVID-19 or treat its impact, including the efficacy of vaccines and other treatments for COVID-19, including with respect to the success of vaccination efforts, and the resistance of new variants of the virus to vaccines, among others. The ultimate consequences of the COVID-19 pandemic cannot be predicted with certainty, but it could have a material effect on our business, operating results, financial condition and prospects.</w:t>
      </w:r>
    </w:p>
    <w:p>
      <w:pPr>
        <w:spacing w:after="0" w:line="160" w:lineRule="exact"/>
        <w:rPr>
          <w:sz w:val="20"/>
          <w:szCs w:val="20"/>
          <w:color w:val="auto"/>
        </w:rPr>
      </w:pPr>
    </w:p>
    <w:p>
      <w:pPr>
        <w:ind w:firstLine="637"/>
        <w:spacing w:after="0" w:line="233" w:lineRule="auto"/>
        <w:rPr>
          <w:rFonts w:ascii="Arial" w:cs="Arial" w:eastAsia="Arial" w:hAnsi="Arial"/>
          <w:sz w:val="18"/>
          <w:szCs w:val="18"/>
          <w:color w:val="auto"/>
        </w:rPr>
      </w:pPr>
      <w:r>
        <w:rPr>
          <w:rFonts w:ascii="Arial" w:cs="Arial" w:eastAsia="Arial" w:hAnsi="Arial"/>
          <w:sz w:val="18"/>
          <w:szCs w:val="18"/>
          <w:color w:val="auto"/>
        </w:rPr>
        <w:t xml:space="preserve">In addition to the COVID-19 disruptions described above, the pandemic may also have the effect of heightening many of the other risks described under “Item 1A. Risk Factors” in our </w:t>
      </w:r>
      <w:hyperlink r:id="rId71">
        <w:r>
          <w:rPr>
            <w:rFonts w:ascii="Arial" w:cs="Arial" w:eastAsia="Arial" w:hAnsi="Arial"/>
            <w:sz w:val="18"/>
            <w:szCs w:val="18"/>
            <w:u w:val="single" w:color="auto"/>
            <w:color w:val="0563C1"/>
          </w:rPr>
          <w:t>Annual Report on Form 10-K for the year ended December 31, 2020</w:t>
        </w:r>
      </w:hyperlink>
      <w:r>
        <w:rPr>
          <w:rFonts w:ascii="Arial" w:cs="Arial" w:eastAsia="Arial" w:hAnsi="Arial"/>
          <w:sz w:val="18"/>
          <w:szCs w:val="18"/>
          <w:color w:val="auto"/>
        </w:rPr>
        <w:t>, including risks relating to changes in consumer demand; our limited operating history; our ability to generate sufficient revenue to generate positive cash flow; the operation of TDA; our relationships with third party customer experience teams; the availability of third-party providers to deliver our vehicles to customers nationwide; the operation of our VRCs by us and our third party service providers; the current geographic concentration of reconditioning services and store inventory; our level of indebtedness; our agreement with a single lender to finance our vehicle inventory purchases and the expiration of such agreement; our access to desirable vehicle inventory; regulatory restrictions; and the shift by traditional dealers to online sales and deliveries.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2339340</wp:posOffset>
            </wp:positionH>
            <wp:positionV relativeFrom="paragraph">
              <wp:posOffset>-782955</wp:posOffset>
            </wp:positionV>
            <wp:extent cx="340677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3406775" cy="8255"/>
                    </a:xfrm>
                    <a:prstGeom prst="rect">
                      <a:avLst/>
                    </a:prstGeom>
                    <a:noFill/>
                  </pic:spPr>
                </pic:pic>
              </a:graphicData>
            </a:graphic>
          </wp:anchor>
        </w:drawing>
      </w:r>
    </w:p>
    <w:p>
      <w:pPr>
        <w:spacing w:after="0" w:line="161" w:lineRule="exact"/>
        <w:rPr>
          <w:sz w:val="20"/>
          <w:szCs w:val="20"/>
          <w:color w:val="auto"/>
        </w:rPr>
      </w:pPr>
    </w:p>
    <w:p>
      <w:pPr>
        <w:ind w:right="420" w:firstLine="749"/>
        <w:spacing w:after="0" w:line="293" w:lineRule="auto"/>
        <w:rPr>
          <w:sz w:val="20"/>
          <w:szCs w:val="20"/>
          <w:color w:val="auto"/>
        </w:rPr>
      </w:pPr>
      <w:r>
        <w:rPr>
          <w:rFonts w:ascii="Arial" w:cs="Arial" w:eastAsia="Arial" w:hAnsi="Arial"/>
          <w:sz w:val="17"/>
          <w:szCs w:val="17"/>
          <w:b w:val="1"/>
          <w:bCs w:val="1"/>
          <w:i w:val="1"/>
          <w:iCs w:val="1"/>
          <w:color w:val="auto"/>
        </w:rPr>
        <w:t>Our indebtedness and liabilities could limit the cash flow available for our operations, expose us to risks that could adversely affect our business, financial condition and results of operations and impair our ability to satisfy our debt obligations.</w:t>
      </w:r>
    </w:p>
    <w:p>
      <w:pPr>
        <w:spacing w:after="0" w:line="157" w:lineRule="exact"/>
        <w:rPr>
          <w:sz w:val="20"/>
          <w:szCs w:val="20"/>
          <w:color w:val="auto"/>
        </w:rPr>
      </w:pPr>
    </w:p>
    <w:p>
      <w:pPr>
        <w:jc w:val="both"/>
        <w:ind w:right="20" w:firstLine="749"/>
        <w:spacing w:after="0" w:line="236" w:lineRule="auto"/>
        <w:rPr>
          <w:sz w:val="20"/>
          <w:szCs w:val="20"/>
          <w:color w:val="auto"/>
        </w:rPr>
      </w:pPr>
      <w:r>
        <w:rPr>
          <w:rFonts w:ascii="Arial" w:cs="Arial" w:eastAsia="Arial" w:hAnsi="Arial"/>
          <w:sz w:val="18"/>
          <w:szCs w:val="18"/>
          <w:color w:val="auto"/>
        </w:rPr>
        <w:t>As of June 30, 2021, we, including our subsidiaries, had approximately $972.6 million principal amount of consolidated indebtedness. We may incur additional indebtedness to meet future financing needs. Our indebtedness could have significant negative consequences for our security holders and our business, results of operations and financial condition by, among other things:</w:t>
      </w:r>
    </w:p>
    <w:p>
      <w:pPr>
        <w:spacing w:after="0" w:line="201" w:lineRule="exact"/>
        <w:rPr>
          <w:sz w:val="20"/>
          <w:szCs w:val="20"/>
          <w:color w:val="auto"/>
        </w:rPr>
      </w:pPr>
    </w:p>
    <w:p>
      <w:pPr>
        <w:ind w:left="1500" w:hanging="375"/>
        <w:spacing w:after="0"/>
        <w:tabs>
          <w:tab w:leader="none" w:pos="15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increasing our vulnerability to adverse economic and industry conditions;</w:t>
      </w:r>
    </w:p>
    <w:p>
      <w:pPr>
        <w:spacing w:after="0" w:line="232" w:lineRule="exact"/>
        <w:rPr>
          <w:rFonts w:ascii="Arial" w:cs="Arial" w:eastAsia="Arial" w:hAnsi="Arial"/>
          <w:sz w:val="18"/>
          <w:szCs w:val="18"/>
          <w:color w:val="auto"/>
        </w:rPr>
      </w:pPr>
    </w:p>
    <w:p>
      <w:pPr>
        <w:ind w:left="1500" w:hanging="375"/>
        <w:spacing w:after="0"/>
        <w:tabs>
          <w:tab w:leader="none" w:pos="15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limiting our ability to obtain additional financing;</w:t>
      </w:r>
    </w:p>
    <w:p>
      <w:pPr>
        <w:spacing w:after="0" w:line="232" w:lineRule="exact"/>
        <w:rPr>
          <w:rFonts w:ascii="Arial" w:cs="Arial" w:eastAsia="Arial" w:hAnsi="Arial"/>
          <w:sz w:val="18"/>
          <w:szCs w:val="18"/>
          <w:color w:val="auto"/>
        </w:rPr>
      </w:pPr>
    </w:p>
    <w:p>
      <w:pPr>
        <w:ind w:left="1500" w:right="400" w:hanging="375"/>
        <w:spacing w:after="0" w:line="239" w:lineRule="auto"/>
        <w:tabs>
          <w:tab w:leader="none" w:pos="15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requiring the dedication of a substantial portion of our cash flow from operations to service our indebtedness, which will reduce the amount of cash available for other purposes;</w:t>
      </w:r>
    </w:p>
    <w:p>
      <w:pPr>
        <w:spacing w:after="0" w:line="200" w:lineRule="exact"/>
        <w:rPr>
          <w:rFonts w:ascii="Arial" w:cs="Arial" w:eastAsia="Arial" w:hAnsi="Arial"/>
          <w:sz w:val="18"/>
          <w:szCs w:val="18"/>
          <w:color w:val="auto"/>
        </w:rPr>
      </w:pPr>
    </w:p>
    <w:p>
      <w:pPr>
        <w:ind w:left="1500" w:hanging="375"/>
        <w:spacing w:after="0"/>
        <w:tabs>
          <w:tab w:leader="none" w:pos="15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limiting our flexibility to plan for, or react to, changes in our business;</w:t>
      </w:r>
    </w:p>
    <w:p>
      <w:pPr>
        <w:spacing w:after="0" w:line="232" w:lineRule="exact"/>
        <w:rPr>
          <w:rFonts w:ascii="Arial" w:cs="Arial" w:eastAsia="Arial" w:hAnsi="Arial"/>
          <w:sz w:val="18"/>
          <w:szCs w:val="18"/>
          <w:color w:val="auto"/>
        </w:rPr>
      </w:pPr>
    </w:p>
    <w:p>
      <w:pPr>
        <w:ind w:left="1500" w:right="140" w:hanging="375"/>
        <w:spacing w:after="0" w:line="239" w:lineRule="auto"/>
        <w:tabs>
          <w:tab w:leader="none" w:pos="15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diluting the interests of our existing stockholders as a result of issuing shares of our common stock upon conversion of our 0.750% convertible senior notes due 2026, which we refer to as our notes; and</w:t>
      </w:r>
    </w:p>
    <w:p>
      <w:pPr>
        <w:spacing w:after="0" w:line="200" w:lineRule="exact"/>
        <w:rPr>
          <w:rFonts w:ascii="Arial" w:cs="Arial" w:eastAsia="Arial" w:hAnsi="Arial"/>
          <w:sz w:val="18"/>
          <w:szCs w:val="18"/>
          <w:color w:val="auto"/>
        </w:rPr>
      </w:pPr>
    </w:p>
    <w:p>
      <w:pPr>
        <w:ind w:left="1500" w:right="80" w:hanging="375"/>
        <w:spacing w:after="0" w:line="239" w:lineRule="auto"/>
        <w:tabs>
          <w:tab w:leader="none" w:pos="15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placing us at a possible competitive disadvantage with competitors that are less leveraged than us or have better access to capital.</w:t>
      </w:r>
    </w:p>
    <w:p>
      <w:pPr>
        <w:spacing w:after="0" w:line="200" w:lineRule="exact"/>
        <w:rPr>
          <w:sz w:val="20"/>
          <w:szCs w:val="20"/>
          <w:color w:val="auto"/>
        </w:rPr>
      </w:pPr>
    </w:p>
    <w:p>
      <w:pPr>
        <w:ind w:right="60" w:firstLine="749"/>
        <w:spacing w:after="0" w:line="234" w:lineRule="auto"/>
        <w:rPr>
          <w:sz w:val="20"/>
          <w:szCs w:val="20"/>
          <w:color w:val="auto"/>
        </w:rPr>
      </w:pPr>
      <w:r>
        <w:rPr>
          <w:rFonts w:ascii="Arial" w:cs="Arial" w:eastAsia="Arial" w:hAnsi="Arial"/>
          <w:sz w:val="18"/>
          <w:szCs w:val="18"/>
          <w:color w:val="auto"/>
        </w:rPr>
        <w:t>Our business may not generate sufficient funds, and we may otherwise be unable to maintain sufficient cash reserves, or to pay amounts due under our indebtedness, and our cash needs may increase in the future. In addition, our existing indebtedness contains, and any future indebtedness that we may incur may contain, financial and other restrictive covenants that may limit our ability to operate our business, raise capital or make payments under our other indebtedness. If we fail to comply with these covenants or to make payments under our indebtedness when due, then we would be in default under that indebtedness, which could, in turn, result in that and our other indebtedness becoming immediately payable in full.</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50800</wp:posOffset>
            </wp:positionV>
            <wp:extent cx="715962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6" w:lineRule="exact"/>
        <w:rPr>
          <w:sz w:val="20"/>
          <w:szCs w:val="20"/>
          <w:color w:val="auto"/>
        </w:rPr>
      </w:pPr>
    </w:p>
    <w:p>
      <w:pPr>
        <w:ind w:right="400" w:firstLine="749"/>
        <w:spacing w:after="0" w:line="263" w:lineRule="auto"/>
        <w:rPr>
          <w:sz w:val="20"/>
          <w:szCs w:val="20"/>
          <w:color w:val="auto"/>
        </w:rPr>
      </w:pPr>
      <w:r>
        <w:rPr>
          <w:rFonts w:ascii="Arial" w:cs="Arial" w:eastAsia="Arial" w:hAnsi="Arial"/>
          <w:sz w:val="18"/>
          <w:szCs w:val="18"/>
          <w:b w:val="1"/>
          <w:bCs w:val="1"/>
          <w:i w:val="1"/>
          <w:iCs w:val="1"/>
          <w:color w:val="auto"/>
        </w:rPr>
        <w:t>Provisions in the indenture governing our outstanding convertible notes could delay or prevent an otherwise beneficial takeover of us.</w:t>
      </w:r>
    </w:p>
    <w:p>
      <w:pPr>
        <w:spacing w:after="0" w:line="181" w:lineRule="exact"/>
        <w:rPr>
          <w:sz w:val="20"/>
          <w:szCs w:val="20"/>
          <w:color w:val="auto"/>
        </w:rPr>
      </w:pPr>
    </w:p>
    <w:p>
      <w:pPr>
        <w:ind w:firstLine="749"/>
        <w:spacing w:after="0" w:line="233" w:lineRule="auto"/>
        <w:rPr>
          <w:sz w:val="20"/>
          <w:szCs w:val="20"/>
          <w:color w:val="auto"/>
        </w:rPr>
      </w:pPr>
      <w:r>
        <w:rPr>
          <w:rFonts w:ascii="Arial" w:cs="Arial" w:eastAsia="Arial" w:hAnsi="Arial"/>
          <w:sz w:val="18"/>
          <w:szCs w:val="18"/>
          <w:color w:val="auto"/>
        </w:rPr>
        <w:t>On June 18, 2021, we issued $625.0 million aggregate principal amount of 0.75% Convertible Senior Notes due 2026 (the “Notes”). Certain provisions in our Notes and our indenture governing our Notes could make a third party attempt to acquire us more difficult or expensive. For example, if a takeover constitutes a fundamental change, then noteholders will have the right to require us to repurchase their Notes for cash. In addition, if a takeover constitutes a make-whole fundamental change, then we may be required to temporarily increase the conversion rate. In either case, and in other cases, our obligations under our Notes and our indenture could increase the cost of acquiring us or otherwise discourage a third party from acquiring us or removing incumbent management, including in a transaction that our security holders may view as favorable.</w:t>
      </w:r>
    </w:p>
    <w:p>
      <w:pPr>
        <w:spacing w:after="0" w:line="182" w:lineRule="exact"/>
        <w:rPr>
          <w:sz w:val="20"/>
          <w:szCs w:val="20"/>
          <w:color w:val="auto"/>
        </w:rPr>
      </w:pPr>
    </w:p>
    <w:p>
      <w:pPr>
        <w:ind w:right="220" w:firstLine="749"/>
        <w:spacing w:after="0" w:line="263" w:lineRule="auto"/>
        <w:rPr>
          <w:sz w:val="20"/>
          <w:szCs w:val="20"/>
          <w:color w:val="auto"/>
        </w:rPr>
      </w:pPr>
      <w:r>
        <w:rPr>
          <w:rFonts w:ascii="Arial" w:cs="Arial" w:eastAsia="Arial" w:hAnsi="Arial"/>
          <w:sz w:val="18"/>
          <w:szCs w:val="18"/>
          <w:b w:val="1"/>
          <w:bCs w:val="1"/>
          <w:i w:val="1"/>
          <w:iCs w:val="1"/>
          <w:color w:val="auto"/>
        </w:rPr>
        <w:t>The issuance or sale of shares of our common stock, or rights to acquire shares of our common stock, could depress the trading price of our common stock and our notes.</w:t>
      </w:r>
    </w:p>
    <w:p>
      <w:pPr>
        <w:spacing w:after="0" w:line="181" w:lineRule="exact"/>
        <w:rPr>
          <w:sz w:val="20"/>
          <w:szCs w:val="20"/>
          <w:color w:val="auto"/>
        </w:rPr>
      </w:pPr>
    </w:p>
    <w:p>
      <w:pPr>
        <w:ind w:firstLine="749"/>
        <w:spacing w:after="0" w:line="233" w:lineRule="auto"/>
        <w:rPr>
          <w:sz w:val="20"/>
          <w:szCs w:val="20"/>
          <w:color w:val="auto"/>
        </w:rPr>
      </w:pPr>
      <w:r>
        <w:rPr>
          <w:rFonts w:ascii="Arial" w:cs="Arial" w:eastAsia="Arial" w:hAnsi="Arial"/>
          <w:sz w:val="18"/>
          <w:szCs w:val="18"/>
          <w:color w:val="auto"/>
        </w:rPr>
        <w:t>We may conduct future offerings of our common stock, preferred stock or other securities that are convertible into or exercisable for our common stock to finance our operations or fund acquisitions, or for other purposes. In addition, as of June 30, 2021, we had reserved 2,778,836 shares of our common stock for issuance under our equity incentive plans. The indenture for our Notes does not restrict our ability to issue additional equity securities in the future. If we issue additional shares of our common stock or rights to acquire shares of our common stock, if any of our existing stockholders sells a substantial amount of our common stock, or if the market perceives that such issuances or sales may occur, then the trading price of our common stock, and, accordingly, our Notes may significantly decline. In addition, our issuance of additional shares of common stock will dilute the ownership interests of our existing common stockholders, including noteholders who have received shares of our common stock upon conversion of their Notes.</w:t>
      </w:r>
    </w:p>
    <w:p>
      <w:pPr>
        <w:spacing w:after="0" w:line="181" w:lineRule="exact"/>
        <w:rPr>
          <w:sz w:val="20"/>
          <w:szCs w:val="20"/>
          <w:color w:val="auto"/>
        </w:rPr>
      </w:pPr>
    </w:p>
    <w:p>
      <w:pPr>
        <w:ind w:right="700" w:firstLine="637"/>
        <w:spacing w:after="0" w:line="263" w:lineRule="auto"/>
        <w:rPr>
          <w:sz w:val="20"/>
          <w:szCs w:val="20"/>
          <w:color w:val="auto"/>
        </w:rPr>
      </w:pPr>
      <w:r>
        <w:rPr>
          <w:rFonts w:ascii="Arial" w:cs="Arial" w:eastAsia="Arial" w:hAnsi="Arial"/>
          <w:sz w:val="18"/>
          <w:szCs w:val="18"/>
          <w:b w:val="1"/>
          <w:bCs w:val="1"/>
          <w:i w:val="1"/>
          <w:iCs w:val="1"/>
          <w:color w:val="auto"/>
        </w:rPr>
        <w:t>Our common stock price may be volatile and the value of our common stock may decline regardless of our operating performance, and you may not be able to resell your shares at or above the price which you paid for them.</w:t>
      </w:r>
    </w:p>
    <w:p>
      <w:pPr>
        <w:spacing w:after="0" w:line="181" w:lineRule="exact"/>
        <w:rPr>
          <w:sz w:val="20"/>
          <w:szCs w:val="20"/>
          <w:color w:val="auto"/>
        </w:rPr>
      </w:pPr>
    </w:p>
    <w:p>
      <w:pPr>
        <w:ind w:right="100" w:firstLine="637"/>
        <w:spacing w:after="0" w:line="239" w:lineRule="auto"/>
        <w:rPr>
          <w:sz w:val="20"/>
          <w:szCs w:val="20"/>
          <w:color w:val="auto"/>
        </w:rPr>
      </w:pPr>
      <w:r>
        <w:rPr>
          <w:rFonts w:ascii="Arial" w:cs="Arial" w:eastAsia="Arial" w:hAnsi="Arial"/>
          <w:sz w:val="18"/>
          <w:szCs w:val="18"/>
          <w:color w:val="auto"/>
        </w:rPr>
        <w:t>It is possible that an active trading market for shares of our common stock will not be sustained, which could make it difficult for you to sell your shares of common stock at an attractive price or at all.</w:t>
      </w:r>
    </w:p>
    <w:p>
      <w:pPr>
        <w:spacing w:after="0" w:line="200" w:lineRule="exact"/>
        <w:rPr>
          <w:sz w:val="20"/>
          <w:szCs w:val="20"/>
          <w:color w:val="auto"/>
        </w:rPr>
      </w:pPr>
    </w:p>
    <w:p>
      <w:pPr>
        <w:ind w:right="180" w:firstLine="637"/>
        <w:spacing w:after="0" w:line="236" w:lineRule="auto"/>
        <w:rPr>
          <w:sz w:val="20"/>
          <w:szCs w:val="20"/>
          <w:color w:val="auto"/>
        </w:rPr>
      </w:pPr>
      <w:r>
        <w:rPr>
          <w:rFonts w:ascii="Arial" w:cs="Arial" w:eastAsia="Arial" w:hAnsi="Arial"/>
          <w:sz w:val="18"/>
          <w:szCs w:val="18"/>
          <w:color w:val="auto"/>
        </w:rPr>
        <w:t>Many factors, some of which are outside our control, may cause the market price of our common stock to fluctuate significantly, including those described in the “Risk Factors” sections of our Annual Report and quarterly reports and elsewhere in this Quarterly Report on Form 10-Q, as well as the following:</w:t>
      </w:r>
    </w:p>
    <w:p>
      <w:pPr>
        <w:spacing w:after="0" w:line="188" w:lineRule="exact"/>
        <w:rPr>
          <w:sz w:val="20"/>
          <w:szCs w:val="20"/>
          <w:color w:val="auto"/>
        </w:rPr>
      </w:pPr>
    </w:p>
    <w:p>
      <w:pPr>
        <w:ind w:left="1000" w:hanging="368"/>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operating and financial performance and prospects;</w:t>
      </w:r>
    </w:p>
    <w:p>
      <w:pPr>
        <w:spacing w:after="0" w:line="232" w:lineRule="exact"/>
        <w:rPr>
          <w:rFonts w:ascii="Arial" w:cs="Arial" w:eastAsia="Arial" w:hAnsi="Arial"/>
          <w:sz w:val="18"/>
          <w:szCs w:val="18"/>
          <w:color w:val="auto"/>
        </w:rPr>
      </w:pPr>
    </w:p>
    <w:p>
      <w:pPr>
        <w:ind w:left="1000" w:hanging="368"/>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quarterly or annual earnings or those of other companies in our industry compared to market expectations;</w:t>
      </w:r>
    </w:p>
    <w:p>
      <w:pPr>
        <w:spacing w:after="0" w:line="232" w:lineRule="exact"/>
        <w:rPr>
          <w:rFonts w:ascii="Arial" w:cs="Arial" w:eastAsia="Arial" w:hAnsi="Arial"/>
          <w:sz w:val="18"/>
          <w:szCs w:val="18"/>
          <w:color w:val="auto"/>
        </w:rPr>
      </w:pPr>
    </w:p>
    <w:p>
      <w:pPr>
        <w:ind w:left="1000" w:hanging="368"/>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guidance regarding future quarterly or annual earnings, and our financial results in relation to previously issued guidance;</w:t>
      </w:r>
    </w:p>
    <w:p>
      <w:pPr>
        <w:spacing w:after="0" w:line="232" w:lineRule="exact"/>
        <w:rPr>
          <w:rFonts w:ascii="Arial" w:cs="Arial" w:eastAsia="Arial" w:hAnsi="Arial"/>
          <w:sz w:val="18"/>
          <w:szCs w:val="18"/>
          <w:color w:val="auto"/>
        </w:rPr>
      </w:pPr>
    </w:p>
    <w:p>
      <w:pPr>
        <w:ind w:left="1000" w:right="520" w:hanging="368"/>
        <w:spacing w:after="0" w:line="239" w:lineRule="auto"/>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conditions that impact demand for our offerings and platform, including demand in the automotive industry generally and the performance of the third parties through whom we conduct significant parts of our business;</w:t>
      </w:r>
    </w:p>
    <w:p>
      <w:pPr>
        <w:spacing w:after="0" w:line="200" w:lineRule="exact"/>
        <w:rPr>
          <w:rFonts w:ascii="Arial" w:cs="Arial" w:eastAsia="Arial" w:hAnsi="Arial"/>
          <w:sz w:val="18"/>
          <w:szCs w:val="18"/>
          <w:color w:val="auto"/>
        </w:rPr>
      </w:pPr>
    </w:p>
    <w:p>
      <w:pPr>
        <w:ind w:left="1000" w:hanging="368"/>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future announcements concerning our business or our competitors’ businesses;</w:t>
      </w:r>
    </w:p>
    <w:p>
      <w:pPr>
        <w:spacing w:after="0" w:line="218" w:lineRule="exact"/>
        <w:rPr>
          <w:rFonts w:ascii="Arial" w:cs="Arial" w:eastAsia="Arial" w:hAnsi="Arial"/>
          <w:sz w:val="18"/>
          <w:szCs w:val="18"/>
          <w:color w:val="auto"/>
        </w:rPr>
      </w:pPr>
    </w:p>
    <w:p>
      <w:pPr>
        <w:ind w:left="1000" w:hanging="368"/>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public’s reaction to our press releases, other public announcements and filings with the SEC;</w:t>
      </w:r>
    </w:p>
    <w:p>
      <w:pPr>
        <w:spacing w:after="0" w:line="232" w:lineRule="exact"/>
        <w:rPr>
          <w:rFonts w:ascii="Arial" w:cs="Arial" w:eastAsia="Arial" w:hAnsi="Arial"/>
          <w:sz w:val="18"/>
          <w:szCs w:val="18"/>
          <w:color w:val="auto"/>
        </w:rPr>
      </w:pPr>
    </w:p>
    <w:p>
      <w:pPr>
        <w:ind w:left="1000" w:hanging="368"/>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coverage by or changes in financial estimates by securities analysts or failure to meet their expectations;</w:t>
      </w:r>
    </w:p>
    <w:p>
      <w:pPr>
        <w:spacing w:after="0" w:line="218" w:lineRule="exact"/>
        <w:rPr>
          <w:rFonts w:ascii="Arial" w:cs="Arial" w:eastAsia="Arial" w:hAnsi="Arial"/>
          <w:sz w:val="18"/>
          <w:szCs w:val="18"/>
          <w:color w:val="auto"/>
        </w:rPr>
      </w:pPr>
    </w:p>
    <w:p>
      <w:pPr>
        <w:ind w:left="1000" w:hanging="368"/>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market and industry perception of our success, or lack thereof, in pursuing our growth strategy;</w:t>
      </w:r>
    </w:p>
    <w:p>
      <w:pPr>
        <w:spacing w:after="0" w:line="232" w:lineRule="exact"/>
        <w:rPr>
          <w:rFonts w:ascii="Arial" w:cs="Arial" w:eastAsia="Arial" w:hAnsi="Arial"/>
          <w:sz w:val="18"/>
          <w:szCs w:val="18"/>
          <w:color w:val="auto"/>
        </w:rPr>
      </w:pPr>
    </w:p>
    <w:p>
      <w:pPr>
        <w:ind w:left="1000" w:hanging="368"/>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strategic actions by us or our competitors, such as acquisitions or restructurings;</w:t>
      </w:r>
    </w:p>
    <w:p>
      <w:pPr>
        <w:spacing w:after="0" w:line="232" w:lineRule="exact"/>
        <w:rPr>
          <w:rFonts w:ascii="Arial" w:cs="Arial" w:eastAsia="Arial" w:hAnsi="Arial"/>
          <w:sz w:val="18"/>
          <w:szCs w:val="18"/>
          <w:color w:val="auto"/>
        </w:rPr>
      </w:pPr>
    </w:p>
    <w:p>
      <w:pPr>
        <w:ind w:left="1000" w:hanging="368"/>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laws or regulations which adversely affect our industry or us;</w:t>
      </w:r>
    </w:p>
    <w:p>
      <w:pPr>
        <w:spacing w:after="0" w:line="232" w:lineRule="exact"/>
        <w:rPr>
          <w:rFonts w:ascii="Arial" w:cs="Arial" w:eastAsia="Arial" w:hAnsi="Arial"/>
          <w:sz w:val="18"/>
          <w:szCs w:val="18"/>
          <w:color w:val="auto"/>
        </w:rPr>
      </w:pPr>
    </w:p>
    <w:p>
      <w:pPr>
        <w:ind w:left="1000" w:hanging="368"/>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accounting standards, policies, guidance, interpretations or principles;</w:t>
      </w:r>
    </w:p>
    <w:p>
      <w:pPr>
        <w:spacing w:after="0" w:line="232" w:lineRule="exact"/>
        <w:rPr>
          <w:rFonts w:ascii="Arial" w:cs="Arial" w:eastAsia="Arial" w:hAnsi="Arial"/>
          <w:sz w:val="18"/>
          <w:szCs w:val="18"/>
          <w:color w:val="auto"/>
        </w:rPr>
      </w:pPr>
    </w:p>
    <w:p>
      <w:pPr>
        <w:ind w:left="1000" w:hanging="368"/>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senior management or key personnel;</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50800</wp:posOffset>
            </wp:positionV>
            <wp:extent cx="715962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p>
      <w:pPr>
        <w:ind w:left="1000" w:hanging="368"/>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issuances, exchanges or sales, or expected issuances, exchanges or sales of our capital stock;</w:t>
      </w:r>
    </w:p>
    <w:p>
      <w:pPr>
        <w:spacing w:after="0" w:line="232" w:lineRule="exact"/>
        <w:rPr>
          <w:rFonts w:ascii="Arial" w:cs="Arial" w:eastAsia="Arial" w:hAnsi="Arial"/>
          <w:sz w:val="18"/>
          <w:szCs w:val="18"/>
          <w:color w:val="auto"/>
        </w:rPr>
      </w:pPr>
    </w:p>
    <w:p>
      <w:pPr>
        <w:ind w:left="1000" w:hanging="368"/>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in our dividend policy;</w:t>
      </w:r>
    </w:p>
    <w:p>
      <w:pPr>
        <w:spacing w:after="0" w:line="232" w:lineRule="exact"/>
        <w:rPr>
          <w:rFonts w:ascii="Arial" w:cs="Arial" w:eastAsia="Arial" w:hAnsi="Arial"/>
          <w:sz w:val="18"/>
          <w:szCs w:val="18"/>
          <w:color w:val="auto"/>
        </w:rPr>
      </w:pPr>
    </w:p>
    <w:p>
      <w:pPr>
        <w:ind w:left="1000" w:hanging="368"/>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new, or adverse resolution of pending, litigation or other claims against us; and</w:t>
      </w:r>
    </w:p>
    <w:p>
      <w:pPr>
        <w:spacing w:after="0" w:line="232" w:lineRule="exact"/>
        <w:rPr>
          <w:rFonts w:ascii="Arial" w:cs="Arial" w:eastAsia="Arial" w:hAnsi="Arial"/>
          <w:sz w:val="18"/>
          <w:szCs w:val="18"/>
          <w:color w:val="auto"/>
        </w:rPr>
      </w:pPr>
    </w:p>
    <w:p>
      <w:pPr>
        <w:ind w:left="1000" w:right="380" w:hanging="368"/>
        <w:spacing w:after="0" w:line="266" w:lineRule="auto"/>
        <w:tabs>
          <w:tab w:leader="none" w:pos="10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changes in general market, economic and political conditions in the United States and global economies or financial markets, including those resulting from natural disasters, terrorist attacks, global pandemics, acts of war and responses to such events.</w:t>
      </w:r>
    </w:p>
    <w:p>
      <w:pPr>
        <w:spacing w:after="0" w:line="179" w:lineRule="exact"/>
        <w:rPr>
          <w:sz w:val="20"/>
          <w:szCs w:val="20"/>
          <w:color w:val="auto"/>
        </w:rPr>
      </w:pPr>
    </w:p>
    <w:p>
      <w:pPr>
        <w:ind w:right="100" w:firstLine="637"/>
        <w:spacing w:after="0" w:line="233" w:lineRule="auto"/>
        <w:rPr>
          <w:sz w:val="20"/>
          <w:szCs w:val="20"/>
          <w:color w:val="auto"/>
        </w:rPr>
      </w:pPr>
      <w:r>
        <w:rPr>
          <w:rFonts w:ascii="Arial" w:cs="Arial" w:eastAsia="Arial" w:hAnsi="Arial"/>
          <w:sz w:val="18"/>
          <w:szCs w:val="18"/>
          <w:color w:val="auto"/>
        </w:rPr>
        <w:t>As a result, volatility in the market price of our common stock may prevent investors from being able to sell their common stock at or above the price which they paid for them. These broad market and industry factors may materially reduce the market price of our common stock, regardless of our operating performance. In addition, price volatility may be greater if the public float and trading volume of our common stock is low. As a result, you may suffer a loss on your investment. Broad market and industry fluctuations, as well as general economic, political, regulatory, and market conditions, may negatively impact the market price of our common stock. Companies that experience volatility in the market price of their securities often are the subject to securities class action litigation. For example, multiple putative class actions have been filed in the U.S. District Court for the Southern District of New York by certain of our stockholders against us and certain of our officers alleging violations of federal securities laws. See Part II, Item 1. “Legal Proceedings.” We may be the target of additional securities litigation in the future, which could result in substantial costs and divert our management’s attention.</w:t>
      </w:r>
    </w:p>
    <w:p>
      <w:pPr>
        <w:spacing w:after="0" w:line="180" w:lineRule="exact"/>
        <w:rPr>
          <w:sz w:val="20"/>
          <w:szCs w:val="20"/>
          <w:color w:val="auto"/>
        </w:rPr>
      </w:pPr>
    </w:p>
    <w:p>
      <w:pPr>
        <w:jc w:val="both"/>
        <w:ind w:right="460" w:firstLine="637"/>
        <w:spacing w:after="0" w:line="247" w:lineRule="auto"/>
        <w:rPr>
          <w:sz w:val="20"/>
          <w:szCs w:val="20"/>
          <w:color w:val="auto"/>
        </w:rPr>
      </w:pPr>
      <w:r>
        <w:rPr>
          <w:rFonts w:ascii="Arial" w:cs="Arial" w:eastAsia="Arial" w:hAnsi="Arial"/>
          <w:sz w:val="18"/>
          <w:szCs w:val="18"/>
          <w:b w:val="1"/>
          <w:bCs w:val="1"/>
          <w:i w:val="1"/>
          <w:iCs w:val="1"/>
          <w:color w:val="auto"/>
        </w:rPr>
        <w:t>We are, and may in the future be, subject to legal proceedings in the ordinary course of our business. If the outcomes of these proceedings are adverse to us, it could have a material adverse effect on our business, financial condition and results of operations.</w:t>
      </w:r>
    </w:p>
    <w:p>
      <w:pPr>
        <w:spacing w:after="0" w:line="195" w:lineRule="exact"/>
        <w:rPr>
          <w:sz w:val="20"/>
          <w:szCs w:val="20"/>
          <w:color w:val="auto"/>
        </w:rPr>
      </w:pPr>
    </w:p>
    <w:p>
      <w:pPr>
        <w:ind w:right="40" w:firstLine="637"/>
        <w:spacing w:after="0" w:line="233" w:lineRule="auto"/>
        <w:rPr>
          <w:sz w:val="20"/>
          <w:szCs w:val="20"/>
          <w:color w:val="auto"/>
        </w:rPr>
      </w:pPr>
      <w:r>
        <w:rPr>
          <w:rFonts w:ascii="Arial" w:cs="Arial" w:eastAsia="Arial" w:hAnsi="Arial"/>
          <w:sz w:val="18"/>
          <w:szCs w:val="18"/>
          <w:color w:val="auto"/>
        </w:rPr>
        <w:t>We are subject to various litigation matters from time to time, the outcome of which could have a material adverse effect on our business, financial condition and results of operations. Claims arising out of actual or alleged violations of law could be asserted against us by individuals, either individually or through class actions, by governmental entities in civil or criminal investigations and proceedings or by other entities. These claims could be asserted under a variety of laws, including but not limited to consumer finance laws, consumer protection laws, intellectual property laws, privacy laws, labor and employment laws, securities laws and employee benefit laws. These actions could expose us to adverse publicity and to substantial monetary damages and legal defense costs, injunctive relief and criminal and civil fines and penalties, including but not limited to suspension or revocation of licenses to conduct business. For example, multiple putative class actions have been filed in the U.S. District Court for the Southern District of New York by certain of our stockholders against us and certain of our officers alleging violations of federal securities laws. We believe these lawsuits are without merit and intend to vigorously contest these claims. See Part II, Item 1. “Legal Proceedings.”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Unregistered Sales of Equity Securities</w:t>
      </w:r>
    </w:p>
    <w:p>
      <w:pPr>
        <w:spacing w:after="0" w:line="228" w:lineRule="exact"/>
        <w:rPr>
          <w:sz w:val="20"/>
          <w:szCs w:val="20"/>
          <w:color w:val="auto"/>
        </w:rPr>
      </w:pPr>
    </w:p>
    <w:p>
      <w:pPr>
        <w:ind w:firstLine="749"/>
        <w:spacing w:after="0" w:line="232" w:lineRule="auto"/>
        <w:rPr>
          <w:sz w:val="20"/>
          <w:szCs w:val="20"/>
          <w:color w:val="auto"/>
        </w:rPr>
      </w:pPr>
      <w:r>
        <w:rPr>
          <w:rFonts w:ascii="Arial" w:cs="Arial" w:eastAsia="Arial" w:hAnsi="Arial"/>
          <w:sz w:val="18"/>
          <w:szCs w:val="18"/>
          <w:color w:val="auto"/>
        </w:rPr>
        <w:t>On June 18, 2021, we issued $625,000,000 in aggregate principal amount of 0.750% Convertible Senior Notes due 2026 (the “Notes”) in a private placement to qualified institutional buyers pursuant to Rule 144A of the Securities Act of 1933, as amended. The Notes are convertible into shares of our common stock on the terms set forth in the indenture governing the Notes. The Notes were issued to the initial purchasers in reliance upon Section 4(a)(2) of the Securities Act in transactions not involving any public offering. The Company relied on this exemption from registration based in part on representations made by the initial purchasers in the purchase agreement for the Notes. The Notes were resold by the initial purchasers to persons whom the initial purchasers reasonably believe are “qualified institutional buyers,” as defined in, and in accordance with, Rule 144A under the Securities Act. Any shares of the Company’s common stock that may be issued upon conversion of the Notes will be issued in reliance upon Section 3(a)(9) of the Securities Act as involving an exchange by the Company exclusively with its security holders. Initially, a maximum of 15,621,062 shares of the Company’s common stock may be issued upon conversion of the Notes, based on the initial maximum conversion rate of 24.9937 shares of common stock per $1,000 principal amount of Notes, which is subject to customary anti-dilution adjustment provisions. Additional information relating to the issuance of the Notes was provided in a Current Report on Form 8-K filed with the Securities and Exchange Commission on June 21, 2021.</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50800</wp:posOffset>
            </wp:positionV>
            <wp:extent cx="715962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Proceeds from Public Offering of Common Stock</w:t>
      </w:r>
    </w:p>
    <w:p>
      <w:pPr>
        <w:spacing w:after="0" w:line="228" w:lineRule="exact"/>
        <w:rPr>
          <w:sz w:val="20"/>
          <w:szCs w:val="20"/>
          <w:color w:val="auto"/>
        </w:rPr>
      </w:pPr>
    </w:p>
    <w:p>
      <w:pPr>
        <w:ind w:firstLine="749"/>
        <w:spacing w:after="0" w:line="235" w:lineRule="auto"/>
        <w:rPr>
          <w:sz w:val="20"/>
          <w:szCs w:val="20"/>
          <w:color w:val="auto"/>
        </w:rPr>
      </w:pPr>
      <w:r>
        <w:rPr>
          <w:rFonts w:ascii="Arial" w:cs="Arial" w:eastAsia="Arial" w:hAnsi="Arial"/>
          <w:sz w:val="18"/>
          <w:szCs w:val="18"/>
          <w:color w:val="auto"/>
        </w:rPr>
        <w:t>On June 11, 2020, we completed our IPO. The offer and sale of all of the shares in the IPO were registered under the Securities Act pursuant to a registration statement on Form S-1 (File No. 333-238482), as amended, which was declared effective by the SEC on June 8, 2020. There has been no material change in the planned use of proceeds from our IPO as described in our final prospectus filed with the SEC on June 9, 2020 pursuant to Rule 424(b)(4).</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None.</w:t>
      </w:r>
    </w:p>
    <w:p>
      <w:pPr>
        <w:spacing w:after="0" w:line="184" w:lineRule="exact"/>
        <w:rPr>
          <w:sz w:val="20"/>
          <w:szCs w:val="20"/>
          <w:color w:val="auto"/>
        </w:rPr>
      </w:pPr>
    </w:p>
    <w:p>
      <w:pPr>
        <w:jc w:val="center"/>
        <w:ind w:right="8480"/>
        <w:spacing w:after="0"/>
        <w:rPr>
          <w:sz w:val="20"/>
          <w:szCs w:val="20"/>
          <w:color w:val="auto"/>
        </w:rPr>
      </w:pPr>
      <w:r>
        <w:rPr>
          <w:rFonts w:ascii="Arial" w:cs="Arial" w:eastAsia="Arial" w:hAnsi="Arial"/>
          <w:sz w:val="17"/>
          <w:szCs w:val="17"/>
          <w:b w:val="1"/>
          <w:bCs w:val="1"/>
          <w:color w:val="auto"/>
        </w:rPr>
        <w:t>Item 4. Mine Safety Disclosures</w:t>
      </w:r>
    </w:p>
    <w:p>
      <w:pPr>
        <w:spacing w:after="0" w:line="23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Not applicable.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50800</wp:posOffset>
            </wp:positionV>
            <wp:extent cx="715962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140"/>
          </w:cols>
          <w:pgMar w:left="320" w:top="140" w:right="43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06"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INDEX TO EXHIBITS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tcPr>
          <w:p>
            <w:pPr>
              <w:jc w:val="center"/>
              <w:ind w:left="196"/>
              <w:spacing w:after="0"/>
              <w:rPr>
                <w:sz w:val="20"/>
                <w:szCs w:val="20"/>
                <w:color w:val="auto"/>
              </w:rPr>
            </w:pPr>
            <w:r>
              <w:rPr>
                <w:rFonts w:ascii="Arial" w:cs="Arial" w:eastAsia="Arial" w:hAnsi="Arial"/>
                <w:sz w:val="14"/>
                <w:szCs w:val="14"/>
                <w:b w:val="1"/>
                <w:bCs w:val="1"/>
                <w:color w:val="212529"/>
                <w:w w:val="96"/>
              </w:rPr>
              <w:t>Filing</w:t>
            </w:r>
          </w:p>
        </w:tc>
        <w:tc>
          <w:tcPr>
            <w:tcW w:w="2180" w:type="dxa"/>
            <w:vAlign w:val="bottom"/>
            <w:gridSpan w:val="2"/>
          </w:tcPr>
          <w:p>
            <w:pPr>
              <w:ind w:left="1560"/>
              <w:spacing w:after="0"/>
              <w:rPr>
                <w:sz w:val="20"/>
                <w:szCs w:val="20"/>
                <w:color w:val="auto"/>
              </w:rPr>
            </w:pPr>
            <w:r>
              <w:rPr>
                <w:rFonts w:ascii="Arial" w:cs="Arial" w:eastAsia="Arial" w:hAnsi="Arial"/>
                <w:sz w:val="14"/>
                <w:szCs w:val="14"/>
                <w:b w:val="1"/>
                <w:bCs w:val="1"/>
                <w:color w:val="212529"/>
              </w:rPr>
              <w:t>Furnishe</w:t>
            </w:r>
          </w:p>
        </w:tc>
        <w:tc>
          <w:tcPr>
            <w:tcW w:w="0" w:type="dxa"/>
            <w:vAlign w:val="bottom"/>
          </w:tcPr>
          <w:p>
            <w:pPr>
              <w:spacing w:after="0"/>
              <w:rPr>
                <w:sz w:val="1"/>
                <w:szCs w:val="1"/>
                <w:color w:val="auto"/>
              </w:rPr>
            </w:pPr>
          </w:p>
        </w:tc>
      </w:tr>
      <w:tr>
        <w:trPr>
          <w:trHeight w:val="173"/>
        </w:trPr>
        <w:tc>
          <w:tcPr>
            <w:tcW w:w="8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3120" w:type="dxa"/>
            <w:vAlign w:val="bottom"/>
            <w:tcBorders>
              <w:bottom w:val="single" w:sz="8" w:color="auto"/>
            </w:tcBorders>
            <w:gridSpan w:val="25"/>
          </w:tcPr>
          <w:p>
            <w:pPr>
              <w:ind w:left="760"/>
              <w:spacing w:after="0"/>
              <w:rPr>
                <w:sz w:val="20"/>
                <w:szCs w:val="20"/>
                <w:color w:val="auto"/>
              </w:rPr>
            </w:pPr>
            <w:r>
              <w:rPr>
                <w:rFonts w:ascii="Arial" w:cs="Arial" w:eastAsia="Arial" w:hAnsi="Arial"/>
                <w:sz w:val="14"/>
                <w:szCs w:val="14"/>
                <w:b w:val="1"/>
                <w:bCs w:val="1"/>
                <w:color w:val="212529"/>
              </w:rPr>
              <w:t>Exhibit Description</w:t>
            </w:r>
          </w:p>
        </w:tc>
        <w:tc>
          <w:tcPr>
            <w:tcW w:w="60" w:type="dxa"/>
            <w:vAlign w:val="bottom"/>
          </w:tcPr>
          <w:p>
            <w:pPr>
              <w:spacing w:after="0"/>
              <w:rPr>
                <w:sz w:val="15"/>
                <w:szCs w:val="15"/>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212529"/>
                <w:w w:val="97"/>
              </w:rPr>
              <w:t>Form</w:t>
            </w:r>
          </w:p>
        </w:tc>
        <w:tc>
          <w:tcPr>
            <w:tcW w:w="100" w:type="dxa"/>
            <w:vAlign w:val="bottom"/>
          </w:tcPr>
          <w:p>
            <w:pPr>
              <w:spacing w:after="0"/>
              <w:rPr>
                <w:sz w:val="15"/>
                <w:szCs w:val="15"/>
                <w:color w:val="auto"/>
              </w:rPr>
            </w:pPr>
          </w:p>
        </w:tc>
        <w:tc>
          <w:tcPr>
            <w:tcW w:w="1540" w:type="dxa"/>
            <w:vAlign w:val="bottom"/>
            <w:tcBorders>
              <w:bottom w:val="single" w:sz="8" w:color="auto"/>
            </w:tcBorders>
          </w:tcPr>
          <w:p>
            <w:pPr>
              <w:ind w:left="500"/>
              <w:spacing w:after="0"/>
              <w:rPr>
                <w:sz w:val="20"/>
                <w:szCs w:val="20"/>
                <w:color w:val="auto"/>
              </w:rPr>
            </w:pPr>
            <w:r>
              <w:rPr>
                <w:rFonts w:ascii="Arial" w:cs="Arial" w:eastAsia="Arial" w:hAnsi="Arial"/>
                <w:sz w:val="14"/>
                <w:szCs w:val="14"/>
                <w:b w:val="1"/>
                <w:bCs w:val="1"/>
                <w:color w:val="212529"/>
              </w:rPr>
              <w:t>File No.</w:t>
            </w:r>
          </w:p>
        </w:tc>
        <w:tc>
          <w:tcPr>
            <w:tcW w:w="80" w:type="dxa"/>
            <w:vAlign w:val="bottom"/>
          </w:tcPr>
          <w:p>
            <w:pPr>
              <w:spacing w:after="0"/>
              <w:rPr>
                <w:sz w:val="15"/>
                <w:szCs w:val="15"/>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212529"/>
              </w:rPr>
              <w:t>Exhibit</w:t>
            </w:r>
          </w:p>
        </w:tc>
        <w:tc>
          <w:tcPr>
            <w:tcW w:w="100" w:type="dxa"/>
            <w:vAlign w:val="bottom"/>
          </w:tcPr>
          <w:p>
            <w:pPr>
              <w:spacing w:after="0"/>
              <w:rPr>
                <w:sz w:val="15"/>
                <w:szCs w:val="15"/>
                <w:color w:val="auto"/>
              </w:rPr>
            </w:pPr>
          </w:p>
        </w:tc>
        <w:tc>
          <w:tcPr>
            <w:tcW w:w="1600" w:type="dxa"/>
            <w:vAlign w:val="bottom"/>
            <w:tcBorders>
              <w:bottom w:val="single" w:sz="8" w:color="auto"/>
            </w:tcBorders>
          </w:tcPr>
          <w:p>
            <w:pPr>
              <w:jc w:val="center"/>
              <w:ind w:left="196"/>
              <w:spacing w:after="0"/>
              <w:rPr>
                <w:sz w:val="20"/>
                <w:szCs w:val="20"/>
                <w:color w:val="auto"/>
              </w:rPr>
            </w:pPr>
            <w:r>
              <w:rPr>
                <w:rFonts w:ascii="Arial" w:cs="Arial" w:eastAsia="Arial" w:hAnsi="Arial"/>
                <w:sz w:val="14"/>
                <w:szCs w:val="14"/>
                <w:b w:val="1"/>
                <w:bCs w:val="1"/>
                <w:color w:val="212529"/>
              </w:rPr>
              <w:t>Date</w:t>
            </w:r>
          </w:p>
        </w:tc>
        <w:tc>
          <w:tcPr>
            <w:tcW w:w="2180" w:type="dxa"/>
            <w:vAlign w:val="bottom"/>
            <w:tcBorders>
              <w:bottom w:val="single" w:sz="8" w:color="auto"/>
            </w:tcBorders>
            <w:gridSpan w:val="2"/>
          </w:tcPr>
          <w:p>
            <w:pPr>
              <w:ind w:left="400"/>
              <w:spacing w:after="0"/>
              <w:rPr>
                <w:sz w:val="20"/>
                <w:szCs w:val="20"/>
                <w:color w:val="auto"/>
              </w:rPr>
            </w:pPr>
            <w:r>
              <w:rPr>
                <w:rFonts w:ascii="Arial" w:cs="Arial" w:eastAsia="Arial" w:hAnsi="Arial"/>
                <w:sz w:val="14"/>
                <w:szCs w:val="14"/>
                <w:b w:val="1"/>
                <w:bCs w:val="1"/>
                <w:color w:val="212529"/>
              </w:rPr>
              <w:t>Filed Herewith   Herewith</w:t>
            </w:r>
          </w:p>
        </w:tc>
        <w:tc>
          <w:tcPr>
            <w:tcW w:w="0" w:type="dxa"/>
            <w:vAlign w:val="bottom"/>
          </w:tcPr>
          <w:p>
            <w:pPr>
              <w:spacing w:after="0"/>
              <w:rPr>
                <w:sz w:val="1"/>
                <w:szCs w:val="1"/>
                <w:color w:val="auto"/>
              </w:rPr>
            </w:pPr>
          </w:p>
        </w:tc>
      </w:tr>
      <w:tr>
        <w:trPr>
          <w:trHeight w:val="286"/>
        </w:trPr>
        <w:tc>
          <w:tcPr>
            <w:tcW w:w="840" w:type="dxa"/>
            <w:vAlign w:val="bottom"/>
          </w:tcPr>
          <w:p>
            <w:pPr>
              <w:jc w:val="right"/>
              <w:ind w:right="394"/>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4"/>
                <w:szCs w:val="24"/>
                <w:color w:val="auto"/>
              </w:rPr>
            </w:pPr>
          </w:p>
        </w:tc>
        <w:tc>
          <w:tcPr>
            <w:tcW w:w="3460" w:type="dxa"/>
            <w:vAlign w:val="bottom"/>
            <w:gridSpan w:val="27"/>
          </w:tcPr>
          <w:p>
            <w:pPr>
              <w:spacing w:after="0"/>
              <w:rPr>
                <w:rFonts w:ascii="Arial" w:cs="Arial" w:eastAsia="Arial" w:hAnsi="Arial"/>
                <w:sz w:val="18"/>
                <w:szCs w:val="18"/>
                <w:color w:val="0000EE"/>
              </w:rPr>
            </w:pPr>
            <w:hyperlink r:id="rId77">
              <w:r>
                <w:rPr>
                  <w:rFonts w:ascii="Arial" w:cs="Arial" w:eastAsia="Arial" w:hAnsi="Arial"/>
                  <w:sz w:val="18"/>
                  <w:szCs w:val="18"/>
                  <w:color w:val="0000EE"/>
                </w:rPr>
                <w:t>Amended and Restated Certificate of</w:t>
              </w:r>
            </w:hyperlink>
          </w:p>
        </w:tc>
        <w:tc>
          <w:tcPr>
            <w:tcW w:w="76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10-Q</w:t>
            </w:r>
          </w:p>
        </w:tc>
        <w:tc>
          <w:tcPr>
            <w:tcW w:w="1540" w:type="dxa"/>
            <w:vAlign w:val="bottom"/>
          </w:tcPr>
          <w:p>
            <w:pPr>
              <w:ind w:left="340"/>
              <w:spacing w:after="0"/>
              <w:rPr>
                <w:sz w:val="20"/>
                <w:szCs w:val="20"/>
                <w:color w:val="auto"/>
              </w:rPr>
            </w:pPr>
            <w:r>
              <w:rPr>
                <w:rFonts w:ascii="Arial" w:cs="Arial" w:eastAsia="Arial" w:hAnsi="Arial"/>
                <w:sz w:val="18"/>
                <w:szCs w:val="18"/>
                <w:color w:val="auto"/>
              </w:rPr>
              <w:t>001-39315</w:t>
            </w:r>
          </w:p>
        </w:tc>
        <w:tc>
          <w:tcPr>
            <w:tcW w:w="8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95"/>
              </w:rPr>
              <w:t>3.1</w:t>
            </w:r>
          </w:p>
        </w:tc>
        <w:tc>
          <w:tcPr>
            <w:tcW w:w="100" w:type="dxa"/>
            <w:vAlign w:val="bottom"/>
          </w:tcPr>
          <w:p>
            <w:pPr>
              <w:spacing w:after="0"/>
              <w:rPr>
                <w:sz w:val="24"/>
                <w:szCs w:val="24"/>
                <w:color w:val="auto"/>
              </w:rPr>
            </w:pPr>
          </w:p>
        </w:tc>
        <w:tc>
          <w:tcPr>
            <w:tcW w:w="1600" w:type="dxa"/>
            <w:vAlign w:val="bottom"/>
          </w:tcPr>
          <w:p>
            <w:pPr>
              <w:jc w:val="center"/>
              <w:ind w:right="156"/>
              <w:spacing w:after="0"/>
              <w:rPr>
                <w:sz w:val="20"/>
                <w:szCs w:val="20"/>
                <w:color w:val="auto"/>
              </w:rPr>
            </w:pPr>
            <w:r>
              <w:rPr>
                <w:rFonts w:ascii="Arial" w:cs="Arial" w:eastAsia="Arial" w:hAnsi="Arial"/>
                <w:sz w:val="18"/>
                <w:szCs w:val="18"/>
                <w:color w:val="auto"/>
                <w:w w:val="97"/>
              </w:rPr>
              <w:t>August 13, 2020</w:t>
            </w:r>
          </w:p>
        </w:tc>
        <w:tc>
          <w:tcPr>
            <w:tcW w:w="2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80" w:type="dxa"/>
            <w:vAlign w:val="bottom"/>
            <w:tcBorders>
              <w:top w:val="single" w:sz="8" w:color="0000EE"/>
              <w:bottom w:val="single" w:sz="8" w:color="0000EE"/>
            </w:tcBorders>
            <w:gridSpan w:val="4"/>
          </w:tcPr>
          <w:p>
            <w:pPr>
              <w:spacing w:after="0" w:line="180" w:lineRule="exact"/>
              <w:rPr>
                <w:rFonts w:ascii="Arial" w:cs="Arial" w:eastAsia="Arial" w:hAnsi="Arial"/>
                <w:sz w:val="18"/>
                <w:szCs w:val="18"/>
                <w:color w:val="0000EE"/>
                <w:w w:val="97"/>
              </w:rPr>
            </w:pPr>
            <w:hyperlink r:id="rId77">
              <w:r>
                <w:rPr>
                  <w:rFonts w:ascii="Arial" w:cs="Arial" w:eastAsia="Arial" w:hAnsi="Arial"/>
                  <w:sz w:val="18"/>
                  <w:szCs w:val="18"/>
                  <w:color w:val="0000EE"/>
                  <w:w w:val="97"/>
                </w:rPr>
                <w:t>Incorporation of Vroom, Inc.</w:t>
              </w:r>
            </w:hyperlink>
          </w:p>
        </w:tc>
        <w:tc>
          <w:tcPr>
            <w:tcW w:w="720" w:type="dxa"/>
            <w:vAlign w:val="bottom"/>
            <w:tcBorders>
              <w:top w:val="single" w:sz="8" w:color="0000EE"/>
            </w:tcBorders>
            <w:gridSpan w:val="5"/>
          </w:tcPr>
          <w:p>
            <w:pPr>
              <w:spacing w:after="0"/>
              <w:rPr>
                <w:sz w:val="15"/>
                <w:szCs w:val="15"/>
                <w:color w:val="auto"/>
              </w:rPr>
            </w:pPr>
          </w:p>
        </w:tc>
        <w:tc>
          <w:tcPr>
            <w:tcW w:w="560" w:type="dxa"/>
            <w:vAlign w:val="bottom"/>
            <w:gridSpan w:val="18"/>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9"/>
        </w:trPr>
        <w:tc>
          <w:tcPr>
            <w:tcW w:w="840" w:type="dxa"/>
            <w:vAlign w:val="bottom"/>
          </w:tcPr>
          <w:p>
            <w:pPr>
              <w:jc w:val="right"/>
              <w:ind w:right="394"/>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4"/>
                <w:szCs w:val="24"/>
                <w:color w:val="auto"/>
              </w:rPr>
            </w:pPr>
          </w:p>
        </w:tc>
        <w:tc>
          <w:tcPr>
            <w:tcW w:w="3280" w:type="dxa"/>
            <w:vAlign w:val="bottom"/>
            <w:tcBorders>
              <w:bottom w:val="single" w:sz="8" w:color="0000EE"/>
            </w:tcBorders>
            <w:gridSpan w:val="21"/>
          </w:tcPr>
          <w:p>
            <w:pPr>
              <w:spacing w:after="0"/>
              <w:rPr>
                <w:rFonts w:ascii="Arial" w:cs="Arial" w:eastAsia="Arial" w:hAnsi="Arial"/>
                <w:sz w:val="18"/>
                <w:szCs w:val="18"/>
                <w:color w:val="0000EE"/>
                <w:w w:val="97"/>
              </w:rPr>
            </w:pPr>
            <w:hyperlink r:id="rId78">
              <w:r>
                <w:rPr>
                  <w:rFonts w:ascii="Arial" w:cs="Arial" w:eastAsia="Arial" w:hAnsi="Arial"/>
                  <w:sz w:val="18"/>
                  <w:szCs w:val="18"/>
                  <w:color w:val="0000EE"/>
                  <w:w w:val="97"/>
                </w:rPr>
                <w:t>Amended and Restated Bylaws of Vroom,</w:t>
              </w:r>
            </w:hyperlink>
          </w:p>
        </w:tc>
        <w:tc>
          <w:tcPr>
            <w:tcW w:w="180" w:type="dxa"/>
            <w:vAlign w:val="bottom"/>
            <w:gridSpan w:val="6"/>
          </w:tcPr>
          <w:p>
            <w:pPr>
              <w:spacing w:after="0"/>
              <w:rPr>
                <w:sz w:val="24"/>
                <w:szCs w:val="24"/>
                <w:color w:val="auto"/>
              </w:rPr>
            </w:pPr>
          </w:p>
        </w:tc>
        <w:tc>
          <w:tcPr>
            <w:tcW w:w="76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10-Q</w:t>
            </w:r>
          </w:p>
        </w:tc>
        <w:tc>
          <w:tcPr>
            <w:tcW w:w="1540" w:type="dxa"/>
            <w:vAlign w:val="bottom"/>
          </w:tcPr>
          <w:p>
            <w:pPr>
              <w:ind w:left="340"/>
              <w:spacing w:after="0"/>
              <w:rPr>
                <w:sz w:val="20"/>
                <w:szCs w:val="20"/>
                <w:color w:val="auto"/>
              </w:rPr>
            </w:pPr>
            <w:r>
              <w:rPr>
                <w:rFonts w:ascii="Arial" w:cs="Arial" w:eastAsia="Arial" w:hAnsi="Arial"/>
                <w:sz w:val="18"/>
                <w:szCs w:val="18"/>
                <w:color w:val="auto"/>
              </w:rPr>
              <w:t>001-39315</w:t>
            </w:r>
          </w:p>
        </w:tc>
        <w:tc>
          <w:tcPr>
            <w:tcW w:w="8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95"/>
              </w:rPr>
              <w:t>3.2</w:t>
            </w:r>
          </w:p>
        </w:tc>
        <w:tc>
          <w:tcPr>
            <w:tcW w:w="100" w:type="dxa"/>
            <w:vAlign w:val="bottom"/>
          </w:tcPr>
          <w:p>
            <w:pPr>
              <w:spacing w:after="0"/>
              <w:rPr>
                <w:sz w:val="24"/>
                <w:szCs w:val="24"/>
                <w:color w:val="auto"/>
              </w:rPr>
            </w:pPr>
          </w:p>
        </w:tc>
        <w:tc>
          <w:tcPr>
            <w:tcW w:w="1600" w:type="dxa"/>
            <w:vAlign w:val="bottom"/>
          </w:tcPr>
          <w:p>
            <w:pPr>
              <w:jc w:val="center"/>
              <w:ind w:right="156"/>
              <w:spacing w:after="0"/>
              <w:rPr>
                <w:sz w:val="20"/>
                <w:szCs w:val="20"/>
                <w:color w:val="auto"/>
              </w:rPr>
            </w:pPr>
            <w:r>
              <w:rPr>
                <w:rFonts w:ascii="Arial" w:cs="Arial" w:eastAsia="Arial" w:hAnsi="Arial"/>
                <w:sz w:val="18"/>
                <w:szCs w:val="18"/>
                <w:color w:val="auto"/>
                <w:w w:val="97"/>
              </w:rPr>
              <w:t>August 13, 2020</w:t>
            </w:r>
          </w:p>
        </w:tc>
        <w:tc>
          <w:tcPr>
            <w:tcW w:w="2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Borders>
              <w:bottom w:val="single" w:sz="8" w:color="0000EE"/>
            </w:tcBorders>
          </w:tcPr>
          <w:p>
            <w:pPr>
              <w:spacing w:after="0" w:line="180" w:lineRule="exact"/>
              <w:rPr>
                <w:rFonts w:ascii="Arial" w:cs="Arial" w:eastAsia="Arial" w:hAnsi="Arial"/>
                <w:sz w:val="18"/>
                <w:szCs w:val="18"/>
                <w:color w:val="0000EE"/>
                <w:w w:val="89"/>
              </w:rPr>
            </w:pPr>
            <w:hyperlink r:id="rId78">
              <w:r>
                <w:rPr>
                  <w:rFonts w:ascii="Arial" w:cs="Arial" w:eastAsia="Arial" w:hAnsi="Arial"/>
                  <w:sz w:val="18"/>
                  <w:szCs w:val="18"/>
                  <w:color w:val="0000EE"/>
                  <w:w w:val="89"/>
                </w:rPr>
                <w:t>Inc.</w:t>
              </w:r>
            </w:hyperlink>
          </w:p>
        </w:tc>
        <w:tc>
          <w:tcPr>
            <w:tcW w:w="3180" w:type="dxa"/>
            <w:vAlign w:val="bottom"/>
            <w:gridSpan w:val="26"/>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9"/>
        </w:trPr>
        <w:tc>
          <w:tcPr>
            <w:tcW w:w="840" w:type="dxa"/>
            <w:vAlign w:val="bottom"/>
          </w:tcPr>
          <w:p>
            <w:pPr>
              <w:jc w:val="right"/>
              <w:ind w:right="394"/>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4"/>
                <w:szCs w:val="24"/>
                <w:color w:val="auto"/>
              </w:rPr>
            </w:pPr>
          </w:p>
        </w:tc>
        <w:tc>
          <w:tcPr>
            <w:tcW w:w="3320" w:type="dxa"/>
            <w:vAlign w:val="bottom"/>
            <w:tcBorders>
              <w:bottom w:val="single" w:sz="8" w:color="0000EE"/>
            </w:tcBorders>
            <w:gridSpan w:val="23"/>
          </w:tcPr>
          <w:p>
            <w:pPr>
              <w:spacing w:after="0"/>
              <w:rPr>
                <w:rFonts w:ascii="Arial" w:cs="Arial" w:eastAsia="Arial" w:hAnsi="Arial"/>
                <w:sz w:val="18"/>
                <w:szCs w:val="18"/>
                <w:color w:val="0000EE"/>
                <w:w w:val="97"/>
              </w:rPr>
            </w:pPr>
            <w:hyperlink r:id="rId79">
              <w:r>
                <w:rPr>
                  <w:rFonts w:ascii="Arial" w:cs="Arial" w:eastAsia="Arial" w:hAnsi="Arial"/>
                  <w:sz w:val="18"/>
                  <w:szCs w:val="18"/>
                  <w:color w:val="0000EE"/>
                  <w:w w:val="97"/>
                </w:rPr>
                <w:t>Specimen Stock Certificate evidencing the</w:t>
              </w:r>
            </w:hyperlink>
          </w:p>
        </w:tc>
        <w:tc>
          <w:tcPr>
            <w:tcW w:w="140" w:type="dxa"/>
            <w:vAlign w:val="bottom"/>
            <w:gridSpan w:val="4"/>
          </w:tcPr>
          <w:p>
            <w:pPr>
              <w:spacing w:after="0"/>
              <w:rPr>
                <w:sz w:val="24"/>
                <w:szCs w:val="24"/>
                <w:color w:val="auto"/>
              </w:rPr>
            </w:pPr>
          </w:p>
        </w:tc>
        <w:tc>
          <w:tcPr>
            <w:tcW w:w="760" w:type="dxa"/>
            <w:vAlign w:val="bottom"/>
            <w:gridSpan w:val="2"/>
          </w:tcPr>
          <w:p>
            <w:pPr>
              <w:jc w:val="center"/>
              <w:ind w:right="80"/>
              <w:spacing w:after="0"/>
              <w:rPr>
                <w:sz w:val="20"/>
                <w:szCs w:val="20"/>
                <w:color w:val="auto"/>
              </w:rPr>
            </w:pPr>
            <w:r>
              <w:rPr>
                <w:rFonts w:ascii="Arial" w:cs="Arial" w:eastAsia="Arial" w:hAnsi="Arial"/>
                <w:sz w:val="18"/>
                <w:szCs w:val="18"/>
                <w:color w:val="auto"/>
                <w:w w:val="97"/>
              </w:rPr>
              <w:t>S-1/A</w:t>
            </w:r>
          </w:p>
        </w:tc>
        <w:tc>
          <w:tcPr>
            <w:tcW w:w="1540" w:type="dxa"/>
            <w:vAlign w:val="bottom"/>
          </w:tcPr>
          <w:p>
            <w:pPr>
              <w:ind w:left="280"/>
              <w:spacing w:after="0"/>
              <w:rPr>
                <w:sz w:val="20"/>
                <w:szCs w:val="20"/>
                <w:color w:val="auto"/>
              </w:rPr>
            </w:pPr>
            <w:r>
              <w:rPr>
                <w:rFonts w:ascii="Arial" w:cs="Arial" w:eastAsia="Arial" w:hAnsi="Arial"/>
                <w:sz w:val="18"/>
                <w:szCs w:val="18"/>
                <w:color w:val="auto"/>
              </w:rPr>
              <w:t>333-238482</w:t>
            </w:r>
          </w:p>
        </w:tc>
        <w:tc>
          <w:tcPr>
            <w:tcW w:w="8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95"/>
              </w:rPr>
              <w:t>4.1</w:t>
            </w:r>
          </w:p>
        </w:tc>
        <w:tc>
          <w:tcPr>
            <w:tcW w:w="100" w:type="dxa"/>
            <w:vAlign w:val="bottom"/>
          </w:tcPr>
          <w:p>
            <w:pPr>
              <w:spacing w:after="0"/>
              <w:rPr>
                <w:sz w:val="24"/>
                <w:szCs w:val="24"/>
                <w:color w:val="auto"/>
              </w:rPr>
            </w:pPr>
          </w:p>
        </w:tc>
        <w:tc>
          <w:tcPr>
            <w:tcW w:w="1600" w:type="dxa"/>
            <w:vAlign w:val="bottom"/>
          </w:tcPr>
          <w:p>
            <w:pPr>
              <w:jc w:val="center"/>
              <w:ind w:right="156"/>
              <w:spacing w:after="0"/>
              <w:rPr>
                <w:sz w:val="20"/>
                <w:szCs w:val="20"/>
                <w:color w:val="auto"/>
              </w:rPr>
            </w:pPr>
            <w:r>
              <w:rPr>
                <w:rFonts w:ascii="Arial" w:cs="Arial" w:eastAsia="Arial" w:hAnsi="Arial"/>
                <w:sz w:val="18"/>
                <w:szCs w:val="18"/>
                <w:color w:val="auto"/>
                <w:w w:val="99"/>
              </w:rPr>
              <w:t>June 1, 2020</w:t>
            </w:r>
          </w:p>
        </w:tc>
        <w:tc>
          <w:tcPr>
            <w:tcW w:w="2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60" w:type="dxa"/>
            <w:vAlign w:val="bottom"/>
            <w:gridSpan w:val="27"/>
          </w:tcPr>
          <w:p>
            <w:pPr>
              <w:spacing w:after="0" w:line="180" w:lineRule="exact"/>
              <w:rPr>
                <w:rFonts w:ascii="Arial" w:cs="Arial" w:eastAsia="Arial" w:hAnsi="Arial"/>
                <w:sz w:val="18"/>
                <w:szCs w:val="18"/>
                <w:color w:val="0000EE"/>
              </w:rPr>
            </w:pPr>
            <w:hyperlink r:id="rId79">
              <w:r>
                <w:rPr>
                  <w:rFonts w:ascii="Arial" w:cs="Arial" w:eastAsia="Arial" w:hAnsi="Arial"/>
                  <w:sz w:val="18"/>
                  <w:szCs w:val="18"/>
                  <w:color w:val="0000EE"/>
                </w:rPr>
                <w:t>shares of common stock</w:t>
              </w:r>
            </w:hyperlink>
          </w:p>
        </w:tc>
        <w:tc>
          <w:tcPr>
            <w:tcW w:w="760" w:type="dxa"/>
            <w:vAlign w:val="bottom"/>
            <w:gridSpan w:val="2"/>
            <w:vMerge w:val="restart"/>
          </w:tcPr>
          <w:p>
            <w:pPr>
              <w:jc w:val="center"/>
              <w:ind w:right="80"/>
              <w:spacing w:after="0"/>
              <w:rPr>
                <w:sz w:val="20"/>
                <w:szCs w:val="20"/>
                <w:color w:val="auto"/>
              </w:rPr>
            </w:pPr>
            <w:r>
              <w:rPr>
                <w:rFonts w:ascii="Arial" w:cs="Arial" w:eastAsia="Arial" w:hAnsi="Arial"/>
                <w:sz w:val="18"/>
                <w:szCs w:val="18"/>
                <w:color w:val="auto"/>
                <w:w w:val="99"/>
              </w:rPr>
              <w:t>8-K</w:t>
            </w:r>
          </w:p>
        </w:tc>
        <w:tc>
          <w:tcPr>
            <w:tcW w:w="1540" w:type="dxa"/>
            <w:vAlign w:val="bottom"/>
            <w:vMerge w:val="restart"/>
          </w:tcPr>
          <w:p>
            <w:pPr>
              <w:ind w:left="340"/>
              <w:spacing w:after="0"/>
              <w:rPr>
                <w:sz w:val="20"/>
                <w:szCs w:val="20"/>
                <w:color w:val="auto"/>
              </w:rPr>
            </w:pPr>
            <w:r>
              <w:rPr>
                <w:rFonts w:ascii="Arial" w:cs="Arial" w:eastAsia="Arial" w:hAnsi="Arial"/>
                <w:sz w:val="18"/>
                <w:szCs w:val="18"/>
                <w:color w:val="auto"/>
              </w:rPr>
              <w:t>001-39315</w:t>
            </w:r>
          </w:p>
        </w:tc>
        <w:tc>
          <w:tcPr>
            <w:tcW w:w="80" w:type="dxa"/>
            <w:vAlign w:val="bottom"/>
          </w:tcPr>
          <w:p>
            <w:pPr>
              <w:spacing w:after="0"/>
              <w:rPr>
                <w:sz w:val="15"/>
                <w:szCs w:val="15"/>
                <w:color w:val="auto"/>
              </w:rPr>
            </w:pPr>
          </w:p>
        </w:tc>
        <w:tc>
          <w:tcPr>
            <w:tcW w:w="660" w:type="dxa"/>
            <w:vAlign w:val="bottom"/>
            <w:vMerge w:val="restart"/>
          </w:tcPr>
          <w:p>
            <w:pPr>
              <w:jc w:val="center"/>
              <w:spacing w:after="0"/>
              <w:rPr>
                <w:sz w:val="20"/>
                <w:szCs w:val="20"/>
                <w:color w:val="auto"/>
              </w:rPr>
            </w:pPr>
            <w:r>
              <w:rPr>
                <w:rFonts w:ascii="Arial" w:cs="Arial" w:eastAsia="Arial" w:hAnsi="Arial"/>
                <w:sz w:val="18"/>
                <w:szCs w:val="18"/>
                <w:color w:val="auto"/>
                <w:w w:val="95"/>
              </w:rPr>
              <w:t>4.1</w:t>
            </w:r>
          </w:p>
        </w:tc>
        <w:tc>
          <w:tcPr>
            <w:tcW w:w="100" w:type="dxa"/>
            <w:vAlign w:val="bottom"/>
          </w:tcPr>
          <w:p>
            <w:pPr>
              <w:spacing w:after="0"/>
              <w:rPr>
                <w:sz w:val="15"/>
                <w:szCs w:val="15"/>
                <w:color w:val="auto"/>
              </w:rPr>
            </w:pPr>
          </w:p>
        </w:tc>
        <w:tc>
          <w:tcPr>
            <w:tcW w:w="1600" w:type="dxa"/>
            <w:vAlign w:val="bottom"/>
            <w:vMerge w:val="restart"/>
          </w:tcPr>
          <w:p>
            <w:pPr>
              <w:jc w:val="center"/>
              <w:ind w:right="156"/>
              <w:spacing w:after="0"/>
              <w:rPr>
                <w:sz w:val="20"/>
                <w:szCs w:val="20"/>
                <w:color w:val="auto"/>
              </w:rPr>
            </w:pPr>
            <w:r>
              <w:rPr>
                <w:rFonts w:ascii="Arial" w:cs="Arial" w:eastAsia="Arial" w:hAnsi="Arial"/>
                <w:sz w:val="18"/>
                <w:szCs w:val="18"/>
                <w:color w:val="auto"/>
                <w:w w:val="98"/>
              </w:rPr>
              <w:t>June 21, 2021</w:t>
            </w:r>
          </w:p>
        </w:tc>
        <w:tc>
          <w:tcPr>
            <w:tcW w:w="2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840" w:type="dxa"/>
            <w:vAlign w:val="bottom"/>
            <w:vMerge w:val="restart"/>
          </w:tcPr>
          <w:p>
            <w:pPr>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26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15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vMerge w:val="continue"/>
          </w:tcPr>
          <w:p>
            <w:pPr>
              <w:spacing w:after="0"/>
              <w:rPr>
                <w:sz w:val="18"/>
                <w:szCs w:val="18"/>
                <w:color w:val="auto"/>
              </w:rPr>
            </w:pPr>
          </w:p>
        </w:tc>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8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960" w:type="dxa"/>
            <w:vAlign w:val="bottom"/>
            <w:tcBorders>
              <w:bottom w:val="single" w:sz="8" w:color="0000EE"/>
            </w:tcBorders>
            <w:gridSpan w:val="12"/>
          </w:tcPr>
          <w:p>
            <w:pPr>
              <w:spacing w:after="0" w:line="175" w:lineRule="exact"/>
              <w:rPr>
                <w:rFonts w:ascii="Arial" w:cs="Arial" w:eastAsia="Arial" w:hAnsi="Arial"/>
                <w:sz w:val="18"/>
                <w:szCs w:val="18"/>
                <w:color w:val="0000EE"/>
                <w:w w:val="98"/>
              </w:rPr>
            </w:pPr>
            <w:hyperlink r:id="rId80">
              <w:r>
                <w:rPr>
                  <w:rFonts w:ascii="Arial" w:cs="Arial" w:eastAsia="Arial" w:hAnsi="Arial"/>
                  <w:sz w:val="18"/>
                  <w:szCs w:val="18"/>
                  <w:color w:val="0000EE"/>
                  <w:w w:val="98"/>
                </w:rPr>
                <w:t>Indenture, dated as of June 18, 2021,</w:t>
              </w:r>
            </w:hyperlink>
          </w:p>
        </w:tc>
        <w:tc>
          <w:tcPr>
            <w:tcW w:w="500" w:type="dxa"/>
            <w:vAlign w:val="bottom"/>
            <w:gridSpan w:val="15"/>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60" w:type="dxa"/>
            <w:vAlign w:val="bottom"/>
            <w:gridSpan w:val="27"/>
          </w:tcPr>
          <w:p>
            <w:pPr>
              <w:spacing w:after="0" w:line="180" w:lineRule="exact"/>
              <w:rPr>
                <w:rFonts w:ascii="Arial" w:cs="Arial" w:eastAsia="Arial" w:hAnsi="Arial"/>
                <w:sz w:val="18"/>
                <w:szCs w:val="18"/>
                <w:color w:val="0000EE"/>
              </w:rPr>
            </w:pPr>
            <w:hyperlink r:id="rId80">
              <w:r>
                <w:rPr>
                  <w:rFonts w:ascii="Arial" w:cs="Arial" w:eastAsia="Arial" w:hAnsi="Arial"/>
                  <w:sz w:val="18"/>
                  <w:szCs w:val="18"/>
                  <w:color w:val="0000EE"/>
                </w:rPr>
                <w:t>between Vroom, Inc. and U.S. Bank</w:t>
              </w:r>
            </w:hyperlink>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80" w:type="dxa"/>
            <w:vAlign w:val="bottom"/>
            <w:tcBorders>
              <w:top w:val="single" w:sz="8" w:color="0000EE"/>
              <w:bottom w:val="single" w:sz="8" w:color="0000EE"/>
            </w:tcBorders>
            <w:gridSpan w:val="7"/>
          </w:tcPr>
          <w:p>
            <w:pPr>
              <w:spacing w:after="0" w:line="180" w:lineRule="exact"/>
              <w:rPr>
                <w:rFonts w:ascii="Arial" w:cs="Arial" w:eastAsia="Arial" w:hAnsi="Arial"/>
                <w:sz w:val="18"/>
                <w:szCs w:val="18"/>
                <w:color w:val="0000EE"/>
                <w:w w:val="97"/>
              </w:rPr>
            </w:pPr>
            <w:hyperlink r:id="rId80">
              <w:r>
                <w:rPr>
                  <w:rFonts w:ascii="Arial" w:cs="Arial" w:eastAsia="Arial" w:hAnsi="Arial"/>
                  <w:sz w:val="18"/>
                  <w:szCs w:val="18"/>
                  <w:color w:val="0000EE"/>
                  <w:w w:val="97"/>
                </w:rPr>
                <w:t>National Association, as trustee</w:t>
              </w:r>
            </w:hyperlink>
          </w:p>
        </w:tc>
        <w:tc>
          <w:tcPr>
            <w:tcW w:w="320" w:type="dxa"/>
            <w:vAlign w:val="bottom"/>
            <w:tcBorders>
              <w:top w:val="single" w:sz="8" w:color="0000EE"/>
            </w:tcBorders>
          </w:tcPr>
          <w:p>
            <w:pPr>
              <w:spacing w:after="0"/>
              <w:rPr>
                <w:sz w:val="15"/>
                <w:szCs w:val="15"/>
                <w:color w:val="auto"/>
              </w:rPr>
            </w:pPr>
          </w:p>
        </w:tc>
        <w:tc>
          <w:tcPr>
            <w:tcW w:w="660" w:type="dxa"/>
            <w:vAlign w:val="bottom"/>
            <w:gridSpan w:val="19"/>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6"/>
        </w:trPr>
        <w:tc>
          <w:tcPr>
            <w:tcW w:w="840" w:type="dxa"/>
            <w:vAlign w:val="bottom"/>
          </w:tcPr>
          <w:p>
            <w:pPr>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4"/>
                <w:szCs w:val="24"/>
                <w:color w:val="auto"/>
              </w:rPr>
            </w:pPr>
          </w:p>
        </w:tc>
        <w:tc>
          <w:tcPr>
            <w:tcW w:w="2940" w:type="dxa"/>
            <w:vAlign w:val="bottom"/>
            <w:tcBorders>
              <w:bottom w:val="single" w:sz="8" w:color="0000EE"/>
            </w:tcBorders>
            <w:gridSpan w:val="11"/>
          </w:tcPr>
          <w:p>
            <w:pPr>
              <w:spacing w:after="0"/>
              <w:rPr>
                <w:rFonts w:ascii="Arial" w:cs="Arial" w:eastAsia="Arial" w:hAnsi="Arial"/>
                <w:sz w:val="18"/>
                <w:szCs w:val="18"/>
                <w:color w:val="0000EE"/>
                <w:w w:val="98"/>
              </w:rPr>
            </w:pPr>
            <w:hyperlink r:id="rId80">
              <w:r>
                <w:rPr>
                  <w:rFonts w:ascii="Arial" w:cs="Arial" w:eastAsia="Arial" w:hAnsi="Arial"/>
                  <w:sz w:val="18"/>
                  <w:szCs w:val="18"/>
                  <w:color w:val="0000EE"/>
                  <w:w w:val="98"/>
                </w:rPr>
                <w:t>Form of Global Note representing the</w:t>
              </w:r>
            </w:hyperlink>
          </w:p>
        </w:tc>
        <w:tc>
          <w:tcPr>
            <w:tcW w:w="520" w:type="dxa"/>
            <w:vAlign w:val="bottom"/>
            <w:gridSpan w:val="16"/>
          </w:tcPr>
          <w:p>
            <w:pPr>
              <w:spacing w:after="0"/>
              <w:rPr>
                <w:sz w:val="24"/>
                <w:szCs w:val="24"/>
                <w:color w:val="auto"/>
              </w:rPr>
            </w:pPr>
          </w:p>
        </w:tc>
        <w:tc>
          <w:tcPr>
            <w:tcW w:w="76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8-K</w:t>
            </w:r>
          </w:p>
        </w:tc>
        <w:tc>
          <w:tcPr>
            <w:tcW w:w="1540" w:type="dxa"/>
            <w:vAlign w:val="bottom"/>
          </w:tcPr>
          <w:p>
            <w:pPr>
              <w:ind w:left="340"/>
              <w:spacing w:after="0"/>
              <w:rPr>
                <w:sz w:val="20"/>
                <w:szCs w:val="20"/>
                <w:color w:val="auto"/>
              </w:rPr>
            </w:pPr>
            <w:r>
              <w:rPr>
                <w:rFonts w:ascii="Arial" w:cs="Arial" w:eastAsia="Arial" w:hAnsi="Arial"/>
                <w:sz w:val="18"/>
                <w:szCs w:val="18"/>
                <w:color w:val="auto"/>
              </w:rPr>
              <w:t>001-39315</w:t>
            </w:r>
          </w:p>
        </w:tc>
        <w:tc>
          <w:tcPr>
            <w:tcW w:w="8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95"/>
              </w:rPr>
              <w:t>4.1</w:t>
            </w:r>
          </w:p>
        </w:tc>
        <w:tc>
          <w:tcPr>
            <w:tcW w:w="100" w:type="dxa"/>
            <w:vAlign w:val="bottom"/>
          </w:tcPr>
          <w:p>
            <w:pPr>
              <w:spacing w:after="0"/>
              <w:rPr>
                <w:sz w:val="24"/>
                <w:szCs w:val="24"/>
                <w:color w:val="auto"/>
              </w:rPr>
            </w:pPr>
          </w:p>
        </w:tc>
        <w:tc>
          <w:tcPr>
            <w:tcW w:w="1600" w:type="dxa"/>
            <w:vAlign w:val="bottom"/>
          </w:tcPr>
          <w:p>
            <w:pPr>
              <w:jc w:val="center"/>
              <w:ind w:right="156"/>
              <w:spacing w:after="0"/>
              <w:rPr>
                <w:sz w:val="20"/>
                <w:szCs w:val="20"/>
                <w:color w:val="auto"/>
              </w:rPr>
            </w:pPr>
            <w:r>
              <w:rPr>
                <w:rFonts w:ascii="Arial" w:cs="Arial" w:eastAsia="Arial" w:hAnsi="Arial"/>
                <w:sz w:val="18"/>
                <w:szCs w:val="18"/>
                <w:color w:val="auto"/>
                <w:w w:val="98"/>
              </w:rPr>
              <w:t>June 21, 2021</w:t>
            </w:r>
          </w:p>
        </w:tc>
        <w:tc>
          <w:tcPr>
            <w:tcW w:w="2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60" w:type="dxa"/>
            <w:vAlign w:val="bottom"/>
            <w:gridSpan w:val="27"/>
          </w:tcPr>
          <w:p>
            <w:pPr>
              <w:spacing w:after="0" w:line="180" w:lineRule="exact"/>
              <w:rPr>
                <w:rFonts w:ascii="Arial" w:cs="Arial" w:eastAsia="Arial" w:hAnsi="Arial"/>
                <w:sz w:val="18"/>
                <w:szCs w:val="18"/>
                <w:color w:val="0000EE"/>
              </w:rPr>
            </w:pPr>
            <w:hyperlink r:id="rId80">
              <w:r>
                <w:rPr>
                  <w:rFonts w:ascii="Arial" w:cs="Arial" w:eastAsia="Arial" w:hAnsi="Arial"/>
                  <w:sz w:val="18"/>
                  <w:szCs w:val="18"/>
                  <w:color w:val="0000EE"/>
                </w:rPr>
                <w:t>0.</w:t>
              </w:r>
              <w:r>
                <w:rPr>
                  <w:rFonts w:ascii="Arial" w:cs="Arial" w:eastAsia="Arial" w:hAnsi="Arial"/>
                  <w:sz w:val="18"/>
                  <w:szCs w:val="18"/>
                  <w:u w:val="single" w:color="auto"/>
                  <w:color w:val="0000EE"/>
                </w:rPr>
                <w:t>750%</w:t>
              </w:r>
              <w:r>
                <w:rPr>
                  <w:rFonts w:ascii="Arial" w:cs="Arial" w:eastAsia="Arial" w:hAnsi="Arial"/>
                  <w:sz w:val="18"/>
                  <w:szCs w:val="18"/>
                  <w:color w:val="0000EE"/>
                </w:rPr>
                <w:t xml:space="preserve"> Convertible Senior Notes due</w:t>
              </w:r>
            </w:hyperlink>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80" w:type="dxa"/>
            <w:vAlign w:val="bottom"/>
            <w:tcBorders>
              <w:top w:val="single" w:sz="8" w:color="0000EE"/>
              <w:bottom w:val="single" w:sz="8" w:color="0000EE"/>
            </w:tcBorders>
            <w:gridSpan w:val="6"/>
          </w:tcPr>
          <w:p>
            <w:pPr>
              <w:spacing w:after="0" w:line="180" w:lineRule="exact"/>
              <w:rPr>
                <w:rFonts w:ascii="Arial" w:cs="Arial" w:eastAsia="Arial" w:hAnsi="Arial"/>
                <w:sz w:val="18"/>
                <w:szCs w:val="18"/>
                <w:color w:val="0000EE"/>
                <w:w w:val="97"/>
              </w:rPr>
            </w:pPr>
            <w:hyperlink r:id="rId80">
              <w:r>
                <w:rPr>
                  <w:rFonts w:ascii="Arial" w:cs="Arial" w:eastAsia="Arial" w:hAnsi="Arial"/>
                  <w:sz w:val="18"/>
                  <w:szCs w:val="18"/>
                  <w:color w:val="0000EE"/>
                  <w:w w:val="97"/>
                </w:rPr>
                <w:t>2026 (included in Exhibit 4.1)</w:t>
              </w:r>
            </w:hyperlink>
          </w:p>
        </w:tc>
        <w:tc>
          <w:tcPr>
            <w:tcW w:w="680" w:type="dxa"/>
            <w:vAlign w:val="bottom"/>
            <w:tcBorders>
              <w:top w:val="single" w:sz="8" w:color="0000EE"/>
            </w:tcBorders>
            <w:gridSpan w:val="6"/>
          </w:tcPr>
          <w:p>
            <w:pPr>
              <w:spacing w:after="0"/>
              <w:rPr>
                <w:sz w:val="15"/>
                <w:szCs w:val="15"/>
                <w:color w:val="auto"/>
              </w:rPr>
            </w:pPr>
          </w:p>
        </w:tc>
        <w:tc>
          <w:tcPr>
            <w:tcW w:w="500" w:type="dxa"/>
            <w:vAlign w:val="bottom"/>
            <w:gridSpan w:val="15"/>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3"/>
        </w:trPr>
        <w:tc>
          <w:tcPr>
            <w:tcW w:w="840" w:type="dxa"/>
            <w:vAlign w:val="bottom"/>
          </w:tcPr>
          <w:p>
            <w:pPr>
              <w:jc w:val="right"/>
              <w:ind w:right="394"/>
              <w:spacing w:after="0"/>
              <w:rPr>
                <w:sz w:val="20"/>
                <w:szCs w:val="20"/>
                <w:color w:val="auto"/>
              </w:rPr>
            </w:pPr>
            <w:r>
              <w:rPr>
                <w:rFonts w:ascii="Arial" w:cs="Arial" w:eastAsia="Arial" w:hAnsi="Arial"/>
                <w:sz w:val="18"/>
                <w:szCs w:val="18"/>
                <w:color w:val="auto"/>
                <w:w w:val="96"/>
              </w:rPr>
              <w:t>10.1</w:t>
            </w:r>
          </w:p>
        </w:tc>
        <w:tc>
          <w:tcPr>
            <w:tcW w:w="120" w:type="dxa"/>
            <w:vAlign w:val="bottom"/>
          </w:tcPr>
          <w:p>
            <w:pPr>
              <w:spacing w:after="0"/>
              <w:rPr>
                <w:sz w:val="24"/>
                <w:szCs w:val="24"/>
                <w:color w:val="auto"/>
              </w:rPr>
            </w:pPr>
          </w:p>
        </w:tc>
        <w:tc>
          <w:tcPr>
            <w:tcW w:w="3460" w:type="dxa"/>
            <w:vAlign w:val="bottom"/>
            <w:gridSpan w:val="27"/>
          </w:tcPr>
          <w:p>
            <w:pPr>
              <w:spacing w:after="0"/>
              <w:rPr>
                <w:rFonts w:ascii="Arial" w:cs="Arial" w:eastAsia="Arial" w:hAnsi="Arial"/>
                <w:sz w:val="18"/>
                <w:szCs w:val="18"/>
                <w:color w:val="0000EE"/>
              </w:rPr>
            </w:pPr>
            <w:hyperlink w:anchor="page62">
              <w:r>
                <w:rPr>
                  <w:rFonts w:ascii="Arial" w:cs="Arial" w:eastAsia="Arial" w:hAnsi="Arial"/>
                  <w:sz w:val="18"/>
                  <w:szCs w:val="18"/>
                  <w:color w:val="0000EE"/>
                </w:rPr>
                <w:t>Assignment of Contracts, dated July 29,</w:t>
              </w:r>
            </w:hyperlink>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180" w:type="dxa"/>
            <w:vAlign w:val="bottom"/>
            <w:gridSpan w:val="2"/>
          </w:tcPr>
          <w:p>
            <w:pPr>
              <w:ind w:left="30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gridSpan w:val="2"/>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6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60" w:type="dxa"/>
            <w:vAlign w:val="bottom"/>
            <w:gridSpan w:val="27"/>
          </w:tcPr>
          <w:p>
            <w:pPr>
              <w:spacing w:after="0" w:line="180" w:lineRule="exact"/>
              <w:rPr>
                <w:rFonts w:ascii="Arial" w:cs="Arial" w:eastAsia="Arial" w:hAnsi="Arial"/>
                <w:sz w:val="18"/>
                <w:szCs w:val="18"/>
                <w:color w:val="0000EE"/>
              </w:rPr>
            </w:pPr>
            <w:hyperlink w:anchor="page62">
              <w:r>
                <w:rPr>
                  <w:rFonts w:ascii="Arial" w:cs="Arial" w:eastAsia="Arial" w:hAnsi="Arial"/>
                  <w:sz w:val="18"/>
                  <w:szCs w:val="18"/>
                  <w:color w:val="0000EE"/>
                </w:rPr>
                <w:t>2021, by and between CGP2 Lone Star,</w:t>
              </w:r>
            </w:hyperlink>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920" w:type="dxa"/>
            <w:vAlign w:val="bottom"/>
            <w:tcBorders>
              <w:top w:val="single" w:sz="8" w:color="0000EE"/>
              <w:bottom w:val="single" w:sz="8" w:color="0000EE"/>
            </w:tcBorders>
            <w:gridSpan w:val="10"/>
          </w:tcPr>
          <w:p>
            <w:pPr>
              <w:spacing w:after="0" w:line="180" w:lineRule="exact"/>
              <w:rPr>
                <w:rFonts w:ascii="Arial" w:cs="Arial" w:eastAsia="Arial" w:hAnsi="Arial"/>
                <w:sz w:val="18"/>
                <w:szCs w:val="18"/>
                <w:color w:val="0000EE"/>
                <w:w w:val="97"/>
              </w:rPr>
            </w:pPr>
            <w:hyperlink w:anchor="page62">
              <w:r>
                <w:rPr>
                  <w:rFonts w:ascii="Arial" w:cs="Arial" w:eastAsia="Arial" w:hAnsi="Arial"/>
                  <w:sz w:val="18"/>
                  <w:szCs w:val="18"/>
                  <w:color w:val="0000EE"/>
                  <w:w w:val="97"/>
                </w:rPr>
                <w:t>LP as assignor and Catterton Growth</w:t>
              </w:r>
            </w:hyperlink>
          </w:p>
        </w:tc>
        <w:tc>
          <w:tcPr>
            <w:tcW w:w="200" w:type="dxa"/>
            <w:vAlign w:val="bottom"/>
            <w:tcBorders>
              <w:top w:val="single" w:sz="8" w:color="0000EE"/>
            </w:tcBorders>
            <w:gridSpan w:val="6"/>
          </w:tcPr>
          <w:p>
            <w:pPr>
              <w:spacing w:after="0"/>
              <w:rPr>
                <w:sz w:val="15"/>
                <w:szCs w:val="15"/>
                <w:color w:val="auto"/>
              </w:rPr>
            </w:pPr>
          </w:p>
        </w:tc>
        <w:tc>
          <w:tcPr>
            <w:tcW w:w="340" w:type="dxa"/>
            <w:vAlign w:val="bottom"/>
            <w:gridSpan w:val="11"/>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380" w:type="dxa"/>
            <w:vAlign w:val="bottom"/>
            <w:tcBorders>
              <w:bottom w:val="single" w:sz="8" w:color="0000EE"/>
            </w:tcBorders>
            <w:gridSpan w:val="25"/>
          </w:tcPr>
          <w:p>
            <w:pPr>
              <w:spacing w:after="0" w:line="180" w:lineRule="exact"/>
              <w:rPr>
                <w:rFonts w:ascii="Arial" w:cs="Arial" w:eastAsia="Arial" w:hAnsi="Arial"/>
                <w:sz w:val="18"/>
                <w:szCs w:val="18"/>
                <w:color w:val="0000EE"/>
                <w:w w:val="97"/>
              </w:rPr>
            </w:pPr>
            <w:hyperlink w:anchor="page62">
              <w:r>
                <w:rPr>
                  <w:rFonts w:ascii="Arial" w:cs="Arial" w:eastAsia="Arial" w:hAnsi="Arial"/>
                  <w:sz w:val="18"/>
                  <w:szCs w:val="18"/>
                  <w:color w:val="0000EE"/>
                  <w:w w:val="97"/>
                </w:rPr>
                <w:t>Partners II, L.P., Catterton Growth Partners</w:t>
              </w:r>
            </w:hyperlink>
          </w:p>
        </w:tc>
        <w:tc>
          <w:tcPr>
            <w:tcW w:w="80" w:type="dxa"/>
            <w:vAlign w:val="bottom"/>
            <w:gridSpan w:val="2"/>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60" w:type="dxa"/>
            <w:vAlign w:val="bottom"/>
            <w:gridSpan w:val="27"/>
          </w:tcPr>
          <w:p>
            <w:pPr>
              <w:spacing w:after="0" w:line="180" w:lineRule="exact"/>
              <w:rPr>
                <w:rFonts w:ascii="Arial" w:cs="Arial" w:eastAsia="Arial" w:hAnsi="Arial"/>
                <w:sz w:val="18"/>
                <w:szCs w:val="18"/>
                <w:color w:val="0000EE"/>
              </w:rPr>
            </w:pPr>
            <w:hyperlink w:anchor="page62">
              <w:r>
                <w:rPr>
                  <w:rFonts w:ascii="Arial" w:cs="Arial" w:eastAsia="Arial" w:hAnsi="Arial"/>
                  <w:sz w:val="18"/>
                  <w:szCs w:val="18"/>
                  <w:color w:val="0000EE"/>
                </w:rPr>
                <w:t>II Offshore, L.P., L Catterton Growth</w:t>
              </w:r>
            </w:hyperlink>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gridSpan w:val="2"/>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60" w:type="dxa"/>
            <w:vAlign w:val="bottom"/>
            <w:gridSpan w:val="27"/>
          </w:tcPr>
          <w:p>
            <w:pPr>
              <w:spacing w:after="0" w:line="180" w:lineRule="exact"/>
              <w:rPr>
                <w:rFonts w:ascii="Arial" w:cs="Arial" w:eastAsia="Arial" w:hAnsi="Arial"/>
                <w:sz w:val="18"/>
                <w:szCs w:val="18"/>
                <w:color w:val="0000EE"/>
              </w:rPr>
            </w:pPr>
            <w:hyperlink w:anchor="page62">
              <w:r>
                <w:rPr>
                  <w:rFonts w:ascii="Arial" w:cs="Arial" w:eastAsia="Arial" w:hAnsi="Arial"/>
                  <w:sz w:val="18"/>
                  <w:szCs w:val="18"/>
                  <w:color w:val="0000EE"/>
                </w:rPr>
                <w:t>Partners III, L.P. and L Catterton Growth</w:t>
              </w:r>
            </w:hyperlink>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gridSpan w:val="2"/>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760" w:type="dxa"/>
            <w:vAlign w:val="bottom"/>
            <w:gridSpan w:val="8"/>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60" w:type="dxa"/>
            <w:vAlign w:val="bottom"/>
            <w:gridSpan w:val="27"/>
          </w:tcPr>
          <w:p>
            <w:pPr>
              <w:spacing w:after="0" w:line="180" w:lineRule="exact"/>
              <w:rPr>
                <w:rFonts w:ascii="Arial" w:cs="Arial" w:eastAsia="Arial" w:hAnsi="Arial"/>
                <w:sz w:val="18"/>
                <w:szCs w:val="18"/>
                <w:color w:val="0000EE"/>
              </w:rPr>
            </w:pPr>
            <w:hyperlink w:anchor="page62">
              <w:r>
                <w:rPr>
                  <w:rFonts w:ascii="Arial" w:cs="Arial" w:eastAsia="Arial" w:hAnsi="Arial"/>
                  <w:sz w:val="18"/>
                  <w:szCs w:val="18"/>
                  <w:color w:val="0000EE"/>
                </w:rPr>
                <w:t>Partners Offshore III, L.P. as assignees, of</w:t>
              </w:r>
            </w:hyperlink>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40" w:type="dxa"/>
            <w:vAlign w:val="bottom"/>
            <w:tcBorders>
              <w:top w:val="single" w:sz="8" w:color="0000EE"/>
              <w:bottom w:val="single" w:sz="8" w:color="0000EE"/>
            </w:tcBorders>
            <w:gridSpan w:val="20"/>
          </w:tcPr>
          <w:p>
            <w:pPr>
              <w:spacing w:after="0" w:line="180" w:lineRule="exact"/>
              <w:rPr>
                <w:rFonts w:ascii="Arial" w:cs="Arial" w:eastAsia="Arial" w:hAnsi="Arial"/>
                <w:sz w:val="18"/>
                <w:szCs w:val="18"/>
                <w:color w:val="0000EE"/>
                <w:w w:val="98"/>
              </w:rPr>
            </w:pPr>
            <w:hyperlink w:anchor="page62">
              <w:r>
                <w:rPr>
                  <w:rFonts w:ascii="Arial" w:cs="Arial" w:eastAsia="Arial" w:hAnsi="Arial"/>
                  <w:sz w:val="18"/>
                  <w:szCs w:val="18"/>
                  <w:color w:val="0000EE"/>
                  <w:w w:val="98"/>
                </w:rPr>
                <w:t>the Nominee and Indemnity Agreements,</w:t>
              </w:r>
            </w:hyperlink>
          </w:p>
        </w:tc>
        <w:tc>
          <w:tcPr>
            <w:tcW w:w="60" w:type="dxa"/>
            <w:vAlign w:val="bottom"/>
            <w:tcBorders>
              <w:top w:val="single" w:sz="8" w:color="0000EE"/>
            </w:tcBorders>
            <w:gridSpan w:val="2"/>
          </w:tcPr>
          <w:p>
            <w:pPr>
              <w:spacing w:after="0"/>
              <w:rPr>
                <w:sz w:val="15"/>
                <w:szCs w:val="15"/>
                <w:color w:val="auto"/>
              </w:rPr>
            </w:pPr>
          </w:p>
        </w:tc>
        <w:tc>
          <w:tcPr>
            <w:tcW w:w="160" w:type="dxa"/>
            <w:vAlign w:val="bottom"/>
            <w:gridSpan w:val="5"/>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360" w:type="dxa"/>
            <w:vAlign w:val="bottom"/>
            <w:tcBorders>
              <w:bottom w:val="single" w:sz="8" w:color="0000EE"/>
            </w:tcBorders>
            <w:gridSpan w:val="24"/>
          </w:tcPr>
          <w:p>
            <w:pPr>
              <w:spacing w:after="0" w:line="180" w:lineRule="exact"/>
              <w:rPr>
                <w:rFonts w:ascii="Arial" w:cs="Arial" w:eastAsia="Arial" w:hAnsi="Arial"/>
                <w:sz w:val="18"/>
                <w:szCs w:val="18"/>
                <w:color w:val="0000EE"/>
                <w:w w:val="97"/>
              </w:rPr>
            </w:pPr>
            <w:hyperlink w:anchor="page62">
              <w:r>
                <w:rPr>
                  <w:rFonts w:ascii="Arial" w:cs="Arial" w:eastAsia="Arial" w:hAnsi="Arial"/>
                  <w:sz w:val="18"/>
                  <w:szCs w:val="18"/>
                  <w:color w:val="0000EE"/>
                  <w:w w:val="97"/>
                </w:rPr>
                <w:t>dated September 1, 2020, of Scott Dahnke</w:t>
              </w:r>
            </w:hyperlink>
          </w:p>
        </w:tc>
        <w:tc>
          <w:tcPr>
            <w:tcW w:w="100" w:type="dxa"/>
            <w:vAlign w:val="bottom"/>
            <w:gridSpan w:val="3"/>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tcBorders>
              <w:bottom w:val="single" w:sz="8" w:color="0000EE"/>
            </w:tcBorders>
            <w:gridSpan w:val="2"/>
          </w:tcPr>
          <w:p>
            <w:pPr>
              <w:spacing w:after="0" w:line="180" w:lineRule="exact"/>
              <w:rPr>
                <w:rFonts w:ascii="Arial" w:cs="Arial" w:eastAsia="Arial" w:hAnsi="Arial"/>
                <w:sz w:val="18"/>
                <w:szCs w:val="18"/>
                <w:color w:val="0000EE"/>
                <w:w w:val="96"/>
              </w:rPr>
            </w:pPr>
            <w:hyperlink w:anchor="page62">
              <w:r>
                <w:rPr>
                  <w:rFonts w:ascii="Arial" w:cs="Arial" w:eastAsia="Arial" w:hAnsi="Arial"/>
                  <w:sz w:val="18"/>
                  <w:szCs w:val="18"/>
                  <w:color w:val="0000EE"/>
                  <w:w w:val="96"/>
                </w:rPr>
                <w:t>and Michael Farello</w:t>
              </w:r>
            </w:hyperlink>
          </w:p>
        </w:tc>
        <w:tc>
          <w:tcPr>
            <w:tcW w:w="1920" w:type="dxa"/>
            <w:vAlign w:val="bottom"/>
            <w:gridSpan w:val="25"/>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9"/>
        </w:trPr>
        <w:tc>
          <w:tcPr>
            <w:tcW w:w="840" w:type="dxa"/>
            <w:vAlign w:val="bottom"/>
          </w:tcPr>
          <w:p>
            <w:pPr>
              <w:jc w:val="right"/>
              <w:ind w:right="394"/>
              <w:spacing w:after="0"/>
              <w:rPr>
                <w:sz w:val="20"/>
                <w:szCs w:val="20"/>
                <w:color w:val="auto"/>
              </w:rPr>
            </w:pPr>
            <w:r>
              <w:rPr>
                <w:rFonts w:ascii="Arial" w:cs="Arial" w:eastAsia="Arial" w:hAnsi="Arial"/>
                <w:sz w:val="18"/>
                <w:szCs w:val="18"/>
                <w:color w:val="auto"/>
                <w:w w:val="96"/>
              </w:rPr>
              <w:t>31.1</w:t>
            </w:r>
          </w:p>
        </w:tc>
        <w:tc>
          <w:tcPr>
            <w:tcW w:w="120" w:type="dxa"/>
            <w:vAlign w:val="bottom"/>
          </w:tcPr>
          <w:p>
            <w:pPr>
              <w:spacing w:after="0"/>
              <w:rPr>
                <w:sz w:val="24"/>
                <w:szCs w:val="24"/>
                <w:color w:val="auto"/>
              </w:rPr>
            </w:pPr>
          </w:p>
        </w:tc>
        <w:tc>
          <w:tcPr>
            <w:tcW w:w="3460" w:type="dxa"/>
            <w:vAlign w:val="bottom"/>
            <w:gridSpan w:val="27"/>
          </w:tcPr>
          <w:p>
            <w:pPr>
              <w:spacing w:after="0"/>
              <w:rPr>
                <w:rFonts w:ascii="Arial" w:cs="Arial" w:eastAsia="Arial" w:hAnsi="Arial"/>
                <w:sz w:val="18"/>
                <w:szCs w:val="18"/>
                <w:color w:val="0000EE"/>
              </w:rPr>
            </w:pPr>
            <w:hyperlink w:anchor="page69">
              <w:r>
                <w:rPr>
                  <w:rFonts w:ascii="Arial" w:cs="Arial" w:eastAsia="Arial" w:hAnsi="Arial"/>
                  <w:sz w:val="18"/>
                  <w:szCs w:val="18"/>
                  <w:color w:val="0000EE"/>
                </w:rPr>
                <w:t>Certification of Principal Executive Officer</w:t>
              </w:r>
            </w:hyperlink>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180" w:type="dxa"/>
            <w:vAlign w:val="bottom"/>
            <w:gridSpan w:val="2"/>
          </w:tcPr>
          <w:p>
            <w:pPr>
              <w:ind w:left="30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80"/>
        </w:trPr>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980" w:type="dxa"/>
            <w:vAlign w:val="bottom"/>
            <w:tcBorders>
              <w:top w:val="single" w:sz="8" w:color="0000EE"/>
              <w:bottom w:val="single" w:sz="8" w:color="0000EE"/>
            </w:tcBorders>
            <w:gridSpan w:val="13"/>
          </w:tcPr>
          <w:p>
            <w:pPr>
              <w:spacing w:after="0" w:line="180" w:lineRule="exact"/>
              <w:rPr>
                <w:rFonts w:ascii="Arial" w:cs="Arial" w:eastAsia="Arial" w:hAnsi="Arial"/>
                <w:sz w:val="18"/>
                <w:szCs w:val="18"/>
                <w:color w:val="0000EE"/>
                <w:w w:val="97"/>
              </w:rPr>
            </w:pPr>
            <w:hyperlink w:anchor="page69">
              <w:r>
                <w:rPr>
                  <w:rFonts w:ascii="Arial" w:cs="Arial" w:eastAsia="Arial" w:hAnsi="Arial"/>
                  <w:sz w:val="18"/>
                  <w:szCs w:val="18"/>
                  <w:color w:val="0000EE"/>
                  <w:w w:val="97"/>
                </w:rPr>
                <w:t>Pursuant to Rules 13a-14(a) and 15d-</w:t>
              </w:r>
            </w:hyperlink>
          </w:p>
        </w:tc>
        <w:tc>
          <w:tcPr>
            <w:tcW w:w="260" w:type="dxa"/>
            <w:vAlign w:val="bottom"/>
            <w:tcBorders>
              <w:top w:val="single" w:sz="8" w:color="0000EE"/>
            </w:tcBorders>
            <w:gridSpan w:val="7"/>
          </w:tcPr>
          <w:p>
            <w:pPr>
              <w:spacing w:after="0"/>
              <w:rPr>
                <w:sz w:val="15"/>
                <w:szCs w:val="15"/>
                <w:color w:val="auto"/>
              </w:rPr>
            </w:pPr>
          </w:p>
        </w:tc>
        <w:tc>
          <w:tcPr>
            <w:tcW w:w="220" w:type="dxa"/>
            <w:vAlign w:val="bottom"/>
            <w:gridSpan w:val="7"/>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180" w:type="dxa"/>
            <w:vAlign w:val="bottom"/>
            <w:tcBorders>
              <w:bottom w:val="single" w:sz="8" w:color="0000EE"/>
            </w:tcBorders>
            <w:gridSpan w:val="17"/>
          </w:tcPr>
          <w:p>
            <w:pPr>
              <w:spacing w:after="0" w:line="180" w:lineRule="exact"/>
              <w:rPr>
                <w:rFonts w:ascii="Arial" w:cs="Arial" w:eastAsia="Arial" w:hAnsi="Arial"/>
                <w:sz w:val="18"/>
                <w:szCs w:val="18"/>
                <w:color w:val="0000EE"/>
                <w:w w:val="97"/>
              </w:rPr>
            </w:pPr>
            <w:hyperlink w:anchor="page69">
              <w:r>
                <w:rPr>
                  <w:rFonts w:ascii="Arial" w:cs="Arial" w:eastAsia="Arial" w:hAnsi="Arial"/>
                  <w:sz w:val="18"/>
                  <w:szCs w:val="18"/>
                  <w:color w:val="0000EE"/>
                  <w:w w:val="97"/>
                </w:rPr>
                <w:t>14(a) under the Securities Exchange Act</w:t>
              </w:r>
            </w:hyperlink>
          </w:p>
        </w:tc>
        <w:tc>
          <w:tcPr>
            <w:tcW w:w="280" w:type="dxa"/>
            <w:vAlign w:val="bottom"/>
            <w:gridSpan w:val="10"/>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0" w:type="dxa"/>
            <w:vAlign w:val="bottom"/>
            <w:tcBorders>
              <w:bottom w:val="single" w:sz="8" w:color="0000EE"/>
            </w:tcBorders>
            <w:gridSpan w:val="18"/>
          </w:tcPr>
          <w:p>
            <w:pPr>
              <w:spacing w:after="0" w:line="180" w:lineRule="exact"/>
              <w:rPr>
                <w:rFonts w:ascii="Arial" w:cs="Arial" w:eastAsia="Arial" w:hAnsi="Arial"/>
                <w:sz w:val="18"/>
                <w:szCs w:val="18"/>
                <w:color w:val="0000EE"/>
                <w:w w:val="98"/>
              </w:rPr>
            </w:pPr>
            <w:hyperlink w:anchor="page69">
              <w:r>
                <w:rPr>
                  <w:rFonts w:ascii="Arial" w:cs="Arial" w:eastAsia="Arial" w:hAnsi="Arial"/>
                  <w:sz w:val="18"/>
                  <w:szCs w:val="18"/>
                  <w:color w:val="0000EE"/>
                  <w:w w:val="98"/>
                </w:rPr>
                <w:t>of 1934, as Adopted Pursuant to Section</w:t>
              </w:r>
            </w:hyperlink>
          </w:p>
        </w:tc>
        <w:tc>
          <w:tcPr>
            <w:tcW w:w="260" w:type="dxa"/>
            <w:vAlign w:val="bottom"/>
            <w:gridSpan w:val="9"/>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60" w:type="dxa"/>
            <w:vAlign w:val="bottom"/>
            <w:gridSpan w:val="27"/>
          </w:tcPr>
          <w:p>
            <w:pPr>
              <w:spacing w:after="0" w:line="180" w:lineRule="exact"/>
              <w:rPr>
                <w:rFonts w:ascii="Arial" w:cs="Arial" w:eastAsia="Arial" w:hAnsi="Arial"/>
                <w:sz w:val="18"/>
                <w:szCs w:val="18"/>
                <w:color w:val="0000EE"/>
              </w:rPr>
            </w:pPr>
            <w:hyperlink w:anchor="page69">
              <w:r>
                <w:rPr>
                  <w:rFonts w:ascii="Arial" w:cs="Arial" w:eastAsia="Arial" w:hAnsi="Arial"/>
                  <w:sz w:val="18"/>
                  <w:szCs w:val="18"/>
                  <w:color w:val="0000EE"/>
                </w:rPr>
                <w:t>302 of the Sarbanes-Oxley Act of 2002</w:t>
              </w:r>
            </w:hyperlink>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20" w:type="dxa"/>
            <w:vAlign w:val="bottom"/>
            <w:gridSpan w:val="5"/>
            <w:shd w:val="clear" w:color="auto" w:fill="0000EE"/>
          </w:tcPr>
          <w:p>
            <w:pPr>
              <w:spacing w:after="0" w:line="20" w:lineRule="exact"/>
              <w:rPr>
                <w:sz w:val="1"/>
                <w:szCs w:val="1"/>
                <w:color w:val="auto"/>
              </w:rPr>
            </w:pPr>
          </w:p>
        </w:tc>
        <w:tc>
          <w:tcPr>
            <w:tcW w:w="820" w:type="dxa"/>
            <w:vAlign w:val="bottom"/>
            <w:gridSpan w:val="9"/>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40" w:type="dxa"/>
            <w:vAlign w:val="bottom"/>
            <w:gridSpan w:val="8"/>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180" w:type="dxa"/>
            <w:vAlign w:val="bottom"/>
            <w:gridSpan w:val="2"/>
            <w:vMerge w:val="restart"/>
          </w:tcPr>
          <w:p>
            <w:pPr>
              <w:ind w:left="300"/>
              <w:spacing w:after="0"/>
              <w:rPr>
                <w:sz w:val="20"/>
                <w:szCs w:val="20"/>
                <w:color w:val="auto"/>
              </w:rPr>
            </w:pPr>
            <w:r>
              <w:rPr>
                <w:rFonts w:ascii="Arial" w:cs="Arial" w:eastAsia="Arial" w:hAnsi="Arial"/>
                <w:sz w:val="18"/>
                <w:szCs w:val="18"/>
                <w:color w:val="auto"/>
              </w:rPr>
              <w:t>X</w:t>
            </w:r>
          </w:p>
        </w:tc>
        <w:tc>
          <w:tcPr>
            <w:tcW w:w="0" w:type="dxa"/>
            <w:vAlign w:val="bottom"/>
          </w:tcPr>
          <w:p>
            <w:pPr>
              <w:spacing w:after="0" w:line="20" w:lineRule="exact"/>
              <w:rPr>
                <w:sz w:val="1"/>
                <w:szCs w:val="1"/>
                <w:color w:val="auto"/>
              </w:rPr>
            </w:pPr>
          </w:p>
        </w:tc>
      </w:tr>
      <w:tr>
        <w:trPr>
          <w:trHeight w:val="299"/>
        </w:trPr>
        <w:tc>
          <w:tcPr>
            <w:tcW w:w="840" w:type="dxa"/>
            <w:vAlign w:val="bottom"/>
          </w:tcPr>
          <w:p>
            <w:pPr>
              <w:jc w:val="right"/>
              <w:ind w:right="394"/>
              <w:spacing w:after="0"/>
              <w:rPr>
                <w:sz w:val="20"/>
                <w:szCs w:val="20"/>
                <w:color w:val="auto"/>
              </w:rPr>
            </w:pPr>
            <w:r>
              <w:rPr>
                <w:rFonts w:ascii="Arial" w:cs="Arial" w:eastAsia="Arial" w:hAnsi="Arial"/>
                <w:sz w:val="18"/>
                <w:szCs w:val="18"/>
                <w:color w:val="auto"/>
                <w:w w:val="96"/>
              </w:rPr>
              <w:t>31.2</w:t>
            </w:r>
          </w:p>
        </w:tc>
        <w:tc>
          <w:tcPr>
            <w:tcW w:w="120" w:type="dxa"/>
            <w:vAlign w:val="bottom"/>
          </w:tcPr>
          <w:p>
            <w:pPr>
              <w:spacing w:after="0"/>
              <w:rPr>
                <w:sz w:val="24"/>
                <w:szCs w:val="24"/>
                <w:color w:val="auto"/>
              </w:rPr>
            </w:pPr>
          </w:p>
        </w:tc>
        <w:tc>
          <w:tcPr>
            <w:tcW w:w="3220" w:type="dxa"/>
            <w:vAlign w:val="bottom"/>
            <w:tcBorders>
              <w:bottom w:val="single" w:sz="8" w:color="0000EE"/>
            </w:tcBorders>
            <w:gridSpan w:val="19"/>
          </w:tcPr>
          <w:p>
            <w:pPr>
              <w:spacing w:after="0"/>
              <w:rPr>
                <w:rFonts w:ascii="Arial" w:cs="Arial" w:eastAsia="Arial" w:hAnsi="Arial"/>
                <w:sz w:val="18"/>
                <w:szCs w:val="18"/>
                <w:color w:val="0000EE"/>
                <w:w w:val="98"/>
              </w:rPr>
            </w:pPr>
            <w:hyperlink w:anchor="page70">
              <w:r>
                <w:rPr>
                  <w:rFonts w:ascii="Arial" w:cs="Arial" w:eastAsia="Arial" w:hAnsi="Arial"/>
                  <w:sz w:val="18"/>
                  <w:szCs w:val="18"/>
                  <w:color w:val="0000EE"/>
                  <w:w w:val="98"/>
                </w:rPr>
                <w:t>Certification of Principal Financial Officer</w:t>
              </w:r>
            </w:hyperlink>
          </w:p>
        </w:tc>
        <w:tc>
          <w:tcPr>
            <w:tcW w:w="240" w:type="dxa"/>
            <w:vAlign w:val="bottom"/>
            <w:gridSpan w:val="8"/>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18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980" w:type="dxa"/>
            <w:vAlign w:val="bottom"/>
            <w:tcBorders>
              <w:bottom w:val="single" w:sz="8" w:color="0000EE"/>
            </w:tcBorders>
            <w:gridSpan w:val="13"/>
          </w:tcPr>
          <w:p>
            <w:pPr>
              <w:spacing w:after="0" w:line="180" w:lineRule="exact"/>
              <w:rPr>
                <w:rFonts w:ascii="Arial" w:cs="Arial" w:eastAsia="Arial" w:hAnsi="Arial"/>
                <w:sz w:val="18"/>
                <w:szCs w:val="18"/>
                <w:color w:val="0000EE"/>
                <w:w w:val="97"/>
              </w:rPr>
            </w:pPr>
            <w:hyperlink w:anchor="page70">
              <w:r>
                <w:rPr>
                  <w:rFonts w:ascii="Arial" w:cs="Arial" w:eastAsia="Arial" w:hAnsi="Arial"/>
                  <w:sz w:val="18"/>
                  <w:szCs w:val="18"/>
                  <w:color w:val="0000EE"/>
                  <w:w w:val="97"/>
                </w:rPr>
                <w:t>Pursuant to Rules 13a-14(a) and 15d-</w:t>
              </w:r>
            </w:hyperlink>
          </w:p>
        </w:tc>
        <w:tc>
          <w:tcPr>
            <w:tcW w:w="480" w:type="dxa"/>
            <w:vAlign w:val="bottom"/>
            <w:gridSpan w:val="14"/>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180" w:type="dxa"/>
            <w:vAlign w:val="bottom"/>
            <w:tcBorders>
              <w:bottom w:val="single" w:sz="8" w:color="0000EE"/>
            </w:tcBorders>
            <w:gridSpan w:val="17"/>
          </w:tcPr>
          <w:p>
            <w:pPr>
              <w:spacing w:after="0" w:line="180" w:lineRule="exact"/>
              <w:rPr>
                <w:rFonts w:ascii="Arial" w:cs="Arial" w:eastAsia="Arial" w:hAnsi="Arial"/>
                <w:sz w:val="18"/>
                <w:szCs w:val="18"/>
                <w:color w:val="0000EE"/>
                <w:w w:val="97"/>
              </w:rPr>
            </w:pPr>
            <w:hyperlink w:anchor="page70">
              <w:r>
                <w:rPr>
                  <w:rFonts w:ascii="Arial" w:cs="Arial" w:eastAsia="Arial" w:hAnsi="Arial"/>
                  <w:sz w:val="18"/>
                  <w:szCs w:val="18"/>
                  <w:color w:val="0000EE"/>
                  <w:w w:val="97"/>
                </w:rPr>
                <w:t>14(a) under the Securities Exchange Act</w:t>
              </w:r>
            </w:hyperlink>
          </w:p>
        </w:tc>
        <w:tc>
          <w:tcPr>
            <w:tcW w:w="280" w:type="dxa"/>
            <w:vAlign w:val="bottom"/>
            <w:gridSpan w:val="10"/>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0" w:type="dxa"/>
            <w:vAlign w:val="bottom"/>
            <w:tcBorders>
              <w:bottom w:val="single" w:sz="8" w:color="0000EE"/>
            </w:tcBorders>
            <w:gridSpan w:val="18"/>
          </w:tcPr>
          <w:p>
            <w:pPr>
              <w:spacing w:after="0" w:line="180" w:lineRule="exact"/>
              <w:rPr>
                <w:rFonts w:ascii="Arial" w:cs="Arial" w:eastAsia="Arial" w:hAnsi="Arial"/>
                <w:sz w:val="18"/>
                <w:szCs w:val="18"/>
                <w:color w:val="0000EE"/>
                <w:w w:val="98"/>
              </w:rPr>
            </w:pPr>
            <w:hyperlink w:anchor="page70">
              <w:r>
                <w:rPr>
                  <w:rFonts w:ascii="Arial" w:cs="Arial" w:eastAsia="Arial" w:hAnsi="Arial"/>
                  <w:sz w:val="18"/>
                  <w:szCs w:val="18"/>
                  <w:color w:val="0000EE"/>
                  <w:w w:val="98"/>
                </w:rPr>
                <w:t>of 1934, as Adopted Pursuant to Section</w:t>
              </w:r>
            </w:hyperlink>
          </w:p>
        </w:tc>
        <w:tc>
          <w:tcPr>
            <w:tcW w:w="260" w:type="dxa"/>
            <w:vAlign w:val="bottom"/>
            <w:gridSpan w:val="9"/>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60" w:type="dxa"/>
            <w:vAlign w:val="bottom"/>
            <w:gridSpan w:val="27"/>
          </w:tcPr>
          <w:p>
            <w:pPr>
              <w:spacing w:after="0" w:line="180" w:lineRule="exact"/>
              <w:rPr>
                <w:rFonts w:ascii="Arial" w:cs="Arial" w:eastAsia="Arial" w:hAnsi="Arial"/>
                <w:sz w:val="18"/>
                <w:szCs w:val="18"/>
                <w:color w:val="0000EE"/>
              </w:rPr>
            </w:pPr>
            <w:hyperlink w:anchor="page70">
              <w:r>
                <w:rPr>
                  <w:rFonts w:ascii="Arial" w:cs="Arial" w:eastAsia="Arial" w:hAnsi="Arial"/>
                  <w:sz w:val="18"/>
                  <w:szCs w:val="18"/>
                  <w:color w:val="0000EE"/>
                </w:rPr>
                <w:t>302 of the Sarbanes-Oxley Act of 2002</w:t>
              </w:r>
            </w:hyperlink>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20" w:type="dxa"/>
            <w:vAlign w:val="bottom"/>
            <w:gridSpan w:val="5"/>
            <w:shd w:val="clear" w:color="auto" w:fill="0000EE"/>
          </w:tcPr>
          <w:p>
            <w:pPr>
              <w:spacing w:after="0" w:line="20" w:lineRule="exact"/>
              <w:rPr>
                <w:sz w:val="1"/>
                <w:szCs w:val="1"/>
                <w:color w:val="auto"/>
              </w:rPr>
            </w:pPr>
          </w:p>
        </w:tc>
        <w:tc>
          <w:tcPr>
            <w:tcW w:w="820" w:type="dxa"/>
            <w:vAlign w:val="bottom"/>
            <w:gridSpan w:val="9"/>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11"/>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180" w:type="dxa"/>
            <w:vAlign w:val="bottom"/>
            <w:gridSpan w:val="2"/>
            <w:vMerge w:val="restart"/>
          </w:tcPr>
          <w:p>
            <w:pPr>
              <w:ind w:left="1440"/>
              <w:spacing w:after="0"/>
              <w:rPr>
                <w:sz w:val="20"/>
                <w:szCs w:val="20"/>
                <w:color w:val="auto"/>
              </w:rPr>
            </w:pPr>
            <w:r>
              <w:rPr>
                <w:rFonts w:ascii="Arial" w:cs="Arial" w:eastAsia="Arial" w:hAnsi="Arial"/>
                <w:sz w:val="18"/>
                <w:szCs w:val="18"/>
                <w:color w:val="auto"/>
              </w:rPr>
              <w:t>X</w:t>
            </w:r>
          </w:p>
        </w:tc>
        <w:tc>
          <w:tcPr>
            <w:tcW w:w="0" w:type="dxa"/>
            <w:vAlign w:val="bottom"/>
          </w:tcPr>
          <w:p>
            <w:pPr>
              <w:spacing w:after="0" w:line="20" w:lineRule="exact"/>
              <w:rPr>
                <w:sz w:val="1"/>
                <w:szCs w:val="1"/>
                <w:color w:val="auto"/>
              </w:rPr>
            </w:pPr>
          </w:p>
        </w:tc>
      </w:tr>
      <w:tr>
        <w:trPr>
          <w:trHeight w:val="299"/>
        </w:trPr>
        <w:tc>
          <w:tcPr>
            <w:tcW w:w="840" w:type="dxa"/>
            <w:vAlign w:val="bottom"/>
          </w:tcPr>
          <w:p>
            <w:pPr>
              <w:jc w:val="right"/>
              <w:ind w:right="394"/>
              <w:spacing w:after="0"/>
              <w:rPr>
                <w:sz w:val="20"/>
                <w:szCs w:val="20"/>
                <w:color w:val="auto"/>
              </w:rPr>
            </w:pPr>
            <w:r>
              <w:rPr>
                <w:rFonts w:ascii="Arial" w:cs="Arial" w:eastAsia="Arial" w:hAnsi="Arial"/>
                <w:sz w:val="18"/>
                <w:szCs w:val="18"/>
                <w:color w:val="auto"/>
                <w:w w:val="96"/>
              </w:rPr>
              <w:t>32.1</w:t>
            </w:r>
          </w:p>
        </w:tc>
        <w:tc>
          <w:tcPr>
            <w:tcW w:w="120" w:type="dxa"/>
            <w:vAlign w:val="bottom"/>
          </w:tcPr>
          <w:p>
            <w:pPr>
              <w:spacing w:after="0"/>
              <w:rPr>
                <w:sz w:val="24"/>
                <w:szCs w:val="24"/>
                <w:color w:val="auto"/>
              </w:rPr>
            </w:pPr>
          </w:p>
        </w:tc>
        <w:tc>
          <w:tcPr>
            <w:tcW w:w="3460" w:type="dxa"/>
            <w:vAlign w:val="bottom"/>
            <w:gridSpan w:val="27"/>
          </w:tcPr>
          <w:p>
            <w:pPr>
              <w:spacing w:after="0"/>
              <w:rPr>
                <w:rFonts w:ascii="Arial" w:cs="Arial" w:eastAsia="Arial" w:hAnsi="Arial"/>
                <w:sz w:val="18"/>
                <w:szCs w:val="18"/>
                <w:color w:val="0000EE"/>
              </w:rPr>
            </w:pPr>
            <w:hyperlink w:anchor="page71">
              <w:r>
                <w:rPr>
                  <w:rFonts w:ascii="Arial" w:cs="Arial" w:eastAsia="Arial" w:hAnsi="Arial"/>
                  <w:sz w:val="18"/>
                  <w:szCs w:val="18"/>
                  <w:color w:val="0000EE"/>
                </w:rPr>
                <w:t>Certification of Principal Executive Officer</w:t>
              </w:r>
            </w:hyperlink>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18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40" w:type="dxa"/>
            <w:vAlign w:val="bottom"/>
            <w:tcBorders>
              <w:top w:val="single" w:sz="8" w:color="0000EE"/>
            </w:tcBorders>
            <w:gridSpan w:val="20"/>
          </w:tcPr>
          <w:p>
            <w:pPr>
              <w:spacing w:after="0" w:line="180" w:lineRule="exact"/>
              <w:rPr>
                <w:rFonts w:ascii="Arial" w:cs="Arial" w:eastAsia="Arial" w:hAnsi="Arial"/>
                <w:sz w:val="18"/>
                <w:szCs w:val="18"/>
                <w:color w:val="0000EE"/>
              </w:rPr>
            </w:pPr>
            <w:hyperlink w:anchor="page71">
              <w:r>
                <w:rPr>
                  <w:rFonts w:ascii="Arial" w:cs="Arial" w:eastAsia="Arial" w:hAnsi="Arial"/>
                  <w:sz w:val="18"/>
                  <w:szCs w:val="18"/>
                  <w:color w:val="0000EE"/>
                </w:rPr>
                <w:t>Pursuant to 18 U.S.C. Section 1350, as</w:t>
              </w:r>
            </w:hyperlink>
          </w:p>
        </w:tc>
        <w:tc>
          <w:tcPr>
            <w:tcW w:w="220" w:type="dxa"/>
            <w:vAlign w:val="bottom"/>
            <w:gridSpan w:val="7"/>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20" w:type="dxa"/>
            <w:vAlign w:val="bottom"/>
            <w:gridSpan w:val="5"/>
            <w:shd w:val="clear" w:color="auto" w:fill="0000EE"/>
          </w:tcPr>
          <w:p>
            <w:pPr>
              <w:spacing w:after="0" w:line="20" w:lineRule="exact"/>
              <w:rPr>
                <w:sz w:val="1"/>
                <w:szCs w:val="1"/>
                <w:color w:val="auto"/>
              </w:rPr>
            </w:pPr>
          </w:p>
        </w:tc>
        <w:tc>
          <w:tcPr>
            <w:tcW w:w="860" w:type="dxa"/>
            <w:vAlign w:val="bottom"/>
            <w:gridSpan w:val="10"/>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11"/>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120" w:type="dxa"/>
            <w:vAlign w:val="bottom"/>
            <w:tcBorders>
              <w:bottom w:val="single" w:sz="8" w:color="0000EE"/>
            </w:tcBorders>
            <w:gridSpan w:val="16"/>
          </w:tcPr>
          <w:p>
            <w:pPr>
              <w:spacing w:after="0" w:line="180" w:lineRule="exact"/>
              <w:rPr>
                <w:rFonts w:ascii="Arial" w:cs="Arial" w:eastAsia="Arial" w:hAnsi="Arial"/>
                <w:sz w:val="18"/>
                <w:szCs w:val="18"/>
                <w:color w:val="0000EE"/>
                <w:w w:val="98"/>
              </w:rPr>
            </w:pPr>
            <w:hyperlink w:anchor="page71">
              <w:r>
                <w:rPr>
                  <w:rFonts w:ascii="Arial" w:cs="Arial" w:eastAsia="Arial" w:hAnsi="Arial"/>
                  <w:sz w:val="18"/>
                  <w:szCs w:val="18"/>
                  <w:color w:val="0000EE"/>
                  <w:w w:val="98"/>
                </w:rPr>
                <w:t>Adopted Pursuant to Section 906 of the</w:t>
              </w:r>
            </w:hyperlink>
          </w:p>
        </w:tc>
        <w:tc>
          <w:tcPr>
            <w:tcW w:w="340" w:type="dxa"/>
            <w:vAlign w:val="bottom"/>
            <w:gridSpan w:val="11"/>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20" w:type="dxa"/>
            <w:vAlign w:val="bottom"/>
            <w:tcBorders>
              <w:bottom w:val="single" w:sz="8" w:color="0000EE"/>
            </w:tcBorders>
            <w:gridSpan w:val="5"/>
          </w:tcPr>
          <w:p>
            <w:pPr>
              <w:spacing w:after="0" w:line="180" w:lineRule="exact"/>
              <w:rPr>
                <w:rFonts w:ascii="Arial" w:cs="Arial" w:eastAsia="Arial" w:hAnsi="Arial"/>
                <w:sz w:val="18"/>
                <w:szCs w:val="18"/>
                <w:color w:val="0000EE"/>
                <w:w w:val="97"/>
              </w:rPr>
            </w:pPr>
            <w:hyperlink w:anchor="page71">
              <w:r>
                <w:rPr>
                  <w:rFonts w:ascii="Arial" w:cs="Arial" w:eastAsia="Arial" w:hAnsi="Arial"/>
                  <w:sz w:val="18"/>
                  <w:szCs w:val="18"/>
                  <w:color w:val="0000EE"/>
                  <w:w w:val="97"/>
                </w:rPr>
                <w:t>Sarbanes-Oxley Act of 2002</w:t>
              </w:r>
            </w:hyperlink>
          </w:p>
        </w:tc>
        <w:tc>
          <w:tcPr>
            <w:tcW w:w="1240" w:type="dxa"/>
            <w:vAlign w:val="bottom"/>
            <w:gridSpan w:val="22"/>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9"/>
        </w:trPr>
        <w:tc>
          <w:tcPr>
            <w:tcW w:w="840" w:type="dxa"/>
            <w:vAlign w:val="bottom"/>
          </w:tcPr>
          <w:p>
            <w:pPr>
              <w:jc w:val="right"/>
              <w:ind w:right="394"/>
              <w:spacing w:after="0"/>
              <w:rPr>
                <w:sz w:val="20"/>
                <w:szCs w:val="20"/>
                <w:color w:val="auto"/>
              </w:rPr>
            </w:pPr>
            <w:r>
              <w:rPr>
                <w:rFonts w:ascii="Arial" w:cs="Arial" w:eastAsia="Arial" w:hAnsi="Arial"/>
                <w:sz w:val="18"/>
                <w:szCs w:val="18"/>
                <w:color w:val="auto"/>
                <w:w w:val="96"/>
              </w:rPr>
              <w:t>32.2</w:t>
            </w:r>
          </w:p>
        </w:tc>
        <w:tc>
          <w:tcPr>
            <w:tcW w:w="120" w:type="dxa"/>
            <w:vAlign w:val="bottom"/>
          </w:tcPr>
          <w:p>
            <w:pPr>
              <w:spacing w:after="0"/>
              <w:rPr>
                <w:sz w:val="24"/>
                <w:szCs w:val="24"/>
                <w:color w:val="auto"/>
              </w:rPr>
            </w:pPr>
          </w:p>
        </w:tc>
        <w:tc>
          <w:tcPr>
            <w:tcW w:w="3220" w:type="dxa"/>
            <w:vAlign w:val="bottom"/>
            <w:tcBorders>
              <w:bottom w:val="single" w:sz="8" w:color="0000EE"/>
            </w:tcBorders>
            <w:gridSpan w:val="19"/>
          </w:tcPr>
          <w:p>
            <w:pPr>
              <w:spacing w:after="0"/>
              <w:rPr>
                <w:rFonts w:ascii="Arial" w:cs="Arial" w:eastAsia="Arial" w:hAnsi="Arial"/>
                <w:sz w:val="18"/>
                <w:szCs w:val="18"/>
                <w:color w:val="0000EE"/>
                <w:w w:val="98"/>
              </w:rPr>
            </w:pPr>
            <w:hyperlink w:anchor="page72">
              <w:r>
                <w:rPr>
                  <w:rFonts w:ascii="Arial" w:cs="Arial" w:eastAsia="Arial" w:hAnsi="Arial"/>
                  <w:sz w:val="18"/>
                  <w:szCs w:val="18"/>
                  <w:color w:val="0000EE"/>
                  <w:w w:val="98"/>
                </w:rPr>
                <w:t>Certification of Principal Financial Officer</w:t>
              </w:r>
            </w:hyperlink>
          </w:p>
        </w:tc>
        <w:tc>
          <w:tcPr>
            <w:tcW w:w="240" w:type="dxa"/>
            <w:vAlign w:val="bottom"/>
            <w:gridSpan w:val="8"/>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180" w:type="dxa"/>
            <w:vAlign w:val="bottom"/>
            <w:gridSpan w:val="2"/>
          </w:tcPr>
          <w:p>
            <w:pPr>
              <w:ind w:left="144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80"/>
        </w:trPr>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60" w:type="dxa"/>
            <w:vAlign w:val="bottom"/>
            <w:gridSpan w:val="27"/>
          </w:tcPr>
          <w:p>
            <w:pPr>
              <w:spacing w:after="0" w:line="180" w:lineRule="exact"/>
              <w:rPr>
                <w:rFonts w:ascii="Arial" w:cs="Arial" w:eastAsia="Arial" w:hAnsi="Arial"/>
                <w:sz w:val="18"/>
                <w:szCs w:val="18"/>
                <w:color w:val="0000EE"/>
              </w:rPr>
            </w:pPr>
            <w:hyperlink w:anchor="page72">
              <w:r>
                <w:rPr>
                  <w:rFonts w:ascii="Arial" w:cs="Arial" w:eastAsia="Arial" w:hAnsi="Arial"/>
                  <w:sz w:val="18"/>
                  <w:szCs w:val="18"/>
                  <w:color w:val="0000EE"/>
                </w:rPr>
                <w:t>Pursuant to 18 U.S.C. Section 1350, as</w:t>
              </w:r>
            </w:hyperlink>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20" w:type="dxa"/>
            <w:vAlign w:val="bottom"/>
            <w:gridSpan w:val="5"/>
            <w:shd w:val="clear" w:color="auto" w:fill="0000EE"/>
          </w:tcPr>
          <w:p>
            <w:pPr>
              <w:spacing w:after="0" w:line="20" w:lineRule="exact"/>
              <w:rPr>
                <w:sz w:val="1"/>
                <w:szCs w:val="1"/>
                <w:color w:val="auto"/>
              </w:rPr>
            </w:pPr>
          </w:p>
        </w:tc>
        <w:tc>
          <w:tcPr>
            <w:tcW w:w="860" w:type="dxa"/>
            <w:vAlign w:val="bottom"/>
            <w:gridSpan w:val="10"/>
            <w:shd w:val="clear" w:color="auto" w:fill="0000EE"/>
          </w:tcPr>
          <w:p>
            <w:pPr>
              <w:spacing w:after="0" w:line="20" w:lineRule="exact"/>
              <w:rPr>
                <w:sz w:val="1"/>
                <w:szCs w:val="1"/>
                <w:color w:val="auto"/>
              </w:rPr>
            </w:pPr>
          </w:p>
        </w:tc>
        <w:tc>
          <w:tcPr>
            <w:tcW w:w="380" w:type="dxa"/>
            <w:vAlign w:val="bottom"/>
            <w:gridSpan w:val="1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120" w:type="dxa"/>
            <w:vAlign w:val="bottom"/>
            <w:tcBorders>
              <w:bottom w:val="single" w:sz="8" w:color="0000EE"/>
            </w:tcBorders>
            <w:gridSpan w:val="16"/>
          </w:tcPr>
          <w:p>
            <w:pPr>
              <w:spacing w:after="0" w:line="180" w:lineRule="exact"/>
              <w:rPr>
                <w:rFonts w:ascii="Arial" w:cs="Arial" w:eastAsia="Arial" w:hAnsi="Arial"/>
                <w:sz w:val="18"/>
                <w:szCs w:val="18"/>
                <w:color w:val="0000EE"/>
                <w:w w:val="98"/>
              </w:rPr>
            </w:pPr>
            <w:hyperlink w:anchor="page72">
              <w:r>
                <w:rPr>
                  <w:rFonts w:ascii="Arial" w:cs="Arial" w:eastAsia="Arial" w:hAnsi="Arial"/>
                  <w:sz w:val="18"/>
                  <w:szCs w:val="18"/>
                  <w:color w:val="0000EE"/>
                  <w:w w:val="98"/>
                </w:rPr>
                <w:t>Adopted Pursuant to Section 906 of the</w:t>
              </w:r>
            </w:hyperlink>
          </w:p>
        </w:tc>
        <w:tc>
          <w:tcPr>
            <w:tcW w:w="340" w:type="dxa"/>
            <w:vAlign w:val="bottom"/>
            <w:gridSpan w:val="11"/>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60" w:type="dxa"/>
            <w:vAlign w:val="bottom"/>
            <w:gridSpan w:val="27"/>
          </w:tcPr>
          <w:p>
            <w:pPr>
              <w:spacing w:after="0" w:line="180" w:lineRule="exact"/>
              <w:rPr>
                <w:rFonts w:ascii="Arial" w:cs="Arial" w:eastAsia="Arial" w:hAnsi="Arial"/>
                <w:sz w:val="18"/>
                <w:szCs w:val="18"/>
                <w:color w:val="0000EE"/>
              </w:rPr>
            </w:pPr>
            <w:hyperlink w:anchor="page72">
              <w:r>
                <w:rPr>
                  <w:rFonts w:ascii="Arial" w:cs="Arial" w:eastAsia="Arial" w:hAnsi="Arial"/>
                  <w:sz w:val="18"/>
                  <w:szCs w:val="18"/>
                  <w:color w:val="0000EE"/>
                </w:rPr>
                <w:t>Sarbanes-Oxley Act of 2002</w:t>
              </w:r>
            </w:hyperlink>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1"/>
        </w:trPr>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ind w:left="340"/>
              <w:spacing w:after="0"/>
              <w:rPr>
                <w:sz w:val="20"/>
                <w:szCs w:val="20"/>
                <w:color w:val="auto"/>
              </w:rPr>
            </w:pPr>
            <w:r>
              <w:rPr>
                <w:rFonts w:ascii="Arial" w:cs="Arial" w:eastAsia="Arial" w:hAnsi="Arial"/>
                <w:sz w:val="18"/>
                <w:szCs w:val="18"/>
                <w:color w:val="auto"/>
              </w:rPr>
              <w:t>59</w:t>
            </w: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8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26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6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5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6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600" w:type="dxa"/>
            <w:vAlign w:val="bottom"/>
            <w:tcBorders>
              <w:bottom w:val="single" w:sz="8" w:color="9A9A9A"/>
            </w:tcBorders>
          </w:tcPr>
          <w:p>
            <w:pPr>
              <w:spacing w:after="0"/>
              <w:rPr>
                <w:sz w:val="8"/>
                <w:szCs w:val="8"/>
                <w:color w:val="auto"/>
              </w:rPr>
            </w:pPr>
          </w:p>
        </w:tc>
        <w:tc>
          <w:tcPr>
            <w:tcW w:w="2080" w:type="dxa"/>
            <w:vAlign w:val="bottom"/>
            <w:tcBorders>
              <w:bottom w:val="single" w:sz="8" w:color="9A9A9A"/>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340"/>
          </w:cols>
          <w:pgMar w:left="320" w:top="140" w:right="23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12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tcPr>
          <w:p>
            <w:pPr>
              <w:jc w:val="center"/>
              <w:ind w:left="289"/>
              <w:spacing w:after="0"/>
              <w:rPr>
                <w:sz w:val="20"/>
                <w:szCs w:val="20"/>
                <w:color w:val="auto"/>
              </w:rPr>
            </w:pPr>
            <w:r>
              <w:rPr>
                <w:rFonts w:ascii="Arial" w:cs="Arial" w:eastAsia="Arial" w:hAnsi="Arial"/>
                <w:sz w:val="14"/>
                <w:szCs w:val="14"/>
                <w:b w:val="1"/>
                <w:bCs w:val="1"/>
                <w:color w:val="212529"/>
                <w:w w:val="96"/>
              </w:rPr>
              <w:t>Filing</w:t>
            </w:r>
          </w:p>
        </w:tc>
        <w:tc>
          <w:tcPr>
            <w:tcW w:w="2260" w:type="dxa"/>
            <w:vAlign w:val="bottom"/>
          </w:tcPr>
          <w:p>
            <w:pPr>
              <w:ind w:left="1640"/>
              <w:spacing w:after="0"/>
              <w:rPr>
                <w:sz w:val="20"/>
                <w:szCs w:val="20"/>
                <w:color w:val="auto"/>
              </w:rPr>
            </w:pPr>
            <w:r>
              <w:rPr>
                <w:rFonts w:ascii="Arial" w:cs="Arial" w:eastAsia="Arial" w:hAnsi="Arial"/>
                <w:sz w:val="14"/>
                <w:szCs w:val="14"/>
                <w:b w:val="1"/>
                <w:bCs w:val="1"/>
                <w:color w:val="212529"/>
              </w:rPr>
              <w:t>Furnishe</w:t>
            </w:r>
          </w:p>
        </w:tc>
        <w:tc>
          <w:tcPr>
            <w:tcW w:w="0" w:type="dxa"/>
            <w:vAlign w:val="bottom"/>
          </w:tcPr>
          <w:p>
            <w:pPr>
              <w:spacing w:after="0"/>
              <w:rPr>
                <w:sz w:val="1"/>
                <w:szCs w:val="1"/>
                <w:color w:val="auto"/>
              </w:rPr>
            </w:pPr>
          </w:p>
        </w:tc>
      </w:tr>
      <w:tr>
        <w:trPr>
          <w:trHeight w:val="173"/>
        </w:trPr>
        <w:tc>
          <w:tcPr>
            <w:tcW w:w="8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5"/>
                <w:szCs w:val="15"/>
                <w:color w:val="auto"/>
              </w:rPr>
            </w:pPr>
          </w:p>
        </w:tc>
        <w:tc>
          <w:tcPr>
            <w:tcW w:w="3380" w:type="dxa"/>
            <w:vAlign w:val="bottom"/>
            <w:tcBorders>
              <w:bottom w:val="single" w:sz="8" w:color="auto"/>
            </w:tcBorders>
          </w:tcPr>
          <w:p>
            <w:pPr>
              <w:ind w:left="1040"/>
              <w:spacing w:after="0"/>
              <w:rPr>
                <w:sz w:val="20"/>
                <w:szCs w:val="20"/>
                <w:color w:val="auto"/>
              </w:rPr>
            </w:pPr>
            <w:r>
              <w:rPr>
                <w:rFonts w:ascii="Arial" w:cs="Arial" w:eastAsia="Arial" w:hAnsi="Arial"/>
                <w:sz w:val="14"/>
                <w:szCs w:val="14"/>
                <w:b w:val="1"/>
                <w:bCs w:val="1"/>
                <w:color w:val="212529"/>
              </w:rPr>
              <w:t>Exhibit Description</w:t>
            </w:r>
          </w:p>
        </w:tc>
        <w:tc>
          <w:tcPr>
            <w:tcW w:w="80" w:type="dxa"/>
            <w:vAlign w:val="bottom"/>
          </w:tcPr>
          <w:p>
            <w:pPr>
              <w:spacing w:after="0"/>
              <w:rPr>
                <w:sz w:val="15"/>
                <w:szCs w:val="15"/>
                <w:color w:val="auto"/>
              </w:rPr>
            </w:pPr>
          </w:p>
        </w:tc>
        <w:tc>
          <w:tcPr>
            <w:tcW w:w="66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212529"/>
              </w:rPr>
              <w:t>Form</w:t>
            </w:r>
          </w:p>
        </w:tc>
        <w:tc>
          <w:tcPr>
            <w:tcW w:w="100" w:type="dxa"/>
            <w:vAlign w:val="bottom"/>
          </w:tcPr>
          <w:p>
            <w:pPr>
              <w:spacing w:after="0"/>
              <w:rPr>
                <w:sz w:val="15"/>
                <w:szCs w:val="15"/>
                <w:color w:val="auto"/>
              </w:rPr>
            </w:pPr>
          </w:p>
        </w:tc>
        <w:tc>
          <w:tcPr>
            <w:tcW w:w="1540" w:type="dxa"/>
            <w:vAlign w:val="bottom"/>
            <w:tcBorders>
              <w:bottom w:val="single" w:sz="8" w:color="auto"/>
            </w:tcBorders>
          </w:tcPr>
          <w:p>
            <w:pPr>
              <w:ind w:left="500"/>
              <w:spacing w:after="0"/>
              <w:rPr>
                <w:sz w:val="20"/>
                <w:szCs w:val="20"/>
                <w:color w:val="auto"/>
              </w:rPr>
            </w:pPr>
            <w:r>
              <w:rPr>
                <w:rFonts w:ascii="Arial" w:cs="Arial" w:eastAsia="Arial" w:hAnsi="Arial"/>
                <w:sz w:val="14"/>
                <w:szCs w:val="14"/>
                <w:b w:val="1"/>
                <w:bCs w:val="1"/>
                <w:color w:val="212529"/>
              </w:rPr>
              <w:t>File No.</w:t>
            </w:r>
          </w:p>
        </w:tc>
        <w:tc>
          <w:tcPr>
            <w:tcW w:w="80" w:type="dxa"/>
            <w:vAlign w:val="bottom"/>
          </w:tcPr>
          <w:p>
            <w:pPr>
              <w:spacing w:after="0"/>
              <w:rPr>
                <w:sz w:val="15"/>
                <w:szCs w:val="15"/>
                <w:color w:val="auto"/>
              </w:rPr>
            </w:pPr>
          </w:p>
        </w:tc>
        <w:tc>
          <w:tcPr>
            <w:tcW w:w="66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212529"/>
              </w:rPr>
              <w:t>Exhibit</w:t>
            </w:r>
          </w:p>
        </w:tc>
        <w:tc>
          <w:tcPr>
            <w:tcW w:w="100" w:type="dxa"/>
            <w:vAlign w:val="bottom"/>
          </w:tcPr>
          <w:p>
            <w:pPr>
              <w:spacing w:after="0"/>
              <w:rPr>
                <w:sz w:val="15"/>
                <w:szCs w:val="15"/>
                <w:color w:val="auto"/>
              </w:rPr>
            </w:pPr>
          </w:p>
        </w:tc>
        <w:tc>
          <w:tcPr>
            <w:tcW w:w="1520" w:type="dxa"/>
            <w:vAlign w:val="bottom"/>
            <w:tcBorders>
              <w:bottom w:val="single" w:sz="8" w:color="auto"/>
            </w:tcBorders>
          </w:tcPr>
          <w:p>
            <w:pPr>
              <w:jc w:val="center"/>
              <w:ind w:left="289"/>
              <w:spacing w:after="0"/>
              <w:rPr>
                <w:sz w:val="20"/>
                <w:szCs w:val="20"/>
                <w:color w:val="auto"/>
              </w:rPr>
            </w:pPr>
            <w:r>
              <w:rPr>
                <w:rFonts w:ascii="Arial" w:cs="Arial" w:eastAsia="Arial" w:hAnsi="Arial"/>
                <w:sz w:val="14"/>
                <w:szCs w:val="14"/>
                <w:b w:val="1"/>
                <w:bCs w:val="1"/>
                <w:color w:val="212529"/>
              </w:rPr>
              <w:t>Date</w:t>
            </w:r>
          </w:p>
        </w:tc>
        <w:tc>
          <w:tcPr>
            <w:tcW w:w="2260" w:type="dxa"/>
            <w:vAlign w:val="bottom"/>
            <w:tcBorders>
              <w:bottom w:val="single" w:sz="8" w:color="auto"/>
            </w:tcBorders>
          </w:tcPr>
          <w:p>
            <w:pPr>
              <w:ind w:left="480"/>
              <w:spacing w:after="0"/>
              <w:rPr>
                <w:sz w:val="20"/>
                <w:szCs w:val="20"/>
                <w:color w:val="auto"/>
              </w:rPr>
            </w:pPr>
            <w:r>
              <w:rPr>
                <w:rFonts w:ascii="Arial" w:cs="Arial" w:eastAsia="Arial" w:hAnsi="Arial"/>
                <w:sz w:val="14"/>
                <w:szCs w:val="14"/>
                <w:b w:val="1"/>
                <w:bCs w:val="1"/>
                <w:color w:val="212529"/>
              </w:rPr>
              <w:t>Filed Herewith   Herewith</w:t>
            </w:r>
          </w:p>
        </w:tc>
        <w:tc>
          <w:tcPr>
            <w:tcW w:w="0" w:type="dxa"/>
            <w:vAlign w:val="bottom"/>
          </w:tcPr>
          <w:p>
            <w:pPr>
              <w:spacing w:after="0"/>
              <w:rPr>
                <w:sz w:val="1"/>
                <w:szCs w:val="1"/>
                <w:color w:val="auto"/>
              </w:rPr>
            </w:pPr>
          </w:p>
        </w:tc>
      </w:tr>
      <w:tr>
        <w:trPr>
          <w:trHeight w:val="445"/>
        </w:trPr>
        <w:tc>
          <w:tcPr>
            <w:tcW w:w="840" w:type="dxa"/>
            <w:vAlign w:val="bottom"/>
          </w:tcPr>
          <w:p>
            <w:pPr>
              <w:spacing w:after="0"/>
              <w:rPr>
                <w:sz w:val="20"/>
                <w:szCs w:val="20"/>
                <w:color w:val="auto"/>
              </w:rPr>
            </w:pPr>
            <w:r>
              <w:rPr>
                <w:rFonts w:ascii="Arial" w:cs="Arial" w:eastAsia="Arial" w:hAnsi="Arial"/>
                <w:sz w:val="18"/>
                <w:szCs w:val="18"/>
                <w:color w:val="auto"/>
              </w:rPr>
              <w:t>101.INS</w:t>
            </w:r>
          </w:p>
        </w:tc>
        <w:tc>
          <w:tcPr>
            <w:tcW w:w="3580" w:type="dxa"/>
            <w:vAlign w:val="bottom"/>
            <w:gridSpan w:val="3"/>
          </w:tcPr>
          <w:p>
            <w:pPr>
              <w:ind w:left="120"/>
              <w:spacing w:after="0"/>
              <w:rPr>
                <w:sz w:val="20"/>
                <w:szCs w:val="20"/>
                <w:color w:val="auto"/>
              </w:rPr>
            </w:pPr>
            <w:r>
              <w:rPr>
                <w:rFonts w:ascii="Arial" w:cs="Arial" w:eastAsia="Arial" w:hAnsi="Arial"/>
                <w:sz w:val="18"/>
                <w:szCs w:val="18"/>
                <w:color w:val="auto"/>
              </w:rPr>
              <w:t>Inline XBRL Instance Document</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260" w:type="dxa"/>
            <w:vAlign w:val="bottom"/>
          </w:tcPr>
          <w:p>
            <w:pPr>
              <w:ind w:left="38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320"/>
        </w:trPr>
        <w:tc>
          <w:tcPr>
            <w:tcW w:w="840" w:type="dxa"/>
            <w:vAlign w:val="bottom"/>
          </w:tcPr>
          <w:p>
            <w:pPr>
              <w:spacing w:after="0"/>
              <w:rPr>
                <w:sz w:val="20"/>
                <w:szCs w:val="20"/>
                <w:color w:val="auto"/>
              </w:rPr>
            </w:pPr>
            <w:r>
              <w:rPr>
                <w:rFonts w:ascii="Arial" w:cs="Arial" w:eastAsia="Arial" w:hAnsi="Arial"/>
                <w:sz w:val="18"/>
                <w:szCs w:val="18"/>
                <w:color w:val="auto"/>
              </w:rPr>
              <w:t>101.SCH</w:t>
            </w:r>
          </w:p>
        </w:tc>
        <w:tc>
          <w:tcPr>
            <w:tcW w:w="3580" w:type="dxa"/>
            <w:vAlign w:val="bottom"/>
            <w:gridSpan w:val="3"/>
          </w:tcPr>
          <w:p>
            <w:pPr>
              <w:ind w:left="120"/>
              <w:spacing w:after="0"/>
              <w:rPr>
                <w:sz w:val="20"/>
                <w:szCs w:val="20"/>
                <w:color w:val="auto"/>
              </w:rPr>
            </w:pPr>
            <w:r>
              <w:rPr>
                <w:rFonts w:ascii="Arial" w:cs="Arial" w:eastAsia="Arial" w:hAnsi="Arial"/>
                <w:sz w:val="18"/>
                <w:szCs w:val="18"/>
                <w:color w:val="auto"/>
              </w:rPr>
              <w:t>Inline XBRL Taxonomy Extension Schema</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260" w:type="dxa"/>
            <w:vAlign w:val="bottom"/>
          </w:tcPr>
          <w:p>
            <w:pPr>
              <w:ind w:left="38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13"/>
        </w:trPr>
        <w:tc>
          <w:tcPr>
            <w:tcW w:w="840" w:type="dxa"/>
            <w:vAlign w:val="bottom"/>
          </w:tcPr>
          <w:p>
            <w:pPr>
              <w:spacing w:after="0"/>
              <w:rPr>
                <w:sz w:val="18"/>
                <w:szCs w:val="18"/>
                <w:color w:val="auto"/>
              </w:rPr>
            </w:pPr>
          </w:p>
        </w:tc>
        <w:tc>
          <w:tcPr>
            <w:tcW w:w="3580" w:type="dxa"/>
            <w:vAlign w:val="bottom"/>
            <w:gridSpan w:val="3"/>
          </w:tcPr>
          <w:p>
            <w:pPr>
              <w:ind w:left="120"/>
              <w:spacing w:after="0"/>
              <w:rPr>
                <w:sz w:val="20"/>
                <w:szCs w:val="20"/>
                <w:color w:val="auto"/>
              </w:rPr>
            </w:pPr>
            <w:r>
              <w:rPr>
                <w:rFonts w:ascii="Arial" w:cs="Arial" w:eastAsia="Arial" w:hAnsi="Arial"/>
                <w:sz w:val="18"/>
                <w:szCs w:val="18"/>
                <w:color w:val="auto"/>
              </w:rPr>
              <w:t>Document</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7"/>
        </w:trPr>
        <w:tc>
          <w:tcPr>
            <w:tcW w:w="840" w:type="dxa"/>
            <w:vAlign w:val="bottom"/>
          </w:tcPr>
          <w:p>
            <w:pPr>
              <w:spacing w:after="0"/>
              <w:rPr>
                <w:sz w:val="20"/>
                <w:szCs w:val="20"/>
                <w:color w:val="auto"/>
              </w:rPr>
            </w:pPr>
            <w:r>
              <w:rPr>
                <w:rFonts w:ascii="Arial" w:cs="Arial" w:eastAsia="Arial" w:hAnsi="Arial"/>
                <w:sz w:val="18"/>
                <w:szCs w:val="18"/>
                <w:color w:val="auto"/>
              </w:rPr>
              <w:t>101.CAL</w:t>
            </w:r>
          </w:p>
        </w:tc>
        <w:tc>
          <w:tcPr>
            <w:tcW w:w="3580" w:type="dxa"/>
            <w:vAlign w:val="bottom"/>
            <w:gridSpan w:val="3"/>
          </w:tcPr>
          <w:p>
            <w:pPr>
              <w:ind w:left="120"/>
              <w:spacing w:after="0"/>
              <w:rPr>
                <w:sz w:val="20"/>
                <w:szCs w:val="20"/>
                <w:color w:val="auto"/>
              </w:rPr>
            </w:pPr>
            <w:r>
              <w:rPr>
                <w:rFonts w:ascii="Arial" w:cs="Arial" w:eastAsia="Arial" w:hAnsi="Arial"/>
                <w:sz w:val="18"/>
                <w:szCs w:val="18"/>
                <w:color w:val="auto"/>
              </w:rPr>
              <w:t>Inline XBRL Taxonomy Extension</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260" w:type="dxa"/>
            <w:vAlign w:val="bottom"/>
          </w:tcPr>
          <w:p>
            <w:pPr>
              <w:ind w:left="38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13"/>
        </w:trPr>
        <w:tc>
          <w:tcPr>
            <w:tcW w:w="840" w:type="dxa"/>
            <w:vAlign w:val="bottom"/>
          </w:tcPr>
          <w:p>
            <w:pPr>
              <w:spacing w:after="0"/>
              <w:rPr>
                <w:sz w:val="18"/>
                <w:szCs w:val="18"/>
                <w:color w:val="auto"/>
              </w:rPr>
            </w:pPr>
          </w:p>
        </w:tc>
        <w:tc>
          <w:tcPr>
            <w:tcW w:w="3580" w:type="dxa"/>
            <w:vAlign w:val="bottom"/>
            <w:gridSpan w:val="3"/>
          </w:tcPr>
          <w:p>
            <w:pPr>
              <w:ind w:left="120"/>
              <w:spacing w:after="0"/>
              <w:rPr>
                <w:sz w:val="20"/>
                <w:szCs w:val="20"/>
                <w:color w:val="auto"/>
              </w:rPr>
            </w:pPr>
            <w:r>
              <w:rPr>
                <w:rFonts w:ascii="Arial" w:cs="Arial" w:eastAsia="Arial" w:hAnsi="Arial"/>
                <w:sz w:val="18"/>
                <w:szCs w:val="18"/>
                <w:color w:val="auto"/>
              </w:rPr>
              <w:t>Calculation Linkbase Document</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7"/>
        </w:trPr>
        <w:tc>
          <w:tcPr>
            <w:tcW w:w="840" w:type="dxa"/>
            <w:vAlign w:val="bottom"/>
          </w:tcPr>
          <w:p>
            <w:pPr>
              <w:spacing w:after="0"/>
              <w:rPr>
                <w:sz w:val="20"/>
                <w:szCs w:val="20"/>
                <w:color w:val="auto"/>
              </w:rPr>
            </w:pPr>
            <w:r>
              <w:rPr>
                <w:rFonts w:ascii="Arial" w:cs="Arial" w:eastAsia="Arial" w:hAnsi="Arial"/>
                <w:sz w:val="18"/>
                <w:szCs w:val="18"/>
                <w:color w:val="auto"/>
              </w:rPr>
              <w:t>101.DEF</w:t>
            </w:r>
          </w:p>
        </w:tc>
        <w:tc>
          <w:tcPr>
            <w:tcW w:w="3580" w:type="dxa"/>
            <w:vAlign w:val="bottom"/>
            <w:gridSpan w:val="3"/>
          </w:tcPr>
          <w:p>
            <w:pPr>
              <w:ind w:left="120"/>
              <w:spacing w:after="0"/>
              <w:rPr>
                <w:sz w:val="20"/>
                <w:szCs w:val="20"/>
                <w:color w:val="auto"/>
              </w:rPr>
            </w:pPr>
            <w:r>
              <w:rPr>
                <w:rFonts w:ascii="Arial" w:cs="Arial" w:eastAsia="Arial" w:hAnsi="Arial"/>
                <w:sz w:val="18"/>
                <w:szCs w:val="18"/>
                <w:color w:val="auto"/>
              </w:rPr>
              <w:t>Inline XBRL Taxonomy Extension</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260" w:type="dxa"/>
            <w:vAlign w:val="bottom"/>
          </w:tcPr>
          <w:p>
            <w:pPr>
              <w:ind w:left="38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13"/>
        </w:trPr>
        <w:tc>
          <w:tcPr>
            <w:tcW w:w="840" w:type="dxa"/>
            <w:vAlign w:val="bottom"/>
          </w:tcPr>
          <w:p>
            <w:pPr>
              <w:spacing w:after="0"/>
              <w:rPr>
                <w:sz w:val="18"/>
                <w:szCs w:val="18"/>
                <w:color w:val="auto"/>
              </w:rPr>
            </w:pPr>
          </w:p>
        </w:tc>
        <w:tc>
          <w:tcPr>
            <w:tcW w:w="3580" w:type="dxa"/>
            <w:vAlign w:val="bottom"/>
            <w:gridSpan w:val="3"/>
          </w:tcPr>
          <w:p>
            <w:pPr>
              <w:ind w:left="120"/>
              <w:spacing w:after="0"/>
              <w:rPr>
                <w:sz w:val="20"/>
                <w:szCs w:val="20"/>
                <w:color w:val="auto"/>
              </w:rPr>
            </w:pPr>
            <w:r>
              <w:rPr>
                <w:rFonts w:ascii="Arial" w:cs="Arial" w:eastAsia="Arial" w:hAnsi="Arial"/>
                <w:sz w:val="18"/>
                <w:szCs w:val="18"/>
                <w:color w:val="auto"/>
              </w:rPr>
              <w:t>Definition Linkbase Document</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7"/>
        </w:trPr>
        <w:tc>
          <w:tcPr>
            <w:tcW w:w="840" w:type="dxa"/>
            <w:vAlign w:val="bottom"/>
          </w:tcPr>
          <w:p>
            <w:pPr>
              <w:spacing w:after="0"/>
              <w:rPr>
                <w:sz w:val="20"/>
                <w:szCs w:val="20"/>
                <w:color w:val="auto"/>
              </w:rPr>
            </w:pPr>
            <w:r>
              <w:rPr>
                <w:rFonts w:ascii="Arial" w:cs="Arial" w:eastAsia="Arial" w:hAnsi="Arial"/>
                <w:sz w:val="18"/>
                <w:szCs w:val="18"/>
                <w:color w:val="auto"/>
              </w:rPr>
              <w:t>101.LAB</w:t>
            </w:r>
          </w:p>
        </w:tc>
        <w:tc>
          <w:tcPr>
            <w:tcW w:w="3580" w:type="dxa"/>
            <w:vAlign w:val="bottom"/>
            <w:gridSpan w:val="3"/>
          </w:tcPr>
          <w:p>
            <w:pPr>
              <w:ind w:left="120"/>
              <w:spacing w:after="0"/>
              <w:rPr>
                <w:sz w:val="20"/>
                <w:szCs w:val="20"/>
                <w:color w:val="auto"/>
              </w:rPr>
            </w:pPr>
            <w:r>
              <w:rPr>
                <w:rFonts w:ascii="Arial" w:cs="Arial" w:eastAsia="Arial" w:hAnsi="Arial"/>
                <w:sz w:val="18"/>
                <w:szCs w:val="18"/>
                <w:color w:val="auto"/>
              </w:rPr>
              <w:t>Inline XBRL Taxonomy Extension Label</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260" w:type="dxa"/>
            <w:vAlign w:val="bottom"/>
          </w:tcPr>
          <w:p>
            <w:pPr>
              <w:ind w:left="38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13"/>
        </w:trPr>
        <w:tc>
          <w:tcPr>
            <w:tcW w:w="840" w:type="dxa"/>
            <w:vAlign w:val="bottom"/>
          </w:tcPr>
          <w:p>
            <w:pPr>
              <w:spacing w:after="0"/>
              <w:rPr>
                <w:sz w:val="18"/>
                <w:szCs w:val="18"/>
                <w:color w:val="auto"/>
              </w:rPr>
            </w:pPr>
          </w:p>
        </w:tc>
        <w:tc>
          <w:tcPr>
            <w:tcW w:w="3580" w:type="dxa"/>
            <w:vAlign w:val="bottom"/>
            <w:gridSpan w:val="3"/>
          </w:tcPr>
          <w:p>
            <w:pPr>
              <w:ind w:left="120"/>
              <w:spacing w:after="0"/>
              <w:rPr>
                <w:sz w:val="20"/>
                <w:szCs w:val="20"/>
                <w:color w:val="auto"/>
              </w:rPr>
            </w:pPr>
            <w:r>
              <w:rPr>
                <w:rFonts w:ascii="Arial" w:cs="Arial" w:eastAsia="Arial" w:hAnsi="Arial"/>
                <w:sz w:val="18"/>
                <w:szCs w:val="18"/>
                <w:color w:val="auto"/>
              </w:rPr>
              <w:t>Linkbase Document</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7"/>
        </w:trPr>
        <w:tc>
          <w:tcPr>
            <w:tcW w:w="840" w:type="dxa"/>
            <w:vAlign w:val="bottom"/>
          </w:tcPr>
          <w:p>
            <w:pPr>
              <w:spacing w:after="0"/>
              <w:rPr>
                <w:sz w:val="20"/>
                <w:szCs w:val="20"/>
                <w:color w:val="auto"/>
              </w:rPr>
            </w:pPr>
            <w:r>
              <w:rPr>
                <w:rFonts w:ascii="Arial" w:cs="Arial" w:eastAsia="Arial" w:hAnsi="Arial"/>
                <w:sz w:val="18"/>
                <w:szCs w:val="18"/>
                <w:color w:val="auto"/>
              </w:rPr>
              <w:t>101.PRE</w:t>
            </w:r>
          </w:p>
        </w:tc>
        <w:tc>
          <w:tcPr>
            <w:tcW w:w="3580" w:type="dxa"/>
            <w:vAlign w:val="bottom"/>
            <w:gridSpan w:val="3"/>
          </w:tcPr>
          <w:p>
            <w:pPr>
              <w:ind w:left="120"/>
              <w:spacing w:after="0"/>
              <w:rPr>
                <w:sz w:val="20"/>
                <w:szCs w:val="20"/>
                <w:color w:val="auto"/>
              </w:rPr>
            </w:pPr>
            <w:r>
              <w:rPr>
                <w:rFonts w:ascii="Arial" w:cs="Arial" w:eastAsia="Arial" w:hAnsi="Arial"/>
                <w:sz w:val="18"/>
                <w:szCs w:val="18"/>
                <w:color w:val="auto"/>
              </w:rPr>
              <w:t>Inline XBRL Taxonomy Extension</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260" w:type="dxa"/>
            <w:vAlign w:val="bottom"/>
          </w:tcPr>
          <w:p>
            <w:pPr>
              <w:ind w:left="38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13"/>
        </w:trPr>
        <w:tc>
          <w:tcPr>
            <w:tcW w:w="840" w:type="dxa"/>
            <w:vAlign w:val="bottom"/>
          </w:tcPr>
          <w:p>
            <w:pPr>
              <w:spacing w:after="0"/>
              <w:rPr>
                <w:sz w:val="18"/>
                <w:szCs w:val="18"/>
                <w:color w:val="auto"/>
              </w:rPr>
            </w:pPr>
          </w:p>
        </w:tc>
        <w:tc>
          <w:tcPr>
            <w:tcW w:w="3580" w:type="dxa"/>
            <w:vAlign w:val="bottom"/>
            <w:gridSpan w:val="3"/>
          </w:tcPr>
          <w:p>
            <w:pPr>
              <w:ind w:left="120"/>
              <w:spacing w:after="0"/>
              <w:rPr>
                <w:sz w:val="20"/>
                <w:szCs w:val="20"/>
                <w:color w:val="auto"/>
              </w:rPr>
            </w:pPr>
            <w:r>
              <w:rPr>
                <w:rFonts w:ascii="Arial" w:cs="Arial" w:eastAsia="Arial" w:hAnsi="Arial"/>
                <w:sz w:val="18"/>
                <w:szCs w:val="18"/>
                <w:color w:val="auto"/>
              </w:rPr>
              <w:t>Presentation Linkbase Document</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260" w:type="dxa"/>
            <w:vAlign w:val="bottom"/>
            <w:vMerge w:val="restart"/>
          </w:tcPr>
          <w:p>
            <w:pPr>
              <w:ind w:left="38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00"/>
        </w:trPr>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2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ind w:left="960" w:right="7700" w:hanging="954"/>
        <w:spacing w:after="0" w:line="236" w:lineRule="auto"/>
        <w:tabs>
          <w:tab w:leader="none" w:pos="9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w:t>
      </w:r>
    </w:p>
    <w:p>
      <w:pPr>
        <w:spacing w:after="0" w:line="200" w:lineRule="exact"/>
        <w:rPr>
          <w:sz w:val="20"/>
          <w:szCs w:val="20"/>
          <w:color w:val="auto"/>
        </w:rPr>
      </w:pPr>
    </w:p>
    <w:p>
      <w:pPr>
        <w:spacing w:after="0" w:line="214"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50800</wp:posOffset>
            </wp:positionV>
            <wp:extent cx="715962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340"/>
          </w:cols>
          <w:pgMar w:left="320" w:top="140" w:right="23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6"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SIGNATURES</w:t>
      </w:r>
    </w:p>
    <w:p>
      <w:pPr>
        <w:spacing w:after="0" w:line="228" w:lineRule="exact"/>
        <w:rPr>
          <w:sz w:val="20"/>
          <w:szCs w:val="20"/>
          <w:color w:val="auto"/>
        </w:rPr>
      </w:pPr>
    </w:p>
    <w:p>
      <w:pPr>
        <w:ind w:firstLine="762"/>
        <w:spacing w:after="0" w:line="239"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40"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Vroom, Inc.</w:t>
      </w:r>
    </w:p>
    <w:p>
      <w:pPr>
        <w:spacing w:after="0" w:line="126" w:lineRule="exact"/>
        <w:rPr>
          <w:sz w:val="20"/>
          <w:szCs w:val="20"/>
          <w:color w:val="auto"/>
        </w:rPr>
      </w:pPr>
    </w:p>
    <w:p>
      <w:pPr>
        <w:spacing w:after="0"/>
        <w:tabs>
          <w:tab w:leader="none" w:pos="6180" w:val="left"/>
          <w:tab w:leader="none" w:pos="8060" w:val="left"/>
        </w:tabs>
        <w:rPr>
          <w:sz w:val="20"/>
          <w:szCs w:val="20"/>
          <w:color w:val="auto"/>
        </w:rPr>
      </w:pPr>
      <w:r>
        <w:rPr>
          <w:rFonts w:ascii="Arial" w:cs="Arial" w:eastAsia="Arial" w:hAnsi="Arial"/>
          <w:sz w:val="18"/>
          <w:szCs w:val="18"/>
          <w:color w:val="auto"/>
        </w:rPr>
        <w:t>Date: August 11,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Paul J. Hennessy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4145915</wp:posOffset>
            </wp:positionH>
            <wp:positionV relativeFrom="paragraph">
              <wp:posOffset>-3175</wp:posOffset>
            </wp:positionV>
            <wp:extent cx="299212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4">
                      <a:extLst>
                        <a:ext uri="{28A0092B-C50C-407E-A947-70E740481C1C}"/>
                      </a:extLst>
                    </a:blip>
                    <a:srcRect/>
                    <a:stretch>
                      <a:fillRect/>
                    </a:stretch>
                  </pic:blipFill>
                  <pic:spPr bwMode="auto">
                    <a:xfrm>
                      <a:off x="0" y="0"/>
                      <a:ext cx="2992120" cy="8255"/>
                    </a:xfrm>
                    <a:prstGeom prst="rect">
                      <a:avLst/>
                    </a:prstGeom>
                    <a:noFill/>
                  </pic:spPr>
                </pic:pic>
              </a:graphicData>
            </a:graphic>
          </wp:anchor>
        </w:drawing>
      </w:r>
    </w:p>
    <w:p>
      <w:pPr>
        <w:ind w:left="8200"/>
        <w:spacing w:after="0"/>
        <w:rPr>
          <w:sz w:val="20"/>
          <w:szCs w:val="20"/>
          <w:color w:val="auto"/>
        </w:rPr>
      </w:pPr>
      <w:r>
        <w:rPr>
          <w:rFonts w:ascii="Arial" w:cs="Arial" w:eastAsia="Arial" w:hAnsi="Arial"/>
          <w:sz w:val="18"/>
          <w:szCs w:val="18"/>
          <w:color w:val="auto"/>
        </w:rPr>
        <w:t>Paul J. Hennessy</w:t>
      </w:r>
    </w:p>
    <w:p>
      <w:pPr>
        <w:spacing w:after="0" w:line="6" w:lineRule="exact"/>
        <w:rPr>
          <w:sz w:val="20"/>
          <w:szCs w:val="20"/>
          <w:color w:val="auto"/>
        </w:rPr>
      </w:pPr>
    </w:p>
    <w:p>
      <w:pPr>
        <w:ind w:left="7980"/>
        <w:spacing w:after="0"/>
        <w:rPr>
          <w:sz w:val="20"/>
          <w:szCs w:val="20"/>
          <w:color w:val="auto"/>
        </w:rPr>
      </w:pPr>
      <w:r>
        <w:rPr>
          <w:rFonts w:ascii="Arial" w:cs="Arial" w:eastAsia="Arial" w:hAnsi="Arial"/>
          <w:sz w:val="18"/>
          <w:szCs w:val="18"/>
          <w:color w:val="auto"/>
        </w:rPr>
        <w:t>Chief Executive Officer</w:t>
      </w:r>
    </w:p>
    <w:p>
      <w:pPr>
        <w:spacing w:after="0" w:line="6" w:lineRule="exact"/>
        <w:rPr>
          <w:sz w:val="20"/>
          <w:szCs w:val="20"/>
          <w:color w:val="auto"/>
        </w:rPr>
      </w:pPr>
    </w:p>
    <w:p>
      <w:pPr>
        <w:ind w:left="7800"/>
        <w:spacing w:after="0"/>
        <w:rPr>
          <w:sz w:val="20"/>
          <w:szCs w:val="20"/>
          <w:color w:val="auto"/>
        </w:rPr>
      </w:pPr>
      <w:r>
        <w:rPr>
          <w:rFonts w:ascii="Arial" w:cs="Arial" w:eastAsia="Arial" w:hAnsi="Arial"/>
          <w:sz w:val="18"/>
          <w:szCs w:val="18"/>
          <w:i w:val="1"/>
          <w:iCs w:val="1"/>
          <w:color w:val="auto"/>
        </w:rPr>
        <w:t>(principal executive officer)</w:t>
      </w:r>
    </w:p>
    <w:p>
      <w:pPr>
        <w:spacing w:after="0" w:line="339" w:lineRule="exact"/>
        <w:rPr>
          <w:sz w:val="20"/>
          <w:szCs w:val="20"/>
          <w:color w:val="auto"/>
        </w:rPr>
      </w:pPr>
    </w:p>
    <w:p>
      <w:pPr>
        <w:spacing w:after="0"/>
        <w:tabs>
          <w:tab w:leader="none" w:pos="6180" w:val="left"/>
          <w:tab w:leader="none" w:pos="8280" w:val="left"/>
        </w:tabs>
        <w:rPr>
          <w:sz w:val="20"/>
          <w:szCs w:val="20"/>
          <w:color w:val="auto"/>
        </w:rPr>
      </w:pPr>
      <w:r>
        <w:rPr>
          <w:rFonts w:ascii="Arial" w:cs="Arial" w:eastAsia="Arial" w:hAnsi="Arial"/>
          <w:sz w:val="18"/>
          <w:szCs w:val="18"/>
          <w:color w:val="auto"/>
        </w:rPr>
        <w:t>Date: August 11,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Dave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4145915</wp:posOffset>
            </wp:positionH>
            <wp:positionV relativeFrom="paragraph">
              <wp:posOffset>-3175</wp:posOffset>
            </wp:positionV>
            <wp:extent cx="299212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5">
                      <a:extLst>
                        <a:ext uri="{28A0092B-C50C-407E-A947-70E740481C1C}"/>
                      </a:extLst>
                    </a:blip>
                    <a:srcRect/>
                    <a:stretch>
                      <a:fillRect/>
                    </a:stretch>
                  </pic:blipFill>
                  <pic:spPr bwMode="auto">
                    <a:xfrm>
                      <a:off x="0" y="0"/>
                      <a:ext cx="2992120" cy="8255"/>
                    </a:xfrm>
                    <a:prstGeom prst="rect">
                      <a:avLst/>
                    </a:prstGeom>
                    <a:noFill/>
                  </pic:spPr>
                </pic:pic>
              </a:graphicData>
            </a:graphic>
          </wp:anchor>
        </w:drawing>
      </w:r>
    </w:p>
    <w:p>
      <w:pPr>
        <w:jc w:val="center"/>
        <w:ind w:left="6520"/>
        <w:spacing w:after="0"/>
        <w:rPr>
          <w:sz w:val="20"/>
          <w:szCs w:val="20"/>
          <w:color w:val="auto"/>
        </w:rPr>
      </w:pPr>
      <w:r>
        <w:rPr>
          <w:rFonts w:ascii="Arial" w:cs="Arial" w:eastAsia="Arial" w:hAnsi="Arial"/>
          <w:sz w:val="18"/>
          <w:szCs w:val="18"/>
          <w:color w:val="auto"/>
        </w:rPr>
        <w:t>Dave Jones</w:t>
      </w:r>
    </w:p>
    <w:p>
      <w:pPr>
        <w:spacing w:after="0" w:line="6" w:lineRule="exact"/>
        <w:rPr>
          <w:sz w:val="20"/>
          <w:szCs w:val="20"/>
          <w:color w:val="auto"/>
        </w:rPr>
      </w:pPr>
    </w:p>
    <w:p>
      <w:pPr>
        <w:jc w:val="center"/>
        <w:ind w:left="6520"/>
        <w:spacing w:after="0"/>
        <w:rPr>
          <w:sz w:val="20"/>
          <w:szCs w:val="20"/>
          <w:color w:val="auto"/>
        </w:rPr>
      </w:pPr>
      <w:r>
        <w:rPr>
          <w:rFonts w:ascii="Arial" w:cs="Arial" w:eastAsia="Arial" w:hAnsi="Arial"/>
          <w:sz w:val="18"/>
          <w:szCs w:val="18"/>
          <w:color w:val="auto"/>
        </w:rPr>
        <w:t>Chief Financial Officer</w:t>
      </w:r>
    </w:p>
    <w:p>
      <w:pPr>
        <w:spacing w:after="0" w:line="6" w:lineRule="exact"/>
        <w:rPr>
          <w:sz w:val="20"/>
          <w:szCs w:val="20"/>
          <w:color w:val="auto"/>
        </w:rPr>
      </w:pPr>
    </w:p>
    <w:p>
      <w:pPr>
        <w:jc w:val="center"/>
        <w:ind w:left="652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200" w:lineRule="exact"/>
        <w:rPr>
          <w:sz w:val="20"/>
          <w:szCs w:val="20"/>
          <w:color w:val="auto"/>
        </w:rPr>
      </w:pPr>
    </w:p>
    <w:p>
      <w:pPr>
        <w:spacing w:after="0" w:line="246"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0960"/>
          </w:cols>
          <w:pgMar w:left="320" w:top="140" w:right="619" w:bottom="1440" w:gutter="0" w:footer="0" w:header="0"/>
        </w:sectPr>
      </w:pPr>
    </w:p>
    <w:bookmarkStart w:id="61" w:name="page62"/>
    <w:bookmarkEnd w:id="61"/>
    <w:p>
      <w:pPr>
        <w:jc w:val="right"/>
        <w:spacing w:after="0"/>
        <w:rPr>
          <w:sz w:val="20"/>
          <w:szCs w:val="20"/>
          <w:color w:val="auto"/>
        </w:rPr>
      </w:pPr>
      <w:r>
        <w:rPr>
          <w:rFonts w:ascii="Arial" w:cs="Arial" w:eastAsia="Arial" w:hAnsi="Arial"/>
          <w:sz w:val="20"/>
          <w:szCs w:val="20"/>
          <w:b w:val="1"/>
          <w:bCs w:val="1"/>
          <w:color w:val="auto"/>
        </w:rPr>
        <w:t>Exhibit 10.1</w:t>
      </w:r>
    </w:p>
    <w:p>
      <w:pPr>
        <w:spacing w:after="0" w:line="50" w:lineRule="exact"/>
        <w:rPr>
          <w:sz w:val="20"/>
          <w:szCs w:val="20"/>
          <w:color w:val="auto"/>
        </w:rPr>
      </w:pPr>
    </w:p>
    <w:p>
      <w:pPr>
        <w:jc w:val="center"/>
        <w:ind w:right="140"/>
        <w:spacing w:after="0"/>
        <w:rPr>
          <w:sz w:val="20"/>
          <w:szCs w:val="20"/>
          <w:color w:val="auto"/>
        </w:rPr>
      </w:pPr>
      <w:r>
        <w:rPr>
          <w:rFonts w:ascii="Arial" w:cs="Arial" w:eastAsia="Arial" w:hAnsi="Arial"/>
          <w:sz w:val="21"/>
          <w:szCs w:val="21"/>
          <w:color w:val="auto"/>
        </w:rPr>
        <w:t>ASSIGNMENT OF CONTRACTS</w:t>
      </w:r>
    </w:p>
    <w:p>
      <w:pPr>
        <w:spacing w:after="0" w:line="238" w:lineRule="exact"/>
        <w:rPr>
          <w:sz w:val="20"/>
          <w:szCs w:val="20"/>
          <w:color w:val="auto"/>
        </w:rPr>
      </w:pPr>
    </w:p>
    <w:p>
      <w:pPr>
        <w:ind w:left="840"/>
        <w:spacing w:after="0"/>
        <w:rPr>
          <w:sz w:val="20"/>
          <w:szCs w:val="20"/>
          <w:color w:val="auto"/>
        </w:rPr>
      </w:pPr>
      <w:r>
        <w:rPr>
          <w:rFonts w:ascii="Arial" w:cs="Arial" w:eastAsia="Arial" w:hAnsi="Arial"/>
          <w:sz w:val="19"/>
          <w:szCs w:val="19"/>
          <w:color w:val="auto"/>
        </w:rPr>
        <w:t>This ASSIGNMENT OF CONTRACTS (this “</w:t>
      </w:r>
      <w:r>
        <w:rPr>
          <w:rFonts w:ascii="Arial" w:cs="Arial" w:eastAsia="Arial" w:hAnsi="Arial"/>
          <w:sz w:val="19"/>
          <w:szCs w:val="19"/>
          <w:u w:val="single" w:color="auto"/>
          <w:color w:val="auto"/>
        </w:rPr>
        <w:t>Assignment</w:t>
      </w:r>
      <w:r>
        <w:rPr>
          <w:rFonts w:ascii="Arial" w:cs="Arial" w:eastAsia="Arial" w:hAnsi="Arial"/>
          <w:sz w:val="19"/>
          <w:szCs w:val="19"/>
          <w:color w:val="auto"/>
        </w:rPr>
        <w:t>”), dated as of July 29, 2021, is entered into by and between</w:t>
      </w:r>
    </w:p>
    <w:p>
      <w:pPr>
        <w:spacing w:after="0" w:line="39" w:lineRule="exact"/>
        <w:rPr>
          <w:sz w:val="20"/>
          <w:szCs w:val="20"/>
          <w:color w:val="auto"/>
        </w:rPr>
      </w:pPr>
    </w:p>
    <w:p>
      <w:pPr>
        <w:jc w:val="both"/>
        <w:ind w:right="120" w:firstLine="7"/>
        <w:spacing w:after="0" w:line="244" w:lineRule="auto"/>
        <w:tabs>
          <w:tab w:leader="none" w:pos="257" w:val="left"/>
        </w:tabs>
        <w:numPr>
          <w:ilvl w:val="0"/>
          <w:numId w:val="32"/>
        </w:numPr>
        <w:rPr>
          <w:rFonts w:ascii="Arial" w:cs="Arial" w:eastAsia="Arial" w:hAnsi="Arial"/>
          <w:sz w:val="21"/>
          <w:szCs w:val="21"/>
          <w:color w:val="auto"/>
        </w:rPr>
      </w:pPr>
      <w:r>
        <w:rPr>
          <w:rFonts w:ascii="Arial" w:cs="Arial" w:eastAsia="Arial" w:hAnsi="Arial"/>
          <w:sz w:val="21"/>
          <w:szCs w:val="21"/>
          <w:color w:val="auto"/>
        </w:rPr>
        <w:t>CGP2 Lone Star, LP (the “</w:t>
      </w:r>
      <w:r>
        <w:rPr>
          <w:rFonts w:ascii="Arial" w:cs="Arial" w:eastAsia="Arial" w:hAnsi="Arial"/>
          <w:sz w:val="21"/>
          <w:szCs w:val="21"/>
          <w:u w:val="single" w:color="auto"/>
          <w:color w:val="auto"/>
        </w:rPr>
        <w:t>Assignor</w:t>
      </w:r>
      <w:r>
        <w:rPr>
          <w:rFonts w:ascii="Arial" w:cs="Arial" w:eastAsia="Arial" w:hAnsi="Arial"/>
          <w:sz w:val="21"/>
          <w:szCs w:val="21"/>
          <w:color w:val="auto"/>
        </w:rPr>
        <w:t>”), and (ii) Catterton Growth Partners II, L.P., Catterton Growth Partners II Offshore, L.P., L Catterton Growth Partners III, L.P. and L Catterton Growth Partners Offshore III, L.P. (the entities set forth in this clause (ii), collectively, the “</w:t>
      </w:r>
      <w:r>
        <w:rPr>
          <w:rFonts w:ascii="Arial" w:cs="Arial" w:eastAsia="Arial" w:hAnsi="Arial"/>
          <w:sz w:val="21"/>
          <w:szCs w:val="21"/>
          <w:u w:val="single" w:color="auto"/>
          <w:color w:val="auto"/>
        </w:rPr>
        <w:t>Assignees</w:t>
      </w:r>
      <w:r>
        <w:rPr>
          <w:rFonts w:ascii="Arial" w:cs="Arial" w:eastAsia="Arial" w:hAnsi="Arial"/>
          <w:sz w:val="21"/>
          <w:szCs w:val="21"/>
          <w:color w:val="auto"/>
        </w:rPr>
        <w:t>”).</w:t>
      </w:r>
    </w:p>
    <w:p>
      <w:pPr>
        <w:spacing w:after="0" w:line="164" w:lineRule="exact"/>
        <w:rPr>
          <w:sz w:val="20"/>
          <w:szCs w:val="20"/>
          <w:color w:val="auto"/>
        </w:rPr>
      </w:pPr>
    </w:p>
    <w:p>
      <w:pPr>
        <w:jc w:val="center"/>
        <w:ind w:right="140"/>
        <w:spacing w:after="0"/>
        <w:rPr>
          <w:sz w:val="20"/>
          <w:szCs w:val="20"/>
          <w:color w:val="auto"/>
        </w:rPr>
      </w:pPr>
      <w:r>
        <w:rPr>
          <w:rFonts w:ascii="Arial" w:cs="Arial" w:eastAsia="Arial" w:hAnsi="Arial"/>
          <w:sz w:val="21"/>
          <w:szCs w:val="21"/>
          <w:i w:val="1"/>
          <w:iCs w:val="1"/>
          <w:color w:val="auto"/>
        </w:rPr>
        <w:t>W I T N E S S E T H:</w:t>
      </w:r>
    </w:p>
    <w:p>
      <w:pPr>
        <w:spacing w:after="0" w:line="211" w:lineRule="exact"/>
        <w:rPr>
          <w:sz w:val="20"/>
          <w:szCs w:val="20"/>
          <w:color w:val="auto"/>
        </w:rPr>
      </w:pPr>
    </w:p>
    <w:p>
      <w:pPr>
        <w:jc w:val="both"/>
        <w:ind w:right="120" w:firstLine="823"/>
        <w:spacing w:after="0" w:line="268" w:lineRule="auto"/>
        <w:rPr>
          <w:sz w:val="20"/>
          <w:szCs w:val="20"/>
          <w:color w:val="auto"/>
        </w:rPr>
      </w:pPr>
      <w:r>
        <w:rPr>
          <w:rFonts w:ascii="Arial" w:cs="Arial" w:eastAsia="Arial" w:hAnsi="Arial"/>
          <w:sz w:val="21"/>
          <w:szCs w:val="21"/>
          <w:color w:val="auto"/>
        </w:rPr>
        <w:t xml:space="preserve">WHEREAS, Assignor desires to assign all of its right, title and interest in, to and under each of the contracts set forth on </w:t>
      </w:r>
      <w:r>
        <w:rPr>
          <w:rFonts w:ascii="Arial" w:cs="Arial" w:eastAsia="Arial" w:hAnsi="Arial"/>
          <w:sz w:val="21"/>
          <w:szCs w:val="21"/>
          <w:u w:val="single" w:color="auto"/>
          <w:color w:val="auto"/>
        </w:rPr>
        <w:t>Exhibit A</w:t>
      </w:r>
      <w:r>
        <w:rPr>
          <w:rFonts w:ascii="Arial" w:cs="Arial" w:eastAsia="Arial" w:hAnsi="Arial"/>
          <w:sz w:val="21"/>
          <w:szCs w:val="21"/>
          <w:color w:val="auto"/>
        </w:rPr>
        <w:t xml:space="preserve"> to the Assignees pursuant to the terms and conditions set forth herein.</w:t>
      </w:r>
    </w:p>
    <w:p>
      <w:pPr>
        <w:spacing w:after="0" w:line="153" w:lineRule="exact"/>
        <w:rPr>
          <w:sz w:val="20"/>
          <w:szCs w:val="20"/>
          <w:color w:val="auto"/>
        </w:rPr>
      </w:pPr>
    </w:p>
    <w:p>
      <w:pPr>
        <w:jc w:val="both"/>
        <w:ind w:right="120" w:firstLine="823"/>
        <w:spacing w:after="0" w:line="268" w:lineRule="auto"/>
        <w:rPr>
          <w:sz w:val="20"/>
          <w:szCs w:val="20"/>
          <w:color w:val="auto"/>
        </w:rPr>
      </w:pPr>
      <w:r>
        <w:rPr>
          <w:rFonts w:ascii="Arial" w:cs="Arial" w:eastAsia="Arial" w:hAnsi="Arial"/>
          <w:sz w:val="21"/>
          <w:szCs w:val="21"/>
          <w:color w:val="auto"/>
        </w:rPr>
        <w:t>NOW, THEREFORE, in consideration of the premises and the mutual covenants herein contained, the parties hereto hereby agree as follows:</w:t>
      </w:r>
    </w:p>
    <w:p>
      <w:pPr>
        <w:spacing w:after="0" w:line="153" w:lineRule="exact"/>
        <w:rPr>
          <w:sz w:val="20"/>
          <w:szCs w:val="20"/>
          <w:color w:val="auto"/>
        </w:rPr>
      </w:pPr>
    </w:p>
    <w:p>
      <w:pPr>
        <w:jc w:val="both"/>
        <w:ind w:right="120" w:firstLine="823"/>
        <w:spacing w:after="0" w:line="257" w:lineRule="auto"/>
        <w:rPr>
          <w:sz w:val="20"/>
          <w:szCs w:val="20"/>
          <w:color w:val="auto"/>
        </w:rPr>
      </w:pPr>
      <w:r>
        <w:rPr>
          <w:rFonts w:ascii="Arial" w:cs="Arial" w:eastAsia="Arial" w:hAnsi="Arial"/>
          <w:sz w:val="20"/>
          <w:szCs w:val="20"/>
          <w:color w:val="auto"/>
        </w:rPr>
        <w:t xml:space="preserve">1. </w:t>
      </w:r>
      <w:r>
        <w:rPr>
          <w:rFonts w:ascii="Arial" w:cs="Arial" w:eastAsia="Arial" w:hAnsi="Arial"/>
          <w:sz w:val="20"/>
          <w:szCs w:val="20"/>
          <w:u w:val="single" w:color="auto"/>
          <w:color w:val="auto"/>
        </w:rPr>
        <w:t>Assignment of Contracts</w:t>
      </w:r>
      <w:r>
        <w:rPr>
          <w:rFonts w:ascii="Arial" w:cs="Arial" w:eastAsia="Arial" w:hAnsi="Arial"/>
          <w:sz w:val="20"/>
          <w:szCs w:val="20"/>
          <w:color w:val="auto"/>
        </w:rPr>
        <w:t xml:space="preserve">. The Assignor hereby assigns, sets over and transfers to each Assignee, its successors and assigns, such Assignee’s applicable Pro Rata Portion of the Assignor’s right, title and interest from and after the date hereof in, to and under each of the contracts set forth on </w:t>
      </w:r>
      <w:r>
        <w:rPr>
          <w:rFonts w:ascii="Arial" w:cs="Arial" w:eastAsia="Arial" w:hAnsi="Arial"/>
          <w:sz w:val="20"/>
          <w:szCs w:val="20"/>
          <w:u w:val="single" w:color="auto"/>
          <w:color w:val="auto"/>
        </w:rPr>
        <w:t>Exhibit A</w:t>
      </w:r>
      <w:r>
        <w:rPr>
          <w:rFonts w:ascii="Arial" w:cs="Arial" w:eastAsia="Arial" w:hAnsi="Arial"/>
          <w:sz w:val="20"/>
          <w:szCs w:val="20"/>
          <w:color w:val="auto"/>
        </w:rPr>
        <w:t xml:space="preserve"> attached hereto. Each Assignee hereby accepts the foregoing assignment of such Pro Rata Portion of each such contract and assumes all of the Assignor’s obligations with respect to such Pro Rata Portion. For purposes of this Assignment, “Pro Rata Portion” shall mean, with respect to any Assignee, a fraction, (i) numerator of which is the aggregate indirect equity interest held by such Assignee in Vroom, Inc. and (ii) the denominator of which is the sum of all aggregate indirect equity interests held by all Assignees in Vroom, Inc.</w:t>
      </w:r>
    </w:p>
    <w:p>
      <w:pPr>
        <w:spacing w:after="0" w:line="166" w:lineRule="exact"/>
        <w:rPr>
          <w:sz w:val="20"/>
          <w:szCs w:val="20"/>
          <w:color w:val="auto"/>
        </w:rPr>
      </w:pPr>
    </w:p>
    <w:p>
      <w:pPr>
        <w:ind w:right="140" w:firstLine="821"/>
        <w:spacing w:after="0" w:line="268" w:lineRule="auto"/>
        <w:rPr>
          <w:sz w:val="20"/>
          <w:szCs w:val="20"/>
          <w:color w:val="auto"/>
        </w:rPr>
      </w:pPr>
      <w:r>
        <w:rPr>
          <w:rFonts w:ascii="Arial" w:cs="Arial" w:eastAsia="Arial" w:hAnsi="Arial"/>
          <w:sz w:val="21"/>
          <w:szCs w:val="21"/>
          <w:color w:val="auto"/>
        </w:rPr>
        <w:t xml:space="preserve">2. </w:t>
      </w:r>
      <w:r>
        <w:rPr>
          <w:rFonts w:ascii="Arial" w:cs="Arial" w:eastAsia="Arial" w:hAnsi="Arial"/>
          <w:sz w:val="21"/>
          <w:szCs w:val="21"/>
          <w:u w:val="single" w:color="auto"/>
          <w:color w:val="auto"/>
        </w:rPr>
        <w:t>Limitation on Liability</w:t>
      </w:r>
      <w:r>
        <w:rPr>
          <w:rFonts w:ascii="Arial" w:cs="Arial" w:eastAsia="Arial" w:hAnsi="Arial"/>
          <w:sz w:val="21"/>
          <w:szCs w:val="21"/>
          <w:color w:val="auto"/>
        </w:rPr>
        <w:t>. This assignment is made without any covenant, warranty or representation by, or recourse against, the Assignor.</w:t>
      </w:r>
    </w:p>
    <w:p>
      <w:pPr>
        <w:spacing w:after="0" w:line="153" w:lineRule="exact"/>
        <w:rPr>
          <w:sz w:val="20"/>
          <w:szCs w:val="20"/>
          <w:color w:val="auto"/>
        </w:rPr>
      </w:pPr>
    </w:p>
    <w:p>
      <w:pPr>
        <w:jc w:val="both"/>
        <w:ind w:right="120" w:firstLine="823"/>
        <w:spacing w:after="0" w:line="264" w:lineRule="auto"/>
        <w:rPr>
          <w:sz w:val="20"/>
          <w:szCs w:val="20"/>
          <w:color w:val="auto"/>
        </w:rPr>
      </w:pPr>
      <w:r>
        <w:rPr>
          <w:rFonts w:ascii="Arial" w:cs="Arial" w:eastAsia="Arial" w:hAnsi="Arial"/>
          <w:sz w:val="20"/>
          <w:szCs w:val="20"/>
          <w:color w:val="auto"/>
        </w:rPr>
        <w:t xml:space="preserve">3. </w:t>
      </w:r>
      <w:r>
        <w:rPr>
          <w:rFonts w:ascii="Arial" w:cs="Arial" w:eastAsia="Arial" w:hAnsi="Arial"/>
          <w:sz w:val="20"/>
          <w:szCs w:val="20"/>
          <w:u w:val="single" w:color="auto"/>
          <w:color w:val="auto"/>
        </w:rPr>
        <w:t>Miscellaneous</w:t>
      </w:r>
      <w:r>
        <w:rPr>
          <w:rFonts w:ascii="Arial" w:cs="Arial" w:eastAsia="Arial" w:hAnsi="Arial"/>
          <w:sz w:val="20"/>
          <w:szCs w:val="20"/>
          <w:color w:val="auto"/>
        </w:rPr>
        <w:t>. This Assignment and the obligations of the parties hereunder shall be binding upon and inure to the benefit of the parties hereto, their respective legal representatives, successors and assigns, shall be governed by and construed in accordance with the laws of the State of Delaware (without regard to conflicts of laws principles), and may not be modified or amended in any manner other than by a written agreement signed by each of the parties hereto.</w:t>
      </w:r>
    </w:p>
    <w:p>
      <w:pPr>
        <w:spacing w:after="0" w:line="160" w:lineRule="exact"/>
        <w:rPr>
          <w:sz w:val="20"/>
          <w:szCs w:val="20"/>
          <w:color w:val="auto"/>
        </w:rPr>
      </w:pPr>
    </w:p>
    <w:p>
      <w:pPr>
        <w:jc w:val="both"/>
        <w:ind w:right="120" w:firstLine="823"/>
        <w:spacing w:after="0" w:line="282" w:lineRule="auto"/>
        <w:rPr>
          <w:sz w:val="20"/>
          <w:szCs w:val="20"/>
          <w:color w:val="auto"/>
        </w:rPr>
      </w:pPr>
      <w:r>
        <w:rPr>
          <w:rFonts w:ascii="Arial" w:cs="Arial" w:eastAsia="Arial" w:hAnsi="Arial"/>
          <w:sz w:val="19"/>
          <w:szCs w:val="19"/>
          <w:color w:val="auto"/>
        </w:rPr>
        <w:t xml:space="preserve">4. </w:t>
      </w:r>
      <w:r>
        <w:rPr>
          <w:rFonts w:ascii="Arial" w:cs="Arial" w:eastAsia="Arial" w:hAnsi="Arial"/>
          <w:sz w:val="19"/>
          <w:szCs w:val="19"/>
          <w:u w:val="single" w:color="auto"/>
          <w:color w:val="auto"/>
        </w:rPr>
        <w:t>Severability</w:t>
      </w:r>
      <w:r>
        <w:rPr>
          <w:rFonts w:ascii="Arial" w:cs="Arial" w:eastAsia="Arial" w:hAnsi="Arial"/>
          <w:sz w:val="19"/>
          <w:szCs w:val="19"/>
          <w:color w:val="auto"/>
        </w:rPr>
        <w:t>. If any term or provision of this Assignment or the application thereof to any persons or circumstances shall, to any extent, be invalid or unenforceable, the remainder of this Assignment or the application of such term or provision to persons or circumstances other than those as to which it is held invalid or unenforceable shall not be affected thereby, and each term and provision of this Assignment shall be valid and enforced to the fullest extent permitted by law.</w:t>
      </w:r>
    </w:p>
    <w:p>
      <w:pPr>
        <w:spacing w:after="0" w:line="145" w:lineRule="exact"/>
        <w:rPr>
          <w:sz w:val="20"/>
          <w:szCs w:val="20"/>
          <w:color w:val="auto"/>
        </w:rPr>
      </w:pPr>
    </w:p>
    <w:p>
      <w:pPr>
        <w:jc w:val="both"/>
        <w:ind w:right="120" w:firstLine="823"/>
        <w:spacing w:after="0" w:line="268" w:lineRule="auto"/>
        <w:rPr>
          <w:sz w:val="20"/>
          <w:szCs w:val="20"/>
          <w:color w:val="auto"/>
        </w:rPr>
      </w:pPr>
      <w:r>
        <w:rPr>
          <w:rFonts w:ascii="Arial" w:cs="Arial" w:eastAsia="Arial" w:hAnsi="Arial"/>
          <w:sz w:val="21"/>
          <w:szCs w:val="21"/>
          <w:color w:val="auto"/>
        </w:rPr>
        <w:t xml:space="preserve">5. </w:t>
      </w:r>
      <w:r>
        <w:rPr>
          <w:rFonts w:ascii="Arial" w:cs="Arial" w:eastAsia="Arial" w:hAnsi="Arial"/>
          <w:sz w:val="21"/>
          <w:szCs w:val="21"/>
          <w:u w:val="single" w:color="auto"/>
          <w:color w:val="auto"/>
        </w:rPr>
        <w:t>Counterparts</w:t>
      </w:r>
      <w:r>
        <w:rPr>
          <w:rFonts w:ascii="Arial" w:cs="Arial" w:eastAsia="Arial" w:hAnsi="Arial"/>
          <w:sz w:val="21"/>
          <w:szCs w:val="21"/>
          <w:color w:val="auto"/>
        </w:rPr>
        <w:t>. This Assignment may be executed in counterparts, each of which shall be an original and all of which counterparts taken together shall constitute one and the same agreement.</w:t>
      </w:r>
    </w:p>
    <w:p>
      <w:pPr>
        <w:spacing w:after="0" w:line="153" w:lineRule="exact"/>
        <w:rPr>
          <w:sz w:val="20"/>
          <w:szCs w:val="20"/>
          <w:color w:val="auto"/>
        </w:rPr>
      </w:pPr>
    </w:p>
    <w:p>
      <w:pPr>
        <w:jc w:val="center"/>
        <w:ind w:right="140"/>
        <w:spacing w:after="0"/>
        <w:rPr>
          <w:sz w:val="20"/>
          <w:szCs w:val="20"/>
          <w:color w:val="auto"/>
        </w:rPr>
      </w:pPr>
      <w:r>
        <w:rPr>
          <w:rFonts w:ascii="Arial" w:cs="Arial" w:eastAsia="Arial" w:hAnsi="Arial"/>
          <w:sz w:val="21"/>
          <w:szCs w:val="21"/>
          <w:i w:val="1"/>
          <w:iCs w:val="1"/>
          <w:color w:val="auto"/>
        </w:rPr>
        <w:t>[Remainder of page intentionally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-97155</wp:posOffset>
            </wp:positionH>
            <wp:positionV relativeFrom="paragraph">
              <wp:posOffset>473075</wp:posOffset>
            </wp:positionV>
            <wp:extent cx="717677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6">
                      <a:extLst>
                        <a:ext uri="{28A0092B-C50C-407E-A947-70E740481C1C}"/>
                      </a:extLst>
                    </a:blip>
                    <a:srcRect/>
                    <a:stretch>
                      <a:fillRect/>
                    </a:stretch>
                  </pic:blipFill>
                  <pic:spPr bwMode="auto">
                    <a:xfrm>
                      <a:off x="0" y="0"/>
                      <a:ext cx="7176770" cy="42545"/>
                    </a:xfrm>
                    <a:prstGeom prst="rect">
                      <a:avLst/>
                    </a:prstGeom>
                    <a:noFill/>
                  </pic:spPr>
                </pic:pic>
              </a:graphicData>
            </a:graphic>
          </wp:anchor>
        </w:drawing>
      </w:r>
    </w:p>
    <w:p>
      <w:pPr>
        <w:sectPr>
          <w:pgSz w:w="11900" w:h="16838" w:orient="portrait"/>
          <w:cols w:equalWidth="0" w:num="1">
            <w:col w:w="11100"/>
          </w:cols>
          <w:pgMar w:left="460" w:top="118" w:right="339" w:bottom="1440" w:gutter="0" w:footer="0" w:header="0"/>
        </w:sectPr>
      </w:pPr>
    </w:p>
    <w:bookmarkStart w:id="62" w:name="page63"/>
    <w:bookmarkEnd w:id="62"/>
    <w:p>
      <w:pPr>
        <w:ind w:left="10100"/>
        <w:spacing w:after="0"/>
        <w:rPr>
          <w:sz w:val="20"/>
          <w:szCs w:val="20"/>
          <w:color w:val="auto"/>
        </w:rPr>
      </w:pPr>
      <w:r>
        <w:rPr>
          <w:rFonts w:ascii="Arial" w:cs="Arial" w:eastAsia="Arial" w:hAnsi="Arial"/>
          <w:sz w:val="17"/>
          <w:szCs w:val="17"/>
          <w:b w:val="1"/>
          <w:bCs w:val="1"/>
          <w:color w:val="auto"/>
        </w:rPr>
        <w:t>Exhibit 10.1</w:t>
      </w:r>
    </w:p>
    <w:p>
      <w:pPr>
        <w:spacing w:after="0" w:line="298" w:lineRule="exact"/>
        <w:rPr>
          <w:sz w:val="20"/>
          <w:szCs w:val="20"/>
          <w:color w:val="auto"/>
        </w:rPr>
      </w:pPr>
    </w:p>
    <w:p>
      <w:pPr>
        <w:ind w:left="840"/>
        <w:spacing w:after="0"/>
        <w:rPr>
          <w:sz w:val="20"/>
          <w:szCs w:val="20"/>
          <w:color w:val="auto"/>
        </w:rPr>
      </w:pPr>
      <w:r>
        <w:rPr>
          <w:rFonts w:ascii="Arial" w:cs="Arial" w:eastAsia="Arial" w:hAnsi="Arial"/>
          <w:sz w:val="19"/>
          <w:szCs w:val="19"/>
          <w:color w:val="auto"/>
        </w:rPr>
        <w:t>IN WITNESS WHEREOF, the undersigned have executed this Assignment to be effective as of the date first set forth</w:t>
      </w:r>
    </w:p>
    <w:p>
      <w:pPr>
        <w:spacing w:after="0" w:line="39" w:lineRule="exact"/>
        <w:rPr>
          <w:sz w:val="20"/>
          <w:szCs w:val="20"/>
          <w:color w:val="auto"/>
        </w:rPr>
      </w:pPr>
    </w:p>
    <w:p>
      <w:pPr>
        <w:spacing w:after="0"/>
        <w:rPr>
          <w:sz w:val="20"/>
          <w:szCs w:val="20"/>
          <w:color w:val="auto"/>
        </w:rPr>
      </w:pPr>
      <w:r>
        <w:rPr>
          <w:rFonts w:ascii="Arial" w:cs="Arial" w:eastAsia="Arial" w:hAnsi="Arial"/>
          <w:sz w:val="21"/>
          <w:szCs w:val="21"/>
          <w:color w:val="auto"/>
        </w:rPr>
        <w:t>above.</w:t>
      </w:r>
    </w:p>
    <w:p>
      <w:pPr>
        <w:spacing w:after="0" w:line="174" w:lineRule="exact"/>
        <w:rPr>
          <w:sz w:val="20"/>
          <w:szCs w:val="20"/>
          <w:color w:val="auto"/>
        </w:rPr>
      </w:pPr>
    </w:p>
    <w:p>
      <w:pPr>
        <w:ind w:left="4220"/>
        <w:spacing w:after="0"/>
        <w:rPr>
          <w:sz w:val="20"/>
          <w:szCs w:val="20"/>
          <w:color w:val="auto"/>
        </w:rPr>
      </w:pPr>
      <w:r>
        <w:rPr>
          <w:rFonts w:ascii="Arial" w:cs="Arial" w:eastAsia="Arial" w:hAnsi="Arial"/>
          <w:sz w:val="21"/>
          <w:szCs w:val="21"/>
          <w:b w:val="1"/>
          <w:bCs w:val="1"/>
          <w:color w:val="auto"/>
        </w:rPr>
        <w:t>ASSIGNOR:</w:t>
      </w:r>
    </w:p>
    <w:p>
      <w:pPr>
        <w:spacing w:after="0" w:line="211" w:lineRule="exact"/>
        <w:rPr>
          <w:sz w:val="20"/>
          <w:szCs w:val="20"/>
          <w:color w:val="auto"/>
        </w:rPr>
      </w:pPr>
    </w:p>
    <w:p>
      <w:pPr>
        <w:ind w:left="4220"/>
        <w:spacing w:after="0"/>
        <w:rPr>
          <w:sz w:val="20"/>
          <w:szCs w:val="20"/>
          <w:color w:val="auto"/>
        </w:rPr>
      </w:pPr>
      <w:r>
        <w:rPr>
          <w:rFonts w:ascii="Arial" w:cs="Arial" w:eastAsia="Arial" w:hAnsi="Arial"/>
          <w:sz w:val="21"/>
          <w:szCs w:val="21"/>
          <w:b w:val="1"/>
          <w:bCs w:val="1"/>
          <w:color w:val="auto"/>
        </w:rPr>
        <w:t>CGP2 Lone Star, LP</w:t>
      </w:r>
    </w:p>
    <w:p>
      <w:pPr>
        <w:spacing w:after="0" w:line="244" w:lineRule="exact"/>
        <w:rPr>
          <w:sz w:val="20"/>
          <w:szCs w:val="20"/>
          <w:color w:val="auto"/>
        </w:rPr>
      </w:pPr>
    </w:p>
    <w:p>
      <w:pPr>
        <w:ind w:left="4220"/>
        <w:spacing w:after="0"/>
        <w:rPr>
          <w:sz w:val="20"/>
          <w:szCs w:val="20"/>
          <w:color w:val="auto"/>
        </w:rPr>
      </w:pPr>
      <w:r>
        <w:rPr>
          <w:rFonts w:ascii="Arial" w:cs="Arial" w:eastAsia="Arial" w:hAnsi="Arial"/>
          <w:sz w:val="21"/>
          <w:szCs w:val="21"/>
          <w:color w:val="auto"/>
        </w:rPr>
        <w:t>By: CGP2 Managers, L.L.C. Its:</w:t>
      </w:r>
    </w:p>
    <w:p>
      <w:pPr>
        <w:spacing w:after="0" w:line="16" w:lineRule="exact"/>
        <w:rPr>
          <w:sz w:val="20"/>
          <w:szCs w:val="20"/>
          <w:color w:val="auto"/>
        </w:rPr>
      </w:pPr>
    </w:p>
    <w:p>
      <w:pPr>
        <w:ind w:left="4220"/>
        <w:spacing w:after="0"/>
        <w:rPr>
          <w:sz w:val="20"/>
          <w:szCs w:val="20"/>
          <w:color w:val="auto"/>
        </w:rPr>
      </w:pPr>
      <w:r>
        <w:rPr>
          <w:rFonts w:ascii="Arial" w:cs="Arial" w:eastAsia="Arial" w:hAnsi="Arial"/>
          <w:sz w:val="21"/>
          <w:szCs w:val="21"/>
          <w:color w:val="auto"/>
        </w:rPr>
        <w:t>General Partner</w:t>
      </w:r>
    </w:p>
    <w:p>
      <w:pPr>
        <w:spacing w:after="0" w:line="200" w:lineRule="exact"/>
        <w:rPr>
          <w:sz w:val="20"/>
          <w:szCs w:val="20"/>
          <w:color w:val="auto"/>
        </w:rPr>
      </w:pPr>
    </w:p>
    <w:p>
      <w:pPr>
        <w:spacing w:after="0" w:line="259" w:lineRule="exact"/>
        <w:rPr>
          <w:sz w:val="20"/>
          <w:szCs w:val="20"/>
          <w:color w:val="auto"/>
        </w:rPr>
      </w:pPr>
    </w:p>
    <w:p>
      <w:pPr>
        <w:ind w:left="4220"/>
        <w:spacing w:after="0"/>
        <w:rPr>
          <w:sz w:val="20"/>
          <w:szCs w:val="20"/>
          <w:color w:val="auto"/>
        </w:rPr>
      </w:pPr>
      <w:r>
        <w:rPr>
          <w:rFonts w:ascii="Arial" w:cs="Arial" w:eastAsia="Arial" w:hAnsi="Arial"/>
          <w:sz w:val="21"/>
          <w:szCs w:val="21"/>
          <w:color w:val="auto"/>
        </w:rPr>
        <w:t xml:space="preserve">By: </w:t>
      </w:r>
      <w:r>
        <w:rPr>
          <w:rFonts w:ascii="Arial" w:cs="Arial" w:eastAsia="Arial" w:hAnsi="Arial"/>
          <w:sz w:val="21"/>
          <w:szCs w:val="21"/>
          <w:u w:val="single" w:color="auto"/>
          <w:color w:val="auto"/>
        </w:rPr>
        <w:t>/s/ Scott Dahnke</w:t>
      </w:r>
    </w:p>
    <w:p>
      <w:pPr>
        <w:spacing w:after="0" w:line="14" w:lineRule="exact"/>
        <w:rPr>
          <w:sz w:val="20"/>
          <w:szCs w:val="20"/>
          <w:color w:val="auto"/>
        </w:rPr>
      </w:pPr>
    </w:p>
    <w:p>
      <w:pPr>
        <w:ind w:left="4220"/>
        <w:spacing w:after="0"/>
        <w:rPr>
          <w:sz w:val="20"/>
          <w:szCs w:val="20"/>
          <w:color w:val="auto"/>
        </w:rPr>
      </w:pPr>
      <w:r>
        <w:rPr>
          <w:rFonts w:ascii="Arial" w:cs="Arial" w:eastAsia="Arial" w:hAnsi="Arial"/>
          <w:sz w:val="21"/>
          <w:szCs w:val="21"/>
          <w:color w:val="auto"/>
        </w:rPr>
        <w:t>Name: Scott Dahnke</w:t>
      </w:r>
    </w:p>
    <w:p>
      <w:pPr>
        <w:ind w:left="4220"/>
        <w:spacing w:after="0"/>
        <w:rPr>
          <w:sz w:val="20"/>
          <w:szCs w:val="20"/>
          <w:color w:val="auto"/>
        </w:rPr>
      </w:pPr>
      <w:r>
        <w:rPr>
          <w:rFonts w:ascii="Arial" w:cs="Arial" w:eastAsia="Arial" w:hAnsi="Arial"/>
          <w:sz w:val="21"/>
          <w:szCs w:val="21"/>
          <w:color w:val="auto"/>
        </w:rPr>
        <w:t>Title: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-97155</wp:posOffset>
            </wp:positionH>
            <wp:positionV relativeFrom="paragraph">
              <wp:posOffset>461645</wp:posOffset>
            </wp:positionV>
            <wp:extent cx="717677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7">
                      <a:extLst>
                        <a:ext uri="{28A0092B-C50C-407E-A947-70E740481C1C}"/>
                      </a:extLst>
                    </a:blip>
                    <a:srcRect/>
                    <a:stretch>
                      <a:fillRect/>
                    </a:stretch>
                  </pic:blipFill>
                  <pic:spPr bwMode="auto">
                    <a:xfrm>
                      <a:off x="0" y="0"/>
                      <a:ext cx="7176770" cy="42545"/>
                    </a:xfrm>
                    <a:prstGeom prst="rect">
                      <a:avLst/>
                    </a:prstGeom>
                    <a:noFill/>
                  </pic:spPr>
                </pic:pic>
              </a:graphicData>
            </a:graphic>
          </wp:anchor>
        </w:drawing>
      </w:r>
    </w:p>
    <w:p>
      <w:pPr>
        <w:sectPr>
          <w:pgSz w:w="11900" w:h="16838" w:orient="portrait"/>
          <w:cols w:equalWidth="0" w:num="1">
            <w:col w:w="11100"/>
          </w:cols>
          <w:pgMar w:left="460" w:top="118" w:right="339" w:bottom="1440" w:gutter="0" w:footer="0" w:header="0"/>
        </w:sectPr>
      </w:pPr>
    </w:p>
    <w:bookmarkStart w:id="63" w:name="page64"/>
    <w:bookmarkEnd w:id="63"/>
    <w:p>
      <w:pPr>
        <w:jc w:val="right"/>
        <w:spacing w:after="0"/>
        <w:rPr>
          <w:sz w:val="20"/>
          <w:szCs w:val="20"/>
          <w:color w:val="auto"/>
        </w:rPr>
      </w:pPr>
      <w:r>
        <w:rPr>
          <w:rFonts w:ascii="Arial" w:cs="Arial" w:eastAsia="Arial" w:hAnsi="Arial"/>
          <w:sz w:val="20"/>
          <w:szCs w:val="20"/>
          <w:b w:val="1"/>
          <w:bCs w:val="1"/>
          <w:color w:val="auto"/>
        </w:rPr>
        <w:t>Exhibit 10.1</w:t>
      </w:r>
    </w:p>
    <w:p>
      <w:pPr>
        <w:spacing w:after="0" w:line="257" w:lineRule="exact"/>
        <w:rPr>
          <w:sz w:val="20"/>
          <w:szCs w:val="20"/>
          <w:color w:val="auto"/>
        </w:rPr>
      </w:pPr>
    </w:p>
    <w:p>
      <w:pPr>
        <w:ind w:left="3240"/>
        <w:spacing w:after="0"/>
        <w:rPr>
          <w:sz w:val="20"/>
          <w:szCs w:val="20"/>
          <w:color w:val="auto"/>
        </w:rPr>
      </w:pPr>
      <w:r>
        <w:rPr>
          <w:rFonts w:ascii="Arial" w:cs="Arial" w:eastAsia="Arial" w:hAnsi="Arial"/>
          <w:sz w:val="21"/>
          <w:szCs w:val="21"/>
          <w:b w:val="1"/>
          <w:bCs w:val="1"/>
          <w:color w:val="auto"/>
        </w:rPr>
        <w:t>ASSIGNEES:</w:t>
      </w:r>
    </w:p>
    <w:p>
      <w:pPr>
        <w:spacing w:after="0" w:line="211" w:lineRule="exact"/>
        <w:rPr>
          <w:sz w:val="20"/>
          <w:szCs w:val="20"/>
          <w:color w:val="auto"/>
        </w:rPr>
      </w:pPr>
    </w:p>
    <w:p>
      <w:pPr>
        <w:ind w:left="3240"/>
        <w:spacing w:after="0"/>
        <w:rPr>
          <w:sz w:val="20"/>
          <w:szCs w:val="20"/>
          <w:color w:val="auto"/>
        </w:rPr>
      </w:pPr>
      <w:r>
        <w:rPr>
          <w:rFonts w:ascii="Arial" w:cs="Arial" w:eastAsia="Arial" w:hAnsi="Arial"/>
          <w:sz w:val="21"/>
          <w:szCs w:val="21"/>
          <w:b w:val="1"/>
          <w:bCs w:val="1"/>
          <w:color w:val="auto"/>
        </w:rPr>
        <w:t>Catterton Growth Partners II, L.P.</w:t>
      </w:r>
    </w:p>
    <w:p>
      <w:pPr>
        <w:spacing w:after="0" w:line="244" w:lineRule="exact"/>
        <w:rPr>
          <w:sz w:val="20"/>
          <w:szCs w:val="20"/>
          <w:color w:val="auto"/>
        </w:rPr>
      </w:pPr>
    </w:p>
    <w:p>
      <w:pPr>
        <w:ind w:left="3240" w:right="1600"/>
        <w:spacing w:after="0" w:line="268" w:lineRule="auto"/>
        <w:rPr>
          <w:sz w:val="20"/>
          <w:szCs w:val="20"/>
          <w:color w:val="auto"/>
        </w:rPr>
      </w:pPr>
      <w:r>
        <w:rPr>
          <w:rFonts w:ascii="Arial" w:cs="Arial" w:eastAsia="Arial" w:hAnsi="Arial"/>
          <w:sz w:val="21"/>
          <w:szCs w:val="21"/>
          <w:color w:val="auto"/>
        </w:rPr>
        <w:t>By: Catterton Growth Managing Partner II, L.L.C. Its: General Partner</w:t>
      </w:r>
    </w:p>
    <w:p>
      <w:pPr>
        <w:spacing w:after="0" w:line="180" w:lineRule="exact"/>
        <w:rPr>
          <w:sz w:val="20"/>
          <w:szCs w:val="20"/>
          <w:color w:val="auto"/>
        </w:rPr>
      </w:pPr>
    </w:p>
    <w:p>
      <w:pPr>
        <w:ind w:left="3240"/>
        <w:spacing w:after="0"/>
        <w:rPr>
          <w:sz w:val="20"/>
          <w:szCs w:val="20"/>
          <w:color w:val="auto"/>
        </w:rPr>
      </w:pPr>
      <w:r>
        <w:rPr>
          <w:rFonts w:ascii="Arial" w:cs="Arial" w:eastAsia="Arial" w:hAnsi="Arial"/>
          <w:sz w:val="21"/>
          <w:szCs w:val="21"/>
          <w:color w:val="auto"/>
        </w:rPr>
        <w:t>By: CGP2 Managers, L.L.C. Its:</w:t>
      </w:r>
    </w:p>
    <w:p>
      <w:pPr>
        <w:spacing w:after="0" w:line="16" w:lineRule="exact"/>
        <w:rPr>
          <w:sz w:val="20"/>
          <w:szCs w:val="20"/>
          <w:color w:val="auto"/>
        </w:rPr>
      </w:pPr>
    </w:p>
    <w:p>
      <w:pPr>
        <w:ind w:left="3240"/>
        <w:spacing w:after="0"/>
        <w:rPr>
          <w:sz w:val="20"/>
          <w:szCs w:val="20"/>
          <w:color w:val="auto"/>
        </w:rPr>
      </w:pPr>
      <w:r>
        <w:rPr>
          <w:rFonts w:ascii="Arial" w:cs="Arial" w:eastAsia="Arial" w:hAnsi="Arial"/>
          <w:sz w:val="21"/>
          <w:szCs w:val="21"/>
          <w:color w:val="auto"/>
        </w:rPr>
        <w:t>Managing Member</w:t>
      </w:r>
    </w:p>
    <w:p>
      <w:pPr>
        <w:spacing w:after="0" w:line="200" w:lineRule="exact"/>
        <w:rPr>
          <w:sz w:val="20"/>
          <w:szCs w:val="20"/>
          <w:color w:val="auto"/>
        </w:rPr>
      </w:pPr>
    </w:p>
    <w:p>
      <w:pPr>
        <w:spacing w:after="0" w:line="259" w:lineRule="exact"/>
        <w:rPr>
          <w:sz w:val="20"/>
          <w:szCs w:val="20"/>
          <w:color w:val="auto"/>
        </w:rPr>
      </w:pPr>
    </w:p>
    <w:p>
      <w:pPr>
        <w:ind w:left="3240"/>
        <w:spacing w:after="0"/>
        <w:rPr>
          <w:sz w:val="20"/>
          <w:szCs w:val="20"/>
          <w:color w:val="auto"/>
        </w:rPr>
      </w:pPr>
      <w:r>
        <w:rPr>
          <w:rFonts w:ascii="Arial" w:cs="Arial" w:eastAsia="Arial" w:hAnsi="Arial"/>
          <w:sz w:val="21"/>
          <w:szCs w:val="21"/>
          <w:color w:val="auto"/>
        </w:rPr>
        <w:t>By: /s/ Dan Reid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2252980</wp:posOffset>
            </wp:positionH>
            <wp:positionV relativeFrom="paragraph">
              <wp:posOffset>-12065</wp:posOffset>
            </wp:positionV>
            <wp:extent cx="70993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8">
                      <a:extLst>
                        <a:ext uri="{28A0092B-C50C-407E-A947-70E740481C1C}"/>
                      </a:extLst>
                    </a:blip>
                    <a:srcRect/>
                    <a:stretch>
                      <a:fillRect/>
                    </a:stretch>
                  </pic:blipFill>
                  <pic:spPr bwMode="auto">
                    <a:xfrm>
                      <a:off x="0" y="0"/>
                      <a:ext cx="709930" cy="8255"/>
                    </a:xfrm>
                    <a:prstGeom prst="rect">
                      <a:avLst/>
                    </a:prstGeom>
                    <a:noFill/>
                  </pic:spPr>
                </pic:pic>
              </a:graphicData>
            </a:graphic>
          </wp:anchor>
        </w:drawing>
      </w:r>
    </w:p>
    <w:p>
      <w:pPr>
        <w:ind w:left="3240"/>
        <w:spacing w:after="0"/>
        <w:rPr>
          <w:sz w:val="20"/>
          <w:szCs w:val="20"/>
          <w:color w:val="auto"/>
        </w:rPr>
      </w:pPr>
      <w:r>
        <w:rPr>
          <w:rFonts w:ascii="Arial" w:cs="Arial" w:eastAsia="Arial" w:hAnsi="Arial"/>
          <w:sz w:val="21"/>
          <w:szCs w:val="21"/>
          <w:color w:val="auto"/>
        </w:rPr>
        <w:t>Name: Dan Reid</w:t>
      </w:r>
    </w:p>
    <w:p>
      <w:pPr>
        <w:ind w:left="3240"/>
        <w:spacing w:after="0"/>
        <w:rPr>
          <w:sz w:val="20"/>
          <w:szCs w:val="20"/>
          <w:color w:val="auto"/>
        </w:rPr>
      </w:pPr>
      <w:r>
        <w:rPr>
          <w:rFonts w:ascii="Arial" w:cs="Arial" w:eastAsia="Arial" w:hAnsi="Arial"/>
          <w:sz w:val="21"/>
          <w:szCs w:val="21"/>
          <w:color w:val="auto"/>
        </w:rPr>
        <w:t>Title: Authorized Signatory</w:t>
      </w:r>
    </w:p>
    <w:p>
      <w:pPr>
        <w:spacing w:after="0" w:line="200" w:lineRule="exact"/>
        <w:rPr>
          <w:sz w:val="20"/>
          <w:szCs w:val="20"/>
          <w:color w:val="auto"/>
        </w:rPr>
      </w:pPr>
    </w:p>
    <w:p>
      <w:pPr>
        <w:spacing w:after="0" w:line="400" w:lineRule="exact"/>
        <w:rPr>
          <w:sz w:val="20"/>
          <w:szCs w:val="20"/>
          <w:color w:val="auto"/>
        </w:rPr>
      </w:pPr>
    </w:p>
    <w:p>
      <w:pPr>
        <w:ind w:left="3240"/>
        <w:spacing w:after="0"/>
        <w:rPr>
          <w:sz w:val="20"/>
          <w:szCs w:val="20"/>
          <w:color w:val="auto"/>
        </w:rPr>
      </w:pPr>
      <w:r>
        <w:rPr>
          <w:rFonts w:ascii="Arial" w:cs="Arial" w:eastAsia="Arial" w:hAnsi="Arial"/>
          <w:sz w:val="21"/>
          <w:szCs w:val="21"/>
          <w:b w:val="1"/>
          <w:bCs w:val="1"/>
          <w:color w:val="auto"/>
        </w:rPr>
        <w:t>Catterton Growth Partners II Offshore, L.P.</w:t>
      </w:r>
    </w:p>
    <w:p>
      <w:pPr>
        <w:spacing w:after="0" w:line="244" w:lineRule="exact"/>
        <w:rPr>
          <w:sz w:val="20"/>
          <w:szCs w:val="20"/>
          <w:color w:val="auto"/>
        </w:rPr>
      </w:pPr>
    </w:p>
    <w:p>
      <w:pPr>
        <w:ind w:left="3240" w:right="1600"/>
        <w:spacing w:after="0" w:line="268" w:lineRule="auto"/>
        <w:rPr>
          <w:sz w:val="20"/>
          <w:szCs w:val="20"/>
          <w:color w:val="auto"/>
        </w:rPr>
      </w:pPr>
      <w:r>
        <w:rPr>
          <w:rFonts w:ascii="Arial" w:cs="Arial" w:eastAsia="Arial" w:hAnsi="Arial"/>
          <w:sz w:val="21"/>
          <w:szCs w:val="21"/>
          <w:color w:val="auto"/>
        </w:rPr>
        <w:t>By: Catterton Growth Managing Partner II, L.L.C. Its: General Partner</w:t>
      </w:r>
    </w:p>
    <w:p>
      <w:pPr>
        <w:spacing w:after="0" w:line="180" w:lineRule="exact"/>
        <w:rPr>
          <w:sz w:val="20"/>
          <w:szCs w:val="20"/>
          <w:color w:val="auto"/>
        </w:rPr>
      </w:pPr>
    </w:p>
    <w:p>
      <w:pPr>
        <w:ind w:left="3240"/>
        <w:spacing w:after="0"/>
        <w:rPr>
          <w:sz w:val="20"/>
          <w:szCs w:val="20"/>
          <w:color w:val="auto"/>
        </w:rPr>
      </w:pPr>
      <w:r>
        <w:rPr>
          <w:rFonts w:ascii="Arial" w:cs="Arial" w:eastAsia="Arial" w:hAnsi="Arial"/>
          <w:sz w:val="21"/>
          <w:szCs w:val="21"/>
          <w:color w:val="auto"/>
        </w:rPr>
        <w:t>By: CGP2 Managers, L.L.C. Its:</w:t>
      </w:r>
    </w:p>
    <w:p>
      <w:pPr>
        <w:spacing w:after="0" w:line="16" w:lineRule="exact"/>
        <w:rPr>
          <w:sz w:val="20"/>
          <w:szCs w:val="20"/>
          <w:color w:val="auto"/>
        </w:rPr>
      </w:pPr>
    </w:p>
    <w:p>
      <w:pPr>
        <w:ind w:left="3240"/>
        <w:spacing w:after="0"/>
        <w:rPr>
          <w:sz w:val="20"/>
          <w:szCs w:val="20"/>
          <w:color w:val="auto"/>
        </w:rPr>
      </w:pPr>
      <w:r>
        <w:rPr>
          <w:rFonts w:ascii="Arial" w:cs="Arial" w:eastAsia="Arial" w:hAnsi="Arial"/>
          <w:sz w:val="21"/>
          <w:szCs w:val="21"/>
          <w:color w:val="auto"/>
        </w:rPr>
        <w:t>Managing Member</w:t>
      </w:r>
    </w:p>
    <w:p>
      <w:pPr>
        <w:spacing w:after="0" w:line="200" w:lineRule="exact"/>
        <w:rPr>
          <w:sz w:val="20"/>
          <w:szCs w:val="20"/>
          <w:color w:val="auto"/>
        </w:rPr>
      </w:pPr>
    </w:p>
    <w:p>
      <w:pPr>
        <w:spacing w:after="0" w:line="259" w:lineRule="exact"/>
        <w:rPr>
          <w:sz w:val="20"/>
          <w:szCs w:val="20"/>
          <w:color w:val="auto"/>
        </w:rPr>
      </w:pPr>
    </w:p>
    <w:p>
      <w:pPr>
        <w:ind w:left="3240"/>
        <w:spacing w:after="0"/>
        <w:rPr>
          <w:sz w:val="20"/>
          <w:szCs w:val="20"/>
          <w:color w:val="auto"/>
        </w:rPr>
      </w:pPr>
      <w:r>
        <w:rPr>
          <w:rFonts w:ascii="Arial" w:cs="Arial" w:eastAsia="Arial" w:hAnsi="Arial"/>
          <w:sz w:val="21"/>
          <w:szCs w:val="21"/>
          <w:color w:val="auto"/>
        </w:rPr>
        <w:t>By: /s/ Dan Reid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2252980</wp:posOffset>
            </wp:positionH>
            <wp:positionV relativeFrom="paragraph">
              <wp:posOffset>-12065</wp:posOffset>
            </wp:positionV>
            <wp:extent cx="70993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9">
                      <a:extLst>
                        <a:ext uri="{28A0092B-C50C-407E-A947-70E740481C1C}"/>
                      </a:extLst>
                    </a:blip>
                    <a:srcRect/>
                    <a:stretch>
                      <a:fillRect/>
                    </a:stretch>
                  </pic:blipFill>
                  <pic:spPr bwMode="auto">
                    <a:xfrm>
                      <a:off x="0" y="0"/>
                      <a:ext cx="709930" cy="8255"/>
                    </a:xfrm>
                    <a:prstGeom prst="rect">
                      <a:avLst/>
                    </a:prstGeom>
                    <a:noFill/>
                  </pic:spPr>
                </pic:pic>
              </a:graphicData>
            </a:graphic>
          </wp:anchor>
        </w:drawing>
      </w:r>
    </w:p>
    <w:p>
      <w:pPr>
        <w:ind w:left="3240"/>
        <w:spacing w:after="0"/>
        <w:rPr>
          <w:sz w:val="20"/>
          <w:szCs w:val="20"/>
          <w:color w:val="auto"/>
        </w:rPr>
      </w:pPr>
      <w:r>
        <w:rPr>
          <w:rFonts w:ascii="Arial" w:cs="Arial" w:eastAsia="Arial" w:hAnsi="Arial"/>
          <w:sz w:val="21"/>
          <w:szCs w:val="21"/>
          <w:color w:val="auto"/>
        </w:rPr>
        <w:t>Name: Dan Reid</w:t>
      </w:r>
    </w:p>
    <w:p>
      <w:pPr>
        <w:ind w:left="3240"/>
        <w:spacing w:after="0"/>
        <w:rPr>
          <w:sz w:val="20"/>
          <w:szCs w:val="20"/>
          <w:color w:val="auto"/>
        </w:rPr>
      </w:pPr>
      <w:r>
        <w:rPr>
          <w:rFonts w:ascii="Arial" w:cs="Arial" w:eastAsia="Arial" w:hAnsi="Arial"/>
          <w:sz w:val="21"/>
          <w:szCs w:val="21"/>
          <w:color w:val="auto"/>
        </w:rPr>
        <w:t>Title: Authorized Signatory</w:t>
      </w:r>
    </w:p>
    <w:p>
      <w:pPr>
        <w:spacing w:after="0" w:line="200" w:lineRule="exact"/>
        <w:rPr>
          <w:sz w:val="20"/>
          <w:szCs w:val="20"/>
          <w:color w:val="auto"/>
        </w:rPr>
      </w:pPr>
    </w:p>
    <w:p>
      <w:pPr>
        <w:spacing w:after="0" w:line="400" w:lineRule="exact"/>
        <w:rPr>
          <w:sz w:val="20"/>
          <w:szCs w:val="20"/>
          <w:color w:val="auto"/>
        </w:rPr>
      </w:pPr>
    </w:p>
    <w:p>
      <w:pPr>
        <w:jc w:val="center"/>
        <w:ind w:right="180"/>
        <w:spacing w:after="0"/>
        <w:rPr>
          <w:sz w:val="20"/>
          <w:szCs w:val="20"/>
          <w:color w:val="auto"/>
        </w:rPr>
      </w:pPr>
      <w:r>
        <w:rPr>
          <w:rFonts w:ascii="Arial" w:cs="Arial" w:eastAsia="Arial" w:hAnsi="Arial"/>
          <w:sz w:val="20"/>
          <w:szCs w:val="20"/>
          <w:b w:val="1"/>
          <w:bCs w:val="1"/>
          <w:color w:val="auto"/>
        </w:rPr>
        <w:t>L Catterton Growth Partners III, L.P.</w:t>
      </w:r>
    </w:p>
    <w:p>
      <w:pPr>
        <w:spacing w:after="0" w:line="200" w:lineRule="exact"/>
        <w:rPr>
          <w:sz w:val="20"/>
          <w:szCs w:val="20"/>
          <w:color w:val="auto"/>
        </w:rPr>
      </w:pPr>
    </w:p>
    <w:p>
      <w:pPr>
        <w:spacing w:after="0" w:line="295" w:lineRule="exact"/>
        <w:rPr>
          <w:sz w:val="20"/>
          <w:szCs w:val="20"/>
          <w:color w:val="auto"/>
        </w:rPr>
      </w:pPr>
    </w:p>
    <w:p>
      <w:pPr>
        <w:ind w:left="3240" w:right="1520"/>
        <w:spacing w:after="0" w:line="268" w:lineRule="auto"/>
        <w:rPr>
          <w:sz w:val="20"/>
          <w:szCs w:val="20"/>
          <w:color w:val="auto"/>
        </w:rPr>
      </w:pPr>
      <w:r>
        <w:rPr>
          <w:rFonts w:ascii="Arial" w:cs="Arial" w:eastAsia="Arial" w:hAnsi="Arial"/>
          <w:sz w:val="21"/>
          <w:szCs w:val="21"/>
          <w:color w:val="auto"/>
        </w:rPr>
        <w:t>By: Catterton Growth Managing Partner III, L.L.C. Its: General Partner</w:t>
      </w:r>
    </w:p>
    <w:p>
      <w:pPr>
        <w:spacing w:after="0" w:line="180" w:lineRule="exact"/>
        <w:rPr>
          <w:sz w:val="20"/>
          <w:szCs w:val="20"/>
          <w:color w:val="auto"/>
        </w:rPr>
      </w:pPr>
    </w:p>
    <w:p>
      <w:pPr>
        <w:ind w:left="3240"/>
        <w:spacing w:after="0"/>
        <w:rPr>
          <w:sz w:val="20"/>
          <w:szCs w:val="20"/>
          <w:color w:val="auto"/>
        </w:rPr>
      </w:pPr>
      <w:r>
        <w:rPr>
          <w:rFonts w:ascii="Arial" w:cs="Arial" w:eastAsia="Arial" w:hAnsi="Arial"/>
          <w:sz w:val="21"/>
          <w:szCs w:val="21"/>
          <w:color w:val="auto"/>
        </w:rPr>
        <w:t>By: CGP3 Managers, L.L.C. Its:</w:t>
      </w:r>
    </w:p>
    <w:p>
      <w:pPr>
        <w:spacing w:after="0" w:line="16" w:lineRule="exact"/>
        <w:rPr>
          <w:sz w:val="20"/>
          <w:szCs w:val="20"/>
          <w:color w:val="auto"/>
        </w:rPr>
      </w:pPr>
    </w:p>
    <w:p>
      <w:pPr>
        <w:ind w:left="3240"/>
        <w:spacing w:after="0"/>
        <w:rPr>
          <w:sz w:val="20"/>
          <w:szCs w:val="20"/>
          <w:color w:val="auto"/>
        </w:rPr>
      </w:pPr>
      <w:r>
        <w:rPr>
          <w:rFonts w:ascii="Arial" w:cs="Arial" w:eastAsia="Arial" w:hAnsi="Arial"/>
          <w:sz w:val="21"/>
          <w:szCs w:val="21"/>
          <w:color w:val="auto"/>
        </w:rPr>
        <w:t>Managing Member</w:t>
      </w:r>
    </w:p>
    <w:p>
      <w:pPr>
        <w:spacing w:after="0" w:line="200" w:lineRule="exact"/>
        <w:rPr>
          <w:sz w:val="20"/>
          <w:szCs w:val="20"/>
          <w:color w:val="auto"/>
        </w:rPr>
      </w:pPr>
    </w:p>
    <w:p>
      <w:pPr>
        <w:spacing w:after="0" w:line="259" w:lineRule="exact"/>
        <w:rPr>
          <w:sz w:val="20"/>
          <w:szCs w:val="20"/>
          <w:color w:val="auto"/>
        </w:rPr>
      </w:pPr>
    </w:p>
    <w:p>
      <w:pPr>
        <w:ind w:left="3240"/>
        <w:spacing w:after="0"/>
        <w:rPr>
          <w:sz w:val="20"/>
          <w:szCs w:val="20"/>
          <w:color w:val="auto"/>
        </w:rPr>
      </w:pPr>
      <w:r>
        <w:rPr>
          <w:rFonts w:ascii="Arial" w:cs="Arial" w:eastAsia="Arial" w:hAnsi="Arial"/>
          <w:sz w:val="21"/>
          <w:szCs w:val="21"/>
          <w:color w:val="auto"/>
        </w:rPr>
        <w:t>By: /s/ Dan Reid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2252980</wp:posOffset>
            </wp:positionH>
            <wp:positionV relativeFrom="paragraph">
              <wp:posOffset>-12065</wp:posOffset>
            </wp:positionV>
            <wp:extent cx="70993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0">
                      <a:extLst>
                        <a:ext uri="{28A0092B-C50C-407E-A947-70E740481C1C}"/>
                      </a:extLst>
                    </a:blip>
                    <a:srcRect/>
                    <a:stretch>
                      <a:fillRect/>
                    </a:stretch>
                  </pic:blipFill>
                  <pic:spPr bwMode="auto">
                    <a:xfrm>
                      <a:off x="0" y="0"/>
                      <a:ext cx="709930" cy="8255"/>
                    </a:xfrm>
                    <a:prstGeom prst="rect">
                      <a:avLst/>
                    </a:prstGeom>
                    <a:noFill/>
                  </pic:spPr>
                </pic:pic>
              </a:graphicData>
            </a:graphic>
          </wp:anchor>
        </w:drawing>
      </w:r>
    </w:p>
    <w:p>
      <w:pPr>
        <w:ind w:left="3240"/>
        <w:spacing w:after="0"/>
        <w:rPr>
          <w:sz w:val="20"/>
          <w:szCs w:val="20"/>
          <w:color w:val="auto"/>
        </w:rPr>
      </w:pPr>
      <w:r>
        <w:rPr>
          <w:rFonts w:ascii="Arial" w:cs="Arial" w:eastAsia="Arial" w:hAnsi="Arial"/>
          <w:sz w:val="21"/>
          <w:szCs w:val="21"/>
          <w:color w:val="auto"/>
        </w:rPr>
        <w:t>Name: Dan Reid</w:t>
      </w:r>
    </w:p>
    <w:p>
      <w:pPr>
        <w:ind w:left="3240"/>
        <w:spacing w:after="0"/>
        <w:rPr>
          <w:sz w:val="20"/>
          <w:szCs w:val="20"/>
          <w:color w:val="auto"/>
        </w:rPr>
      </w:pPr>
      <w:r>
        <w:rPr>
          <w:rFonts w:ascii="Arial" w:cs="Arial" w:eastAsia="Arial" w:hAnsi="Arial"/>
          <w:sz w:val="21"/>
          <w:szCs w:val="21"/>
          <w:color w:val="auto"/>
        </w:rPr>
        <w:t>Title: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-719455</wp:posOffset>
            </wp:positionH>
            <wp:positionV relativeFrom="paragraph">
              <wp:posOffset>461645</wp:posOffset>
            </wp:positionV>
            <wp:extent cx="717677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1">
                      <a:extLst>
                        <a:ext uri="{28A0092B-C50C-407E-A947-70E740481C1C}"/>
                      </a:extLst>
                    </a:blip>
                    <a:srcRect/>
                    <a:stretch>
                      <a:fillRect/>
                    </a:stretch>
                  </pic:blipFill>
                  <pic:spPr bwMode="auto">
                    <a:xfrm>
                      <a:off x="0" y="0"/>
                      <a:ext cx="7176770" cy="42545"/>
                    </a:xfrm>
                    <a:prstGeom prst="rect">
                      <a:avLst/>
                    </a:prstGeom>
                    <a:noFill/>
                  </pic:spPr>
                </pic:pic>
              </a:graphicData>
            </a:graphic>
          </wp:anchor>
        </w:drawing>
      </w:r>
    </w:p>
    <w:p>
      <w:pPr>
        <w:sectPr>
          <w:pgSz w:w="11900" w:h="16838" w:orient="portrait"/>
          <w:cols w:equalWidth="0" w:num="1">
            <w:col w:w="10120"/>
          </w:cols>
          <w:pgMar w:left="1440" w:top="118" w:right="339" w:bottom="1440" w:gutter="0" w:footer="0" w:header="0"/>
        </w:sectPr>
      </w:pPr>
    </w:p>
    <w:bookmarkStart w:id="64" w:name="page65"/>
    <w:bookmarkEnd w:id="64"/>
    <w:p>
      <w:pPr>
        <w:jc w:val="right"/>
        <w:spacing w:after="0"/>
        <w:rPr>
          <w:sz w:val="20"/>
          <w:szCs w:val="20"/>
          <w:color w:val="auto"/>
        </w:rPr>
      </w:pPr>
      <w:r>
        <w:rPr>
          <w:rFonts w:ascii="Arial" w:cs="Arial" w:eastAsia="Arial" w:hAnsi="Arial"/>
          <w:sz w:val="20"/>
          <w:szCs w:val="20"/>
          <w:b w:val="1"/>
          <w:bCs w:val="1"/>
          <w:color w:val="auto"/>
        </w:rPr>
        <w:t>Exhibit 10.1</w:t>
      </w:r>
    </w:p>
    <w:p>
      <w:pPr>
        <w:spacing w:after="0" w:line="257" w:lineRule="exact"/>
        <w:rPr>
          <w:sz w:val="20"/>
          <w:szCs w:val="20"/>
          <w:color w:val="auto"/>
        </w:rPr>
      </w:pPr>
    </w:p>
    <w:p>
      <w:pPr>
        <w:ind w:left="3240"/>
        <w:spacing w:after="0"/>
        <w:rPr>
          <w:sz w:val="20"/>
          <w:szCs w:val="20"/>
          <w:color w:val="auto"/>
        </w:rPr>
      </w:pPr>
      <w:r>
        <w:rPr>
          <w:rFonts w:ascii="Arial" w:cs="Arial" w:eastAsia="Arial" w:hAnsi="Arial"/>
          <w:sz w:val="21"/>
          <w:szCs w:val="21"/>
          <w:b w:val="1"/>
          <w:bCs w:val="1"/>
          <w:color w:val="auto"/>
        </w:rPr>
        <w:t>L Catterton Growth Partners Offshore III, L.P.</w:t>
      </w:r>
    </w:p>
    <w:p>
      <w:pPr>
        <w:spacing w:after="0" w:line="244" w:lineRule="exact"/>
        <w:rPr>
          <w:sz w:val="20"/>
          <w:szCs w:val="20"/>
          <w:color w:val="auto"/>
        </w:rPr>
      </w:pPr>
    </w:p>
    <w:p>
      <w:pPr>
        <w:ind w:left="3240" w:right="1520"/>
        <w:spacing w:after="0" w:line="268" w:lineRule="auto"/>
        <w:rPr>
          <w:sz w:val="20"/>
          <w:szCs w:val="20"/>
          <w:color w:val="auto"/>
        </w:rPr>
      </w:pPr>
      <w:r>
        <w:rPr>
          <w:rFonts w:ascii="Arial" w:cs="Arial" w:eastAsia="Arial" w:hAnsi="Arial"/>
          <w:sz w:val="21"/>
          <w:szCs w:val="21"/>
          <w:color w:val="auto"/>
        </w:rPr>
        <w:t>By: Catterton Growth Managing Partner III, L.L.C. Its: General Partner</w:t>
      </w:r>
    </w:p>
    <w:p>
      <w:pPr>
        <w:spacing w:after="0" w:line="180" w:lineRule="exact"/>
        <w:rPr>
          <w:sz w:val="20"/>
          <w:szCs w:val="20"/>
          <w:color w:val="auto"/>
        </w:rPr>
      </w:pPr>
    </w:p>
    <w:p>
      <w:pPr>
        <w:ind w:left="3240"/>
        <w:spacing w:after="0"/>
        <w:rPr>
          <w:sz w:val="20"/>
          <w:szCs w:val="20"/>
          <w:color w:val="auto"/>
        </w:rPr>
      </w:pPr>
      <w:r>
        <w:rPr>
          <w:rFonts w:ascii="Arial" w:cs="Arial" w:eastAsia="Arial" w:hAnsi="Arial"/>
          <w:sz w:val="21"/>
          <w:szCs w:val="21"/>
          <w:color w:val="auto"/>
        </w:rPr>
        <w:t>By: CGP3 Managers, L.L.C. Its:</w:t>
      </w:r>
    </w:p>
    <w:p>
      <w:pPr>
        <w:spacing w:after="0" w:line="16" w:lineRule="exact"/>
        <w:rPr>
          <w:sz w:val="20"/>
          <w:szCs w:val="20"/>
          <w:color w:val="auto"/>
        </w:rPr>
      </w:pPr>
    </w:p>
    <w:p>
      <w:pPr>
        <w:ind w:left="3240"/>
        <w:spacing w:after="0"/>
        <w:rPr>
          <w:sz w:val="20"/>
          <w:szCs w:val="20"/>
          <w:color w:val="auto"/>
        </w:rPr>
      </w:pPr>
      <w:r>
        <w:rPr>
          <w:rFonts w:ascii="Arial" w:cs="Arial" w:eastAsia="Arial" w:hAnsi="Arial"/>
          <w:sz w:val="21"/>
          <w:szCs w:val="21"/>
          <w:color w:val="auto"/>
        </w:rPr>
        <w:t>Managing Member</w:t>
      </w:r>
    </w:p>
    <w:p>
      <w:pPr>
        <w:spacing w:after="0" w:line="200" w:lineRule="exact"/>
        <w:rPr>
          <w:sz w:val="20"/>
          <w:szCs w:val="20"/>
          <w:color w:val="auto"/>
        </w:rPr>
      </w:pPr>
    </w:p>
    <w:p>
      <w:pPr>
        <w:spacing w:after="0" w:line="259" w:lineRule="exact"/>
        <w:rPr>
          <w:sz w:val="20"/>
          <w:szCs w:val="20"/>
          <w:color w:val="auto"/>
        </w:rPr>
      </w:pPr>
    </w:p>
    <w:p>
      <w:pPr>
        <w:ind w:left="3240"/>
        <w:spacing w:after="0"/>
        <w:rPr>
          <w:sz w:val="20"/>
          <w:szCs w:val="20"/>
          <w:color w:val="auto"/>
        </w:rPr>
      </w:pPr>
      <w:r>
        <w:rPr>
          <w:rFonts w:ascii="Arial" w:cs="Arial" w:eastAsia="Arial" w:hAnsi="Arial"/>
          <w:sz w:val="21"/>
          <w:szCs w:val="21"/>
          <w:color w:val="auto"/>
        </w:rPr>
        <w:t>By: /s/ Dan Reid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2252980</wp:posOffset>
            </wp:positionH>
            <wp:positionV relativeFrom="paragraph">
              <wp:posOffset>-12065</wp:posOffset>
            </wp:positionV>
            <wp:extent cx="70993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2">
                      <a:extLst>
                        <a:ext uri="{28A0092B-C50C-407E-A947-70E740481C1C}"/>
                      </a:extLst>
                    </a:blip>
                    <a:srcRect/>
                    <a:stretch>
                      <a:fillRect/>
                    </a:stretch>
                  </pic:blipFill>
                  <pic:spPr bwMode="auto">
                    <a:xfrm>
                      <a:off x="0" y="0"/>
                      <a:ext cx="709930" cy="8255"/>
                    </a:xfrm>
                    <a:prstGeom prst="rect">
                      <a:avLst/>
                    </a:prstGeom>
                    <a:noFill/>
                  </pic:spPr>
                </pic:pic>
              </a:graphicData>
            </a:graphic>
          </wp:anchor>
        </w:drawing>
      </w:r>
    </w:p>
    <w:p>
      <w:pPr>
        <w:ind w:left="3240"/>
        <w:spacing w:after="0"/>
        <w:rPr>
          <w:sz w:val="20"/>
          <w:szCs w:val="20"/>
          <w:color w:val="auto"/>
        </w:rPr>
      </w:pPr>
      <w:r>
        <w:rPr>
          <w:rFonts w:ascii="Arial" w:cs="Arial" w:eastAsia="Arial" w:hAnsi="Arial"/>
          <w:sz w:val="21"/>
          <w:szCs w:val="21"/>
          <w:color w:val="auto"/>
        </w:rPr>
        <w:t>Name: Dan Reid</w:t>
      </w:r>
    </w:p>
    <w:p>
      <w:pPr>
        <w:ind w:left="3240"/>
        <w:spacing w:after="0"/>
        <w:rPr>
          <w:sz w:val="20"/>
          <w:szCs w:val="20"/>
          <w:color w:val="auto"/>
        </w:rPr>
      </w:pPr>
      <w:r>
        <w:rPr>
          <w:rFonts w:ascii="Arial" w:cs="Arial" w:eastAsia="Arial" w:hAnsi="Arial"/>
          <w:sz w:val="21"/>
          <w:szCs w:val="21"/>
          <w:color w:val="auto"/>
        </w:rPr>
        <w:t>Title: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-719455</wp:posOffset>
            </wp:positionH>
            <wp:positionV relativeFrom="paragraph">
              <wp:posOffset>461645</wp:posOffset>
            </wp:positionV>
            <wp:extent cx="717677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3">
                      <a:extLst>
                        <a:ext uri="{28A0092B-C50C-407E-A947-70E740481C1C}"/>
                      </a:extLst>
                    </a:blip>
                    <a:srcRect/>
                    <a:stretch>
                      <a:fillRect/>
                    </a:stretch>
                  </pic:blipFill>
                  <pic:spPr bwMode="auto">
                    <a:xfrm>
                      <a:off x="0" y="0"/>
                      <a:ext cx="7176770" cy="42545"/>
                    </a:xfrm>
                    <a:prstGeom prst="rect">
                      <a:avLst/>
                    </a:prstGeom>
                    <a:noFill/>
                  </pic:spPr>
                </pic:pic>
              </a:graphicData>
            </a:graphic>
          </wp:anchor>
        </w:drawing>
      </w:r>
    </w:p>
    <w:p>
      <w:pPr>
        <w:sectPr>
          <w:pgSz w:w="11900" w:h="16838" w:orient="portrait"/>
          <w:cols w:equalWidth="0" w:num="1">
            <w:col w:w="10120"/>
          </w:cols>
          <w:pgMar w:left="1440" w:top="118" w:right="339" w:bottom="1440" w:gutter="0" w:footer="0" w:header="0"/>
        </w:sectPr>
      </w:pPr>
    </w:p>
    <w:bookmarkStart w:id="65" w:name="page66"/>
    <w:bookmarkEnd w:id="65"/>
    <w:p>
      <w:pPr>
        <w:jc w:val="right"/>
        <w:spacing w:after="0"/>
        <w:rPr>
          <w:sz w:val="20"/>
          <w:szCs w:val="20"/>
          <w:color w:val="auto"/>
        </w:rPr>
      </w:pPr>
      <w:r>
        <w:rPr>
          <w:rFonts w:ascii="Arial" w:cs="Arial" w:eastAsia="Arial" w:hAnsi="Arial"/>
          <w:sz w:val="20"/>
          <w:szCs w:val="20"/>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ACKNOWLEDGED AND AGREED TO BY:</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060"/>
        <w:spacing w:after="0"/>
        <w:rPr>
          <w:sz w:val="20"/>
          <w:szCs w:val="20"/>
          <w:color w:val="auto"/>
        </w:rPr>
      </w:pPr>
      <w:r>
        <w:rPr>
          <w:rFonts w:ascii="Arial" w:cs="Arial" w:eastAsia="Arial" w:hAnsi="Arial"/>
          <w:sz w:val="21"/>
          <w:szCs w:val="21"/>
          <w:b w:val="1"/>
          <w:bCs w:val="1"/>
          <w:color w:val="auto"/>
        </w:rPr>
        <w:t>DIRECTOR:</w:t>
      </w:r>
    </w:p>
    <w:p>
      <w:pPr>
        <w:spacing w:after="0" w:line="124" w:lineRule="exact"/>
        <w:rPr>
          <w:sz w:val="20"/>
          <w:szCs w:val="20"/>
          <w:color w:val="auto"/>
        </w:rPr>
      </w:pPr>
    </w:p>
    <w:p>
      <w:pPr>
        <w:jc w:val="center"/>
        <w:ind w:right="1060"/>
        <w:spacing w:after="0"/>
        <w:rPr>
          <w:sz w:val="20"/>
          <w:szCs w:val="20"/>
          <w:color w:val="auto"/>
        </w:rPr>
      </w:pPr>
      <w:r>
        <w:rPr>
          <w:rFonts w:ascii="Arial" w:cs="Arial" w:eastAsia="Arial" w:hAnsi="Arial"/>
          <w:sz w:val="21"/>
          <w:szCs w:val="21"/>
          <w:u w:val="single" w:color="auto"/>
          <w:color w:val="auto"/>
        </w:rPr>
        <w:t>/s/ Scott Dahnke</w:t>
      </w:r>
    </w:p>
    <w:p>
      <w:pPr>
        <w:spacing w:after="0" w:line="131" w:lineRule="exact"/>
        <w:rPr>
          <w:sz w:val="20"/>
          <w:szCs w:val="20"/>
          <w:color w:val="auto"/>
        </w:rPr>
      </w:pPr>
    </w:p>
    <w:p>
      <w:pPr>
        <w:jc w:val="center"/>
        <w:ind w:right="1060"/>
        <w:spacing w:after="0"/>
        <w:rPr>
          <w:sz w:val="20"/>
          <w:szCs w:val="20"/>
          <w:color w:val="auto"/>
        </w:rPr>
      </w:pPr>
      <w:r>
        <w:rPr>
          <w:rFonts w:ascii="Arial" w:cs="Arial" w:eastAsia="Arial" w:hAnsi="Arial"/>
          <w:sz w:val="21"/>
          <w:szCs w:val="21"/>
          <w:color w:val="auto"/>
        </w:rPr>
        <w:t>Name: Scott Dahnke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-97155</wp:posOffset>
            </wp:positionH>
            <wp:positionV relativeFrom="paragraph">
              <wp:posOffset>743585</wp:posOffset>
            </wp:positionV>
            <wp:extent cx="717677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4">
                      <a:extLst>
                        <a:ext uri="{28A0092B-C50C-407E-A947-70E740481C1C}"/>
                      </a:extLst>
                    </a:blip>
                    <a:srcRect/>
                    <a:stretch>
                      <a:fillRect/>
                    </a:stretch>
                  </pic:blipFill>
                  <pic:spPr bwMode="auto">
                    <a:xfrm>
                      <a:off x="0" y="0"/>
                      <a:ext cx="7176770" cy="42545"/>
                    </a:xfrm>
                    <a:prstGeom prst="rect">
                      <a:avLst/>
                    </a:prstGeom>
                    <a:noFill/>
                  </pic:spPr>
                </pic:pic>
              </a:graphicData>
            </a:graphic>
          </wp:anchor>
        </w:drawing>
      </w:r>
    </w:p>
    <w:p>
      <w:pPr>
        <w:sectPr>
          <w:pgSz w:w="11900" w:h="16838" w:orient="portrait"/>
          <w:cols w:equalWidth="0" w:num="1">
            <w:col w:w="11100"/>
          </w:cols>
          <w:pgMar w:left="460" w:top="118" w:right="339" w:bottom="1440" w:gutter="0" w:footer="0" w:header="0"/>
        </w:sectPr>
      </w:pPr>
    </w:p>
    <w:bookmarkStart w:id="66" w:name="page67"/>
    <w:bookmarkEnd w:id="66"/>
    <w:p>
      <w:pPr>
        <w:jc w:val="right"/>
        <w:spacing w:after="0"/>
        <w:rPr>
          <w:sz w:val="20"/>
          <w:szCs w:val="20"/>
          <w:color w:val="auto"/>
        </w:rPr>
      </w:pPr>
      <w:r>
        <w:rPr>
          <w:rFonts w:ascii="Arial" w:cs="Arial" w:eastAsia="Arial" w:hAnsi="Arial"/>
          <w:sz w:val="20"/>
          <w:szCs w:val="20"/>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ACKNOWLEDGED AND AGREED TO BY:</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4420"/>
        <w:spacing w:after="0"/>
        <w:rPr>
          <w:sz w:val="20"/>
          <w:szCs w:val="20"/>
          <w:color w:val="auto"/>
        </w:rPr>
      </w:pPr>
      <w:r>
        <w:rPr>
          <w:rFonts w:ascii="Arial" w:cs="Arial" w:eastAsia="Arial" w:hAnsi="Arial"/>
          <w:sz w:val="21"/>
          <w:szCs w:val="21"/>
          <w:b w:val="1"/>
          <w:bCs w:val="1"/>
          <w:color w:val="auto"/>
        </w:rPr>
        <w:t>DIRECTOR:</w:t>
      </w:r>
    </w:p>
    <w:p>
      <w:pPr>
        <w:spacing w:after="0" w:line="124" w:lineRule="exact"/>
        <w:rPr>
          <w:sz w:val="20"/>
          <w:szCs w:val="20"/>
          <w:color w:val="auto"/>
        </w:rPr>
      </w:pPr>
    </w:p>
    <w:p>
      <w:pPr>
        <w:jc w:val="center"/>
        <w:ind w:right="40"/>
        <w:spacing w:after="0"/>
        <w:rPr>
          <w:sz w:val="20"/>
          <w:szCs w:val="20"/>
          <w:color w:val="auto"/>
        </w:rPr>
      </w:pPr>
      <w:r>
        <w:rPr>
          <w:rFonts w:ascii="Arial" w:cs="Arial" w:eastAsia="Arial" w:hAnsi="Arial"/>
          <w:sz w:val="21"/>
          <w:szCs w:val="21"/>
          <w:u w:val="single" w:color="auto"/>
          <w:color w:val="auto"/>
        </w:rPr>
        <w:t>/s/ Michael Farello</w:t>
      </w:r>
    </w:p>
    <w:p>
      <w:pPr>
        <w:spacing w:after="0" w:line="16" w:lineRule="exact"/>
        <w:rPr>
          <w:sz w:val="20"/>
          <w:szCs w:val="20"/>
          <w:color w:val="auto"/>
        </w:rPr>
      </w:pPr>
    </w:p>
    <w:p>
      <w:pPr>
        <w:jc w:val="center"/>
        <w:ind w:right="40"/>
        <w:spacing w:after="0"/>
        <w:rPr>
          <w:sz w:val="20"/>
          <w:szCs w:val="20"/>
          <w:color w:val="auto"/>
        </w:rPr>
      </w:pPr>
      <w:r>
        <w:rPr>
          <w:rFonts w:ascii="Arial" w:cs="Arial" w:eastAsia="Arial" w:hAnsi="Arial"/>
          <w:sz w:val="21"/>
          <w:szCs w:val="21"/>
          <w:color w:val="auto"/>
        </w:rPr>
        <w:t>Name: Michael Farello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-97155</wp:posOffset>
            </wp:positionH>
            <wp:positionV relativeFrom="paragraph">
              <wp:posOffset>461645</wp:posOffset>
            </wp:positionV>
            <wp:extent cx="717677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5">
                      <a:extLst>
                        <a:ext uri="{28A0092B-C50C-407E-A947-70E740481C1C}"/>
                      </a:extLst>
                    </a:blip>
                    <a:srcRect/>
                    <a:stretch>
                      <a:fillRect/>
                    </a:stretch>
                  </pic:blipFill>
                  <pic:spPr bwMode="auto">
                    <a:xfrm>
                      <a:off x="0" y="0"/>
                      <a:ext cx="7176770" cy="42545"/>
                    </a:xfrm>
                    <a:prstGeom prst="rect">
                      <a:avLst/>
                    </a:prstGeom>
                    <a:noFill/>
                  </pic:spPr>
                </pic:pic>
              </a:graphicData>
            </a:graphic>
          </wp:anchor>
        </w:drawing>
      </w:r>
    </w:p>
    <w:p>
      <w:pPr>
        <w:sectPr>
          <w:pgSz w:w="11900" w:h="16838" w:orient="portrait"/>
          <w:cols w:equalWidth="0" w:num="1">
            <w:col w:w="11100"/>
          </w:cols>
          <w:pgMar w:left="460" w:top="118" w:right="339" w:bottom="1440" w:gutter="0" w:footer="0" w:header="0"/>
        </w:sectPr>
      </w:pPr>
    </w:p>
    <w:bookmarkStart w:id="67" w:name="page68"/>
    <w:bookmarkEnd w:id="67"/>
    <w:p>
      <w:pPr>
        <w:jc w:val="right"/>
        <w:spacing w:after="0"/>
        <w:rPr>
          <w:sz w:val="20"/>
          <w:szCs w:val="20"/>
          <w:color w:val="auto"/>
        </w:rPr>
      </w:pPr>
      <w:r>
        <w:rPr>
          <w:rFonts w:ascii="Arial" w:cs="Arial" w:eastAsia="Arial" w:hAnsi="Arial"/>
          <w:sz w:val="20"/>
          <w:szCs w:val="20"/>
          <w:b w:val="1"/>
          <w:bCs w:val="1"/>
          <w:color w:val="auto"/>
        </w:rPr>
        <w:t>Exhibit 10.1</w:t>
      </w:r>
    </w:p>
    <w:p>
      <w:pPr>
        <w:spacing w:after="0" w:line="263" w:lineRule="exact"/>
        <w:rPr>
          <w:sz w:val="20"/>
          <w:szCs w:val="20"/>
          <w:color w:val="auto"/>
        </w:rPr>
      </w:pPr>
    </w:p>
    <w:p>
      <w:pPr>
        <w:ind w:left="4160"/>
        <w:spacing w:after="0"/>
        <w:rPr>
          <w:sz w:val="20"/>
          <w:szCs w:val="20"/>
          <w:color w:val="auto"/>
        </w:rPr>
      </w:pPr>
      <w:r>
        <w:rPr>
          <w:rFonts w:ascii="Arial" w:cs="Arial" w:eastAsia="Arial" w:hAnsi="Arial"/>
          <w:sz w:val="21"/>
          <w:szCs w:val="21"/>
          <w:u w:val="single" w:color="auto"/>
          <w:color w:val="auto"/>
        </w:rPr>
        <w:t>EXHIBIT A</w:t>
      </w:r>
      <w:r>
        <w:rPr>
          <w:rFonts w:ascii="Arial" w:cs="Arial" w:eastAsia="Arial" w:hAnsi="Arial"/>
          <w:sz w:val="21"/>
          <w:szCs w:val="21"/>
          <w:color w:val="auto"/>
        </w:rPr>
        <w:t xml:space="preserve"> ASSIGNED</w:t>
      </w:r>
    </w:p>
    <w:p>
      <w:pPr>
        <w:spacing w:after="0" w:line="14" w:lineRule="exact"/>
        <w:rPr>
          <w:sz w:val="20"/>
          <w:szCs w:val="20"/>
          <w:color w:val="auto"/>
        </w:rPr>
      </w:pPr>
    </w:p>
    <w:p>
      <w:pPr>
        <w:ind w:left="3920"/>
        <w:spacing w:after="0"/>
        <w:rPr>
          <w:sz w:val="20"/>
          <w:szCs w:val="20"/>
          <w:color w:val="auto"/>
        </w:rPr>
      </w:pPr>
      <w:r>
        <w:rPr>
          <w:rFonts w:ascii="Arial" w:cs="Arial" w:eastAsia="Arial" w:hAnsi="Arial"/>
          <w:sz w:val="21"/>
          <w:szCs w:val="21"/>
          <w:color w:val="auto"/>
        </w:rPr>
        <w:t>CONTRACTS</w:t>
      </w:r>
    </w:p>
    <w:p>
      <w:pPr>
        <w:ind w:right="1020"/>
        <w:spacing w:after="0" w:line="250" w:lineRule="auto"/>
        <w:rPr>
          <w:sz w:val="20"/>
          <w:szCs w:val="20"/>
          <w:color w:val="auto"/>
        </w:rPr>
      </w:pPr>
      <w:r>
        <w:rPr>
          <w:rFonts w:ascii="Arial" w:cs="Arial" w:eastAsia="Arial" w:hAnsi="Arial"/>
          <w:sz w:val="21"/>
          <w:szCs w:val="21"/>
          <w:color w:val="auto"/>
        </w:rPr>
        <w:t>Nominee and Indemnity Agreement, dated as of September 1, 2020, by and between Catterton Management Company, L.L.C., CGP2 Lone Star, LP, Vroom, Inc. and Scott Dahnke.</w:t>
      </w:r>
    </w:p>
    <w:p>
      <w:pPr>
        <w:spacing w:after="0" w:line="198" w:lineRule="exact"/>
        <w:rPr>
          <w:sz w:val="20"/>
          <w:szCs w:val="20"/>
          <w:color w:val="auto"/>
        </w:rPr>
      </w:pPr>
    </w:p>
    <w:p>
      <w:pPr>
        <w:ind w:right="1020"/>
        <w:spacing w:after="0" w:line="268" w:lineRule="auto"/>
        <w:rPr>
          <w:sz w:val="20"/>
          <w:szCs w:val="20"/>
          <w:color w:val="auto"/>
        </w:rPr>
      </w:pPr>
      <w:r>
        <w:rPr>
          <w:rFonts w:ascii="Arial" w:cs="Arial" w:eastAsia="Arial" w:hAnsi="Arial"/>
          <w:sz w:val="21"/>
          <w:szCs w:val="21"/>
          <w:color w:val="auto"/>
        </w:rPr>
        <w:t>Nominee and Indemnity Agreement, dated as of September 1, 2020, by and between Catterton Management Company, L.L.C., CGP2 Lone Star, LP, Vroom, Inc. and Michael Farello.</w:t>
      </w:r>
    </w:p>
    <w:p>
      <w:pPr>
        <w:sectPr>
          <w:pgSz w:w="11900" w:h="16838" w:orient="portrait"/>
          <w:cols w:equalWidth="0" w:num="1">
            <w:col w:w="11100"/>
          </w:cols>
          <w:pgMar w:left="460" w:top="118" w:right="339" w:bottom="1440" w:gutter="0" w:footer="0" w:header="0"/>
        </w:sectPr>
      </w:pPr>
    </w:p>
    <w:bookmarkStart w:id="68" w:name="page69"/>
    <w:bookmarkEnd w:id="68"/>
    <w:p>
      <w:pPr>
        <w:jc w:val="right"/>
        <w:spacing w:after="0"/>
        <w:rPr>
          <w:sz w:val="20"/>
          <w:szCs w:val="20"/>
          <w:color w:val="auto"/>
        </w:rPr>
      </w:pPr>
      <w:r>
        <w:rPr>
          <w:rFonts w:ascii="Arial" w:cs="Arial" w:eastAsia="Arial" w:hAnsi="Arial"/>
          <w:sz w:val="18"/>
          <w:szCs w:val="18"/>
          <w:b w:val="1"/>
          <w:bCs w:val="1"/>
          <w:color w:val="auto"/>
        </w:rPr>
        <w:t>Exhibit 31.1</w:t>
      </w: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Paul J. Hennessy, certify that:</w:t>
      </w:r>
    </w:p>
    <w:p>
      <w:pPr>
        <w:spacing w:after="0" w:line="219" w:lineRule="exact"/>
        <w:rPr>
          <w:sz w:val="20"/>
          <w:szCs w:val="20"/>
          <w:color w:val="auto"/>
        </w:rPr>
      </w:pPr>
    </w:p>
    <w:p>
      <w:pPr>
        <w:ind w:left="520" w:hanging="514"/>
        <w:spacing w:after="0"/>
        <w:tabs>
          <w:tab w:leader="none" w:pos="5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Vroom, Inc.;</w:t>
      </w:r>
    </w:p>
    <w:p>
      <w:pPr>
        <w:spacing w:after="0" w:line="218" w:lineRule="exact"/>
        <w:rPr>
          <w:rFonts w:ascii="Arial" w:cs="Arial" w:eastAsia="Arial" w:hAnsi="Arial"/>
          <w:sz w:val="18"/>
          <w:szCs w:val="18"/>
          <w:color w:val="auto"/>
        </w:rPr>
      </w:pPr>
    </w:p>
    <w:p>
      <w:pPr>
        <w:jc w:val="both"/>
        <w:ind w:left="520" w:right="400" w:hanging="514"/>
        <w:spacing w:after="0" w:line="256" w:lineRule="auto"/>
        <w:tabs>
          <w:tab w:leader="none" w:pos="5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9" w:lineRule="exact"/>
        <w:rPr>
          <w:rFonts w:ascii="Arial" w:cs="Arial" w:eastAsia="Arial" w:hAnsi="Arial"/>
          <w:sz w:val="18"/>
          <w:szCs w:val="18"/>
          <w:color w:val="auto"/>
        </w:rPr>
      </w:pPr>
    </w:p>
    <w:p>
      <w:pPr>
        <w:ind w:left="520" w:right="380" w:hanging="514"/>
        <w:spacing w:after="0" w:line="296" w:lineRule="auto"/>
        <w:tabs>
          <w:tab w:leader="none" w:pos="5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6" w:lineRule="exact"/>
        <w:rPr>
          <w:rFonts w:ascii="Arial" w:cs="Arial" w:eastAsia="Arial" w:hAnsi="Arial"/>
          <w:sz w:val="17"/>
          <w:szCs w:val="17"/>
          <w:color w:val="auto"/>
        </w:rPr>
      </w:pPr>
    </w:p>
    <w:p>
      <w:pPr>
        <w:ind w:left="520" w:right="780" w:hanging="514"/>
        <w:spacing w:after="0" w:line="266" w:lineRule="auto"/>
        <w:tabs>
          <w:tab w:leader="none" w:pos="5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80" w:lineRule="exact"/>
        <w:rPr>
          <w:rFonts w:ascii="Arial" w:cs="Arial" w:eastAsia="Arial" w:hAnsi="Arial"/>
          <w:sz w:val="18"/>
          <w:szCs w:val="18"/>
          <w:color w:val="auto"/>
        </w:rPr>
      </w:pPr>
    </w:p>
    <w:p>
      <w:pPr>
        <w:ind w:left="1020" w:right="160" w:hanging="508"/>
        <w:spacing w:after="0" w:line="256" w:lineRule="auto"/>
        <w:tabs>
          <w:tab w:leader="none" w:pos="102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9" w:lineRule="exact"/>
        <w:rPr>
          <w:rFonts w:ascii="Arial" w:cs="Arial" w:eastAsia="Arial" w:hAnsi="Arial"/>
          <w:sz w:val="18"/>
          <w:szCs w:val="18"/>
          <w:color w:val="auto"/>
        </w:rPr>
      </w:pPr>
    </w:p>
    <w:p>
      <w:pPr>
        <w:jc w:val="both"/>
        <w:ind w:left="1020" w:right="640" w:hanging="508"/>
        <w:spacing w:after="0" w:line="411" w:lineRule="auto"/>
        <w:tabs>
          <w:tab w:leader="none" w:pos="1020" w:val="left"/>
        </w:tabs>
        <w:numPr>
          <w:ilvl w:val="1"/>
          <w:numId w:val="33"/>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7" w:lineRule="exact"/>
        <w:rPr>
          <w:rFonts w:ascii="Arial" w:cs="Arial" w:eastAsia="Arial" w:hAnsi="Arial"/>
          <w:sz w:val="14"/>
          <w:szCs w:val="14"/>
          <w:color w:val="auto"/>
        </w:rPr>
      </w:pPr>
    </w:p>
    <w:p>
      <w:pPr>
        <w:ind w:left="1020" w:right="160" w:hanging="508"/>
        <w:spacing w:after="0" w:line="256" w:lineRule="auto"/>
        <w:tabs>
          <w:tab w:leader="none" w:pos="102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9" w:lineRule="exact"/>
        <w:rPr>
          <w:rFonts w:ascii="Arial" w:cs="Arial" w:eastAsia="Arial" w:hAnsi="Arial"/>
          <w:sz w:val="18"/>
          <w:szCs w:val="18"/>
          <w:color w:val="auto"/>
        </w:rPr>
      </w:pPr>
    </w:p>
    <w:p>
      <w:pPr>
        <w:ind w:left="520" w:right="300" w:hanging="514"/>
        <w:spacing w:after="0" w:line="330" w:lineRule="auto"/>
        <w:tabs>
          <w:tab w:leader="none" w:pos="52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2" w:lineRule="exact"/>
        <w:rPr>
          <w:rFonts w:ascii="Arial" w:cs="Arial" w:eastAsia="Arial" w:hAnsi="Arial"/>
          <w:sz w:val="16"/>
          <w:szCs w:val="16"/>
          <w:color w:val="auto"/>
        </w:rPr>
      </w:pPr>
    </w:p>
    <w:p>
      <w:pPr>
        <w:ind w:left="1020" w:right="60" w:hanging="508"/>
        <w:spacing w:after="0" w:line="296" w:lineRule="auto"/>
        <w:tabs>
          <w:tab w:leader="none" w:pos="1020" w:val="left"/>
        </w:tabs>
        <w:numPr>
          <w:ilvl w:val="1"/>
          <w:numId w:val="3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6" w:lineRule="exact"/>
        <w:rPr>
          <w:rFonts w:ascii="Arial" w:cs="Arial" w:eastAsia="Arial" w:hAnsi="Arial"/>
          <w:sz w:val="17"/>
          <w:szCs w:val="17"/>
          <w:color w:val="auto"/>
        </w:rPr>
      </w:pPr>
    </w:p>
    <w:p>
      <w:pPr>
        <w:ind w:left="1020" w:right="20" w:hanging="508"/>
        <w:spacing w:after="0" w:line="266" w:lineRule="auto"/>
        <w:tabs>
          <w:tab w:leader="none" w:pos="1020" w:val="left"/>
        </w:tabs>
        <w:numPr>
          <w:ilvl w:val="1"/>
          <w:numId w:val="3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640" w:type="dxa"/>
            <w:vAlign w:val="bottom"/>
          </w:tcPr>
          <w:p>
            <w:pPr>
              <w:spacing w:after="0"/>
              <w:rPr>
                <w:sz w:val="20"/>
                <w:szCs w:val="20"/>
                <w:color w:val="auto"/>
              </w:rPr>
            </w:pPr>
            <w:r>
              <w:rPr>
                <w:rFonts w:ascii="Arial" w:cs="Arial" w:eastAsia="Arial" w:hAnsi="Arial"/>
                <w:sz w:val="18"/>
                <w:szCs w:val="18"/>
                <w:color w:val="auto"/>
              </w:rPr>
              <w:t>Date: August 11, 2021</w:t>
            </w:r>
          </w:p>
        </w:tc>
        <w:tc>
          <w:tcPr>
            <w:tcW w:w="2380" w:type="dxa"/>
            <w:vAlign w:val="bottom"/>
          </w:tcPr>
          <w:p>
            <w:pPr>
              <w:ind w:left="2060"/>
              <w:spacing w:after="0"/>
              <w:rPr>
                <w:sz w:val="20"/>
                <w:szCs w:val="20"/>
                <w:color w:val="auto"/>
              </w:rPr>
            </w:pPr>
            <w:r>
              <w:rPr>
                <w:rFonts w:ascii="Arial" w:cs="Arial" w:eastAsia="Arial" w:hAnsi="Arial"/>
                <w:sz w:val="18"/>
                <w:szCs w:val="18"/>
                <w:color w:val="auto"/>
              </w:rPr>
              <w:t>By:</w:t>
            </w:r>
          </w:p>
        </w:tc>
        <w:tc>
          <w:tcPr>
            <w:tcW w:w="52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6"/>
              </w:rPr>
              <w:t>/s/ Paul J. Hennessy</w:t>
            </w:r>
          </w:p>
        </w:tc>
      </w:tr>
      <w:tr>
        <w:trPr>
          <w:trHeight w:val="219"/>
        </w:trPr>
        <w:tc>
          <w:tcPr>
            <w:tcW w:w="364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5220" w:type="dxa"/>
            <w:vAlign w:val="bottom"/>
          </w:tcPr>
          <w:p>
            <w:pPr>
              <w:jc w:val="center"/>
              <w:spacing w:after="0"/>
              <w:rPr>
                <w:sz w:val="20"/>
                <w:szCs w:val="20"/>
                <w:color w:val="auto"/>
              </w:rPr>
            </w:pPr>
            <w:r>
              <w:rPr>
                <w:rFonts w:ascii="Arial" w:cs="Arial" w:eastAsia="Arial" w:hAnsi="Arial"/>
                <w:sz w:val="18"/>
                <w:szCs w:val="18"/>
                <w:color w:val="auto"/>
                <w:w w:val="85"/>
              </w:rPr>
              <w:t>Paul J. Hennessy</w:t>
            </w:r>
          </w:p>
        </w:tc>
      </w:tr>
      <w:tr>
        <w:trPr>
          <w:trHeight w:val="215"/>
        </w:trPr>
        <w:tc>
          <w:tcPr>
            <w:tcW w:w="364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5220" w:type="dxa"/>
            <w:vAlign w:val="bottom"/>
          </w:tcPr>
          <w:p>
            <w:pPr>
              <w:jc w:val="center"/>
              <w:spacing w:after="0"/>
              <w:rPr>
                <w:sz w:val="20"/>
                <w:szCs w:val="20"/>
                <w:color w:val="auto"/>
              </w:rPr>
            </w:pPr>
            <w:r>
              <w:rPr>
                <w:rFonts w:ascii="Arial" w:cs="Arial" w:eastAsia="Arial" w:hAnsi="Arial"/>
                <w:sz w:val="18"/>
                <w:szCs w:val="18"/>
                <w:color w:val="auto"/>
                <w:w w:val="92"/>
              </w:rPr>
              <w:t>Chief Executive Officer</w:t>
            </w:r>
          </w:p>
        </w:tc>
      </w:tr>
      <w:tr>
        <w:trPr>
          <w:trHeight w:val="224"/>
        </w:trPr>
        <w:tc>
          <w:tcPr>
            <w:tcW w:w="364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5220" w:type="dxa"/>
            <w:vAlign w:val="bottom"/>
          </w:tcPr>
          <w:p>
            <w:pPr>
              <w:jc w:val="center"/>
              <w:spacing w:after="0"/>
              <w:rPr>
                <w:sz w:val="20"/>
                <w:szCs w:val="20"/>
                <w:color w:val="auto"/>
              </w:rPr>
            </w:pPr>
            <w:r>
              <w:rPr>
                <w:rFonts w:ascii="Arial" w:cs="Arial" w:eastAsia="Arial" w:hAnsi="Arial"/>
                <w:sz w:val="18"/>
                <w:szCs w:val="18"/>
                <w:i w:val="1"/>
                <w:iCs w:val="1"/>
                <w:color w:val="auto"/>
                <w:w w:val="92"/>
              </w:rPr>
              <w:t>(principal executive officer)</w:t>
            </w:r>
          </w:p>
        </w:tc>
      </w:tr>
    </w:tbl>
    <w:p>
      <w:pPr>
        <w:sectPr>
          <w:pgSz w:w="11900" w:h="16838" w:orient="portrait"/>
          <w:cols w:equalWidth="0" w:num="1">
            <w:col w:w="11240"/>
          </w:cols>
          <w:pgMar w:left="320" w:top="334" w:right="339" w:bottom="1440" w:gutter="0" w:footer="0" w:header="0"/>
        </w:sectPr>
      </w:pPr>
    </w:p>
    <w:bookmarkStart w:id="69" w:name="page70"/>
    <w:bookmarkEnd w:id="69"/>
    <w:p>
      <w:pPr>
        <w:jc w:val="right"/>
        <w:spacing w:after="0"/>
        <w:rPr>
          <w:sz w:val="20"/>
          <w:szCs w:val="20"/>
          <w:color w:val="auto"/>
        </w:rPr>
      </w:pPr>
      <w:r>
        <w:rPr>
          <w:rFonts w:ascii="Arial" w:cs="Arial" w:eastAsia="Arial" w:hAnsi="Arial"/>
          <w:sz w:val="18"/>
          <w:szCs w:val="18"/>
          <w:b w:val="1"/>
          <w:bCs w:val="1"/>
          <w:color w:val="auto"/>
        </w:rPr>
        <w:t>Exhibit 31.2</w:t>
      </w: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David K. Jones, certify that:</w:t>
      </w:r>
    </w:p>
    <w:p>
      <w:pPr>
        <w:spacing w:after="0" w:line="219" w:lineRule="exact"/>
        <w:rPr>
          <w:sz w:val="20"/>
          <w:szCs w:val="20"/>
          <w:color w:val="auto"/>
        </w:rPr>
      </w:pPr>
    </w:p>
    <w:p>
      <w:pPr>
        <w:ind w:left="520" w:hanging="514"/>
        <w:spacing w:after="0"/>
        <w:tabs>
          <w:tab w:leader="none" w:pos="5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Vroom, Inc.;</w:t>
      </w:r>
    </w:p>
    <w:p>
      <w:pPr>
        <w:spacing w:after="0" w:line="218" w:lineRule="exact"/>
        <w:rPr>
          <w:rFonts w:ascii="Arial" w:cs="Arial" w:eastAsia="Arial" w:hAnsi="Arial"/>
          <w:sz w:val="18"/>
          <w:szCs w:val="18"/>
          <w:color w:val="auto"/>
        </w:rPr>
      </w:pPr>
    </w:p>
    <w:p>
      <w:pPr>
        <w:jc w:val="both"/>
        <w:ind w:left="520" w:right="400" w:hanging="514"/>
        <w:spacing w:after="0" w:line="256" w:lineRule="auto"/>
        <w:tabs>
          <w:tab w:leader="none" w:pos="5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9" w:lineRule="exact"/>
        <w:rPr>
          <w:rFonts w:ascii="Arial" w:cs="Arial" w:eastAsia="Arial" w:hAnsi="Arial"/>
          <w:sz w:val="18"/>
          <w:szCs w:val="18"/>
          <w:color w:val="auto"/>
        </w:rPr>
      </w:pPr>
    </w:p>
    <w:p>
      <w:pPr>
        <w:ind w:left="520" w:right="380" w:hanging="514"/>
        <w:spacing w:after="0" w:line="296" w:lineRule="auto"/>
        <w:tabs>
          <w:tab w:leader="none" w:pos="5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6" w:lineRule="exact"/>
        <w:rPr>
          <w:rFonts w:ascii="Arial" w:cs="Arial" w:eastAsia="Arial" w:hAnsi="Arial"/>
          <w:sz w:val="17"/>
          <w:szCs w:val="17"/>
          <w:color w:val="auto"/>
        </w:rPr>
      </w:pPr>
    </w:p>
    <w:p>
      <w:pPr>
        <w:ind w:left="520" w:right="780" w:hanging="514"/>
        <w:spacing w:after="0" w:line="266" w:lineRule="auto"/>
        <w:tabs>
          <w:tab w:leader="none" w:pos="5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80" w:lineRule="exact"/>
        <w:rPr>
          <w:rFonts w:ascii="Arial" w:cs="Arial" w:eastAsia="Arial" w:hAnsi="Arial"/>
          <w:sz w:val="18"/>
          <w:szCs w:val="18"/>
          <w:color w:val="auto"/>
        </w:rPr>
      </w:pPr>
    </w:p>
    <w:p>
      <w:pPr>
        <w:ind w:left="1020" w:right="160" w:hanging="508"/>
        <w:spacing w:after="0" w:line="256" w:lineRule="auto"/>
        <w:tabs>
          <w:tab w:leader="none" w:pos="102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9" w:lineRule="exact"/>
        <w:rPr>
          <w:rFonts w:ascii="Arial" w:cs="Arial" w:eastAsia="Arial" w:hAnsi="Arial"/>
          <w:sz w:val="18"/>
          <w:szCs w:val="18"/>
          <w:color w:val="auto"/>
        </w:rPr>
      </w:pPr>
    </w:p>
    <w:p>
      <w:pPr>
        <w:jc w:val="both"/>
        <w:ind w:left="1020" w:right="640" w:hanging="508"/>
        <w:spacing w:after="0" w:line="411" w:lineRule="auto"/>
        <w:tabs>
          <w:tab w:leader="none" w:pos="1020" w:val="left"/>
        </w:tabs>
        <w:numPr>
          <w:ilvl w:val="1"/>
          <w:numId w:val="34"/>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7" w:lineRule="exact"/>
        <w:rPr>
          <w:rFonts w:ascii="Arial" w:cs="Arial" w:eastAsia="Arial" w:hAnsi="Arial"/>
          <w:sz w:val="14"/>
          <w:szCs w:val="14"/>
          <w:color w:val="auto"/>
        </w:rPr>
      </w:pPr>
    </w:p>
    <w:p>
      <w:pPr>
        <w:ind w:left="1020" w:right="160" w:hanging="508"/>
        <w:spacing w:after="0" w:line="256" w:lineRule="auto"/>
        <w:tabs>
          <w:tab w:leader="none" w:pos="102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9" w:lineRule="exact"/>
        <w:rPr>
          <w:rFonts w:ascii="Arial" w:cs="Arial" w:eastAsia="Arial" w:hAnsi="Arial"/>
          <w:sz w:val="18"/>
          <w:szCs w:val="18"/>
          <w:color w:val="auto"/>
        </w:rPr>
      </w:pPr>
    </w:p>
    <w:p>
      <w:pPr>
        <w:ind w:left="520" w:right="300" w:hanging="514"/>
        <w:spacing w:after="0" w:line="330" w:lineRule="auto"/>
        <w:tabs>
          <w:tab w:leader="none" w:pos="52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2" w:lineRule="exact"/>
        <w:rPr>
          <w:rFonts w:ascii="Arial" w:cs="Arial" w:eastAsia="Arial" w:hAnsi="Arial"/>
          <w:sz w:val="16"/>
          <w:szCs w:val="16"/>
          <w:color w:val="auto"/>
        </w:rPr>
      </w:pPr>
    </w:p>
    <w:p>
      <w:pPr>
        <w:ind w:left="1020" w:right="60" w:hanging="508"/>
        <w:spacing w:after="0" w:line="296" w:lineRule="auto"/>
        <w:tabs>
          <w:tab w:leader="none" w:pos="1020" w:val="left"/>
        </w:tabs>
        <w:numPr>
          <w:ilvl w:val="1"/>
          <w:numId w:val="3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6" w:lineRule="exact"/>
        <w:rPr>
          <w:rFonts w:ascii="Arial" w:cs="Arial" w:eastAsia="Arial" w:hAnsi="Arial"/>
          <w:sz w:val="17"/>
          <w:szCs w:val="17"/>
          <w:color w:val="auto"/>
        </w:rPr>
      </w:pPr>
    </w:p>
    <w:p>
      <w:pPr>
        <w:ind w:left="1020" w:right="20" w:hanging="508"/>
        <w:spacing w:after="0" w:line="266" w:lineRule="auto"/>
        <w:tabs>
          <w:tab w:leader="none" w:pos="1020" w:val="left"/>
        </w:tabs>
        <w:numPr>
          <w:ilvl w:val="1"/>
          <w:numId w:val="3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640" w:type="dxa"/>
            <w:vAlign w:val="bottom"/>
          </w:tcPr>
          <w:p>
            <w:pPr>
              <w:spacing w:after="0"/>
              <w:rPr>
                <w:sz w:val="20"/>
                <w:szCs w:val="20"/>
                <w:color w:val="auto"/>
              </w:rPr>
            </w:pPr>
            <w:r>
              <w:rPr>
                <w:rFonts w:ascii="Arial" w:cs="Arial" w:eastAsia="Arial" w:hAnsi="Arial"/>
                <w:sz w:val="18"/>
                <w:szCs w:val="18"/>
                <w:color w:val="auto"/>
              </w:rPr>
              <w:t>Date: August 11, 2021</w:t>
            </w:r>
          </w:p>
        </w:tc>
        <w:tc>
          <w:tcPr>
            <w:tcW w:w="2380" w:type="dxa"/>
            <w:vAlign w:val="bottom"/>
          </w:tcPr>
          <w:p>
            <w:pPr>
              <w:ind w:left="2060"/>
              <w:spacing w:after="0"/>
              <w:rPr>
                <w:sz w:val="20"/>
                <w:szCs w:val="20"/>
                <w:color w:val="auto"/>
              </w:rPr>
            </w:pPr>
            <w:r>
              <w:rPr>
                <w:rFonts w:ascii="Arial" w:cs="Arial" w:eastAsia="Arial" w:hAnsi="Arial"/>
                <w:sz w:val="18"/>
                <w:szCs w:val="18"/>
                <w:color w:val="auto"/>
              </w:rPr>
              <w:t>By:</w:t>
            </w:r>
          </w:p>
        </w:tc>
        <w:tc>
          <w:tcPr>
            <w:tcW w:w="52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David K. Jones</w:t>
            </w:r>
          </w:p>
        </w:tc>
      </w:tr>
      <w:tr>
        <w:trPr>
          <w:trHeight w:val="219"/>
        </w:trPr>
        <w:tc>
          <w:tcPr>
            <w:tcW w:w="364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5220" w:type="dxa"/>
            <w:vAlign w:val="bottom"/>
          </w:tcPr>
          <w:p>
            <w:pPr>
              <w:jc w:val="center"/>
              <w:spacing w:after="0"/>
              <w:rPr>
                <w:sz w:val="20"/>
                <w:szCs w:val="20"/>
                <w:color w:val="auto"/>
              </w:rPr>
            </w:pPr>
            <w:r>
              <w:rPr>
                <w:rFonts w:ascii="Arial" w:cs="Arial" w:eastAsia="Arial" w:hAnsi="Arial"/>
                <w:sz w:val="18"/>
                <w:szCs w:val="18"/>
                <w:color w:val="auto"/>
                <w:w w:val="90"/>
              </w:rPr>
              <w:t>David K. Jones</w:t>
            </w:r>
          </w:p>
        </w:tc>
      </w:tr>
      <w:tr>
        <w:trPr>
          <w:trHeight w:val="215"/>
        </w:trPr>
        <w:tc>
          <w:tcPr>
            <w:tcW w:w="364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5220" w:type="dxa"/>
            <w:vAlign w:val="bottom"/>
          </w:tcPr>
          <w:p>
            <w:pPr>
              <w:jc w:val="center"/>
              <w:spacing w:after="0"/>
              <w:rPr>
                <w:sz w:val="20"/>
                <w:szCs w:val="20"/>
                <w:color w:val="auto"/>
              </w:rPr>
            </w:pPr>
            <w:r>
              <w:rPr>
                <w:rFonts w:ascii="Arial" w:cs="Arial" w:eastAsia="Arial" w:hAnsi="Arial"/>
                <w:sz w:val="18"/>
                <w:szCs w:val="18"/>
                <w:color w:val="auto"/>
                <w:w w:val="93"/>
              </w:rPr>
              <w:t>Chief Financial Officer</w:t>
            </w:r>
          </w:p>
        </w:tc>
      </w:tr>
      <w:tr>
        <w:trPr>
          <w:trHeight w:val="224"/>
        </w:trPr>
        <w:tc>
          <w:tcPr>
            <w:tcW w:w="364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5220" w:type="dxa"/>
            <w:vAlign w:val="bottom"/>
          </w:tcPr>
          <w:p>
            <w:pPr>
              <w:jc w:val="center"/>
              <w:spacing w:after="0"/>
              <w:rPr>
                <w:sz w:val="20"/>
                <w:szCs w:val="20"/>
                <w:color w:val="auto"/>
              </w:rPr>
            </w:pPr>
            <w:r>
              <w:rPr>
                <w:rFonts w:ascii="Arial" w:cs="Arial" w:eastAsia="Arial" w:hAnsi="Arial"/>
                <w:sz w:val="18"/>
                <w:szCs w:val="18"/>
                <w:color w:val="auto"/>
                <w:w w:val="95"/>
              </w:rPr>
              <w:t>(</w:t>
            </w:r>
            <w:r>
              <w:rPr>
                <w:rFonts w:ascii="Arial" w:cs="Arial" w:eastAsia="Arial" w:hAnsi="Arial"/>
                <w:sz w:val="18"/>
                <w:szCs w:val="18"/>
                <w:i w:val="1"/>
                <w:iCs w:val="1"/>
                <w:color w:val="auto"/>
                <w:w w:val="95"/>
              </w:rPr>
              <w:t>principal financial officer</w:t>
            </w:r>
            <w:r>
              <w:rPr>
                <w:rFonts w:ascii="Arial" w:cs="Arial" w:eastAsia="Arial" w:hAnsi="Arial"/>
                <w:sz w:val="18"/>
                <w:szCs w:val="18"/>
                <w:color w:val="auto"/>
                <w:w w:val="95"/>
              </w:rPr>
              <w:t>)</w:t>
            </w:r>
          </w:p>
        </w:tc>
      </w:tr>
    </w:tbl>
    <w:p>
      <w:pPr>
        <w:sectPr>
          <w:pgSz w:w="11900" w:h="16838" w:orient="portrait"/>
          <w:cols w:equalWidth="0" w:num="1">
            <w:col w:w="11240"/>
          </w:cols>
          <w:pgMar w:left="320" w:top="334" w:right="339" w:bottom="1440" w:gutter="0" w:footer="0" w:header="0"/>
        </w:sectPr>
      </w:pPr>
    </w:p>
    <w:bookmarkStart w:id="70" w:name="page71"/>
    <w:bookmarkEnd w:id="70"/>
    <w:p>
      <w:pPr>
        <w:jc w:val="right"/>
        <w:spacing w:after="0"/>
        <w:rPr>
          <w:sz w:val="20"/>
          <w:szCs w:val="20"/>
          <w:color w:val="auto"/>
        </w:rPr>
      </w:pPr>
      <w:r>
        <w:rPr>
          <w:rFonts w:ascii="Arial" w:cs="Arial" w:eastAsia="Arial" w:hAnsi="Arial"/>
          <w:sz w:val="18"/>
          <w:szCs w:val="18"/>
          <w:b w:val="1"/>
          <w:bCs w:val="1"/>
          <w:color w:val="auto"/>
        </w:rPr>
        <w:t>Exhibit 32.1</w:t>
      </w: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3"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6" w:lineRule="exact"/>
        <w:rPr>
          <w:sz w:val="20"/>
          <w:szCs w:val="20"/>
          <w:color w:val="auto"/>
        </w:rPr>
      </w:pPr>
    </w:p>
    <w:p>
      <w:pPr>
        <w:ind w:left="332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8" w:lineRule="exact"/>
        <w:rPr>
          <w:sz w:val="20"/>
          <w:szCs w:val="20"/>
          <w:color w:val="auto"/>
        </w:rPr>
      </w:pPr>
    </w:p>
    <w:p>
      <w:pPr>
        <w:jc w:val="both"/>
        <w:ind w:right="20" w:firstLine="510"/>
        <w:spacing w:after="0" w:line="256" w:lineRule="auto"/>
        <w:rPr>
          <w:sz w:val="20"/>
          <w:szCs w:val="20"/>
          <w:color w:val="auto"/>
        </w:rPr>
      </w:pPr>
      <w:r>
        <w:rPr>
          <w:rFonts w:ascii="Arial" w:cs="Arial" w:eastAsia="Arial" w:hAnsi="Arial"/>
          <w:sz w:val="18"/>
          <w:szCs w:val="18"/>
          <w:color w:val="auto"/>
        </w:rPr>
        <w:t>In connection with the Quarterly Report on Form 10-Q of Vroom, Inc. (the “Company”) for the period ended June 30, 2021 as filed with the Securities and Exchange Commission on the date hereof (the “Report”), I certify, pursuant to 18 U.S.C. § 1350, as adopted pursuant to § 906 of the Sarbanes-Oxley Act of 2002, that:</w:t>
      </w:r>
    </w:p>
    <w:p>
      <w:pPr>
        <w:spacing w:after="0" w:line="190" w:lineRule="exact"/>
        <w:rPr>
          <w:sz w:val="20"/>
          <w:szCs w:val="20"/>
          <w:color w:val="auto"/>
        </w:rPr>
      </w:pPr>
    </w:p>
    <w:p>
      <w:pPr>
        <w:ind w:left="1020" w:hanging="508"/>
        <w:spacing w:after="0"/>
        <w:tabs>
          <w:tab w:leader="none" w:pos="10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230" w:lineRule="exact"/>
        <w:rPr>
          <w:rFonts w:ascii="Arial" w:cs="Arial" w:eastAsia="Arial" w:hAnsi="Arial"/>
          <w:sz w:val="17"/>
          <w:szCs w:val="17"/>
          <w:color w:val="auto"/>
        </w:rPr>
      </w:pPr>
    </w:p>
    <w:p>
      <w:pPr>
        <w:ind w:left="1020" w:right="700" w:hanging="508"/>
        <w:spacing w:after="0" w:line="266" w:lineRule="auto"/>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640" w:type="dxa"/>
            <w:vAlign w:val="bottom"/>
          </w:tcPr>
          <w:p>
            <w:pPr>
              <w:spacing w:after="0"/>
              <w:rPr>
                <w:sz w:val="20"/>
                <w:szCs w:val="20"/>
                <w:color w:val="auto"/>
              </w:rPr>
            </w:pPr>
            <w:r>
              <w:rPr>
                <w:rFonts w:ascii="Arial" w:cs="Arial" w:eastAsia="Arial" w:hAnsi="Arial"/>
                <w:sz w:val="18"/>
                <w:szCs w:val="18"/>
                <w:color w:val="auto"/>
              </w:rPr>
              <w:t>Date: August 11, 2021</w:t>
            </w:r>
          </w:p>
        </w:tc>
        <w:tc>
          <w:tcPr>
            <w:tcW w:w="2400" w:type="dxa"/>
            <w:vAlign w:val="bottom"/>
          </w:tcPr>
          <w:p>
            <w:pPr>
              <w:ind w:left="2060"/>
              <w:spacing w:after="0"/>
              <w:rPr>
                <w:sz w:val="20"/>
                <w:szCs w:val="20"/>
                <w:color w:val="auto"/>
              </w:rPr>
            </w:pPr>
            <w:r>
              <w:rPr>
                <w:rFonts w:ascii="Arial" w:cs="Arial" w:eastAsia="Arial" w:hAnsi="Arial"/>
                <w:sz w:val="18"/>
                <w:szCs w:val="18"/>
                <w:color w:val="auto"/>
              </w:rPr>
              <w:t>By:</w:t>
            </w:r>
          </w:p>
        </w:tc>
        <w:tc>
          <w:tcPr>
            <w:tcW w:w="52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6"/>
              </w:rPr>
              <w:t>/s/ Paul J. Hennessy</w:t>
            </w:r>
          </w:p>
        </w:tc>
      </w:tr>
      <w:tr>
        <w:trPr>
          <w:trHeight w:val="219"/>
        </w:trPr>
        <w:tc>
          <w:tcPr>
            <w:tcW w:w="364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5200" w:type="dxa"/>
            <w:vAlign w:val="bottom"/>
          </w:tcPr>
          <w:p>
            <w:pPr>
              <w:jc w:val="center"/>
              <w:spacing w:after="0"/>
              <w:rPr>
                <w:sz w:val="20"/>
                <w:szCs w:val="20"/>
                <w:color w:val="auto"/>
              </w:rPr>
            </w:pPr>
            <w:r>
              <w:rPr>
                <w:rFonts w:ascii="Arial" w:cs="Arial" w:eastAsia="Arial" w:hAnsi="Arial"/>
                <w:sz w:val="18"/>
                <w:szCs w:val="18"/>
                <w:color w:val="auto"/>
                <w:w w:val="87"/>
              </w:rPr>
              <w:t>Paul J. Hennessy</w:t>
            </w:r>
          </w:p>
        </w:tc>
      </w:tr>
      <w:tr>
        <w:trPr>
          <w:trHeight w:val="215"/>
        </w:trPr>
        <w:tc>
          <w:tcPr>
            <w:tcW w:w="364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5200" w:type="dxa"/>
            <w:vAlign w:val="bottom"/>
          </w:tcPr>
          <w:p>
            <w:pPr>
              <w:jc w:val="center"/>
              <w:spacing w:after="0"/>
              <w:rPr>
                <w:sz w:val="20"/>
                <w:szCs w:val="20"/>
                <w:color w:val="auto"/>
              </w:rPr>
            </w:pPr>
            <w:r>
              <w:rPr>
                <w:rFonts w:ascii="Arial" w:cs="Arial" w:eastAsia="Arial" w:hAnsi="Arial"/>
                <w:sz w:val="18"/>
                <w:szCs w:val="18"/>
                <w:color w:val="auto"/>
                <w:w w:val="92"/>
              </w:rPr>
              <w:t>Chief Executive Officer</w:t>
            </w:r>
          </w:p>
        </w:tc>
      </w:tr>
      <w:tr>
        <w:trPr>
          <w:trHeight w:val="224"/>
        </w:trPr>
        <w:tc>
          <w:tcPr>
            <w:tcW w:w="364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5200" w:type="dxa"/>
            <w:vAlign w:val="bottom"/>
          </w:tcPr>
          <w:p>
            <w:pPr>
              <w:jc w:val="center"/>
              <w:spacing w:after="0"/>
              <w:rPr>
                <w:sz w:val="20"/>
                <w:szCs w:val="20"/>
                <w:color w:val="auto"/>
              </w:rPr>
            </w:pPr>
            <w:r>
              <w:rPr>
                <w:rFonts w:ascii="Arial" w:cs="Arial" w:eastAsia="Arial" w:hAnsi="Arial"/>
                <w:sz w:val="18"/>
                <w:szCs w:val="18"/>
                <w:color w:val="auto"/>
                <w:w w:val="92"/>
              </w:rPr>
              <w:t>(</w:t>
            </w:r>
            <w:r>
              <w:rPr>
                <w:rFonts w:ascii="Arial" w:cs="Arial" w:eastAsia="Arial" w:hAnsi="Arial"/>
                <w:sz w:val="18"/>
                <w:szCs w:val="18"/>
                <w:i w:val="1"/>
                <w:iCs w:val="1"/>
                <w:color w:val="auto"/>
                <w:w w:val="92"/>
              </w:rPr>
              <w:t>principal executive officer</w:t>
            </w:r>
            <w:r>
              <w:rPr>
                <w:rFonts w:ascii="Arial" w:cs="Arial" w:eastAsia="Arial" w:hAnsi="Arial"/>
                <w:sz w:val="18"/>
                <w:szCs w:val="18"/>
                <w:color w:val="auto"/>
                <w:w w:val="92"/>
              </w:rPr>
              <w:t>)</w:t>
            </w:r>
          </w:p>
        </w:tc>
      </w:tr>
    </w:tbl>
    <w:p>
      <w:pPr>
        <w:sectPr>
          <w:pgSz w:w="11900" w:h="16838" w:orient="portrait"/>
          <w:cols w:equalWidth="0" w:num="1">
            <w:col w:w="11240"/>
          </w:cols>
          <w:pgMar w:left="320" w:top="334" w:right="339" w:bottom="1440" w:gutter="0" w:footer="0" w:header="0"/>
        </w:sectPr>
      </w:pPr>
    </w:p>
    <w:bookmarkStart w:id="71" w:name="page72"/>
    <w:bookmarkEnd w:id="71"/>
    <w:p>
      <w:pPr>
        <w:jc w:val="right"/>
        <w:spacing w:after="0"/>
        <w:rPr>
          <w:sz w:val="20"/>
          <w:szCs w:val="20"/>
          <w:color w:val="auto"/>
        </w:rPr>
      </w:pPr>
      <w:r>
        <w:rPr>
          <w:rFonts w:ascii="Arial" w:cs="Arial" w:eastAsia="Arial" w:hAnsi="Arial"/>
          <w:sz w:val="18"/>
          <w:szCs w:val="18"/>
          <w:b w:val="1"/>
          <w:bCs w:val="1"/>
          <w:color w:val="auto"/>
        </w:rPr>
        <w:t>Exhibit 32.2</w:t>
      </w: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3"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6" w:lineRule="exact"/>
        <w:rPr>
          <w:sz w:val="20"/>
          <w:szCs w:val="20"/>
          <w:color w:val="auto"/>
        </w:rPr>
      </w:pPr>
    </w:p>
    <w:p>
      <w:pPr>
        <w:ind w:left="332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8" w:lineRule="exact"/>
        <w:rPr>
          <w:sz w:val="20"/>
          <w:szCs w:val="20"/>
          <w:color w:val="auto"/>
        </w:rPr>
      </w:pPr>
    </w:p>
    <w:p>
      <w:pPr>
        <w:jc w:val="both"/>
        <w:ind w:right="20" w:firstLine="510"/>
        <w:spacing w:after="0" w:line="256" w:lineRule="auto"/>
        <w:rPr>
          <w:sz w:val="20"/>
          <w:szCs w:val="20"/>
          <w:color w:val="auto"/>
        </w:rPr>
      </w:pPr>
      <w:r>
        <w:rPr>
          <w:rFonts w:ascii="Arial" w:cs="Arial" w:eastAsia="Arial" w:hAnsi="Arial"/>
          <w:sz w:val="18"/>
          <w:szCs w:val="18"/>
          <w:color w:val="auto"/>
        </w:rPr>
        <w:t>In connection with the Quarterly Report on Form 10-Q of Vroom, Inc. (the “Company”) for the period ended June 30, 2021 as filed with the Securities and Exchange Commission on the date hereof (the “Report”), I certify, pursuant to 18 U.S.C. § 1350, as adopted pursuant to § 906 of the Sarbanes-Oxley Act of 2002, that:</w:t>
      </w:r>
    </w:p>
    <w:p>
      <w:pPr>
        <w:spacing w:after="0" w:line="190" w:lineRule="exact"/>
        <w:rPr>
          <w:sz w:val="20"/>
          <w:szCs w:val="20"/>
          <w:color w:val="auto"/>
        </w:rPr>
      </w:pPr>
    </w:p>
    <w:p>
      <w:pPr>
        <w:ind w:left="1020" w:hanging="508"/>
        <w:spacing w:after="0"/>
        <w:tabs>
          <w:tab w:leader="none" w:pos="10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230" w:lineRule="exact"/>
        <w:rPr>
          <w:rFonts w:ascii="Arial" w:cs="Arial" w:eastAsia="Arial" w:hAnsi="Arial"/>
          <w:sz w:val="17"/>
          <w:szCs w:val="17"/>
          <w:color w:val="auto"/>
        </w:rPr>
      </w:pPr>
    </w:p>
    <w:p>
      <w:pPr>
        <w:ind w:left="1020" w:right="700" w:hanging="508"/>
        <w:spacing w:after="0" w:line="266" w:lineRule="auto"/>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640" w:type="dxa"/>
            <w:vAlign w:val="bottom"/>
          </w:tcPr>
          <w:p>
            <w:pPr>
              <w:spacing w:after="0"/>
              <w:rPr>
                <w:sz w:val="20"/>
                <w:szCs w:val="20"/>
                <w:color w:val="auto"/>
              </w:rPr>
            </w:pPr>
            <w:r>
              <w:rPr>
                <w:rFonts w:ascii="Arial" w:cs="Arial" w:eastAsia="Arial" w:hAnsi="Arial"/>
                <w:sz w:val="18"/>
                <w:szCs w:val="18"/>
                <w:color w:val="auto"/>
              </w:rPr>
              <w:t>Date: August 11, 2021</w:t>
            </w:r>
          </w:p>
        </w:tc>
        <w:tc>
          <w:tcPr>
            <w:tcW w:w="2380" w:type="dxa"/>
            <w:vAlign w:val="bottom"/>
          </w:tcPr>
          <w:p>
            <w:pPr>
              <w:ind w:left="2060"/>
              <w:spacing w:after="0"/>
              <w:rPr>
                <w:sz w:val="20"/>
                <w:szCs w:val="20"/>
                <w:color w:val="auto"/>
              </w:rPr>
            </w:pPr>
            <w:r>
              <w:rPr>
                <w:rFonts w:ascii="Arial" w:cs="Arial" w:eastAsia="Arial" w:hAnsi="Arial"/>
                <w:sz w:val="18"/>
                <w:szCs w:val="18"/>
                <w:color w:val="auto"/>
              </w:rPr>
              <w:t>By:</w:t>
            </w:r>
          </w:p>
        </w:tc>
        <w:tc>
          <w:tcPr>
            <w:tcW w:w="52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David K. Jones</w:t>
            </w:r>
          </w:p>
        </w:tc>
      </w:tr>
      <w:tr>
        <w:trPr>
          <w:trHeight w:val="219"/>
        </w:trPr>
        <w:tc>
          <w:tcPr>
            <w:tcW w:w="364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5220" w:type="dxa"/>
            <w:vAlign w:val="bottom"/>
          </w:tcPr>
          <w:p>
            <w:pPr>
              <w:jc w:val="center"/>
              <w:spacing w:after="0"/>
              <w:rPr>
                <w:sz w:val="20"/>
                <w:szCs w:val="20"/>
                <w:color w:val="auto"/>
              </w:rPr>
            </w:pPr>
            <w:r>
              <w:rPr>
                <w:rFonts w:ascii="Arial" w:cs="Arial" w:eastAsia="Arial" w:hAnsi="Arial"/>
                <w:sz w:val="18"/>
                <w:szCs w:val="18"/>
                <w:color w:val="auto"/>
                <w:w w:val="90"/>
              </w:rPr>
              <w:t>David K. Jones</w:t>
            </w:r>
          </w:p>
        </w:tc>
      </w:tr>
      <w:tr>
        <w:trPr>
          <w:trHeight w:val="215"/>
        </w:trPr>
        <w:tc>
          <w:tcPr>
            <w:tcW w:w="364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5220" w:type="dxa"/>
            <w:vAlign w:val="bottom"/>
          </w:tcPr>
          <w:p>
            <w:pPr>
              <w:jc w:val="center"/>
              <w:spacing w:after="0"/>
              <w:rPr>
                <w:sz w:val="20"/>
                <w:szCs w:val="20"/>
                <w:color w:val="auto"/>
              </w:rPr>
            </w:pPr>
            <w:r>
              <w:rPr>
                <w:rFonts w:ascii="Arial" w:cs="Arial" w:eastAsia="Arial" w:hAnsi="Arial"/>
                <w:sz w:val="18"/>
                <w:szCs w:val="18"/>
                <w:color w:val="auto"/>
                <w:w w:val="93"/>
              </w:rPr>
              <w:t>Chief Financial Officer</w:t>
            </w:r>
          </w:p>
        </w:tc>
      </w:tr>
      <w:tr>
        <w:trPr>
          <w:trHeight w:val="224"/>
        </w:trPr>
        <w:tc>
          <w:tcPr>
            <w:tcW w:w="364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5220" w:type="dxa"/>
            <w:vAlign w:val="bottom"/>
          </w:tcPr>
          <w:p>
            <w:pPr>
              <w:jc w:val="center"/>
              <w:spacing w:after="0"/>
              <w:rPr>
                <w:sz w:val="20"/>
                <w:szCs w:val="20"/>
                <w:color w:val="auto"/>
              </w:rPr>
            </w:pPr>
            <w:r>
              <w:rPr>
                <w:rFonts w:ascii="Arial" w:cs="Arial" w:eastAsia="Arial" w:hAnsi="Arial"/>
                <w:sz w:val="18"/>
                <w:szCs w:val="18"/>
                <w:color w:val="auto"/>
                <w:w w:val="95"/>
              </w:rPr>
              <w:t>(</w:t>
            </w:r>
            <w:r>
              <w:rPr>
                <w:rFonts w:ascii="Arial" w:cs="Arial" w:eastAsia="Arial" w:hAnsi="Arial"/>
                <w:sz w:val="18"/>
                <w:szCs w:val="18"/>
                <w:i w:val="1"/>
                <w:iCs w:val="1"/>
                <w:color w:val="auto"/>
                <w:w w:val="95"/>
              </w:rPr>
              <w:t>principal financial officer)</w:t>
            </w:r>
          </w:p>
        </w:tc>
      </w:tr>
    </w:tbl>
    <w:p>
      <w:pPr>
        <w:spacing w:after="0" w:line="1" w:lineRule="exact"/>
        <w:rPr>
          <w:sz w:val="20"/>
          <w:szCs w:val="20"/>
          <w:color w:val="auto"/>
        </w:rPr>
      </w:pPr>
    </w:p>
    <w:sectPr>
      <w:pgSz w:w="11900" w:h="16838" w:orient="portrait"/>
      <w:cols w:equalWidth="0" w:num="1">
        <w:col w:w="11240"/>
      </w:cols>
      <w:pgMar w:left="320" w:top="33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F2DBA31"/>
    <w:multiLevelType w:val="hybridMultilevel"/>
    <w:lvl w:ilvl="0">
      <w:lvlJc w:val="left"/>
      <w:lvlText w:val="☒"/>
      <w:numFmt w:val="bullet"/>
      <w:start w:val="1"/>
    </w:lvl>
  </w:abstractNum>
  <w:abstractNum w:abstractNumId="1">
    <w:nsid w:val="7C83E458"/>
    <w:multiLevelType w:val="hybridMultilevel"/>
    <w:lvl w:ilvl="0">
      <w:lvlJc w:val="left"/>
      <w:lvlText w:val="☐"/>
      <w:numFmt w:val="bullet"/>
      <w:start w:val="1"/>
    </w:lvl>
  </w:abstractNum>
  <w:abstractNum w:abstractNumId="2">
    <w:nsid w:val="257130A3"/>
    <w:multiLevelType w:val="hybridMultilevel"/>
    <w:lvl w:ilvl="0">
      <w:lvlJc w:val="left"/>
      <w:lvlText w:val="•"/>
      <w:numFmt w:val="bullet"/>
      <w:start w:val="1"/>
    </w:lvl>
  </w:abstractNum>
  <w:abstractNum w:abstractNumId="3">
    <w:nsid w:val="62BBD95A"/>
    <w:multiLevelType w:val="hybridMultilevel"/>
    <w:lvl w:ilvl="0">
      <w:lvlJc w:val="left"/>
      <w:lvlText w:val="•"/>
      <w:numFmt w:val="bullet"/>
      <w:start w:val="1"/>
    </w:lvl>
  </w:abstractNum>
  <w:abstractNum w:abstractNumId="4">
    <w:nsid w:val="436C6125"/>
    <w:multiLevelType w:val="hybridMultilevel"/>
    <w:lvl w:ilvl="0">
      <w:lvlJc w:val="left"/>
      <w:lvlText w:val="%1."/>
      <w:numFmt w:val="decimal"/>
      <w:start w:val="1"/>
    </w:lvl>
  </w:abstractNum>
  <w:abstractNum w:abstractNumId="5">
    <w:nsid w:val="628C895D"/>
    <w:multiLevelType w:val="hybridMultilevel"/>
    <w:lvl w:ilvl="0">
      <w:lvlJc w:val="left"/>
      <w:lvlText w:val="%1."/>
      <w:numFmt w:val="decimal"/>
      <w:start w:val="2"/>
    </w:lvl>
  </w:abstractNum>
  <w:abstractNum w:abstractNumId="6">
    <w:nsid w:val="333AB105"/>
    <w:multiLevelType w:val="hybridMultilevel"/>
    <w:lvl w:ilvl="0">
      <w:lvlJc w:val="left"/>
      <w:lvlText w:val="(%1)"/>
      <w:numFmt w:val="decimal"/>
      <w:start w:val="1"/>
    </w:lvl>
  </w:abstractNum>
  <w:abstractNum w:abstractNumId="7">
    <w:nsid w:val="721DA317"/>
    <w:multiLevelType w:val="hybridMultilevel"/>
    <w:lvl w:ilvl="0">
      <w:lvlJc w:val="left"/>
      <w:lvlText w:val="%1."/>
      <w:numFmt w:val="decimal"/>
      <w:start w:val="7"/>
    </w:lvl>
  </w:abstractNum>
  <w:abstractNum w:abstractNumId="8">
    <w:nsid w:val="2443A858"/>
    <w:multiLevelType w:val="hybridMultilevel"/>
    <w:lvl w:ilvl="0">
      <w:lvlJc w:val="left"/>
      <w:lvlText w:val="•"/>
      <w:numFmt w:val="bullet"/>
      <w:start w:val="1"/>
    </w:lvl>
  </w:abstractNum>
  <w:abstractNum w:abstractNumId="9">
    <w:nsid w:val="2D1D5AE9"/>
    <w:multiLevelType w:val="hybridMultilevel"/>
    <w:lvl w:ilvl="0">
      <w:lvlJc w:val="left"/>
      <w:lvlText w:val="%1."/>
      <w:numFmt w:val="decimal"/>
      <w:start w:val="11"/>
    </w:lvl>
  </w:abstractNum>
  <w:abstractNum w:abstractNumId="10">
    <w:nsid w:val="6763845E"/>
    <w:multiLevelType w:val="hybridMultilevel"/>
    <w:lvl w:ilvl="0">
      <w:lvlJc w:val="left"/>
      <w:lvlText w:val="%1."/>
      <w:numFmt w:val="decimal"/>
      <w:start w:val="12"/>
    </w:lvl>
  </w:abstractNum>
  <w:abstractNum w:abstractNumId="11">
    <w:nsid w:val="75A2A8D4"/>
    <w:multiLevelType w:val="hybridMultilevel"/>
    <w:lvl w:ilvl="0">
      <w:lvlJc w:val="left"/>
      <w:lvlText w:val="(%1)"/>
      <w:numFmt w:val="decimal"/>
      <w:start w:val="1"/>
    </w:lvl>
  </w:abstractNum>
  <w:abstractNum w:abstractNumId="12">
    <w:nsid w:val="8EDBDAB"/>
    <w:multiLevelType w:val="hybridMultilevel"/>
    <w:lvl w:ilvl="0">
      <w:lvlJc w:val="left"/>
      <w:lvlText w:val="%1."/>
      <w:numFmt w:val="decimal"/>
      <w:start w:val="18"/>
    </w:lvl>
  </w:abstractNum>
  <w:abstractNum w:abstractNumId="13">
    <w:nsid w:val="79838CB2"/>
    <w:multiLevelType w:val="hybridMultilevel"/>
    <w:lvl w:ilvl="0">
      <w:lvlJc w:val="left"/>
      <w:lvlText w:val="•"/>
      <w:numFmt w:val="bullet"/>
      <w:start w:val="1"/>
    </w:lvl>
  </w:abstractNum>
  <w:abstractNum w:abstractNumId="14">
    <w:nsid w:val="4353D0CD"/>
    <w:multiLevelType w:val="hybridMultilevel"/>
    <w:lvl w:ilvl="0">
      <w:lvlJc w:val="left"/>
      <w:lvlText w:val="•"/>
      <w:numFmt w:val="bullet"/>
      <w:start w:val="1"/>
    </w:lvl>
  </w:abstractNum>
  <w:abstractNum w:abstractNumId="15">
    <w:nsid w:val="B03E0C6"/>
    <w:multiLevelType w:val="hybridMultilevel"/>
    <w:lvl w:ilvl="0">
      <w:lvlJc w:val="left"/>
      <w:lvlText w:val="(%1)"/>
      <w:numFmt w:val="decimal"/>
      <w:start w:val="1"/>
    </w:lvl>
  </w:abstractNum>
  <w:abstractNum w:abstractNumId="16">
    <w:nsid w:val="189A769B"/>
    <w:multiLevelType w:val="hybridMultilevel"/>
    <w:lvl w:ilvl="0">
      <w:lvlJc w:val="left"/>
      <w:lvlText w:val="•"/>
      <w:numFmt w:val="bullet"/>
      <w:start w:val="1"/>
    </w:lvl>
  </w:abstractNum>
  <w:abstractNum w:abstractNumId="17">
    <w:nsid w:val="54E49EB4"/>
    <w:multiLevelType w:val="hybridMultilevel"/>
    <w:lvl w:ilvl="0">
      <w:lvlJc w:val="left"/>
      <w:lvlText w:val="(%1)"/>
      <w:numFmt w:val="decimal"/>
      <w:start w:val="1"/>
    </w:lvl>
  </w:abstractNum>
  <w:abstractNum w:abstractNumId="18">
    <w:nsid w:val="71F32454"/>
    <w:multiLevelType w:val="hybridMultilevel"/>
    <w:lvl w:ilvl="0">
      <w:lvlJc w:val="left"/>
      <w:lvlText w:val="(%1)"/>
      <w:numFmt w:val="decimal"/>
      <w:start w:val="1"/>
    </w:lvl>
  </w:abstractNum>
  <w:abstractNum w:abstractNumId="19">
    <w:nsid w:val="2CA88611"/>
    <w:multiLevelType w:val="hybridMultilevel"/>
    <w:lvl w:ilvl="0">
      <w:lvlJc w:val="left"/>
      <w:lvlText w:val="•"/>
      <w:numFmt w:val="bullet"/>
      <w:start w:val="1"/>
    </w:lvl>
  </w:abstractNum>
  <w:abstractNum w:abstractNumId="20">
    <w:nsid w:val="836C40E"/>
    <w:multiLevelType w:val="hybridMultilevel"/>
    <w:lvl w:ilvl="0">
      <w:lvlJc w:val="left"/>
      <w:lvlText w:val="•"/>
      <w:numFmt w:val="bullet"/>
      <w:start w:val="1"/>
    </w:lvl>
  </w:abstractNum>
  <w:abstractNum w:abstractNumId="21">
    <w:nsid w:val="2901D82"/>
    <w:multiLevelType w:val="hybridMultilevel"/>
    <w:lvl w:ilvl="0">
      <w:lvlJc w:val="left"/>
      <w:lvlText w:val="(%1)"/>
      <w:numFmt w:val="decimal"/>
      <w:start w:val="1"/>
    </w:lvl>
  </w:abstractNum>
  <w:abstractNum w:abstractNumId="22">
    <w:nsid w:val="3A95F874"/>
    <w:multiLevelType w:val="hybridMultilevel"/>
    <w:lvl w:ilvl="0">
      <w:lvlJc w:val="left"/>
      <w:lvlText w:val="(%1)"/>
      <w:numFmt w:val="decimal"/>
      <w:start w:val="1"/>
    </w:lvl>
  </w:abstractNum>
  <w:abstractNum w:abstractNumId="23">
    <w:nsid w:val="8138641"/>
    <w:multiLevelType w:val="hybridMultilevel"/>
    <w:lvl w:ilvl="0">
      <w:lvlJc w:val="left"/>
      <w:lvlText w:val="•"/>
      <w:numFmt w:val="bullet"/>
      <w:start w:val="1"/>
    </w:lvl>
  </w:abstractNum>
  <w:abstractNum w:abstractNumId="24">
    <w:nsid w:val="1E7FF521"/>
    <w:multiLevelType w:val="hybridMultilevel"/>
    <w:lvl w:ilvl="0">
      <w:lvlJc w:val="left"/>
      <w:lvlText w:val="•"/>
      <w:numFmt w:val="bullet"/>
      <w:start w:val="1"/>
    </w:lvl>
  </w:abstractNum>
  <w:abstractNum w:abstractNumId="25">
    <w:nsid w:val="7C3DBD3D"/>
    <w:multiLevelType w:val="hybridMultilevel"/>
    <w:lvl w:ilvl="0">
      <w:lvlJc w:val="left"/>
      <w:lvlText w:val="•"/>
      <w:numFmt w:val="bullet"/>
      <w:start w:val="1"/>
    </w:lvl>
  </w:abstractNum>
  <w:abstractNum w:abstractNumId="26">
    <w:nsid w:val="737B8DDC"/>
    <w:multiLevelType w:val="hybridMultilevel"/>
    <w:lvl w:ilvl="0">
      <w:lvlJc w:val="left"/>
      <w:lvlText w:val="•"/>
      <w:numFmt w:val="bullet"/>
      <w:start w:val="1"/>
    </w:lvl>
  </w:abstractNum>
  <w:abstractNum w:abstractNumId="27">
    <w:nsid w:val="6CEAF087"/>
    <w:multiLevelType w:val="hybridMultilevel"/>
    <w:lvl w:ilvl="0">
      <w:lvlJc w:val="left"/>
      <w:lvlText w:val="•"/>
      <w:numFmt w:val="bullet"/>
      <w:start w:val="1"/>
    </w:lvl>
  </w:abstractNum>
  <w:abstractNum w:abstractNumId="28">
    <w:nsid w:val="22221A70"/>
    <w:multiLevelType w:val="hybridMultilevel"/>
    <w:lvl w:ilvl="0">
      <w:lvlJc w:val="left"/>
      <w:lvlText w:val="•"/>
      <w:numFmt w:val="bullet"/>
      <w:start w:val="1"/>
    </w:lvl>
  </w:abstractNum>
  <w:abstractNum w:abstractNumId="29">
    <w:nsid w:val="4516DDE9"/>
    <w:multiLevelType w:val="hybridMultilevel"/>
    <w:lvl w:ilvl="0">
      <w:lvlJc w:val="left"/>
      <w:lvlText w:val="•"/>
      <w:numFmt w:val="bullet"/>
      <w:start w:val="1"/>
    </w:lvl>
  </w:abstractNum>
  <w:abstractNum w:abstractNumId="30">
    <w:nsid w:val="3006C83E"/>
    <w:multiLevelType w:val="hybridMultilevel"/>
    <w:lvl w:ilvl="0">
      <w:lvlJc w:val="left"/>
      <w:lvlText w:val="%1"/>
      <w:numFmt w:val="decimal"/>
      <w:start w:val="104"/>
    </w:lvl>
  </w:abstractNum>
  <w:abstractNum w:abstractNumId="31">
    <w:nsid w:val="614FD4A1"/>
    <w:multiLevelType w:val="hybridMultilevel"/>
    <w:lvl w:ilvl="0">
      <w:lvlJc w:val="left"/>
      <w:lvlText w:val="(%1)"/>
      <w:numFmt w:val="lowerRoman"/>
      <w:start w:val="1"/>
    </w:lvl>
  </w:abstractNum>
  <w:abstractNum w:abstractNumId="32">
    <w:nsid w:val="419AC241"/>
    <w:multiLevelType w:val="hybridMultilevel"/>
    <w:lvl w:ilvl="0">
      <w:lvlJc w:val="left"/>
      <w:lvlText w:val="%1."/>
      <w:numFmt w:val="decimal"/>
      <w:start w:val="1"/>
    </w:lvl>
    <w:lvl w:ilvl="1">
      <w:lvlJc w:val="left"/>
      <w:lvlText w:val="(%2)"/>
      <w:numFmt w:val="lowerLetter"/>
      <w:start w:val="1"/>
    </w:lvl>
  </w:abstractNum>
  <w:abstractNum w:abstractNumId="33">
    <w:nsid w:val="5577F8E1"/>
    <w:multiLevelType w:val="hybridMultilevel"/>
    <w:lvl w:ilvl="0">
      <w:lvlJc w:val="left"/>
      <w:lvlText w:val="%1."/>
      <w:numFmt w:val="decimal"/>
      <w:start w:val="1"/>
    </w:lvl>
    <w:lvl w:ilvl="1">
      <w:lvlJc w:val="left"/>
      <w:lvlText w:val="(%2)"/>
      <w:numFmt w:val="lowerLetter"/>
      <w:start w:val="1"/>
    </w:lvl>
  </w:abstractNum>
  <w:abstractNum w:abstractNumId="34">
    <w:nsid w:val="440BADFC"/>
    <w:multiLevelType w:val="hybridMultilevel"/>
    <w:lvl w:ilvl="0">
      <w:lvlJc w:val="left"/>
      <w:lvlText w:val="(%1)"/>
      <w:numFmt w:val="decimal"/>
      <w:start w:val="1"/>
    </w:lvl>
  </w:abstractNum>
  <w:abstractNum w:abstractNumId="35">
    <w:nsid w:val="507236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81" Type="http://schemas.openxmlformats.org/officeDocument/2006/relationships/image" Target="media/image69.png"/><Relationship Id="rId82" Type="http://schemas.openxmlformats.org/officeDocument/2006/relationships/image" Target="media/image70.png"/><Relationship Id="rId83" Type="http://schemas.openxmlformats.org/officeDocument/2006/relationships/image" Target="media/image71.png"/><Relationship Id="rId84" Type="http://schemas.openxmlformats.org/officeDocument/2006/relationships/image" Target="media/image72.png"/><Relationship Id="rId85" Type="http://schemas.openxmlformats.org/officeDocument/2006/relationships/image" Target="media/image73.png"/><Relationship Id="rId86" Type="http://schemas.openxmlformats.org/officeDocument/2006/relationships/image" Target="media/image74.png"/><Relationship Id="rId87" Type="http://schemas.openxmlformats.org/officeDocument/2006/relationships/image" Target="media/image75.png"/><Relationship Id="rId88" Type="http://schemas.openxmlformats.org/officeDocument/2006/relationships/image" Target="media/image76.png"/><Relationship Id="rId89" Type="http://schemas.openxmlformats.org/officeDocument/2006/relationships/image" Target="media/image77.png"/><Relationship Id="rId90" Type="http://schemas.openxmlformats.org/officeDocument/2006/relationships/image" Target="media/image78.png"/><Relationship Id="rId91" Type="http://schemas.openxmlformats.org/officeDocument/2006/relationships/image" Target="media/image79.png"/><Relationship Id="rId92" Type="http://schemas.openxmlformats.org/officeDocument/2006/relationships/image" Target="media/image80.png"/><Relationship Id="rId93" Type="http://schemas.openxmlformats.org/officeDocument/2006/relationships/image" Target="media/image81.png"/><Relationship Id="rId94" Type="http://schemas.openxmlformats.org/officeDocument/2006/relationships/image" Target="media/image82.png"/><Relationship Id="rId95" Type="http://schemas.openxmlformats.org/officeDocument/2006/relationships/image" Target="media/image83.png"/><Relationship Id="rId71" Type="http://schemas.openxmlformats.org/officeDocument/2006/relationships/hyperlink" Target="http://www.sec.gov/Archives/edgar/data/1580864/000156459021010584/vrm-10k_20201231.htm" TargetMode="External"/><Relationship Id="rId77" Type="http://schemas.openxmlformats.org/officeDocument/2006/relationships/hyperlink" Target="http://www.sec.gov/Archives/edgar/data/1580864/000156459020039778/vrm-ex31_460.htm" TargetMode="External"/><Relationship Id="rId78" Type="http://schemas.openxmlformats.org/officeDocument/2006/relationships/hyperlink" Target="http://www.sec.gov/Archives/edgar/data/1580864/000156459020039778/vrm-ex32_234.htm" TargetMode="External"/><Relationship Id="rId79" Type="http://schemas.openxmlformats.org/officeDocument/2006/relationships/hyperlink" Target="http://www.sec.gov/Archives/edgar/data/1580864/000119312520157158/d801274dex41.htm" TargetMode="External"/><Relationship Id="rId80" Type="http://schemas.openxmlformats.org/officeDocument/2006/relationships/hyperlink" Target="http://www.sec.gov/Archives/edgar/data/1580864/000119312521195245/d93781d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2021-08-11T15:52:39Z</dcterms:created>
  <dcterms:modified xsi:type="dcterms:W3CDTF">2021-08-11T15:52:39Z</dcterms:modified>
</cp:coreProperties>
</file>