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156210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2022</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7" w:right="339" w:bottom="1440" w:gutter="0" w:footer="0" w:header="0"/>
        </w:sectPr>
      </w:pPr>
    </w:p>
    <w:p>
      <w:pPr>
        <w:spacing w:after="0" w:line="144"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03" w:lineRule="exact"/>
        <w:rPr>
          <w:sz w:val="24"/>
          <w:szCs w:val="24"/>
          <w:color w:val="auto"/>
        </w:rPr>
      </w:pPr>
    </w:p>
    <w:p>
      <w:pPr>
        <w:sectPr>
          <w:pgSz w:w="11900" w:h="16838" w:orient="portrait"/>
          <w:cols w:equalWidth="0" w:num="2">
            <w:col w:w="6300" w:space="700"/>
            <w:col w:w="424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155575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p>
      <w:pPr>
        <w:spacing w:after="0" w:line="319" w:lineRule="exact"/>
        <w:rPr>
          <w:sz w:val="24"/>
          <w:szCs w:val="24"/>
          <w:color w:val="auto"/>
        </w:rPr>
      </w:pPr>
    </w:p>
    <w:tbl>
      <w:tblPr>
        <w:tblLayout w:type="fixed"/>
        <w:tblInd w:w="900" w:type="dxa"/>
        <w:tblCellMar>
          <w:top w:w="0" w:type="dxa"/>
          <w:left w:w="0" w:type="dxa"/>
          <w:bottom w:w="0" w:type="dxa"/>
          <w:right w:w="0" w:type="dxa"/>
        </w:tblCellMar>
      </w:tblPr>
      <w:tr>
        <w:trPr>
          <w:trHeight w:val="439"/>
        </w:trPr>
        <w:tc>
          <w:tcPr>
            <w:tcW w:w="2480" w:type="dxa"/>
            <w:vAlign w:val="bottom"/>
          </w:tcPr>
          <w:p>
            <w:pPr>
              <w:spacing w:after="0"/>
              <w:rPr>
                <w:sz w:val="24"/>
                <w:szCs w:val="24"/>
                <w:color w:val="auto"/>
              </w:rPr>
            </w:pPr>
          </w:p>
        </w:tc>
        <w:tc>
          <w:tcPr>
            <w:tcW w:w="6780" w:type="dxa"/>
            <w:vAlign w:val="bottom"/>
            <w:gridSpan w:val="3"/>
          </w:tcPr>
          <w:p>
            <w:pPr>
              <w:jc w:val="center"/>
              <w:ind w:right="222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480" w:type="dxa"/>
            <w:vAlign w:val="bottom"/>
          </w:tcPr>
          <w:p>
            <w:pPr>
              <w:spacing w:after="0"/>
              <w:rPr>
                <w:sz w:val="16"/>
                <w:szCs w:val="16"/>
                <w:color w:val="auto"/>
              </w:rPr>
            </w:pPr>
          </w:p>
        </w:tc>
        <w:tc>
          <w:tcPr>
            <w:tcW w:w="6780" w:type="dxa"/>
            <w:vAlign w:val="bottom"/>
            <w:gridSpan w:val="3"/>
          </w:tcPr>
          <w:p>
            <w:pPr>
              <w:jc w:val="center"/>
              <w:ind w:right="220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1"/>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420" w:type="dxa"/>
            <w:vAlign w:val="bottom"/>
          </w:tcPr>
          <w:p>
            <w:pPr>
              <w:spacing w:after="0"/>
              <w:rPr>
                <w:sz w:val="17"/>
                <w:szCs w:val="17"/>
                <w:color w:val="auto"/>
              </w:rPr>
            </w:pPr>
          </w:p>
        </w:tc>
      </w:tr>
      <w:tr>
        <w:trPr>
          <w:trHeight w:val="373"/>
        </w:trPr>
        <w:tc>
          <w:tcPr>
            <w:tcW w:w="2480" w:type="dxa"/>
            <w:vAlign w:val="bottom"/>
          </w:tcPr>
          <w:p>
            <w:pPr>
              <w:jc w:val="center"/>
              <w:ind w:right="368"/>
              <w:spacing w:after="0"/>
              <w:rPr>
                <w:sz w:val="20"/>
                <w:szCs w:val="20"/>
                <w:color w:val="auto"/>
              </w:rPr>
            </w:pPr>
            <w:r>
              <w:rPr>
                <w:rFonts w:ascii="Arial" w:cs="Arial" w:eastAsia="Arial" w:hAnsi="Arial"/>
                <w:sz w:val="14"/>
                <w:szCs w:val="14"/>
                <w:b w:val="1"/>
                <w:bCs w:val="1"/>
                <w:color w:val="auto"/>
              </w:rPr>
              <w:t>Delaware</w:t>
            </w:r>
          </w:p>
        </w:tc>
        <w:tc>
          <w:tcPr>
            <w:tcW w:w="6780" w:type="dxa"/>
            <w:vAlign w:val="bottom"/>
            <w:gridSpan w:val="3"/>
          </w:tcPr>
          <w:p>
            <w:pPr>
              <w:jc w:val="center"/>
              <w:ind w:left="5153"/>
              <w:spacing w:after="0"/>
              <w:rPr>
                <w:sz w:val="20"/>
                <w:szCs w:val="20"/>
                <w:color w:val="auto"/>
              </w:rPr>
            </w:pPr>
            <w:r>
              <w:rPr>
                <w:rFonts w:ascii="Arial" w:cs="Arial" w:eastAsia="Arial" w:hAnsi="Arial"/>
                <w:sz w:val="14"/>
                <w:szCs w:val="14"/>
                <w:b w:val="1"/>
                <w:bCs w:val="1"/>
                <w:color w:val="auto"/>
              </w:rPr>
              <w:t>90-1112566</w:t>
            </w:r>
          </w:p>
        </w:tc>
      </w:tr>
      <w:tr>
        <w:trPr>
          <w:trHeight w:val="161"/>
        </w:trPr>
        <w:tc>
          <w:tcPr>
            <w:tcW w:w="2480" w:type="dxa"/>
            <w:vAlign w:val="bottom"/>
          </w:tcPr>
          <w:p>
            <w:pPr>
              <w:jc w:val="center"/>
              <w:ind w:right="368"/>
              <w:spacing w:after="0"/>
              <w:rPr>
                <w:sz w:val="20"/>
                <w:szCs w:val="20"/>
                <w:color w:val="auto"/>
              </w:rPr>
            </w:pPr>
            <w:r>
              <w:rPr>
                <w:rFonts w:ascii="Arial" w:cs="Arial" w:eastAsia="Arial" w:hAnsi="Arial"/>
                <w:sz w:val="14"/>
                <w:szCs w:val="14"/>
                <w:b w:val="1"/>
                <w:bCs w:val="1"/>
                <w:color w:val="auto"/>
              </w:rPr>
              <w:t>(State or other jurisdiction of</w:t>
            </w:r>
          </w:p>
        </w:tc>
        <w:tc>
          <w:tcPr>
            <w:tcW w:w="1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480" w:type="dxa"/>
            <w:vAlign w:val="bottom"/>
          </w:tcPr>
          <w:p>
            <w:pPr>
              <w:jc w:val="center"/>
              <w:ind w:right="368"/>
              <w:spacing w:after="0"/>
              <w:rPr>
                <w:sz w:val="20"/>
                <w:szCs w:val="20"/>
                <w:color w:val="auto"/>
              </w:rPr>
            </w:pPr>
            <w:r>
              <w:rPr>
                <w:rFonts w:ascii="Arial" w:cs="Arial" w:eastAsia="Arial" w:hAnsi="Arial"/>
                <w:sz w:val="14"/>
                <w:szCs w:val="14"/>
                <w:b w:val="1"/>
                <w:bCs w:val="1"/>
                <w:color w:val="auto"/>
              </w:rPr>
              <w:t>incorporation or organization)</w:t>
            </w:r>
          </w:p>
        </w:tc>
        <w:tc>
          <w:tcPr>
            <w:tcW w:w="1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28"/>
              <w:spacing w:after="0"/>
              <w:rPr>
                <w:sz w:val="20"/>
                <w:szCs w:val="20"/>
                <w:color w:val="auto"/>
              </w:rPr>
            </w:pPr>
            <w:r>
              <w:rPr>
                <w:rFonts w:ascii="Arial" w:cs="Arial" w:eastAsia="Arial" w:hAnsi="Arial"/>
                <w:sz w:val="14"/>
                <w:szCs w:val="14"/>
                <w:b w:val="1"/>
                <w:bCs w:val="1"/>
                <w:color w:val="auto"/>
              </w:rPr>
              <w:t>Identification Number)</w:t>
            </w:r>
          </w:p>
        </w:tc>
      </w:tr>
      <w:tr>
        <w:trPr>
          <w:trHeight w:val="282"/>
        </w:trPr>
        <w:tc>
          <w:tcPr>
            <w:tcW w:w="2480" w:type="dxa"/>
            <w:vAlign w:val="bottom"/>
          </w:tcPr>
          <w:p>
            <w:pPr>
              <w:spacing w:after="0"/>
              <w:rPr>
                <w:sz w:val="24"/>
                <w:szCs w:val="24"/>
                <w:color w:val="auto"/>
              </w:rPr>
            </w:pPr>
          </w:p>
        </w:tc>
        <w:tc>
          <w:tcPr>
            <w:tcW w:w="678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3600 W Sam Houston Pkwy S, Floor 4</w:t>
            </w:r>
          </w:p>
        </w:tc>
      </w:tr>
      <w:tr>
        <w:trPr>
          <w:trHeight w:val="162"/>
        </w:trPr>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60" w:type="dxa"/>
            <w:vAlign w:val="bottom"/>
            <w:gridSpan w:val="2"/>
          </w:tcPr>
          <w:p>
            <w:pPr>
              <w:jc w:val="center"/>
              <w:ind w:right="3328"/>
              <w:spacing w:after="0"/>
              <w:rPr>
                <w:sz w:val="20"/>
                <w:szCs w:val="20"/>
                <w:color w:val="auto"/>
              </w:rPr>
            </w:pPr>
            <w:r>
              <w:rPr>
                <w:rFonts w:ascii="Arial" w:cs="Arial" w:eastAsia="Arial" w:hAnsi="Arial"/>
                <w:sz w:val="14"/>
                <w:szCs w:val="14"/>
                <w:b w:val="1"/>
                <w:bCs w:val="1"/>
                <w:color w:val="auto"/>
              </w:rPr>
              <w:t>Houston, Texas 77042</w:t>
            </w:r>
          </w:p>
        </w:tc>
      </w:tr>
      <w:tr>
        <w:trPr>
          <w:trHeight w:val="190"/>
        </w:trPr>
        <w:tc>
          <w:tcPr>
            <w:tcW w:w="2480" w:type="dxa"/>
            <w:vAlign w:val="bottom"/>
          </w:tcPr>
          <w:p>
            <w:pPr>
              <w:spacing w:after="0"/>
              <w:rPr>
                <w:sz w:val="16"/>
                <w:szCs w:val="16"/>
                <w:color w:val="auto"/>
              </w:rPr>
            </w:pPr>
          </w:p>
        </w:tc>
        <w:tc>
          <w:tcPr>
            <w:tcW w:w="678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r>
        <w:trPr>
          <w:trHeight w:val="336"/>
        </w:trPr>
        <w:tc>
          <w:tcPr>
            <w:tcW w:w="2480" w:type="dxa"/>
            <w:vAlign w:val="bottom"/>
          </w:tcPr>
          <w:p>
            <w:pPr>
              <w:spacing w:after="0"/>
              <w:rPr>
                <w:sz w:val="24"/>
                <w:szCs w:val="24"/>
                <w:color w:val="auto"/>
              </w:rPr>
            </w:pPr>
          </w:p>
        </w:tc>
        <w:tc>
          <w:tcPr>
            <w:tcW w:w="3360" w:type="dxa"/>
            <w:vAlign w:val="bottom"/>
            <w:gridSpan w:val="2"/>
          </w:tcPr>
          <w:p>
            <w:pPr>
              <w:jc w:val="center"/>
              <w:ind w:left="1053"/>
              <w:spacing w:after="0"/>
              <w:rPr>
                <w:sz w:val="20"/>
                <w:szCs w:val="20"/>
                <w:color w:val="auto"/>
              </w:rPr>
            </w:pPr>
            <w:r>
              <w:rPr>
                <w:rFonts w:ascii="Arial" w:cs="Arial" w:eastAsia="Arial" w:hAnsi="Arial"/>
                <w:sz w:val="14"/>
                <w:szCs w:val="14"/>
                <w:b w:val="1"/>
                <w:bCs w:val="1"/>
                <w:color w:val="auto"/>
              </w:rPr>
              <w:t>(518) 535-9125</w:t>
            </w:r>
          </w:p>
        </w:tc>
        <w:tc>
          <w:tcPr>
            <w:tcW w:w="3420" w:type="dxa"/>
            <w:vAlign w:val="bottom"/>
          </w:tcPr>
          <w:p>
            <w:pPr>
              <w:spacing w:after="0"/>
              <w:rPr>
                <w:sz w:val="24"/>
                <w:szCs w:val="24"/>
                <w:color w:val="auto"/>
              </w:rPr>
            </w:pPr>
          </w:p>
        </w:tc>
      </w:tr>
      <w:tr>
        <w:trPr>
          <w:trHeight w:val="190"/>
        </w:trPr>
        <w:tc>
          <w:tcPr>
            <w:tcW w:w="2480" w:type="dxa"/>
            <w:vAlign w:val="bottom"/>
          </w:tcPr>
          <w:p>
            <w:pPr>
              <w:spacing w:after="0"/>
              <w:rPr>
                <w:sz w:val="16"/>
                <w:szCs w:val="16"/>
                <w:color w:val="auto"/>
              </w:rPr>
            </w:pPr>
          </w:p>
        </w:tc>
        <w:tc>
          <w:tcPr>
            <w:tcW w:w="6780" w:type="dxa"/>
            <w:vAlign w:val="bottom"/>
            <w:gridSpan w:val="3"/>
          </w:tcPr>
          <w:p>
            <w:pPr>
              <w:jc w:val="center"/>
              <w:ind w:right="2208"/>
              <w:spacing w:after="0"/>
              <w:rPr>
                <w:sz w:val="20"/>
                <w:szCs w:val="20"/>
                <w:color w:val="auto"/>
              </w:rPr>
            </w:pPr>
            <w:r>
              <w:rPr>
                <w:rFonts w:ascii="Arial" w:cs="Arial" w:eastAsia="Arial" w:hAnsi="Arial"/>
                <w:sz w:val="14"/>
                <w:szCs w:val="14"/>
                <w:b w:val="1"/>
                <w:bCs w:val="1"/>
                <w:color w:val="auto"/>
              </w:rPr>
              <w:t>(Registrant's telephone number, including area code)</w:t>
            </w:r>
          </w:p>
        </w:tc>
      </w:tr>
    </w:tbl>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52"/>
        </w:trPr>
        <w:tc>
          <w:tcPr>
            <w:tcW w:w="4100" w:type="dxa"/>
            <w:vAlign w:val="bottom"/>
          </w:tcPr>
          <w:p>
            <w:pPr>
              <w:jc w:val="center"/>
              <w:spacing w:after="0"/>
              <w:rPr>
                <w:sz w:val="20"/>
                <w:szCs w:val="20"/>
                <w:color w:val="auto"/>
              </w:rPr>
            </w:pPr>
            <w:r>
              <w:rPr>
                <w:rFonts w:ascii="Arial" w:cs="Arial" w:eastAsia="Arial" w:hAnsi="Arial"/>
                <w:sz w:val="16"/>
                <w:szCs w:val="16"/>
                <w:color w:val="auto"/>
              </w:rPr>
              <w:t>Common Stock, $0.001 par value</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183" w:lineRule="exact"/>
        <w:rPr>
          <w:sz w:val="24"/>
          <w:szCs w:val="24"/>
          <w:color w:val="auto"/>
        </w:rPr>
      </w:pPr>
    </w:p>
    <w:p>
      <w:pPr>
        <w:ind w:right="100" w:firstLine="374"/>
        <w:spacing w:after="0" w:line="18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120" w:firstLine="374"/>
        <w:spacing w:after="0" w:line="18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jc w:val="both"/>
        <w:ind w:firstLine="374"/>
        <w:spacing w:after="0" w:line="23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6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1" w:lineRule="exact"/>
        <w:rPr>
          <w:sz w:val="24"/>
          <w:szCs w:val="24"/>
          <w:color w:val="auto"/>
        </w:rPr>
      </w:pPr>
    </w:p>
    <w:p>
      <w:pPr>
        <w:ind w:right="300" w:firstLine="374"/>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August 4, 2022, 138,109,097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bl>
      <w:tblPr>
        <w:tblLayout w:type="fixed"/>
        <w:tblInd w:w="0" w:type="dxa"/>
        <w:tblCellMar>
          <w:top w:w="0" w:type="dxa"/>
          <w:left w:w="0" w:type="dxa"/>
          <w:bottom w:w="0" w:type="dxa"/>
          <w:right w:w="0" w:type="dxa"/>
        </w:tblCellMar>
      </w:tblPr>
      <w:tr>
        <w:trPr>
          <w:trHeight w:val="259"/>
        </w:trPr>
        <w:tc>
          <w:tcPr>
            <w:tcW w:w="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920" w:type="dxa"/>
            <w:vAlign w:val="bottom"/>
            <w:gridSpan w:val="10"/>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10220" w:type="dxa"/>
            <w:vAlign w:val="bottom"/>
            <w:gridSpan w:val="2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 - Financial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Arial" w:cs="Arial" w:eastAsia="Arial" w:hAnsi="Arial"/>
                <w:sz w:val="18"/>
                <w:szCs w:val="18"/>
                <w:color w:val="auto"/>
                <w:w w:val="98"/>
              </w:rPr>
              <w:t>Item 1.</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Balance Sheets as of June 30, 2022 and December 31, 2021 (unaudited)</w:t>
              </w:r>
            </w:hyperlink>
          </w:p>
        </w:tc>
        <w:tc>
          <w:tcPr>
            <w:tcW w:w="20" w:type="dxa"/>
            <w:vAlign w:val="bottom"/>
            <w:tcBorders>
              <w:bottom w:val="single" w:sz="8" w:color="0000EE"/>
            </w:tcBorders>
          </w:tcPr>
          <w:p>
            <w:pPr>
              <w:spacing w:after="0"/>
              <w:rPr>
                <w:sz w:val="15"/>
                <w:szCs w:val="15"/>
                <w:color w:val="auto"/>
              </w:rPr>
            </w:pPr>
          </w:p>
        </w:tc>
        <w:tc>
          <w:tcPr>
            <w:tcW w:w="92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 for the Three and Six Months Ended June 30, 2022 and</w:t>
              </w:r>
            </w:hyperlink>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2021 (unaudited)</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in Stockholders' Equity for the Three and Six Months Ended</w:t>
              </w:r>
            </w:hyperlink>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June 30, 2022 and 2021 (unaudited)</w:t>
              </w:r>
            </w:hyperlink>
          </w:p>
        </w:tc>
        <w:tc>
          <w:tcPr>
            <w:tcW w:w="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Six Months Ended June 30, 2022 and 2021</w:t>
              </w:r>
            </w:hyperlink>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w:anchor="page9">
              <w:r>
                <w:rPr>
                  <w:rFonts w:ascii="Arial" w:cs="Arial" w:eastAsia="Arial" w:hAnsi="Arial"/>
                  <w:sz w:val="18"/>
                  <w:szCs w:val="18"/>
                  <w:color w:val="0000FF"/>
                  <w:w w:val="98"/>
                </w:rPr>
                <w:t>(unaudited)</w:t>
              </w:r>
            </w:hyperlink>
          </w:p>
        </w:tc>
        <w:tc>
          <w:tcPr>
            <w:tcW w:w="20" w:type="dxa"/>
            <w:vAlign w:val="bottom"/>
            <w:tcBorders>
              <w:top w:val="single" w:sz="8" w:color="0000FF"/>
              <w:bottom w:val="single" w:sz="8" w:color="0000EE"/>
            </w:tcBorders>
          </w:tcPr>
          <w:p>
            <w:pPr>
              <w:spacing w:after="0"/>
              <w:rPr>
                <w:sz w:val="13"/>
                <w:szCs w:val="13"/>
                <w:color w:val="auto"/>
              </w:rPr>
            </w:pPr>
          </w:p>
        </w:tc>
        <w:tc>
          <w:tcPr>
            <w:tcW w:w="7340" w:type="dxa"/>
            <w:vAlign w:val="bottom"/>
            <w:tcBorders>
              <w:top w:val="single" w:sz="8" w:color="0000FF"/>
            </w:tcBorders>
            <w:gridSpan w:val="16"/>
          </w:tcPr>
          <w:p>
            <w:pPr>
              <w:spacing w:after="0"/>
              <w:rPr>
                <w:sz w:val="13"/>
                <w:szCs w:val="13"/>
                <w:color w:val="auto"/>
              </w:rPr>
            </w:pPr>
          </w:p>
        </w:tc>
        <w:tc>
          <w:tcPr>
            <w:tcW w:w="560" w:type="dxa"/>
            <w:vAlign w:val="bottom"/>
            <w:gridSpan w:val="3"/>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8"/>
              </w:rPr>
              <w:t>Item 2.</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08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Management's Discussion and Analysis of Financial Condition and Results of Operations</w:t>
              </w:r>
            </w:hyperlink>
          </w:p>
        </w:tc>
        <w:tc>
          <w:tcPr>
            <w:tcW w:w="1760" w:type="dxa"/>
            <w:vAlign w:val="bottom"/>
            <w:gridSpan w:val="6"/>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Arial" w:cs="Arial" w:eastAsia="Arial" w:hAnsi="Arial"/>
                <w:sz w:val="18"/>
                <w:szCs w:val="18"/>
                <w:color w:val="auto"/>
                <w:w w:val="98"/>
              </w:rPr>
              <w:t>Item 3.</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74">
              <w:r>
                <w:rPr>
                  <w:rFonts w:ascii="Arial" w:cs="Arial" w:eastAsia="Arial" w:hAnsi="Arial"/>
                  <w:sz w:val="18"/>
                  <w:szCs w:val="18"/>
                  <w:color w:val="0000FF"/>
                </w:rPr>
                <w:t>Quantitative and Qualitative Disclosures about Market Risk</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Item 4.</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w:anchor="page74">
              <w:r>
                <w:rPr>
                  <w:rFonts w:ascii="Arial" w:cs="Arial" w:eastAsia="Arial" w:hAnsi="Arial"/>
                  <w:sz w:val="18"/>
                  <w:szCs w:val="18"/>
                  <w:color w:val="0000FF"/>
                  <w:w w:val="99"/>
                </w:rPr>
                <w:t>Controls and Procedures</w:t>
              </w:r>
            </w:hyperlink>
          </w:p>
        </w:tc>
        <w:tc>
          <w:tcPr>
            <w:tcW w:w="2680" w:type="dxa"/>
            <w:vAlign w:val="bottom"/>
            <w:tcBorders>
              <w:top w:val="single" w:sz="8" w:color="0000FF"/>
            </w:tcBorders>
            <w:gridSpan w:val="4"/>
          </w:tcPr>
          <w:p>
            <w:pPr>
              <w:spacing w:after="0"/>
              <w:rPr>
                <w:sz w:val="15"/>
                <w:szCs w:val="15"/>
                <w:color w:val="auto"/>
              </w:rPr>
            </w:pPr>
          </w:p>
        </w:tc>
        <w:tc>
          <w:tcPr>
            <w:tcW w:w="4160" w:type="dxa"/>
            <w:vAlign w:val="bottom"/>
            <w:gridSpan w:val="9"/>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10220" w:type="dxa"/>
            <w:vAlign w:val="bottom"/>
            <w:gridSpan w:val="2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Part II - Other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8"/>
              </w:rPr>
              <w:t>Item 1.</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75">
              <w:r>
                <w:rPr>
                  <w:rFonts w:ascii="Arial" w:cs="Arial" w:eastAsia="Arial" w:hAnsi="Arial"/>
                  <w:sz w:val="18"/>
                  <w:szCs w:val="18"/>
                  <w:color w:val="0000FF"/>
                  <w:w w:val="99"/>
                </w:rPr>
                <w:t>Legal Proceedings</w:t>
              </w:r>
            </w:hyperlink>
          </w:p>
        </w:tc>
        <w:tc>
          <w:tcPr>
            <w:tcW w:w="7340" w:type="dxa"/>
            <w:vAlign w:val="bottom"/>
            <w:gridSpan w:val="1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80" w:type="dxa"/>
            <w:vAlign w:val="bottom"/>
            <w:gridSpan w:val="2"/>
          </w:tcPr>
          <w:p>
            <w:pPr>
              <w:spacing w:after="0" w:line="182" w:lineRule="exact"/>
              <w:rPr>
                <w:sz w:val="20"/>
                <w:szCs w:val="20"/>
                <w:color w:val="auto"/>
              </w:rPr>
            </w:pPr>
            <w:r>
              <w:rPr>
                <w:rFonts w:ascii="Arial" w:cs="Arial" w:eastAsia="Arial" w:hAnsi="Arial"/>
                <w:sz w:val="18"/>
                <w:szCs w:val="18"/>
                <w:color w:val="auto"/>
                <w:w w:val="98"/>
              </w:rPr>
              <w:t>Item 1A.</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Risk Factors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Arial" w:cs="Arial" w:eastAsia="Arial" w:hAnsi="Arial"/>
                <w:sz w:val="18"/>
                <w:szCs w:val="18"/>
                <w:color w:val="auto"/>
                <w:w w:val="98"/>
              </w:rPr>
              <w:t>Item 2.</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114">
              <w:r>
                <w:rPr>
                  <w:rFonts w:ascii="Arial" w:cs="Arial" w:eastAsia="Arial" w:hAnsi="Arial"/>
                  <w:sz w:val="18"/>
                  <w:szCs w:val="18"/>
                  <w:color w:val="0000FF"/>
                </w:rPr>
                <w:t>Unregistered Sales of Equity Securities and Use of Proceeds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Item 3.</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Defaults Upon Senior Securities</w:t>
              </w:r>
            </w:hyperlink>
          </w:p>
        </w:tc>
        <w:tc>
          <w:tcPr>
            <w:tcW w:w="2280" w:type="dxa"/>
            <w:vAlign w:val="bottom"/>
            <w:tcBorders>
              <w:top w:val="single" w:sz="8" w:color="0000FF"/>
            </w:tcBorders>
            <w:gridSpan w:val="4"/>
          </w:tcPr>
          <w:p>
            <w:pPr>
              <w:spacing w:after="0"/>
              <w:rPr>
                <w:sz w:val="15"/>
                <w:szCs w:val="15"/>
                <w:color w:val="auto"/>
              </w:rPr>
            </w:pPr>
          </w:p>
        </w:tc>
        <w:tc>
          <w:tcPr>
            <w:tcW w:w="4000" w:type="dxa"/>
            <w:vAlign w:val="bottom"/>
            <w:gridSpan w:val="8"/>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8"/>
              </w:rPr>
              <w:t>Item 4.</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Mine Safety Disclosures</w:t>
              </w:r>
            </w:hyperlink>
          </w:p>
        </w:tc>
        <w:tc>
          <w:tcPr>
            <w:tcW w:w="6900" w:type="dxa"/>
            <w:vAlign w:val="bottom"/>
            <w:gridSpan w:val="1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Arial" w:cs="Arial" w:eastAsia="Arial" w:hAnsi="Arial"/>
                <w:sz w:val="18"/>
                <w:szCs w:val="18"/>
                <w:color w:val="auto"/>
                <w:w w:val="98"/>
              </w:rPr>
              <w:t>Item 5.</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114">
              <w:r>
                <w:rPr>
                  <w:rFonts w:ascii="Arial" w:cs="Arial" w:eastAsia="Arial" w:hAnsi="Arial"/>
                  <w:sz w:val="18"/>
                  <w:szCs w:val="18"/>
                  <w:color w:val="0000FF"/>
                </w:rPr>
                <w:t>Other Information</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Item 6.</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115">
              <w:r>
                <w:rPr>
                  <w:rFonts w:ascii="Arial" w:cs="Arial" w:eastAsia="Arial" w:hAnsi="Arial"/>
                  <w:sz w:val="18"/>
                  <w:szCs w:val="18"/>
                  <w:color w:val="0000FF"/>
                  <w:w w:val="98"/>
                </w:rPr>
                <w:t>Exhibits</w:t>
              </w:r>
            </w:hyperlink>
          </w:p>
        </w:tc>
        <w:tc>
          <w:tcPr>
            <w:tcW w:w="740" w:type="dxa"/>
            <w:vAlign w:val="bottom"/>
            <w:tcBorders>
              <w:top w:val="single" w:sz="8" w:color="0000FF"/>
            </w:tcBorders>
            <w:gridSpan w:val="6"/>
          </w:tcPr>
          <w:p>
            <w:pPr>
              <w:spacing w:after="0"/>
              <w:rPr>
                <w:sz w:val="15"/>
                <w:szCs w:val="15"/>
                <w:color w:val="auto"/>
              </w:rPr>
            </w:pPr>
          </w:p>
        </w:tc>
        <w:tc>
          <w:tcPr>
            <w:tcW w:w="7440" w:type="dxa"/>
            <w:vAlign w:val="bottom"/>
            <w:gridSpan w:val="16"/>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23"/>
          </w:tcPr>
          <w:p>
            <w:pPr>
              <w:spacing w:after="0" w:line="182" w:lineRule="exact"/>
              <w:rPr>
                <w:rFonts w:ascii="Arial" w:cs="Arial" w:eastAsia="Arial" w:hAnsi="Arial"/>
                <w:sz w:val="18"/>
                <w:szCs w:val="18"/>
                <w:color w:val="0000FF"/>
              </w:rPr>
            </w:pPr>
            <w:hyperlink w:anchor="page118">
              <w:r>
                <w:rPr>
                  <w:rFonts w:ascii="Arial" w:cs="Arial" w:eastAsia="Arial" w:hAnsi="Arial"/>
                  <w:sz w:val="18"/>
                  <w:szCs w:val="18"/>
                  <w:color w:val="0000FF"/>
                </w:rPr>
                <w:t>Signatures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0000FF"/>
            </w:tcBorders>
            <w:gridSpan w:val="2"/>
          </w:tcPr>
          <w:p>
            <w:pPr>
              <w:spacing w:after="0"/>
              <w:rPr>
                <w:sz w:val="24"/>
                <w:szCs w:val="24"/>
                <w:color w:val="auto"/>
              </w:rPr>
            </w:pPr>
          </w:p>
        </w:tc>
        <w:tc>
          <w:tcPr>
            <w:tcW w:w="3800" w:type="dxa"/>
            <w:vAlign w:val="bottom"/>
            <w:gridSpan w:val="12"/>
          </w:tcPr>
          <w:p>
            <w:pPr>
              <w:jc w:val="right"/>
              <w:ind w:right="3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1"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208" w:lineRule="exact"/>
        <w:rPr>
          <w:sz w:val="20"/>
          <w:szCs w:val="20"/>
          <w:color w:val="auto"/>
        </w:rPr>
      </w:pPr>
    </w:p>
    <w:p>
      <w:pPr>
        <w:ind w:right="20" w:firstLine="761"/>
        <w:spacing w:after="0" w:line="254" w:lineRule="auto"/>
        <w:rPr>
          <w:sz w:val="20"/>
          <w:szCs w:val="20"/>
          <w:color w:val="auto"/>
        </w:rPr>
      </w:pPr>
      <w:r>
        <w:rPr>
          <w:rFonts w:ascii="Arial" w:cs="Arial" w:eastAsia="Arial" w:hAnsi="Arial"/>
          <w:sz w:val="17"/>
          <w:szCs w:val="17"/>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w:t>
      </w:r>
    </w:p>
    <w:p>
      <w:pPr>
        <w:spacing w:after="0" w:line="193"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5"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233" w:lineRule="exact"/>
        <w:rPr>
          <w:sz w:val="20"/>
          <w:szCs w:val="20"/>
          <w:color w:val="auto"/>
        </w:rPr>
      </w:pPr>
    </w:p>
    <w:p>
      <w:pPr>
        <w:ind w:right="380" w:firstLine="761"/>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215" w:lineRule="exact"/>
        <w:rPr>
          <w:sz w:val="20"/>
          <w:szCs w:val="20"/>
          <w:color w:val="auto"/>
        </w:rPr>
      </w:pPr>
    </w:p>
    <w:p>
      <w:pPr>
        <w:ind w:left="760" w:right="22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successfully execute or achieve the expected benefits of our previously announced Realignment Plan and other cost saving measures we may take in the future, and our efforts may result in further actions and may adversely affect our business, financial condition and results of operations;</w:t>
      </w:r>
    </w:p>
    <w:p>
      <w:pPr>
        <w:spacing w:after="0" w:line="202"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the cost saving measures, reduced growth rates and increased focus on liquidity and profitability contemplated by the Realignment Plan, we may need to raise additional capital through debt or equity financings to achieve our business objectives and there can be no assurance that such financings will be available in amounts or on terms acceptable to us, if at all;</w:t>
      </w:r>
    </w:p>
    <w:p>
      <w:pPr>
        <w:spacing w:after="0" w:line="20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3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3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w:t>
      </w:r>
    </w:p>
    <w:p>
      <w:pPr>
        <w:spacing w:after="0" w:line="23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37"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is not indicative of our near term growth under our Realignment Plan and, when we return to rapid growth, we may not be able to manage our growth effectively;</w:t>
      </w:r>
    </w:p>
    <w:p>
      <w:pPr>
        <w:spacing w:after="0" w:line="196"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United Auto Credit Corporation ("UACC") business into our business and develop UACC into a captive lending operation for Vroom, or realize the anticipated benefits of the UACC Acquisition or those benefits could take longer than anticipated;</w:t>
      </w:r>
    </w:p>
    <w:p>
      <w:pPr>
        <w:spacing w:after="0" w:line="20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37" w:lineRule="exact"/>
        <w:rPr>
          <w:rFonts w:ascii="Arial" w:cs="Arial" w:eastAsia="Arial" w:hAnsi="Arial"/>
          <w:sz w:val="18"/>
          <w:szCs w:val="18"/>
          <w:color w:val="auto"/>
        </w:rPr>
      </w:pPr>
    </w:p>
    <w:p>
      <w:pPr>
        <w:ind w:left="760" w:right="420" w:hanging="378"/>
        <w:spacing w:after="0" w:line="307"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52"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23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a variety of risks associated with the operation of our vehicle reconditioning centers by us and our third-party service</w:t>
      </w:r>
    </w:p>
    <w:p>
      <w:pPr>
        <w:spacing w:after="0" w:line="22" w:lineRule="exact"/>
        <w:rPr>
          <w:sz w:val="20"/>
          <w:szCs w:val="20"/>
          <w:color w:val="auto"/>
        </w:rPr>
      </w:pPr>
    </w:p>
    <w:p>
      <w:pPr>
        <w:jc w:val="center"/>
        <w:ind w:right="220"/>
        <w:spacing w:after="0" w:line="261" w:lineRule="auto"/>
        <w:rPr>
          <w:sz w:val="20"/>
          <w:szCs w:val="20"/>
          <w:color w:val="auto"/>
        </w:rPr>
      </w:pPr>
      <w:r>
        <w:rPr>
          <w:rFonts w:ascii="Arial" w:cs="Arial" w:eastAsia="Arial" w:hAnsi="Arial"/>
          <w:sz w:val="18"/>
          <w:szCs w:val="18"/>
          <w:color w:val="auto"/>
        </w:rPr>
        <w:t>providers, any of which could materially and adversely affect our business, financial condition and results of operations;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4" w:lineRule="exact"/>
        <w:rPr>
          <w:sz w:val="20"/>
          <w:szCs w:val="20"/>
          <w:color w:val="auto"/>
        </w:rPr>
      </w:pPr>
    </w:p>
    <w:p>
      <w:pPr>
        <w:ind w:left="760" w:right="40" w:hanging="378"/>
        <w:spacing w:after="0" w:line="307"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4" w:lineRule="exact"/>
        <w:rPr>
          <w:rFonts w:ascii="Arial" w:cs="Arial" w:eastAsia="Arial" w:hAnsi="Arial"/>
          <w:sz w:val="17"/>
          <w:szCs w:val="17"/>
          <w:color w:val="auto"/>
        </w:rPr>
      </w:pPr>
    </w:p>
    <w:p>
      <w:pPr>
        <w:ind w:left="760" w:right="18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202" w:lineRule="exact"/>
        <w:rPr>
          <w:rFonts w:ascii="Arial" w:cs="Arial" w:eastAsia="Arial" w:hAnsi="Arial"/>
          <w:sz w:val="18"/>
          <w:szCs w:val="18"/>
          <w:color w:val="auto"/>
        </w:rPr>
      </w:pPr>
    </w:p>
    <w:p>
      <w:pPr>
        <w:ind w:left="760" w:right="2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202"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202"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202"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20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PART I – FINANCIAL INFORMATION</w:t>
      </w:r>
    </w:p>
    <w:p>
      <w:pPr>
        <w:spacing w:after="0" w:line="235" w:lineRule="auto"/>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ind w:left="344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ind w:left="340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89"/>
        </w:trPr>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2021</w:t>
            </w:r>
          </w:p>
        </w:tc>
      </w:tr>
      <w:tr>
        <w:trPr>
          <w:trHeight w:val="182"/>
        </w:trPr>
        <w:tc>
          <w:tcPr>
            <w:tcW w:w="74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532,642</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1,132,325</w:t>
            </w:r>
          </w:p>
        </w:tc>
      </w:tr>
      <w:tr>
        <w:trPr>
          <w:trHeight w:val="164"/>
        </w:trPr>
        <w:tc>
          <w:tcPr>
            <w:tcW w:w="7400" w:type="dxa"/>
            <w:vAlign w:val="bottom"/>
          </w:tcPr>
          <w:p>
            <w:pPr>
              <w:ind w:left="20"/>
              <w:spacing w:after="0" w:line="164" w:lineRule="exact"/>
              <w:rPr>
                <w:sz w:val="20"/>
                <w:szCs w:val="20"/>
                <w:color w:val="auto"/>
              </w:rPr>
            </w:pPr>
            <w:r>
              <w:rPr>
                <w:rFonts w:ascii="Arial" w:cs="Arial" w:eastAsia="Arial" w:hAnsi="Arial"/>
                <w:sz w:val="16"/>
                <w:szCs w:val="16"/>
                <w:color w:val="auto"/>
              </w:rPr>
              <w:t>Restricted cash (including restricted cash of consolidated VIEs of $33.5 million and $0 million,</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0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153,741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82,450</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$19.5 million and $8.9 million, respectively</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60,122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105,433</w:t>
            </w:r>
          </w:p>
        </w:tc>
      </w:tr>
      <w:tr>
        <w:trPr>
          <w:trHeight w:val="164"/>
        </w:trPr>
        <w:tc>
          <w:tcPr>
            <w:tcW w:w="7400" w:type="dxa"/>
            <w:vAlign w:val="bottom"/>
          </w:tcPr>
          <w:p>
            <w:pPr>
              <w:ind w:left="20"/>
              <w:spacing w:after="0" w:line="164" w:lineRule="exact"/>
              <w:rPr>
                <w:sz w:val="20"/>
                <w:szCs w:val="20"/>
                <w:color w:val="auto"/>
              </w:rPr>
            </w:pPr>
            <w:r>
              <w:rPr>
                <w:rFonts w:ascii="Arial" w:cs="Arial" w:eastAsia="Arial" w:hAnsi="Arial"/>
                <w:sz w:val="16"/>
                <w:szCs w:val="16"/>
                <w:color w:val="auto"/>
              </w:rPr>
              <w:t>Finance receivables at fair value (including finance receivables of consolidated VIEs of $13.6 million</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00" w:type="dxa"/>
            <w:vAlign w:val="bottom"/>
          </w:tcPr>
          <w:p>
            <w:pPr>
              <w:ind w:left="20"/>
              <w:spacing w:after="0"/>
              <w:rPr>
                <w:sz w:val="20"/>
                <w:szCs w:val="20"/>
                <w:color w:val="auto"/>
              </w:rPr>
            </w:pPr>
            <w:r>
              <w:rPr>
                <w:rFonts w:ascii="Arial" w:cs="Arial" w:eastAsia="Arial" w:hAnsi="Arial"/>
                <w:sz w:val="16"/>
                <w:szCs w:val="16"/>
                <w:color w:val="auto"/>
              </w:rPr>
              <w:t>and $0 million, respectively)</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14,461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64"/>
        </w:trPr>
        <w:tc>
          <w:tcPr>
            <w:tcW w:w="740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87"/>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$253.1 million and $0 million, respectively)</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295,303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535,772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726,384</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13,432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61,430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55,700</w:t>
            </w:r>
          </w:p>
        </w:tc>
      </w:tr>
      <w:tr>
        <w:trPr>
          <w:trHeight w:val="182"/>
        </w:trPr>
        <w:tc>
          <w:tcPr>
            <w:tcW w:w="74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1,666,903</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2,102,292</w:t>
            </w:r>
          </w:p>
        </w:tc>
      </w:tr>
      <w:tr>
        <w:trPr>
          <w:trHeight w:val="164"/>
        </w:trPr>
        <w:tc>
          <w:tcPr>
            <w:tcW w:w="7400" w:type="dxa"/>
            <w:vAlign w:val="bottom"/>
          </w:tcPr>
          <w:p>
            <w:pPr>
              <w:ind w:left="20"/>
              <w:spacing w:after="0" w:line="164" w:lineRule="exact"/>
              <w:rPr>
                <w:sz w:val="20"/>
                <w:szCs w:val="20"/>
                <w:color w:val="auto"/>
              </w:rPr>
            </w:pPr>
            <w:r>
              <w:rPr>
                <w:rFonts w:ascii="Arial" w:cs="Arial" w:eastAsia="Arial" w:hAnsi="Arial"/>
                <w:sz w:val="16"/>
                <w:szCs w:val="16"/>
                <w:color w:val="auto"/>
              </w:rPr>
              <w:t>Finance receivables at fair value (including finance receivables of consolidated VIEs</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00" w:type="dxa"/>
            <w:vAlign w:val="bottom"/>
          </w:tcPr>
          <w:p>
            <w:pPr>
              <w:ind w:left="20"/>
              <w:spacing w:after="0"/>
              <w:rPr>
                <w:sz w:val="20"/>
                <w:szCs w:val="20"/>
                <w:color w:val="auto"/>
              </w:rPr>
            </w:pPr>
            <w:r>
              <w:rPr>
                <w:rFonts w:ascii="Arial" w:cs="Arial" w:eastAsia="Arial" w:hAnsi="Arial"/>
                <w:sz w:val="16"/>
                <w:szCs w:val="16"/>
                <w:color w:val="auto"/>
              </w:rPr>
              <w:t>of $164.6 million and $0 million, respectively)</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213,323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49,836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37,042</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172,425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28,207</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158,817</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11,281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15,359</w:t>
            </w:r>
          </w:p>
        </w:tc>
      </w:tr>
      <w:tr>
        <w:trPr>
          <w:trHeight w:val="189"/>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28,531</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25,033</w:t>
            </w:r>
          </w:p>
        </w:tc>
      </w:tr>
      <w:tr>
        <w:trPr>
          <w:trHeight w:val="182"/>
        </w:trPr>
        <w:tc>
          <w:tcPr>
            <w:tcW w:w="7400" w:type="dxa"/>
            <w:vAlign w:val="bottom"/>
          </w:tcPr>
          <w:p>
            <w:pPr>
              <w:ind w:left="20"/>
              <w:spacing w:after="0" w:line="182" w:lineRule="exact"/>
              <w:rPr>
                <w:sz w:val="20"/>
                <w:szCs w:val="20"/>
                <w:color w:val="auto"/>
              </w:rPr>
            </w:pPr>
            <w:r>
              <w:rPr>
                <w:rFonts w:ascii="Arial" w:cs="Arial" w:eastAsia="Arial" w:hAnsi="Arial"/>
                <w:sz w:val="16"/>
                <w:szCs w:val="16"/>
                <w:color w:val="auto"/>
              </w:rPr>
              <w:t>Total assets</w:t>
            </w:r>
          </w:p>
        </w:tc>
        <w:tc>
          <w:tcPr>
            <w:tcW w:w="340" w:type="dxa"/>
            <w:vAlign w:val="bottom"/>
          </w:tcPr>
          <w:p>
            <w:pPr>
              <w:jc w:val="right"/>
              <w:ind w:right="159"/>
              <w:spacing w:after="0" w:line="182" w:lineRule="exact"/>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0"/>
              <w:spacing w:after="0" w:line="182" w:lineRule="exact"/>
              <w:rPr>
                <w:sz w:val="20"/>
                <w:szCs w:val="20"/>
                <w:color w:val="auto"/>
              </w:rPr>
            </w:pPr>
            <w:r>
              <w:rPr>
                <w:rFonts w:ascii="Arial" w:cs="Arial" w:eastAsia="Arial" w:hAnsi="Arial"/>
                <w:sz w:val="16"/>
                <w:szCs w:val="16"/>
                <w:color w:val="auto"/>
              </w:rPr>
              <w:t>2,142,299</w:t>
            </w:r>
          </w:p>
        </w:tc>
        <w:tc>
          <w:tcPr>
            <w:tcW w:w="42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line="182" w:lineRule="exact"/>
              <w:rPr>
                <w:sz w:val="20"/>
                <w:szCs w:val="20"/>
                <w:color w:val="auto"/>
              </w:rPr>
            </w:pPr>
            <w:r>
              <w:rPr>
                <w:rFonts w:ascii="Arial" w:cs="Arial" w:eastAsia="Arial" w:hAnsi="Arial"/>
                <w:sz w:val="16"/>
                <w:szCs w:val="16"/>
                <w:color w:val="auto"/>
              </w:rPr>
              <w:t>2,366,750</w:t>
            </w:r>
          </w:p>
        </w:tc>
      </w:tr>
      <w:tr>
        <w:trPr>
          <w:trHeight w:val="20"/>
        </w:trPr>
        <w:tc>
          <w:tcPr>
            <w:tcW w:w="7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40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43,631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52,651</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107,091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121,508</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Vehicle floorplan</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422,452</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512,801</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210,577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portion of securitization debt of consolidated VIEs at fair value</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115,325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17,800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75,803</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7,097</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6,889</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22,139</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57,604</w:t>
            </w:r>
          </w:p>
        </w:tc>
      </w:tr>
      <w:tr>
        <w:trPr>
          <w:trHeight w:val="182"/>
        </w:trPr>
        <w:tc>
          <w:tcPr>
            <w:tcW w:w="74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946,112</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827,256</w:t>
            </w:r>
          </w:p>
        </w:tc>
      </w:tr>
      <w:tr>
        <w:trPr>
          <w:trHeight w:val="164"/>
        </w:trPr>
        <w:tc>
          <w:tcPr>
            <w:tcW w:w="7400" w:type="dxa"/>
            <w:vAlign w:val="bottom"/>
          </w:tcPr>
          <w:p>
            <w:pPr>
              <w:ind w:left="20"/>
              <w:spacing w:after="0" w:line="164" w:lineRule="exact"/>
              <w:rPr>
                <w:sz w:val="20"/>
                <w:szCs w:val="20"/>
                <w:color w:val="auto"/>
              </w:rPr>
            </w:pPr>
            <w:r>
              <w:rPr>
                <w:rFonts w:ascii="Arial" w:cs="Arial" w:eastAsia="Arial" w:hAnsi="Arial"/>
                <w:sz w:val="16"/>
                <w:szCs w:val="16"/>
                <w:color w:val="auto"/>
              </w:rPr>
              <w:t>Long term debt, net of current portion (including securitization debt of consolidated VIEs of</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00" w:type="dxa"/>
            <w:vAlign w:val="bottom"/>
          </w:tcPr>
          <w:p>
            <w:pPr>
              <w:ind w:left="20"/>
              <w:spacing w:after="0"/>
              <w:rPr>
                <w:sz w:val="20"/>
                <w:szCs w:val="20"/>
                <w:color w:val="auto"/>
              </w:rPr>
            </w:pPr>
            <w:r>
              <w:rPr>
                <w:rFonts w:ascii="Arial" w:cs="Arial" w:eastAsia="Arial" w:hAnsi="Arial"/>
                <w:sz w:val="16"/>
                <w:szCs w:val="16"/>
                <w:color w:val="auto"/>
              </w:rPr>
              <w:t>$51.8 million and $0 million at fair value, respectively)</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674,331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610,618</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8,347</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9,592</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18,458</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4,090</w:t>
            </w:r>
          </w:p>
        </w:tc>
      </w:tr>
      <w:tr>
        <w:trPr>
          <w:trHeight w:val="182"/>
        </w:trPr>
        <w:tc>
          <w:tcPr>
            <w:tcW w:w="7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1,647,248</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1,451,556</w:t>
            </w:r>
          </w:p>
        </w:tc>
      </w:tr>
      <w:tr>
        <w:trPr>
          <w:trHeight w:val="182"/>
        </w:trPr>
        <w:tc>
          <w:tcPr>
            <w:tcW w:w="7400" w:type="dxa"/>
            <w:vAlign w:val="bottom"/>
          </w:tcPr>
          <w:p>
            <w:pPr>
              <w:ind w:left="20"/>
              <w:spacing w:after="0" w:line="182" w:lineRule="exact"/>
              <w:rPr>
                <w:sz w:val="20"/>
                <w:szCs w:val="20"/>
                <w:color w:val="auto"/>
              </w:rPr>
            </w:pPr>
            <w:r>
              <w:rPr>
                <w:rFonts w:ascii="Arial" w:cs="Arial" w:eastAsia="Arial" w:hAnsi="Arial"/>
                <w:sz w:val="16"/>
                <w:szCs w:val="16"/>
                <w:color w:val="auto"/>
              </w:rPr>
              <w:t>Commitments and contingencies (Note 13)</w:t>
            </w: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r>
      <w:tr>
        <w:trPr>
          <w:trHeight w:val="164"/>
        </w:trPr>
        <w:tc>
          <w:tcPr>
            <w:tcW w:w="7400" w:type="dxa"/>
            <w:vAlign w:val="bottom"/>
          </w:tcPr>
          <w:p>
            <w:pPr>
              <w:ind w:left="20"/>
              <w:spacing w:after="0" w:line="164" w:lineRule="exact"/>
              <w:rPr>
                <w:sz w:val="20"/>
                <w:szCs w:val="20"/>
                <w:color w:val="auto"/>
              </w:rPr>
            </w:pPr>
            <w:r>
              <w:rPr>
                <w:rFonts w:ascii="Arial" w:cs="Arial" w:eastAsia="Arial" w:hAnsi="Arial"/>
                <w:sz w:val="16"/>
                <w:szCs w:val="16"/>
                <w:color w:val="auto"/>
              </w:rPr>
              <w:t>Common stock, $0.001 par value; 500,000,000 shares authorized as of June 30, 2022 and</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7400" w:type="dxa"/>
            <w:vAlign w:val="bottom"/>
          </w:tcPr>
          <w:p>
            <w:pPr>
              <w:ind w:left="20"/>
              <w:spacing w:after="0" w:line="162" w:lineRule="exact"/>
              <w:rPr>
                <w:sz w:val="20"/>
                <w:szCs w:val="20"/>
                <w:color w:val="auto"/>
              </w:rPr>
            </w:pPr>
            <w:r>
              <w:rPr>
                <w:rFonts w:ascii="Arial" w:cs="Arial" w:eastAsia="Arial" w:hAnsi="Arial"/>
                <w:sz w:val="16"/>
                <w:szCs w:val="16"/>
                <w:color w:val="auto"/>
              </w:rPr>
              <w:t>December 31, 2021; 138,102,755 and 137,092,891 shares issued and outstanding as of June 30,</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00" w:type="dxa"/>
            <w:vAlign w:val="bottom"/>
          </w:tcPr>
          <w:p>
            <w:pPr>
              <w:ind w:left="20"/>
              <w:spacing w:after="0"/>
              <w:rPr>
                <w:sz w:val="20"/>
                <w:szCs w:val="20"/>
                <w:color w:val="auto"/>
              </w:rPr>
            </w:pPr>
            <w:r>
              <w:rPr>
                <w:rFonts w:ascii="Arial" w:cs="Arial" w:eastAsia="Arial" w:hAnsi="Arial"/>
                <w:sz w:val="16"/>
                <w:szCs w:val="16"/>
                <w:color w:val="auto"/>
              </w:rPr>
              <w:t>2022 and December 31, 2021, respectively</w:t>
            </w:r>
          </w:p>
        </w:tc>
        <w:tc>
          <w:tcPr>
            <w:tcW w:w="34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135</w:t>
            </w: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3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2,069,246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2,063,841</w:t>
            </w: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(1,574,330 )</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(1,148,782 )</w:t>
            </w:r>
          </w:p>
        </w:tc>
      </w:tr>
      <w:tr>
        <w:trPr>
          <w:trHeight w:val="182"/>
        </w:trPr>
        <w:tc>
          <w:tcPr>
            <w:tcW w:w="7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495,051</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915,194</w:t>
            </w:r>
          </w:p>
        </w:tc>
      </w:tr>
      <w:tr>
        <w:trPr>
          <w:trHeight w:val="182"/>
        </w:trPr>
        <w:tc>
          <w:tcPr>
            <w:tcW w:w="7400" w:type="dxa"/>
            <w:vAlign w:val="bottom"/>
          </w:tcPr>
          <w:p>
            <w:pPr>
              <w:ind w:left="20"/>
              <w:spacing w:after="0" w:line="182" w:lineRule="exact"/>
              <w:rPr>
                <w:sz w:val="20"/>
                <w:szCs w:val="20"/>
                <w:color w:val="auto"/>
              </w:rPr>
            </w:pPr>
            <w:r>
              <w:rPr>
                <w:rFonts w:ascii="Arial" w:cs="Arial" w:eastAsia="Arial" w:hAnsi="Arial"/>
                <w:sz w:val="16"/>
                <w:szCs w:val="16"/>
                <w:color w:val="auto"/>
              </w:rPr>
              <w:t>Total liabilities and stockholders’ equity</w:t>
            </w:r>
          </w:p>
        </w:tc>
        <w:tc>
          <w:tcPr>
            <w:tcW w:w="340" w:type="dxa"/>
            <w:vAlign w:val="bottom"/>
          </w:tcPr>
          <w:p>
            <w:pPr>
              <w:jc w:val="right"/>
              <w:ind w:right="159"/>
              <w:spacing w:after="0" w:line="182" w:lineRule="exact"/>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0"/>
              <w:spacing w:after="0" w:line="182" w:lineRule="exact"/>
              <w:rPr>
                <w:sz w:val="20"/>
                <w:szCs w:val="20"/>
                <w:color w:val="auto"/>
              </w:rPr>
            </w:pPr>
            <w:r>
              <w:rPr>
                <w:rFonts w:ascii="Arial" w:cs="Arial" w:eastAsia="Arial" w:hAnsi="Arial"/>
                <w:sz w:val="16"/>
                <w:szCs w:val="16"/>
                <w:color w:val="auto"/>
              </w:rPr>
              <w:t>2,142,299</w:t>
            </w:r>
          </w:p>
        </w:tc>
        <w:tc>
          <w:tcPr>
            <w:tcW w:w="42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line="182" w:lineRule="exact"/>
              <w:rPr>
                <w:sz w:val="20"/>
                <w:szCs w:val="20"/>
                <w:color w:val="auto"/>
              </w:rPr>
            </w:pPr>
            <w:r>
              <w:rPr>
                <w:rFonts w:ascii="Arial" w:cs="Arial" w:eastAsia="Arial" w:hAnsi="Arial"/>
                <w:sz w:val="16"/>
                <w:szCs w:val="16"/>
                <w:color w:val="auto"/>
              </w:rPr>
              <w:t>2,366,750</w:t>
            </w:r>
          </w:p>
        </w:tc>
      </w:tr>
      <w:tr>
        <w:trPr>
          <w:trHeight w:val="20"/>
        </w:trPr>
        <w:tc>
          <w:tcPr>
            <w:tcW w:w="7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-3164205</wp:posOffset>
            </wp:positionV>
            <wp:extent cx="102870"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5113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-1092200</wp:posOffset>
            </wp:positionV>
            <wp:extent cx="102870" cy="125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2573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-150495</wp:posOffset>
            </wp:positionV>
            <wp:extent cx="10287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5113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VROOM, INC.</w:t>
      </w:r>
    </w:p>
    <w:p>
      <w:pPr>
        <w:ind w:left="2900"/>
        <w:spacing w:after="0" w:line="235" w:lineRule="auto"/>
        <w:rPr>
          <w:sz w:val="20"/>
          <w:szCs w:val="20"/>
          <w:color w:val="auto"/>
        </w:rPr>
      </w:pPr>
      <w:r>
        <w:rPr>
          <w:rFonts w:ascii="Arial" w:cs="Arial" w:eastAsia="Arial" w:hAnsi="Arial"/>
          <w:sz w:val="18"/>
          <w:szCs w:val="18"/>
          <w:b w:val="1"/>
          <w:bCs w:val="1"/>
          <w:color w:val="auto"/>
        </w:rPr>
        <w:t>CONDENSED CONSOLIDATED STATEMENTS OF OPERATIONS</w:t>
      </w:r>
    </w:p>
    <w:p>
      <w:pPr>
        <w:ind w:left="340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4"/>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524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341,724</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608,116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1,048,910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1,062,439</w:t>
            </w: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82,901</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128,108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222,885</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246,132</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24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14,324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22,306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38,773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37,878</w:t>
            </w: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32,121</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79,808</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4,367</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8,836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6,559</w:t>
            </w:r>
          </w:p>
        </w:tc>
        <w:tc>
          <w:tcPr>
            <w:tcW w:w="0" w:type="dxa"/>
            <w:vAlign w:val="bottom"/>
          </w:tcPr>
          <w:p>
            <w:pPr>
              <w:spacing w:after="0"/>
              <w:rPr>
                <w:sz w:val="1"/>
                <w:szCs w:val="1"/>
                <w:color w:val="auto"/>
              </w:rPr>
            </w:pPr>
          </w:p>
        </w:tc>
      </w:tr>
      <w:tr>
        <w:trPr>
          <w:trHeight w:val="182"/>
        </w:trPr>
        <w:tc>
          <w:tcPr>
            <w:tcW w:w="524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revenue</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475,437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761,890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1,399,212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1,353,008</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319,903</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577,636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1,015,412</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1,012,903</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24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84,834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119,592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227,571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237,898</w:t>
            </w: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3,402</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6,126</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941</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182"/>
        </w:trPr>
        <w:tc>
          <w:tcPr>
            <w:tcW w:w="5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6"/>
                <w:szCs w:val="16"/>
                <w:color w:val="auto"/>
              </w:rPr>
              <w:t>Total cost of sales</w:t>
            </w:r>
          </w:p>
        </w:tc>
        <w:tc>
          <w:tcPr>
            <w:tcW w:w="2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409,080</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698,762</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1,251,215</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1,253,704</w:t>
            </w:r>
          </w:p>
        </w:tc>
        <w:tc>
          <w:tcPr>
            <w:tcW w:w="0" w:type="dxa"/>
            <w:vAlign w:val="bottom"/>
          </w:tcPr>
          <w:p>
            <w:pPr>
              <w:spacing w:after="0"/>
              <w:rPr>
                <w:sz w:val="1"/>
                <w:szCs w:val="1"/>
                <w:color w:val="auto"/>
              </w:rPr>
            </w:pPr>
          </w:p>
        </w:tc>
      </w:tr>
      <w:tr>
        <w:trPr>
          <w:trHeight w:val="182"/>
        </w:trPr>
        <w:tc>
          <w:tcPr>
            <w:tcW w:w="5240" w:type="dxa"/>
            <w:vAlign w:val="bottom"/>
          </w:tcPr>
          <w:p>
            <w:pPr>
              <w:ind w:left="20"/>
              <w:spacing w:after="0" w:line="182" w:lineRule="exact"/>
              <w:rPr>
                <w:sz w:val="20"/>
                <w:szCs w:val="20"/>
                <w:color w:val="auto"/>
              </w:rPr>
            </w:pPr>
            <w:r>
              <w:rPr>
                <w:rFonts w:ascii="Arial" w:cs="Arial" w:eastAsia="Arial" w:hAnsi="Arial"/>
                <w:sz w:val="16"/>
                <w:szCs w:val="16"/>
                <w:color w:val="auto"/>
              </w:rPr>
              <w:t>Total gross profit</w:t>
            </w:r>
          </w:p>
        </w:tc>
        <w:tc>
          <w:tcPr>
            <w:tcW w:w="240" w:type="dxa"/>
            <w:vAlign w:val="bottom"/>
          </w:tcPr>
          <w:p>
            <w:pPr>
              <w:spacing w:after="0"/>
              <w:rPr>
                <w:sz w:val="15"/>
                <w:szCs w:val="15"/>
                <w:color w:val="auto"/>
              </w:rPr>
            </w:pPr>
          </w:p>
        </w:tc>
        <w:tc>
          <w:tcPr>
            <w:tcW w:w="1180" w:type="dxa"/>
            <w:vAlign w:val="bottom"/>
          </w:tcPr>
          <w:p>
            <w:pPr>
              <w:jc w:val="right"/>
              <w:ind w:right="60"/>
              <w:spacing w:after="0" w:line="182" w:lineRule="exact"/>
              <w:rPr>
                <w:sz w:val="20"/>
                <w:szCs w:val="20"/>
                <w:color w:val="auto"/>
              </w:rPr>
            </w:pPr>
            <w:r>
              <w:rPr>
                <w:rFonts w:ascii="Arial" w:cs="Arial" w:eastAsia="Arial" w:hAnsi="Arial"/>
                <w:sz w:val="16"/>
                <w:szCs w:val="16"/>
                <w:color w:val="auto"/>
              </w:rPr>
              <w:t>66,357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
              <w:spacing w:after="0" w:line="182" w:lineRule="exact"/>
              <w:rPr>
                <w:sz w:val="20"/>
                <w:szCs w:val="20"/>
                <w:color w:val="auto"/>
              </w:rPr>
            </w:pPr>
            <w:r>
              <w:rPr>
                <w:rFonts w:ascii="Arial" w:cs="Arial" w:eastAsia="Arial" w:hAnsi="Arial"/>
                <w:sz w:val="16"/>
                <w:szCs w:val="16"/>
                <w:color w:val="auto"/>
              </w:rPr>
              <w:t>63,128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0"/>
              <w:spacing w:after="0" w:line="182" w:lineRule="exact"/>
              <w:rPr>
                <w:sz w:val="20"/>
                <w:szCs w:val="20"/>
                <w:color w:val="auto"/>
              </w:rPr>
            </w:pPr>
            <w:r>
              <w:rPr>
                <w:rFonts w:ascii="Arial" w:cs="Arial" w:eastAsia="Arial" w:hAnsi="Arial"/>
                <w:sz w:val="16"/>
                <w:szCs w:val="16"/>
                <w:color w:val="auto"/>
              </w:rPr>
              <w:t>147,997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9"/>
              <w:spacing w:after="0" w:line="182" w:lineRule="exact"/>
              <w:rPr>
                <w:sz w:val="20"/>
                <w:szCs w:val="20"/>
                <w:color w:val="auto"/>
              </w:rPr>
            </w:pPr>
            <w:r>
              <w:rPr>
                <w:rFonts w:ascii="Arial" w:cs="Arial" w:eastAsia="Arial" w:hAnsi="Arial"/>
                <w:sz w:val="16"/>
                <w:szCs w:val="16"/>
                <w:color w:val="auto"/>
              </w:rPr>
              <w:t>99,304</w:t>
            </w: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152,990</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123,898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340,984</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232,764</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10,039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17,895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2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3,407</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205,110</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240" w:type="dxa"/>
            <w:vAlign w:val="bottom"/>
          </w:tcPr>
          <w:p>
            <w:pPr>
              <w:ind w:left="20"/>
              <w:spacing w:after="0" w:line="182" w:lineRule="exact"/>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6"/>
                <w:szCs w:val="16"/>
                <w:color w:val="auto"/>
              </w:rPr>
              <w:t>(100,079 )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6"/>
                <w:szCs w:val="16"/>
                <w:color w:val="auto"/>
              </w:rPr>
              <w:t>(63,828 )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(415,992 )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6"/>
                <w:szCs w:val="16"/>
                <w:color w:val="auto"/>
              </w:rPr>
              <w:t>(139,360 )</w:t>
            </w: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9,533</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18,913</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7,692</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(3,935 )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(2,062 )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(7,887 )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(4,358 )</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loss (income), net</w:t>
            </w:r>
          </w:p>
        </w:tc>
        <w:tc>
          <w:tcPr>
            <w:tcW w:w="2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9,156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21,514</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82"/>
        </w:trPr>
        <w:tc>
          <w:tcPr>
            <w:tcW w:w="5240" w:type="dxa"/>
            <w:vAlign w:val="bottom"/>
          </w:tcPr>
          <w:p>
            <w:pPr>
              <w:ind w:left="20"/>
              <w:spacing w:after="0" w:line="182" w:lineRule="exact"/>
              <w:rPr>
                <w:sz w:val="20"/>
                <w:szCs w:val="20"/>
                <w:color w:val="auto"/>
              </w:rPr>
            </w:pPr>
            <w:r>
              <w:rPr>
                <w:rFonts w:ascii="Arial" w:cs="Arial" w:eastAsia="Arial" w:hAnsi="Arial"/>
                <w:sz w:val="16"/>
                <w:szCs w:val="16"/>
                <w:color w:val="auto"/>
              </w:rPr>
              <w:t>Loss before provision for income taxes</w:t>
            </w:r>
          </w:p>
        </w:tc>
        <w:tc>
          <w:tcPr>
            <w:tcW w:w="2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6"/>
                <w:szCs w:val="16"/>
                <w:color w:val="auto"/>
              </w:rPr>
              <w:t>(114,833 )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6"/>
                <w:szCs w:val="16"/>
                <w:color w:val="auto"/>
              </w:rPr>
              <w:t>(65,613 )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(448,532 )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6"/>
                <w:szCs w:val="16"/>
                <w:color w:val="auto"/>
              </w:rPr>
              <w:t>(142,646 )</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256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(22,984 )</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82"/>
        </w:trPr>
        <w:tc>
          <w:tcPr>
            <w:tcW w:w="5240" w:type="dxa"/>
            <w:vAlign w:val="bottom"/>
          </w:tcPr>
          <w:p>
            <w:pPr>
              <w:ind w:left="20"/>
              <w:spacing w:after="0" w:line="182" w:lineRule="exact"/>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line="182" w:lineRule="exact"/>
              <w:rPr>
                <w:sz w:val="20"/>
                <w:szCs w:val="20"/>
                <w:color w:val="auto"/>
              </w:rPr>
            </w:pPr>
            <w:r>
              <w:rPr>
                <w:rFonts w:ascii="Arial" w:cs="Arial" w:eastAsia="Arial" w:hAnsi="Arial"/>
                <w:sz w:val="16"/>
                <w:szCs w:val="16"/>
                <w:color w:val="auto"/>
              </w:rPr>
              <w:t>(115,089 )</w:t>
            </w:r>
          </w:p>
        </w:tc>
        <w:tc>
          <w:tcPr>
            <w:tcW w:w="42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6"/>
                <w:szCs w:val="16"/>
                <w:color w:val="auto"/>
              </w:rPr>
              <w:t>(65,807 )</w:t>
            </w:r>
          </w:p>
        </w:tc>
        <w:tc>
          <w:tcPr>
            <w:tcW w:w="34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(425,548 )</w:t>
            </w:r>
          </w:p>
        </w:tc>
        <w:tc>
          <w:tcPr>
            <w:tcW w:w="40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6"/>
                <w:szCs w:val="16"/>
                <w:color w:val="auto"/>
              </w:rPr>
              <w:t>(142,996 )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40" w:type="dxa"/>
            <w:vAlign w:val="bottom"/>
            <w:shd w:val="clear" w:color="auto" w:fill="CFF0FC"/>
          </w:tcPr>
          <w:p>
            <w:pPr>
              <w:ind w:left="20"/>
              <w:spacing w:after="0" w:line="145" w:lineRule="exact"/>
              <w:rPr>
                <w:sz w:val="20"/>
                <w:szCs w:val="20"/>
                <w:color w:val="auto"/>
              </w:rPr>
            </w:pPr>
            <w:r>
              <w:rPr>
                <w:rFonts w:ascii="Arial" w:cs="Arial" w:eastAsia="Arial" w:hAnsi="Arial"/>
                <w:sz w:val="16"/>
                <w:szCs w:val="16"/>
                <w:color w:val="auto"/>
              </w:rPr>
              <w:t>Net loss per share attributable to common stockholders, basic and</w:t>
            </w:r>
          </w:p>
        </w:tc>
        <w:tc>
          <w:tcPr>
            <w:tcW w:w="2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(0.83 )</w:t>
            </w:r>
          </w:p>
        </w:tc>
        <w:tc>
          <w:tcPr>
            <w:tcW w:w="4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(0.48 )</w:t>
            </w:r>
          </w:p>
        </w:tc>
        <w:tc>
          <w:tcPr>
            <w:tcW w:w="3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(3.09 )</w:t>
            </w:r>
          </w:p>
        </w:tc>
        <w:tc>
          <w:tcPr>
            <w:tcW w:w="4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173"/>
        </w:trPr>
        <w:tc>
          <w:tcPr>
            <w:tcW w:w="5240" w:type="dxa"/>
            <w:vAlign w:val="bottom"/>
            <w:shd w:val="clear" w:color="auto" w:fill="CFF0FC"/>
          </w:tcPr>
          <w:p>
            <w:pPr>
              <w:ind w:left="20"/>
              <w:spacing w:after="0" w:line="174" w:lineRule="exact"/>
              <w:rPr>
                <w:sz w:val="20"/>
                <w:szCs w:val="20"/>
                <w:color w:val="auto"/>
              </w:rPr>
            </w:pPr>
            <w:r>
              <w:rPr>
                <w:rFonts w:ascii="Arial" w:cs="Arial" w:eastAsia="Arial" w:hAnsi="Arial"/>
                <w:sz w:val="16"/>
                <w:szCs w:val="16"/>
                <w:color w:val="auto"/>
              </w:rPr>
              <w:t>diluted</w:t>
            </w:r>
          </w:p>
        </w:tc>
        <w:tc>
          <w:tcPr>
            <w:tcW w:w="240" w:type="dxa"/>
            <w:vAlign w:val="bottom"/>
            <w:vMerge w:val="continue"/>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1160" w:type="dxa"/>
            <w:vAlign w:val="bottom"/>
            <w:vMerge w:val="continue"/>
            <w:shd w:val="clear" w:color="auto" w:fill="CFF0FC"/>
          </w:tcPr>
          <w:p>
            <w:pPr>
              <w:spacing w:after="0"/>
              <w:rPr>
                <w:sz w:val="15"/>
                <w:szCs w:val="15"/>
                <w:color w:val="auto"/>
              </w:rPr>
            </w:pPr>
          </w:p>
        </w:tc>
        <w:tc>
          <w:tcPr>
            <w:tcW w:w="400" w:type="dxa"/>
            <w:vAlign w:val="bottom"/>
            <w:gridSpan w:val="2"/>
            <w:vMerge w:val="continue"/>
            <w:shd w:val="clear" w:color="auto" w:fill="CFF0FC"/>
          </w:tcPr>
          <w:p>
            <w:pPr>
              <w:spacing w:after="0"/>
              <w:rPr>
                <w:sz w:val="15"/>
                <w:szCs w:val="15"/>
                <w:color w:val="auto"/>
              </w:rPr>
            </w:pPr>
          </w:p>
        </w:tc>
        <w:tc>
          <w:tcPr>
            <w:tcW w:w="11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240" w:type="dxa"/>
            <w:vAlign w:val="bottom"/>
            <w:tcBorders>
              <w:top w:val="single" w:sz="8" w:color="CFF0FC"/>
            </w:tcBorders>
          </w:tcPr>
          <w:p>
            <w:pPr>
              <w:ind w:left="20"/>
              <w:spacing w:after="0" w:line="158" w:lineRule="exact"/>
              <w:rPr>
                <w:sz w:val="20"/>
                <w:szCs w:val="20"/>
                <w:color w:val="auto"/>
              </w:rPr>
            </w:pPr>
            <w:r>
              <w:rPr>
                <w:rFonts w:ascii="Arial" w:cs="Arial" w:eastAsia="Arial" w:hAnsi="Arial"/>
                <w:sz w:val="16"/>
                <w:szCs w:val="16"/>
                <w:color w:val="auto"/>
              </w:rPr>
              <w:t>Weighted-average number of shares outstanding used to compute net</w:t>
            </w: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138,075,210</w:t>
            </w:r>
          </w:p>
        </w:tc>
        <w:tc>
          <w:tcPr>
            <w:tcW w:w="14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136,507,177</w:t>
            </w: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137,667,419</w:t>
            </w:r>
          </w:p>
        </w:tc>
        <w:tc>
          <w:tcPr>
            <w:tcW w:w="1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136,002,344</w:t>
            </w:r>
          </w:p>
        </w:tc>
        <w:tc>
          <w:tcPr>
            <w:tcW w:w="0" w:type="dxa"/>
            <w:vAlign w:val="bottom"/>
          </w:tcPr>
          <w:p>
            <w:pPr>
              <w:spacing w:after="0"/>
              <w:rPr>
                <w:sz w:val="1"/>
                <w:szCs w:val="1"/>
                <w:color w:val="auto"/>
              </w:rPr>
            </w:pPr>
          </w:p>
        </w:tc>
      </w:tr>
      <w:tr>
        <w:trPr>
          <w:trHeight w:val="146"/>
        </w:trPr>
        <w:tc>
          <w:tcPr>
            <w:tcW w:w="5240" w:type="dxa"/>
            <w:vAlign w:val="bottom"/>
          </w:tcPr>
          <w:p>
            <w:pPr>
              <w:ind w:left="20"/>
              <w:spacing w:after="0" w:line="127" w:lineRule="exact"/>
              <w:rPr>
                <w:sz w:val="20"/>
                <w:szCs w:val="20"/>
                <w:color w:val="auto"/>
              </w:rPr>
            </w:pPr>
            <w:r>
              <w:rPr>
                <w:rFonts w:ascii="Arial" w:cs="Arial" w:eastAsia="Arial" w:hAnsi="Arial"/>
                <w:sz w:val="14"/>
                <w:szCs w:val="14"/>
                <w:color w:val="auto"/>
              </w:rPr>
              <w:t>loss per share attributable to common stockholders, basic and diluted</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-1819910</wp:posOffset>
            </wp:positionV>
            <wp:extent cx="85725" cy="125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2573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-1819910</wp:posOffset>
            </wp:positionV>
            <wp:extent cx="76835" cy="125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-1819910</wp:posOffset>
            </wp:positionV>
            <wp:extent cx="76835" cy="125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-1332230</wp:posOffset>
            </wp:positionV>
            <wp:extent cx="85725" cy="125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2573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-1332230</wp:posOffset>
            </wp:positionV>
            <wp:extent cx="76835" cy="125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-1332230</wp:posOffset>
            </wp:positionV>
            <wp:extent cx="76835" cy="125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-843915</wp:posOffset>
            </wp:positionV>
            <wp:extent cx="85725" cy="125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2573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-843915</wp:posOffset>
            </wp:positionV>
            <wp:extent cx="76835" cy="125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-843915</wp:posOffset>
            </wp:positionV>
            <wp:extent cx="76835" cy="125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-595630</wp:posOffset>
            </wp:positionV>
            <wp:extent cx="85725"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5113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-595630</wp:posOffset>
            </wp:positionV>
            <wp:extent cx="76835"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-595630</wp:posOffset>
            </wp:positionV>
            <wp:extent cx="76835"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-227330</wp:posOffset>
            </wp:positionV>
            <wp:extent cx="85725" cy="227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22796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-227330</wp:posOffset>
            </wp:positionV>
            <wp:extent cx="76835" cy="227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22796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-227330</wp:posOffset>
            </wp:positionV>
            <wp:extent cx="76835" cy="227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22796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VROOM, INC.</w:t>
      </w:r>
    </w:p>
    <w:p>
      <w:pPr>
        <w:jc w:val="center"/>
        <w:ind w:right="40"/>
        <w:spacing w:after="0" w:line="235" w:lineRule="auto"/>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60" w:type="dxa"/>
            <w:vAlign w:val="bottom"/>
            <w:gridSpan w:val="3"/>
            <w:vMerge w:val="restart"/>
          </w:tcPr>
          <w:p>
            <w:pPr>
              <w:jc w:val="right"/>
              <w:ind w:right="502"/>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41"/>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560" w:type="dxa"/>
            <w:vAlign w:val="bottom"/>
            <w:tcBorders>
              <w:bottom w:val="single" w:sz="8" w:color="auto"/>
            </w:tcBorders>
            <w:gridSpan w:val="3"/>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221"/>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2"/>
        </w:trPr>
        <w:tc>
          <w:tcPr>
            <w:tcW w:w="364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Balance at December 31, 2020</w:t>
            </w:r>
          </w:p>
        </w:tc>
        <w:tc>
          <w:tcPr>
            <w:tcW w:w="138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134,043,969</w:t>
            </w:r>
          </w:p>
        </w:tc>
        <w:tc>
          <w:tcPr>
            <w:tcW w:w="1180" w:type="dxa"/>
            <w:vAlign w:val="bottom"/>
            <w:gridSpan w:val="2"/>
            <w:shd w:val="clear" w:color="auto" w:fill="CFF0FC"/>
          </w:tcPr>
          <w:p>
            <w:pPr>
              <w:jc w:val="right"/>
              <w:ind w:right="862"/>
              <w:spacing w:after="0" w:line="182"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132</w:t>
            </w:r>
          </w:p>
        </w:tc>
        <w:tc>
          <w:tcPr>
            <w:tcW w:w="340" w:type="dxa"/>
            <w:vAlign w:val="bottom"/>
            <w:gridSpan w:val="2"/>
            <w:shd w:val="clear" w:color="auto" w:fill="CFF0FC"/>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2,004,841</w:t>
            </w:r>
          </w:p>
        </w:tc>
        <w:tc>
          <w:tcPr>
            <w:tcW w:w="2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(777,871 )</w:t>
            </w:r>
          </w:p>
        </w:tc>
        <w:tc>
          <w:tcPr>
            <w:tcW w:w="2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1,227,102</w:t>
            </w:r>
          </w:p>
        </w:tc>
        <w:tc>
          <w:tcPr>
            <w:tcW w:w="0" w:type="dxa"/>
            <w:vAlign w:val="bottom"/>
          </w:tcPr>
          <w:p>
            <w:pPr>
              <w:spacing w:after="0"/>
              <w:rPr>
                <w:sz w:val="1"/>
                <w:szCs w:val="1"/>
                <w:color w:val="auto"/>
              </w:rPr>
            </w:pPr>
          </w:p>
        </w:tc>
      </w:tr>
      <w:tr>
        <w:trPr>
          <w:trHeight w:val="144"/>
        </w:trPr>
        <w:tc>
          <w:tcPr>
            <w:tcW w:w="3640" w:type="dxa"/>
            <w:vAlign w:val="bottom"/>
            <w:tcBorders>
              <w:top w:val="single" w:sz="8" w:color="CFF0FC"/>
            </w:tcBorders>
          </w:tcPr>
          <w:p>
            <w:pPr>
              <w:ind w:left="20"/>
              <w:spacing w:after="0" w:line="145" w:lineRule="exact"/>
              <w:rPr>
                <w:sz w:val="20"/>
                <w:szCs w:val="20"/>
                <w:color w:val="auto"/>
              </w:rPr>
            </w:pPr>
            <w:r>
              <w:rPr>
                <w:rFonts w:ascii="Arial" w:cs="Arial" w:eastAsia="Arial" w:hAnsi="Arial"/>
                <w:sz w:val="16"/>
                <w:szCs w:val="16"/>
                <w:color w:val="auto"/>
              </w:rPr>
              <w:t>Issuance of common stock for acquisition of</w:t>
            </w:r>
          </w:p>
        </w:tc>
        <w:tc>
          <w:tcPr>
            <w:tcW w:w="13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40" w:type="dxa"/>
            <w:vAlign w:val="bottom"/>
          </w:tcPr>
          <w:p>
            <w:pPr>
              <w:ind w:left="20"/>
              <w:spacing w:after="0"/>
              <w:rPr>
                <w:sz w:val="20"/>
                <w:szCs w:val="20"/>
                <w:color w:val="auto"/>
              </w:rPr>
            </w:pPr>
            <w:r>
              <w:rPr>
                <w:rFonts w:ascii="Arial" w:cs="Arial" w:eastAsia="Arial" w:hAnsi="Arial"/>
                <w:sz w:val="16"/>
                <w:szCs w:val="16"/>
                <w:color w:val="auto"/>
              </w:rPr>
              <w:t>business</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1,072,117</w:t>
            </w:r>
          </w:p>
        </w:tc>
        <w:tc>
          <w:tcPr>
            <w:tcW w:w="1180" w:type="dxa"/>
            <w:vAlign w:val="bottom"/>
            <w:gridSpan w:val="2"/>
          </w:tcPr>
          <w:p>
            <w:pPr>
              <w:jc w:val="right"/>
              <w:ind w:right="86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39,029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39,030</w:t>
            </w:r>
          </w:p>
        </w:tc>
        <w:tc>
          <w:tcPr>
            <w:tcW w:w="0" w:type="dxa"/>
            <w:vAlign w:val="bottom"/>
          </w:tcPr>
          <w:p>
            <w:pPr>
              <w:spacing w:after="0"/>
              <w:rPr>
                <w:sz w:val="1"/>
                <w:szCs w:val="1"/>
                <w:color w:val="auto"/>
              </w:rPr>
            </w:pPr>
          </w:p>
        </w:tc>
      </w:tr>
      <w:tr>
        <w:trPr>
          <w:trHeight w:val="164"/>
        </w:trPr>
        <w:tc>
          <w:tcPr>
            <w:tcW w:w="364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Fair value of unvested stock options assumed</w:t>
            </w:r>
          </w:p>
        </w:tc>
        <w:tc>
          <w:tcPr>
            <w:tcW w:w="1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 acquisition of business</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1,017</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2,820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687,336</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2,820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499,879</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(77,189 )</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(77,189 )</w:t>
            </w:r>
          </w:p>
        </w:tc>
        <w:tc>
          <w:tcPr>
            <w:tcW w:w="0" w:type="dxa"/>
            <w:vAlign w:val="bottom"/>
          </w:tcPr>
          <w:p>
            <w:pPr>
              <w:spacing w:after="0"/>
              <w:rPr>
                <w:sz w:val="1"/>
                <w:szCs w:val="1"/>
                <w:color w:val="auto"/>
              </w:rPr>
            </w:pPr>
          </w:p>
        </w:tc>
      </w:tr>
      <w:tr>
        <w:trPr>
          <w:trHeight w:val="182"/>
        </w:trPr>
        <w:tc>
          <w:tcPr>
            <w:tcW w:w="3640" w:type="dxa"/>
            <w:vAlign w:val="bottom"/>
          </w:tcPr>
          <w:p>
            <w:pPr>
              <w:ind w:left="20"/>
              <w:spacing w:after="0" w:line="182" w:lineRule="exact"/>
              <w:rPr>
                <w:sz w:val="20"/>
                <w:szCs w:val="20"/>
                <w:color w:val="auto"/>
              </w:rPr>
            </w:pPr>
            <w:r>
              <w:rPr>
                <w:rFonts w:ascii="Arial" w:cs="Arial" w:eastAsia="Arial" w:hAnsi="Arial"/>
                <w:sz w:val="16"/>
                <w:szCs w:val="16"/>
                <w:color w:val="auto"/>
              </w:rPr>
              <w:t>Balance at March 31, 2021</w:t>
            </w:r>
          </w:p>
        </w:tc>
        <w:tc>
          <w:tcPr>
            <w:tcW w:w="138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6"/>
                <w:szCs w:val="16"/>
                <w:color w:val="auto"/>
              </w:rPr>
              <w:t>136,303,301</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ind w:right="862"/>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6"/>
                <w:szCs w:val="16"/>
                <w:color w:val="auto"/>
              </w:rPr>
              <w:t>134</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rPr>
              <w:t>2,050,527</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(855,060 )</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rPr>
              <w:t>1,195,601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4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Stock-based compensation</w:t>
            </w:r>
          </w:p>
        </w:tc>
        <w:tc>
          <w:tcPr>
            <w:tcW w:w="1380" w:type="dxa"/>
            <w:vAlign w:val="bottom"/>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862"/>
              <w:spacing w:after="0" w:line="169"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5,392</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5,392</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395,491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1,560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18,555</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(65,807 )</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(65,807 )</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6"/>
                <w:szCs w:val="16"/>
                <w:color w:val="auto"/>
              </w:rPr>
              <w:t>Balance at June 30, 2021</w:t>
            </w:r>
          </w:p>
        </w:tc>
        <w:tc>
          <w:tcPr>
            <w:tcW w:w="1380" w:type="dxa"/>
            <w:vAlign w:val="bottom"/>
            <w:tcBorders>
              <w:bottom w:val="single" w:sz="8" w:color="auto"/>
            </w:tcBorders>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136,717,347</w:t>
            </w:r>
          </w:p>
        </w:tc>
        <w:tc>
          <w:tcPr>
            <w:tcW w:w="1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62"/>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134</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2,057,479</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(920,867 )</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1,136,746</w:t>
            </w:r>
          </w:p>
        </w:tc>
        <w:tc>
          <w:tcPr>
            <w:tcW w:w="0" w:type="dxa"/>
            <w:vAlign w:val="bottom"/>
          </w:tcPr>
          <w:p>
            <w:pPr>
              <w:spacing w:after="0"/>
              <w:rPr>
                <w:sz w:val="1"/>
                <w:szCs w:val="1"/>
                <w:color w:val="auto"/>
              </w:rPr>
            </w:pPr>
          </w:p>
        </w:tc>
      </w:tr>
      <w:tr>
        <w:trPr>
          <w:trHeight w:val="264"/>
        </w:trPr>
        <w:tc>
          <w:tcPr>
            <w:tcW w:w="3640" w:type="dxa"/>
            <w:vAlign w:val="bottom"/>
          </w:tcPr>
          <w:p>
            <w:pPr>
              <w:spacing w:after="0"/>
              <w:rPr>
                <w:sz w:val="22"/>
                <w:szCs w:val="22"/>
                <w:color w:val="auto"/>
              </w:rPr>
            </w:pPr>
          </w:p>
        </w:tc>
        <w:tc>
          <w:tcPr>
            <w:tcW w:w="2560" w:type="dxa"/>
            <w:vAlign w:val="bottom"/>
            <w:gridSpan w:val="3"/>
            <w:vMerge w:val="restart"/>
          </w:tcPr>
          <w:p>
            <w:pPr>
              <w:jc w:val="right"/>
              <w:ind w:right="502"/>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241"/>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560" w:type="dxa"/>
            <w:vAlign w:val="bottom"/>
            <w:tcBorders>
              <w:bottom w:val="single" w:sz="8" w:color="auto"/>
            </w:tcBorders>
            <w:gridSpan w:val="3"/>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221"/>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6"/>
                <w:szCs w:val="16"/>
                <w:color w:val="auto"/>
              </w:rPr>
              <w:t>Balance at December 31, 2021</w:t>
            </w:r>
          </w:p>
        </w:tc>
        <w:tc>
          <w:tcPr>
            <w:tcW w:w="1380" w:type="dxa"/>
            <w:vAlign w:val="bottom"/>
            <w:tcBorders>
              <w:bottom w:val="single" w:sz="8" w:color="auto"/>
            </w:tcBorders>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137,092,891</w:t>
            </w:r>
          </w:p>
        </w:tc>
        <w:tc>
          <w:tcPr>
            <w:tcW w:w="1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62"/>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135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2,063,841</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(1,148,782 )</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915,194</w:t>
            </w:r>
          </w:p>
        </w:tc>
        <w:tc>
          <w:tcPr>
            <w:tcW w:w="0" w:type="dxa"/>
            <w:vAlign w:val="bottom"/>
          </w:tcPr>
          <w:p>
            <w:pPr>
              <w:spacing w:after="0"/>
              <w:rPr>
                <w:sz w:val="1"/>
                <w:szCs w:val="1"/>
                <w:color w:val="auto"/>
              </w:rPr>
            </w:pPr>
          </w:p>
        </w:tc>
      </w:tr>
      <w:tr>
        <w:trPr>
          <w:trHeight w:val="169"/>
        </w:trPr>
        <w:tc>
          <w:tcPr>
            <w:tcW w:w="3640" w:type="dxa"/>
            <w:vAlign w:val="bottom"/>
          </w:tcPr>
          <w:p>
            <w:pPr>
              <w:ind w:left="20"/>
              <w:spacing w:after="0" w:line="169" w:lineRule="exact"/>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62"/>
              <w:spacing w:after="0" w:line="169"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line="169" w:lineRule="exact"/>
              <w:rPr>
                <w:sz w:val="20"/>
                <w:szCs w:val="20"/>
                <w:color w:val="auto"/>
              </w:rPr>
            </w:pPr>
            <w:r>
              <w:rPr>
                <w:rFonts w:ascii="Arial" w:cs="Arial" w:eastAsia="Arial" w:hAnsi="Arial"/>
                <w:sz w:val="16"/>
                <w:szCs w:val="16"/>
                <w:color w:val="auto"/>
              </w:rPr>
              <w:t>3,629</w:t>
            </w:r>
          </w:p>
        </w:tc>
        <w:tc>
          <w:tcPr>
            <w:tcW w:w="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line="169" w:lineRule="exact"/>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602,630</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6"/>
                <w:szCs w:val="16"/>
                <w:color w:val="auto"/>
              </w:rPr>
              <w:t>Balance at March 31, 2022</w:t>
            </w:r>
          </w:p>
        </w:tc>
        <w:tc>
          <w:tcPr>
            <w:tcW w:w="1380" w:type="dxa"/>
            <w:vAlign w:val="bottom"/>
            <w:tcBorders>
              <w:bottom w:val="single" w:sz="8" w:color="auto"/>
            </w:tcBorders>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137,695,521</w:t>
            </w:r>
          </w:p>
        </w:tc>
        <w:tc>
          <w:tcPr>
            <w:tcW w:w="1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62"/>
              <w:spacing w:after="0" w:line="182"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6"/>
                <w:szCs w:val="16"/>
                <w:color w:val="auto"/>
              </w:rPr>
              <w:t>135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2,067,470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(1,459,241 )</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Arial" w:cs="Arial" w:eastAsia="Arial" w:hAnsi="Arial"/>
                <w:sz w:val="16"/>
                <w:szCs w:val="16"/>
                <w:color w:val="auto"/>
              </w:rPr>
              <w:t>608,364</w:t>
            </w:r>
          </w:p>
        </w:tc>
        <w:tc>
          <w:tcPr>
            <w:tcW w:w="0" w:type="dxa"/>
            <w:vAlign w:val="bottom"/>
          </w:tcPr>
          <w:p>
            <w:pPr>
              <w:spacing w:after="0"/>
              <w:rPr>
                <w:sz w:val="1"/>
                <w:szCs w:val="1"/>
                <w:color w:val="auto"/>
              </w:rPr>
            </w:pPr>
          </w:p>
        </w:tc>
      </w:tr>
      <w:tr>
        <w:trPr>
          <w:trHeight w:val="169"/>
        </w:trPr>
        <w:tc>
          <w:tcPr>
            <w:tcW w:w="3640" w:type="dxa"/>
            <w:vAlign w:val="bottom"/>
          </w:tcPr>
          <w:p>
            <w:pPr>
              <w:ind w:left="20"/>
              <w:spacing w:after="0" w:line="169" w:lineRule="exact"/>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62"/>
              <w:spacing w:after="0" w:line="169"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line="169" w:lineRule="exact"/>
              <w:rPr>
                <w:sz w:val="20"/>
                <w:szCs w:val="20"/>
                <w:color w:val="auto"/>
              </w:rPr>
            </w:pPr>
            <w:r>
              <w:rPr>
                <w:rFonts w:ascii="Arial" w:cs="Arial" w:eastAsia="Arial" w:hAnsi="Arial"/>
                <w:sz w:val="16"/>
                <w:szCs w:val="16"/>
                <w:color w:val="auto"/>
              </w:rPr>
              <w:t>1,776</w:t>
            </w:r>
          </w:p>
        </w:tc>
        <w:tc>
          <w:tcPr>
            <w:tcW w:w="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line="169" w:lineRule="exact"/>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50,516</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640" w:type="dxa"/>
            <w:vAlign w:val="bottom"/>
          </w:tcPr>
          <w:p>
            <w:pPr>
              <w:ind w:left="20"/>
              <w:spacing w:after="0" w:line="164" w:lineRule="exact"/>
              <w:rPr>
                <w:sz w:val="20"/>
                <w:szCs w:val="20"/>
                <w:color w:val="auto"/>
              </w:rPr>
            </w:pPr>
            <w:r>
              <w:rPr>
                <w:rFonts w:ascii="Arial" w:cs="Arial" w:eastAsia="Arial" w:hAnsi="Arial"/>
                <w:sz w:val="16"/>
                <w:szCs w:val="16"/>
                <w:color w:val="auto"/>
              </w:rPr>
              <w:t>Issuance of restricted stock purchase</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40" w:type="dxa"/>
            <w:vAlign w:val="bottom"/>
          </w:tcPr>
          <w:p>
            <w:pPr>
              <w:ind w:left="20"/>
              <w:spacing w:after="0"/>
              <w:rPr>
                <w:sz w:val="20"/>
                <w:szCs w:val="20"/>
                <w:color w:val="auto"/>
              </w:rPr>
            </w:pPr>
            <w:r>
              <w:rPr>
                <w:rFonts w:ascii="Arial" w:cs="Arial" w:eastAsia="Arial" w:hAnsi="Arial"/>
                <w:sz w:val="16"/>
                <w:szCs w:val="16"/>
                <w:color w:val="auto"/>
              </w:rPr>
              <w:t>agreement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356,718</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(115,089 )</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(115,089 )</w:t>
            </w:r>
          </w:p>
        </w:tc>
        <w:tc>
          <w:tcPr>
            <w:tcW w:w="0" w:type="dxa"/>
            <w:vAlign w:val="bottom"/>
          </w:tcPr>
          <w:p>
            <w:pPr>
              <w:spacing w:after="0"/>
              <w:rPr>
                <w:sz w:val="1"/>
                <w:szCs w:val="1"/>
                <w:color w:val="auto"/>
              </w:rPr>
            </w:pPr>
          </w:p>
        </w:tc>
      </w:tr>
      <w:tr>
        <w:trPr>
          <w:trHeight w:val="182"/>
        </w:trPr>
        <w:tc>
          <w:tcPr>
            <w:tcW w:w="3640" w:type="dxa"/>
            <w:vAlign w:val="bottom"/>
          </w:tcPr>
          <w:p>
            <w:pPr>
              <w:ind w:left="20"/>
              <w:spacing w:after="0" w:line="182" w:lineRule="exact"/>
              <w:rPr>
                <w:sz w:val="20"/>
                <w:szCs w:val="20"/>
                <w:color w:val="auto"/>
              </w:rPr>
            </w:pPr>
            <w:r>
              <w:rPr>
                <w:rFonts w:ascii="Arial" w:cs="Arial" w:eastAsia="Arial" w:hAnsi="Arial"/>
                <w:sz w:val="16"/>
                <w:szCs w:val="16"/>
                <w:color w:val="auto"/>
              </w:rPr>
              <w:t>Balance at June 30, 2022</w:t>
            </w:r>
          </w:p>
        </w:tc>
        <w:tc>
          <w:tcPr>
            <w:tcW w:w="1380" w:type="dxa"/>
            <w:vAlign w:val="bottom"/>
          </w:tcPr>
          <w:p>
            <w:pPr>
              <w:jc w:val="right"/>
              <w:ind w:right="60"/>
              <w:spacing w:after="0" w:line="182" w:lineRule="exact"/>
              <w:rPr>
                <w:sz w:val="20"/>
                <w:szCs w:val="20"/>
                <w:color w:val="auto"/>
              </w:rPr>
            </w:pPr>
            <w:r>
              <w:rPr>
                <w:rFonts w:ascii="Arial" w:cs="Arial" w:eastAsia="Arial" w:hAnsi="Arial"/>
                <w:sz w:val="16"/>
                <w:szCs w:val="16"/>
                <w:color w:val="auto"/>
              </w:rPr>
              <w:t>138,102,755</w:t>
            </w:r>
          </w:p>
        </w:tc>
        <w:tc>
          <w:tcPr>
            <w:tcW w:w="1180" w:type="dxa"/>
            <w:vAlign w:val="bottom"/>
            <w:gridSpan w:val="2"/>
          </w:tcPr>
          <w:p>
            <w:pPr>
              <w:jc w:val="right"/>
              <w:ind w:right="862"/>
              <w:spacing w:after="0" w:line="182"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line="182" w:lineRule="exact"/>
              <w:rPr>
                <w:sz w:val="20"/>
                <w:szCs w:val="20"/>
                <w:color w:val="auto"/>
              </w:rPr>
            </w:pPr>
            <w:r>
              <w:rPr>
                <w:rFonts w:ascii="Arial" w:cs="Arial" w:eastAsia="Arial" w:hAnsi="Arial"/>
                <w:sz w:val="16"/>
                <w:szCs w:val="16"/>
                <w:color w:val="auto"/>
              </w:rPr>
              <w:t>135</w:t>
            </w:r>
          </w:p>
        </w:tc>
        <w:tc>
          <w:tcPr>
            <w:tcW w:w="340" w:type="dxa"/>
            <w:vAlign w:val="bottom"/>
            <w:gridSpan w:val="2"/>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line="182" w:lineRule="exact"/>
              <w:rPr>
                <w:sz w:val="20"/>
                <w:szCs w:val="20"/>
                <w:color w:val="auto"/>
              </w:rPr>
            </w:pPr>
            <w:r>
              <w:rPr>
                <w:rFonts w:ascii="Arial" w:cs="Arial" w:eastAsia="Arial" w:hAnsi="Arial"/>
                <w:sz w:val="16"/>
                <w:szCs w:val="16"/>
                <w:color w:val="auto"/>
              </w:rPr>
              <w:t>2,069,246</w:t>
            </w:r>
          </w:p>
        </w:tc>
        <w:tc>
          <w:tcPr>
            <w:tcW w:w="2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6"/>
                <w:szCs w:val="16"/>
                <w:color w:val="auto"/>
              </w:rPr>
              <w:t>(1,574,330 )</w:t>
            </w:r>
          </w:p>
        </w:tc>
        <w:tc>
          <w:tcPr>
            <w:tcW w:w="2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line="182" w:lineRule="exact"/>
              <w:rPr>
                <w:sz w:val="20"/>
                <w:szCs w:val="20"/>
                <w:color w:val="auto"/>
              </w:rPr>
            </w:pPr>
            <w:r>
              <w:rPr>
                <w:rFonts w:ascii="Arial" w:cs="Arial" w:eastAsia="Arial" w:hAnsi="Arial"/>
                <w:sz w:val="16"/>
                <w:szCs w:val="16"/>
                <w:color w:val="auto"/>
              </w:rPr>
              <w:t>495,051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-3552825</wp:posOffset>
            </wp:positionV>
            <wp:extent cx="3065145" cy="248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5145" cy="24828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-2599690</wp:posOffset>
            </wp:positionV>
            <wp:extent cx="93980" cy="15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5113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-2599690</wp:posOffset>
            </wp:positionV>
            <wp:extent cx="85725"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5113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-2599690</wp:posOffset>
            </wp:positionV>
            <wp:extent cx="85725" cy="15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5113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-2599690</wp:posOffset>
            </wp:positionV>
            <wp:extent cx="85725"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5113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-1840230</wp:posOffset>
            </wp:positionV>
            <wp:extent cx="3065145" cy="445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65145" cy="44513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-1275080</wp:posOffset>
            </wp:positionV>
            <wp:extent cx="306514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65145" cy="14541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-761365</wp:posOffset>
            </wp:positionV>
            <wp:extent cx="306514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65145" cy="145415"/>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-150495</wp:posOffset>
            </wp:positionV>
            <wp:extent cx="93980"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5113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-150495</wp:posOffset>
            </wp:positionV>
            <wp:extent cx="85725" cy="15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5113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-150495</wp:posOffset>
            </wp:positionV>
            <wp:extent cx="85725" cy="151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113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-150495</wp:posOffset>
            </wp:positionV>
            <wp:extent cx="85725" cy="151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5113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VROOM, INC.</w:t>
      </w:r>
    </w:p>
    <w:p>
      <w:pPr>
        <w:jc w:val="center"/>
        <w:ind w:right="40"/>
        <w:spacing w:after="0" w:line="235" w:lineRule="auto"/>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Six Months Ended</w:t>
      </w:r>
    </w:p>
    <w:p>
      <w:pPr>
        <w:spacing w:after="0" w:line="5"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2021</w:t>
            </w:r>
          </w:p>
        </w:tc>
      </w:tr>
      <w:tr>
        <w:trPr>
          <w:trHeight w:val="169"/>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(425,548 )</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(142,996 )</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205,110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18,010</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6,028</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2,523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698</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gain on the 2022-1 securitization transaction</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(29,617 )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(23,855 )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29,457</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5,405</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8,212</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(2,006 )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3,093</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Other, net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3,466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2,818</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(319,314 )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23,179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finance receivables held for sale, net</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271,820</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(4,011 )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34,192</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(41,393 )</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Inventory</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192,618</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(99,412 )</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13,513</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(26,669 )</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(1,670 )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(3,948 )</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(15,352 )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36,507</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(23,832 )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26,306</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(58,003 )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16,788</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(33,604 )</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62,117</w:t>
            </w:r>
          </w:p>
        </w:tc>
      </w:tr>
      <w:tr>
        <w:trPr>
          <w:trHeight w:val="169"/>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(137,519 )</w:t>
            </w: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(151,851 )</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Originations of finance receivables at fair value</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(49,475 )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74,690</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sale of finance receivables at fair value, net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29,026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2,720</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Purchase of property and equipment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(16,046 )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(8,943 )</w:t>
            </w:r>
          </w:p>
        </w:tc>
      </w:tr>
      <w:tr>
        <w:trPr>
          <w:trHeight w:val="175"/>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(267,488 )</w:t>
            </w:r>
          </w:p>
        </w:tc>
        <w:tc>
          <w:tcPr>
            <w:tcW w:w="1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(76,145 )</w:t>
            </w:r>
          </w:p>
        </w:tc>
      </w:tr>
      <w:tr>
        <w:trPr>
          <w:trHeight w:val="169"/>
        </w:trPr>
        <w:tc>
          <w:tcPr>
            <w:tcW w:w="74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(226,573 )</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(85,088 )</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(105,563 )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vehicle floorplan</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1,074,184</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1,070,110</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Repayments of vehicle floorplan</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(1,164,533 )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(1,035,727 )</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261,700</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(228,744 )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financing activities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issuance of convertible senior notes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625,000</w:t>
            </w: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 paid for convertible senior notes</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(16,175 )</w:t>
            </w: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4,381</w:t>
            </w:r>
          </w:p>
        </w:tc>
      </w:tr>
      <w:tr>
        <w:trPr>
          <w:trHeight w:val="16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(164,300 )</w:t>
            </w:r>
          </w:p>
        </w:tc>
        <w:tc>
          <w:tcPr>
            <w:tcW w:w="16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647,589</w:t>
            </w:r>
          </w:p>
        </w:tc>
      </w:tr>
      <w:tr>
        <w:trPr>
          <w:trHeight w:val="169"/>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(528,392 )</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410,650</w:t>
            </w:r>
          </w:p>
        </w:tc>
      </w:tr>
      <w:tr>
        <w:trPr>
          <w:trHeight w:val="175"/>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1,214,775</w:t>
            </w:r>
          </w:p>
        </w:tc>
        <w:tc>
          <w:tcPr>
            <w:tcW w:w="1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1,090,039</w:t>
            </w:r>
          </w:p>
        </w:tc>
      </w:tr>
      <w:tr>
        <w:trPr>
          <w:trHeight w:val="169"/>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686,383</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1,500,689</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4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16,299</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6,713</w:t>
            </w:r>
          </w:p>
        </w:tc>
      </w:tr>
      <w:tr>
        <w:trPr>
          <w:trHeight w:val="20"/>
        </w:trPr>
        <w:tc>
          <w:tcPr>
            <w:tcW w:w="74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4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Cash paid for income taxes</w:t>
            </w:r>
          </w:p>
        </w:tc>
        <w:tc>
          <w:tcPr>
            <w:tcW w:w="400" w:type="dxa"/>
            <w:vAlign w:val="bottom"/>
            <w:gridSpan w:val="2"/>
            <w:shd w:val="clear" w:color="auto" w:fill="CFF0FC"/>
          </w:tcPr>
          <w:p>
            <w:pPr>
              <w:jc w:val="right"/>
              <w:ind w:right="320"/>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2,062</w:t>
            </w:r>
          </w:p>
        </w:tc>
        <w:tc>
          <w:tcPr>
            <w:tcW w:w="560" w:type="dxa"/>
            <w:vAlign w:val="bottom"/>
            <w:gridSpan w:val="2"/>
            <w:shd w:val="clear" w:color="auto" w:fill="CFF0FC"/>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269</w:t>
            </w:r>
          </w:p>
        </w:tc>
      </w:tr>
      <w:tr>
        <w:trPr>
          <w:trHeight w:val="156"/>
        </w:trPr>
        <w:tc>
          <w:tcPr>
            <w:tcW w:w="742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215"/>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400" w:type="dxa"/>
            <w:vAlign w:val="bottom"/>
            <w:tcBorders>
              <w:bottom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16,473</w:t>
            </w: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56"/>
        </w:trPr>
        <w:tc>
          <w:tcPr>
            <w:tcW w:w="7420" w:type="dxa"/>
            <w:vAlign w:val="bottom"/>
          </w:tcPr>
          <w:p>
            <w:pPr>
              <w:ind w:left="20"/>
              <w:spacing w:after="0" w:line="156" w:lineRule="exact"/>
              <w:rPr>
                <w:sz w:val="20"/>
                <w:szCs w:val="20"/>
                <w:color w:val="auto"/>
              </w:rPr>
            </w:pPr>
            <w:r>
              <w:rPr>
                <w:rFonts w:ascii="Arial" w:cs="Arial" w:eastAsia="Arial" w:hAnsi="Arial"/>
                <w:sz w:val="14"/>
                <w:szCs w:val="14"/>
                <w:color w:val="auto"/>
              </w:rPr>
              <w:t>Issuance of common stock for CarStory acquisition</w:t>
            </w:r>
          </w:p>
        </w:tc>
        <w:tc>
          <w:tcPr>
            <w:tcW w:w="400" w:type="dxa"/>
            <w:vAlign w:val="bottom"/>
            <w:tcBorders>
              <w:bottom w:val="single" w:sz="8" w:color="auto"/>
            </w:tcBorders>
            <w:gridSpan w:val="2"/>
          </w:tcPr>
          <w:p>
            <w:pPr>
              <w:jc w:val="right"/>
              <w:ind w:right="320"/>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39,030</w:t>
            </w:r>
          </w:p>
        </w:tc>
      </w:tr>
      <w:tr>
        <w:trPr>
          <w:trHeight w:val="20"/>
        </w:trPr>
        <w:tc>
          <w:tcPr>
            <w:tcW w:w="74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4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Fair value of unvested stock options assumed for acquisition of business</w:t>
            </w:r>
          </w:p>
        </w:tc>
        <w:tc>
          <w:tcPr>
            <w:tcW w:w="400" w:type="dxa"/>
            <w:vAlign w:val="bottom"/>
            <w:tcBorders>
              <w:bottom w:val="single" w:sz="8" w:color="auto"/>
            </w:tcBorders>
            <w:gridSpan w:val="2"/>
            <w:shd w:val="clear" w:color="auto" w:fill="CFF0FC"/>
          </w:tcPr>
          <w:p>
            <w:pPr>
              <w:jc w:val="right"/>
              <w:ind w:right="320"/>
              <w:spacing w:after="0" w:line="156"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1,017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-2762250</wp:posOffset>
            </wp:positionV>
            <wp:extent cx="102870" cy="116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1684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-1409065</wp:posOffset>
            </wp:positionV>
            <wp:extent cx="102870" cy="116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1684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-1177925</wp:posOffset>
            </wp:positionV>
            <wp:extent cx="10287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4287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-547370</wp:posOffset>
            </wp:positionV>
            <wp:extent cx="1028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-299085</wp:posOffset>
            </wp:positionV>
            <wp:extent cx="10287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20"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84"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w:t>
      </w:r>
    </w:p>
    <w:p>
      <w:pPr>
        <w:spacing w:after="0" w:line="189"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As part of the Company's previously announced Business Realignment Plan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As of June 30, 2022, the Company is organized into three reportable segments: Ecommerce, Wholesale, and Retail Financing. The Company reclassified TDA revenue and TDA gross profit for the comparative period from the TDA reportable segment to the “All Other” category to conform to current year presentation. The Ecommerce reportable segment represents retail sales of used vehicles through the Company’s ecommerce platform, fees earned on sales of value-added products associated with those vehicles sales, as well as financing those sales through UACC. The Wholesale reportable segment represents sales of used vehicles through wholesale channels. The Retail Financing reportable segment represents UACC’s operations with its network of third-party dealership customers, which primarily consists of the purchases and servicing of vehicle installment contracts, but excluding financing of vehicle sales to Vroom customers.</w:t>
      </w:r>
    </w:p>
    <w:p>
      <w:pPr>
        <w:spacing w:after="0" w:line="188"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2021,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2021.</w:t>
      </w:r>
    </w:p>
    <w:p>
      <w:pPr>
        <w:spacing w:after="0" w:line="193"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2022 and its results of operations for the three and six months ended June 30, 2022 and 2021. The results for the three and six months ended June 30, 2022 are not necessarily indicative of the results expected for the current fiscal year or any other future periods. Certain prior year amounts have been reclassified to conform to the current year presentation.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600" w:firstLine="761"/>
        <w:spacing w:after="0" w:line="24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300" w:firstLine="761"/>
        <w:spacing w:after="0" w:line="237"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and six months ended June 30, 2022 and 2021.</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Restricted cash includes cash deposits required under the Company’s 2020 Vehicle Floorplan Facility as explained in Note 10 – Vehicle Floorplan Facility, and cash deposits of $77.0 million required under cash collateral agreements with certain of the Company's lenders. Additionally, starting in the first quarter of 2022, restricted cash also includes restricted cash for UACC. UACC collects and services all receivables under the securitizations and warehouse credit facilities. These collections are restricted for use until properly remitted each month under the terms of the servicing agreement. Refer to Note 11 — Warehouse Credit Facilities of Consolidated VIEs and Note 12 — Long Term Debt for further detail.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Finance receivables which the Company intends to sell and not hold to maturity are classified as held-for-sale. The Company intends to sell finance receivables either through securitization transactions or whole loan sales under 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in the condensed consolidated statements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The Company records a valuation allowance to report finance receivables at the lower of amortized cost basis or fair value. For purposes of determining the valuation allowance, finance receivables are evaluated collectively to determine the valuation allowance as they represent a large group of smaller-balance homogeneous loans. To the extent that actual experience differs from estimates, there could be significant adjustments to our valuation allowance. Fair value adjustments are recorded in "Other loss (income), net" in the condensed consolidated statements of operations. Principal balances of finance receivables are charged-off when the Company is unable to sell the finance receivable and the related vehicle has been repossessed and liquidated or the receivable has otherwise been deemed uncollectible. As of June 30, 2022, the valuation allowance for finance receivables classified as held for sale was $3.1 million. Refer to Note 16 – Financial Instruments and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20"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Finance receivables at fair value represent finance receivables for which the Company elected the fair value option on February 1, 2022 and primarily consists of the finance receivables held in consolidated variable interest entities ("VIEs") related to securitization transactions consummated prior to the Acquisition Date. Fair value adjustments are recorded in "Other loss (income), net" in the condensed consolidated statements of operations. Refer to Note 16 – Financial Instruments and Fair Value Measurements.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 xml:space="preserve">The Company elected the fair value option for the initial recognition of the assets and liabilities of its consolidated VIEs related to the 2020 and 2021 historical securitizations acquired from UACC. These VIEs are consolidated collateralized financing entities (CFEs) and are accounted for using the measurement alternative included in ASU 2014-13, </w:t>
      </w:r>
      <w:r>
        <w:rPr>
          <w:rFonts w:ascii="Arial" w:cs="Arial" w:eastAsia="Arial" w:hAnsi="Arial"/>
          <w:sz w:val="18"/>
          <w:szCs w:val="18"/>
          <w:i w:val="1"/>
          <w:iCs w:val="1"/>
          <w:color w:val="auto"/>
        </w:rPr>
        <w:t>Measuring the Financial Assets and Liabilities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Collateralized Financing Entity </w:t>
      </w:r>
      <w:r>
        <w:rPr>
          <w:rFonts w:ascii="Arial" w:cs="Arial" w:eastAsia="Arial" w:hAnsi="Arial"/>
          <w:sz w:val="18"/>
          <w:szCs w:val="18"/>
          <w:color w:val="auto"/>
        </w:rPr>
        <w:t>(“ASU 2014-13"). Interest income, interest expense and other loss or income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these CFEs are presented separately on the condensed consolidated statements of operations, within the “Finance revenue”, “Finance cost of sales” and “Other loss (income), net” line items, respectively. The assets and liabilities of the CFEs are presented as part of the current and noncurrent “Finance receivables at fair value” and “Securitization debt of consolidated VIEs at fair value,” respectively, on the condensed consolidated balance sheets.</w:t>
      </w:r>
    </w:p>
    <w:p>
      <w:pPr>
        <w:spacing w:after="0" w:line="192"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During the three and six months ended June 30, 2022, the Company recognized interest income of $14.2 million and $25.1 million, respectively, interest expense of $1.2 million and $2.0 million, respectively, and other net losses due to changes in fair value of $0.3 million and $12.3 million, respectively. Refer to Note 16 – Financial Instruments and Fair Value Measurements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8"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has four reporting units: Ecommerce, Wholesale, TDA and Retail Financing. In performing its goodwill impairment test, the Company first reviews qualitative factors to determine whether it is more likely than not that the fair value of a reporting unit is less than its carrying amount. If, after assessing qualitative factors, the Company determines that it is more likely than not that the fair value of a reporting unit is more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500" w:firstLine="764"/>
        <w:spacing w:after="0"/>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$21.1 million and $23.5 million for the three months ended June 30, 2022 and 2021, respectively, and $54.9 million and $53.1 million for the six months ended June 30,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$8.2 million and $20.2 million for the three months ended June 30, 2022 and 2021, respectively, and $35.0 million and $35.3 million for the six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89" w:lineRule="exact"/>
        <w:rPr>
          <w:sz w:val="20"/>
          <w:szCs w:val="20"/>
          <w:color w:val="auto"/>
        </w:rPr>
      </w:pPr>
    </w:p>
    <w:p>
      <w:pPr>
        <w:ind w:right="220" w:firstLine="761"/>
        <w:spacing w:after="0" w:line="274" w:lineRule="auto"/>
        <w:rPr>
          <w:sz w:val="20"/>
          <w:szCs w:val="20"/>
          <w:color w:val="auto"/>
        </w:rPr>
      </w:pPr>
      <w:r>
        <w:rPr>
          <w:rFonts w:ascii="Arial" w:cs="Arial" w:eastAsia="Arial" w:hAnsi="Arial"/>
          <w:sz w:val="17"/>
          <w:szCs w:val="17"/>
          <w:color w:val="auto"/>
        </w:rPr>
        <w:t>For the three and six months ended June 30, 2022 and 2021, no customer represented 10% or more of the Company’s revenues and no customer represented more than 10% of the Company’s accounts receivable as of June 30, 2022 and December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had negative cash flows and losses from operations since inception and expects to incur additional losses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Refer to Note 12 – Long Term Debt for further discussion.</w:t>
      </w:r>
    </w:p>
    <w:p>
      <w:pPr>
        <w:spacing w:after="0" w:line="184"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The Company has a Vehicle Floorplan Facility with a borrowing capacity of $700.0 million as of June 30, 2022. Refer to Note 10 – Vehicle Floorplan Facility for further discussion.</w:t>
      </w:r>
    </w:p>
    <w:p>
      <w:pPr>
        <w:spacing w:after="0" w:line="184"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In February 2022, UACC sold $281.4 million of rated asset-backed securities and $32.3 million of residual certificates in an auto loan securitization offering from a securitization trust, established and sponsored by UACC, for proceeds of $317.3 million. The trust is collateralized by finance receivables with an aggregate principal balance of $318.5 million and had a carrying value of $287.7 million at the time of sale. These finance receivables are serviced by UACC. UACC retained 5% of the notes and residual certificates sold. Refer to Note 4 – Variable Interest Entities and Securitizations for further discussion.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20" w:firstLine="761"/>
        <w:spacing w:after="0" w:line="245" w:lineRule="auto"/>
        <w:rPr>
          <w:sz w:val="20"/>
          <w:szCs w:val="20"/>
          <w:color w:val="auto"/>
        </w:rPr>
      </w:pPr>
      <w:r>
        <w:rPr>
          <w:rFonts w:ascii="Arial" w:cs="Arial" w:eastAsia="Arial" w:hAnsi="Arial"/>
          <w:sz w:val="18"/>
          <w:szCs w:val="18"/>
          <w:color w:val="auto"/>
        </w:rPr>
        <w:t>UACC has three warehouse credit facilities from a diverse bank group with a borrowing capacity of $400.0 million as of June 30, 2022. Refer to Note 11 – Warehouse Credit Facilities of Consolidated VIEs for further discussion.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issued Rocket 183,870 shares of the Company’s common stock upon execution of the RA Agreement. The Company agreed to pay Rocket a combination of cash and stock for vehicle sales made through the platform resulting in the issuance of 2,684 performance shares. The grant date fair value of the upfront shares issued was initially recognized as an asset within “Other assets” in the consolidated balance sheet. On April 26, 2022 the RA Agreement was suspended indefinitely and the asset related to the upfront shares of $2.1 million was written off to “Selling,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202" w:lineRule="exact"/>
        <w:rPr>
          <w:sz w:val="20"/>
          <w:szCs w:val="20"/>
          <w:color w:val="auto"/>
        </w:rPr>
      </w:pPr>
    </w:p>
    <w:p>
      <w:pPr>
        <w:ind w:right="60" w:firstLine="761"/>
        <w:spacing w:after="0" w:line="242"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guidance will be effective for fiscal years beginning after December 15, 2022, including interim periods within those fiscal years, with early adoption permitted. The Company is currently evaluating the impact that the adoption of this guidance will have on its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90" w:lineRule="exact"/>
        <w:rPr>
          <w:sz w:val="20"/>
          <w:szCs w:val="20"/>
          <w:color w:val="auto"/>
        </w:rPr>
      </w:pPr>
    </w:p>
    <w:p>
      <w:pPr>
        <w:ind w:right="580" w:firstLine="761"/>
        <w:spacing w:after="0" w:line="245"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92"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at the TDA retail location of used vehicles are recorded as “Deferred revenue” within the consolidated balance sheets.</w:t>
      </w:r>
    </w:p>
    <w:p>
      <w:pPr>
        <w:spacing w:after="0" w:line="188"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straight-buy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60" w:firstLine="761"/>
        <w:spacing w:after="0" w:line="245" w:lineRule="auto"/>
        <w:rPr>
          <w:sz w:val="20"/>
          <w:szCs w:val="20"/>
          <w:color w:val="auto"/>
        </w:rPr>
      </w:pPr>
      <w:r>
        <w:rPr>
          <w:rFonts w:ascii="Arial" w:cs="Arial" w:eastAsia="Arial" w:hAnsi="Arial"/>
          <w:sz w:val="18"/>
          <w:szCs w:val="18"/>
          <w:color w:val="auto"/>
        </w:rPr>
        <w:t>The Company’s product revenue consists of fees earned on selling third-party financing and value-added products, such as vehicle service contracts, guaranteed asset protection (“GAP”) and tire and wheel coverage.</w:t>
      </w:r>
    </w:p>
    <w:p>
      <w:pPr>
        <w:spacing w:after="0" w:line="184"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90" w:lineRule="exact"/>
        <w:rPr>
          <w:sz w:val="20"/>
          <w:szCs w:val="20"/>
          <w:color w:val="auto"/>
        </w:rPr>
      </w:pPr>
    </w:p>
    <w:p>
      <w:pPr>
        <w:ind w:right="360" w:firstLine="761"/>
        <w:spacing w:after="0" w:line="237"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June 30, 2022 and December 31, 2021, the Company’s reserve for chargebacks was $9.5 million and $9.6 million, respectively, of which $5.1 million and $5.5 million, respectively, are included within “Accrued expenses” and $4.4 million and $4.1 million, respectively, are included in “Other long-term liabilities.”</w:t>
      </w:r>
    </w:p>
    <w:p>
      <w:pPr>
        <w:spacing w:after="0" w:line="19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June 30, 2022 and December 31, 2021, the Company recognized $20.9 million and $17.9 million, respectively, related to cumulative profit-sharing payments to which it expects to be entitled, of which $1.1 million and $0.9 million, respectively, are included within “Prepaid expenses and other current assets” and $19.8 million and $17.0 million, respectively, are included within “Other assets.”</w:t>
      </w:r>
    </w:p>
    <w:p>
      <w:pPr>
        <w:spacing w:after="0" w:line="19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As a result of the UACC Acquisition (as defined below), the Company also generates ecommerce product revenue by providing Vroom customers with automotive financing solutions through its captive financing operation. The Company earns interest income on finance receivables before they are sold and proceeds from the sale of finance receivables originated by UACC for Vroom customers in securitization transactions. Refer to Note 4 – Variable Interest Entities and Securitizations.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Company’s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 to the Acquisition Date. Refer to Note 4 – Variable Interest Entities and Securitizations.</w:t>
      </w:r>
    </w:p>
    <w:p>
      <w:pPr>
        <w:spacing w:after="0" w:line="19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89" w:lineRule="exact"/>
        <w:rPr>
          <w:sz w:val="20"/>
          <w:szCs w:val="20"/>
          <w:color w:val="auto"/>
        </w:rPr>
      </w:pPr>
    </w:p>
    <w:p>
      <w:pPr>
        <w:ind w:right="60" w:firstLine="761"/>
        <w:spacing w:after="0" w:line="245"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of the outstanding principal balance of the finance receivables serviced.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revenue from CarStory's third-party customers and UACC licensing fee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93"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90" w:lineRule="exact"/>
        <w:rPr>
          <w:sz w:val="20"/>
          <w:szCs w:val="20"/>
          <w:color w:val="auto"/>
        </w:rPr>
      </w:pPr>
    </w:p>
    <w:p>
      <w:pPr>
        <w:jc w:val="both"/>
        <w:ind w:right="140" w:firstLine="761"/>
        <w:spacing w:after="0"/>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188" w:lineRule="exact"/>
        <w:rPr>
          <w:sz w:val="20"/>
          <w:szCs w:val="20"/>
          <w:color w:val="auto"/>
        </w:rPr>
      </w:pPr>
    </w:p>
    <w:p>
      <w:pPr>
        <w:jc w:val="both"/>
        <w:ind w:right="80" w:firstLine="761"/>
        <w:spacing w:after="0" w:line="274" w:lineRule="auto"/>
        <w:rPr>
          <w:sz w:val="20"/>
          <w:szCs w:val="20"/>
          <w:color w:val="auto"/>
        </w:rPr>
      </w:pPr>
      <w:r>
        <w:rPr>
          <w:rFonts w:ascii="Arial" w:cs="Arial" w:eastAsia="Arial" w:hAnsi="Arial"/>
          <w:sz w:val="17"/>
          <w:szCs w:val="17"/>
          <w:color w:val="auto"/>
        </w:rPr>
        <w:t>The securitization trusts established in connection with asset-backed securitization transactions are VIEs. For each VIE that UACC establishes in its role as sponsor of securitization transactions, it performs an analysis to determine if it is the primary beneficiary of the VIE.</w:t>
      </w:r>
    </w:p>
    <w:p>
      <w:pPr>
        <w:spacing w:after="0" w:line="160" w:lineRule="exact"/>
        <w:rPr>
          <w:sz w:val="20"/>
          <w:szCs w:val="20"/>
          <w:color w:val="auto"/>
        </w:rPr>
      </w:pPr>
    </w:p>
    <w:p>
      <w:pPr>
        <w:ind w:right="520" w:firstLine="761"/>
        <w:spacing w:after="0" w:line="245" w:lineRule="auto"/>
        <w:rPr>
          <w:sz w:val="20"/>
          <w:szCs w:val="20"/>
          <w:color w:val="auto"/>
        </w:rPr>
      </w:pPr>
      <w:r>
        <w:rPr>
          <w:rFonts w:ascii="Arial" w:cs="Arial" w:eastAsia="Arial" w:hAnsi="Arial"/>
          <w:sz w:val="18"/>
          <w:szCs w:val="18"/>
          <w:color w:val="auto"/>
        </w:rPr>
        <w:t>For all securitization transactions consummated prior to the Acquisition Date, UACC consolidated VIEs and accounted for the transactions as secured borrowings. UACC is the primary beneficiary of the United Auto Credit 2021-1</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and 2020-1 securitization trusts, as it has both the power to direct the activities that most significantly impact the entity’s economic performance and the obligation to absorb losses or the right to receive benefits from the entity that could potentially be significant to the VIE. These VIEs will continue to be consolidated on the Company's condensed consolidated financial statements. UACC has the power to direct significant activities of the securitization trusts as it has the ability to exercise discretion in the servicing of the related finance receivables. UACC also retained a portion of the economic interests in the 2021-1 and 2020-1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w:t>
      </w:r>
    </w:p>
    <w:p>
      <w:pPr>
        <w:spacing w:after="0" w:line="192"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2020-1 and 2021-1 securitizations trusts consolidated by UACC meet the definition of a CFE, therefore, the Company has elected to apply the measurement alternative when consolidating these VIEs. Refer to Note 16 - Financial Instruments and Fair Value Measurements for further detail.</w:t>
      </w:r>
    </w:p>
    <w:p>
      <w:pPr>
        <w:spacing w:after="0" w:line="189" w:lineRule="exact"/>
        <w:rPr>
          <w:sz w:val="20"/>
          <w:szCs w:val="20"/>
          <w:color w:val="auto"/>
        </w:rPr>
      </w:pPr>
    </w:p>
    <w:p>
      <w:pPr>
        <w:jc w:val="both"/>
        <w:ind w:right="120" w:firstLine="761"/>
        <w:spacing w:after="0" w:line="248" w:lineRule="auto"/>
        <w:rPr>
          <w:sz w:val="20"/>
          <w:szCs w:val="20"/>
          <w:color w:val="auto"/>
        </w:rPr>
      </w:pPr>
      <w:r>
        <w:rPr>
          <w:rFonts w:ascii="Arial" w:cs="Arial" w:eastAsia="Arial" w:hAnsi="Arial"/>
          <w:sz w:val="17"/>
          <w:szCs w:val="17"/>
          <w:color w:val="auto"/>
        </w:rPr>
        <w:t>UACC has three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184" w:lineRule="exact"/>
        <w:rPr>
          <w:sz w:val="20"/>
          <w:szCs w:val="20"/>
          <w:color w:val="auto"/>
        </w:rPr>
      </w:pPr>
    </w:p>
    <w:p>
      <w:pPr>
        <w:jc w:val="both"/>
        <w:ind w:right="40" w:firstLine="761"/>
        <w:spacing w:after="0" w:line="261" w:lineRule="auto"/>
        <w:rPr>
          <w:sz w:val="20"/>
          <w:szCs w:val="20"/>
          <w:color w:val="auto"/>
        </w:rPr>
      </w:pPr>
      <w:r>
        <w:rPr>
          <w:rFonts w:ascii="Arial" w:cs="Arial" w:eastAsia="Arial" w:hAnsi="Arial"/>
          <w:sz w:val="17"/>
          <w:szCs w:val="17"/>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our variable interests in consolidated VIEs, as classified in the condensed consolidated balance sheets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As of June 30, 2022</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920" w:type="dxa"/>
            <w:vAlign w:val="bottom"/>
          </w:tcPr>
          <w:p>
            <w:pPr>
              <w:spacing w:after="0"/>
              <w:rPr>
                <w:sz w:val="11"/>
                <w:szCs w:val="11"/>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Securitization Vehicles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Warehouse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3"/>
              <w:spacing w:after="0" w:line="189"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Current Assets:</w:t>
            </w:r>
          </w:p>
        </w:tc>
        <w:tc>
          <w:tcPr>
            <w:tcW w:w="6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394"/>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20,492</w:t>
            </w:r>
          </w:p>
        </w:tc>
        <w:tc>
          <w:tcPr>
            <w:tcW w:w="5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13,032</w:t>
            </w:r>
          </w:p>
        </w:tc>
        <w:tc>
          <w:tcPr>
            <w:tcW w:w="6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12,004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253,068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253,068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1,882</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757</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20"/>
              <w:spacing w:after="0" w:line="195" w:lineRule="exact"/>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7"/>
                <w:szCs w:val="17"/>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34,378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268,467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302,845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6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147,374</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17,203</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164,577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20"/>
              <w:spacing w:after="0" w:line="195" w:lineRule="exact"/>
              <w:rPr>
                <w:sz w:val="20"/>
                <w:szCs w:val="20"/>
                <w:color w:val="auto"/>
              </w:rPr>
            </w:pPr>
            <w:r>
              <w:rPr>
                <w:rFonts w:ascii="Arial" w:cs="Arial" w:eastAsia="Arial" w:hAnsi="Arial"/>
                <w:sz w:val="18"/>
                <w:szCs w:val="18"/>
                <w:color w:val="auto"/>
              </w:rPr>
              <w:t>Total Assets</w:t>
            </w:r>
          </w:p>
        </w:tc>
        <w:tc>
          <w:tcPr>
            <w:tcW w:w="600" w:type="dxa"/>
            <w:vAlign w:val="bottom"/>
          </w:tcPr>
          <w:p>
            <w:pPr>
              <w:jc w:val="right"/>
              <w:ind w:right="394"/>
              <w:spacing w:after="0" w:line="195"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181,752</w:t>
            </w:r>
          </w:p>
        </w:tc>
        <w:tc>
          <w:tcPr>
            <w:tcW w:w="52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285,670</w:t>
            </w:r>
          </w:p>
        </w:tc>
        <w:tc>
          <w:tcPr>
            <w:tcW w:w="62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467,422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Current portion of securitization debt</w:t>
            </w:r>
          </w:p>
        </w:tc>
        <w:tc>
          <w:tcPr>
            <w:tcW w:w="600" w:type="dxa"/>
            <w:vAlign w:val="bottom"/>
          </w:tcPr>
          <w:p>
            <w:pPr>
              <w:jc w:val="right"/>
              <w:ind w:right="394"/>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115,325</w:t>
            </w:r>
          </w:p>
        </w:tc>
        <w:tc>
          <w:tcPr>
            <w:tcW w:w="5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115,325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Warehouse credit facilities</w:t>
            </w:r>
          </w:p>
        </w:tc>
        <w:tc>
          <w:tcPr>
            <w:tcW w:w="6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210,577</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210,577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20"/>
              <w:spacing w:after="0" w:line="195" w:lineRule="exact"/>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rPr>
                <w:sz w:val="17"/>
                <w:szCs w:val="17"/>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115,325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210,577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325,902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 net of current portion</w:t>
            </w:r>
          </w:p>
        </w:tc>
        <w:tc>
          <w:tcPr>
            <w:tcW w:w="6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51,790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Liabilities</w:t>
            </w:r>
          </w:p>
        </w:tc>
        <w:tc>
          <w:tcPr>
            <w:tcW w:w="600" w:type="dxa"/>
            <w:vAlign w:val="bottom"/>
            <w:tcBorders>
              <w:bottom w:val="single" w:sz="8" w:color="auto"/>
            </w:tcBorders>
            <w:shd w:val="clear" w:color="auto" w:fill="CFF0FC"/>
          </w:tcPr>
          <w:p>
            <w:pPr>
              <w:jc w:val="right"/>
              <w:ind w:right="394"/>
              <w:spacing w:after="0" w:line="195"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167,354</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211,110</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378,464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-1366520</wp:posOffset>
            </wp:positionV>
            <wp:extent cx="768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-1366520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-1366520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-1101090</wp:posOffset>
            </wp:positionV>
            <wp:extent cx="768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-1101090</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-1101090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-553085</wp:posOffset>
            </wp:positionV>
            <wp:extent cx="768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-553085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-553085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11 – Warehouse Credit Facilities of Consolidated VIEs for further details of the warehouse facilities.</w:t>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consolidated VIEs for the period ended December 31, 2021.</w:t>
      </w:r>
    </w:p>
    <w:p>
      <w:pPr>
        <w:spacing w:after="0" w:line="198"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On February 16, 2022, UACC sold a pool of finance receivables in the United Auto Credit 2022-1 securitization transaction. UACC retained the servicing rights to these finance receivables and received beneficial interests in the form of asset-backed securities. UACC owns an insignificant portion of these securities and receives an at market servicing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fee. The securitization trust used to affect this transaction is a VIE that the Company does not consolidate. As the servicer, UACC retained the power to direct the activities that are most significant to the entity, however, UACC concluded that it is not the primary beneficiary of the United Auto Credit 2022-1 securitization trust because its retained interests in the VIEs are insignificant. The beneficial interest retained by UACC included rated notes and unrated residual certificates issued by the 2022-1 securitization trust.</w:t>
      </w:r>
    </w:p>
    <w:p>
      <w:pPr>
        <w:spacing w:after="0" w:line="19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92" w:lineRule="exact"/>
        <w:rPr>
          <w:sz w:val="20"/>
          <w:szCs w:val="20"/>
          <w:color w:val="auto"/>
        </w:rPr>
      </w:pPr>
    </w:p>
    <w:p>
      <w:pPr>
        <w:jc w:val="both"/>
        <w:ind w:right="100" w:firstLine="761"/>
        <w:spacing w:after="0" w:line="237" w:lineRule="auto"/>
        <w:rPr>
          <w:sz w:val="20"/>
          <w:szCs w:val="20"/>
          <w:color w:val="auto"/>
        </w:rPr>
      </w:pPr>
      <w:r>
        <w:rPr>
          <w:rFonts w:ascii="Arial" w:cs="Arial" w:eastAsia="Arial" w:hAnsi="Arial"/>
          <w:sz w:val="18"/>
          <w:szCs w:val="18"/>
          <w:color w:val="auto"/>
        </w:rPr>
        <w:t>The United Auto Credit 2022-1 securitization transaction qualified for sale accounting and the Company recognized a gain on sale of $29.6 million upon the sale of the finance receivables to the United Auto Credit 2022-1 securitization trust. The net proceeds from the sale consisted of the fair value of the assets obtained as part of the transaction, which included cash of $301.4 million, which is net of transaction expenses and beneficial interests of $16.5 million to comply with Risk Retention Rules. UACC utilized the prices paid by third-party investors to value the beneficial interests retained. The beneficial interests held by UACC are subject to the credit and prepayment risk stemming from the underlying finance receivables.</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As of June 30, 2022, the assets UACC retains in the unconsolidated VIEs were approximately $13.4 million and are included in "Beneficial interests in securitizations"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w:t>
      </w:r>
    </w:p>
    <w:p>
      <w:pPr>
        <w:spacing w:after="0" w:line="190" w:lineRule="exact"/>
        <w:rPr>
          <w:sz w:val="20"/>
          <w:szCs w:val="20"/>
          <w:color w:val="auto"/>
        </w:rPr>
      </w:pPr>
    </w:p>
    <w:p>
      <w:pPr>
        <w:ind w:right="420" w:firstLine="761"/>
        <w:spacing w:after="0" w:line="245"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As of June 30, 2022</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00" w:type="dxa"/>
            <w:vAlign w:val="bottom"/>
          </w:tcPr>
          <w:p>
            <w:pPr>
              <w:spacing w:after="0"/>
              <w:rPr>
                <w:sz w:val="14"/>
                <w:szCs w:val="14"/>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Aggregate Principal Balance</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4"/>
                <w:szCs w:val="14"/>
                <w:color w:val="auto"/>
              </w:rPr>
            </w:pPr>
          </w:p>
        </w:tc>
      </w:tr>
      <w:tr>
        <w:trPr>
          <w:trHeight w:val="196"/>
        </w:trPr>
        <w:tc>
          <w:tcPr>
            <w:tcW w:w="46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Rated notes</w:t>
            </w:r>
          </w:p>
        </w:tc>
        <w:tc>
          <w:tcPr>
            <w:tcW w:w="7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12,100</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11,816</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11,816</w:t>
            </w:r>
          </w:p>
        </w:tc>
        <w:tc>
          <w:tcPr>
            <w:tcW w:w="100" w:type="dxa"/>
            <w:vAlign w:val="bottom"/>
            <w:shd w:val="clear" w:color="auto" w:fill="CFF0FC"/>
          </w:tcPr>
          <w:p>
            <w:pPr>
              <w:spacing w:after="0"/>
              <w:rPr>
                <w:sz w:val="17"/>
                <w:szCs w:val="17"/>
                <w:color w:val="auto"/>
              </w:rPr>
            </w:pPr>
          </w:p>
        </w:tc>
      </w:tr>
      <w:tr>
        <w:trPr>
          <w:trHeight w:val="202"/>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Certificates</w:t>
            </w:r>
          </w:p>
        </w:tc>
        <w:tc>
          <w:tcPr>
            <w:tcW w:w="7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1,616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1,616</w:t>
            </w:r>
          </w:p>
        </w:tc>
        <w:tc>
          <w:tcPr>
            <w:tcW w:w="100" w:type="dxa"/>
            <w:vAlign w:val="bottom"/>
          </w:tcPr>
          <w:p>
            <w:pPr>
              <w:spacing w:after="0"/>
              <w:rPr>
                <w:sz w:val="17"/>
                <w:szCs w:val="17"/>
                <w:color w:val="auto"/>
              </w:rPr>
            </w:pPr>
          </w:p>
        </w:tc>
      </w:tr>
      <w:tr>
        <w:trPr>
          <w:trHeight w:val="202"/>
        </w:trPr>
        <w:tc>
          <w:tcPr>
            <w:tcW w:w="4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00" w:type="dxa"/>
            <w:vAlign w:val="bottom"/>
          </w:tcPr>
          <w:p>
            <w:pPr>
              <w:ind w:left="20"/>
              <w:spacing w:after="0" w:line="195" w:lineRule="exact"/>
              <w:rPr>
                <w:sz w:val="20"/>
                <w:szCs w:val="20"/>
                <w:color w:val="auto"/>
              </w:rPr>
            </w:pPr>
            <w:r>
              <w:rPr>
                <w:rFonts w:ascii="Arial" w:cs="Arial" w:eastAsia="Arial" w:hAnsi="Arial"/>
                <w:sz w:val="18"/>
                <w:szCs w:val="18"/>
                <w:color w:val="auto"/>
              </w:rPr>
              <w:t>Total unconsolidated VIEs</w:t>
            </w:r>
          </w:p>
        </w:tc>
        <w:tc>
          <w:tcPr>
            <w:tcW w:w="78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12,410</w:t>
            </w:r>
          </w:p>
        </w:tc>
        <w:tc>
          <w:tcPr>
            <w:tcW w:w="5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13,742</w:t>
            </w:r>
          </w:p>
        </w:tc>
        <w:tc>
          <w:tcPr>
            <w:tcW w:w="600" w:type="dxa"/>
            <w:vAlign w:val="bottom"/>
            <w:gridSpan w:val="2"/>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195" w:lineRule="exact"/>
              <w:rPr>
                <w:sz w:val="20"/>
                <w:szCs w:val="20"/>
                <w:color w:val="auto"/>
              </w:rPr>
            </w:pPr>
            <w:r>
              <w:rPr>
                <w:rFonts w:ascii="Arial" w:cs="Arial" w:eastAsia="Arial" w:hAnsi="Arial"/>
                <w:sz w:val="18"/>
                <w:szCs w:val="18"/>
                <w:color w:val="auto"/>
              </w:rPr>
              <w:t>13,742</w:t>
            </w:r>
          </w:p>
        </w:tc>
        <w:tc>
          <w:tcPr>
            <w:tcW w:w="10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-159385</wp:posOffset>
            </wp:positionV>
            <wp:extent cx="768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-159385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120" w:firstLine="749"/>
        <w:spacing w:after="0" w:line="252" w:lineRule="auto"/>
        <w:rPr>
          <w:sz w:val="20"/>
          <w:szCs w:val="20"/>
          <w:color w:val="auto"/>
        </w:rPr>
      </w:pPr>
      <w:r>
        <w:rPr>
          <w:rFonts w:ascii="Arial" w:cs="Arial" w:eastAsia="Arial" w:hAnsi="Arial"/>
          <w:sz w:val="17"/>
          <w:szCs w:val="17"/>
          <w:color w:val="auto"/>
        </w:rPr>
        <w:t>On February 1, 2022, the Company completed the acquisition (the "UACC Acquisition") of 100% of Unitas Holdings Corp., a Delaware corporation, including its wholly owned subsidiaries United PanAm Financial Corp. and United Auto Credit Corporation ("UACC"). Unitas Holdings Corp. (now known as Vroom Finance Corporation), United PanAm Financial Corp. (now known as Vroom Automotive Financial Corporation) and United Auto Credit Corporation, as well as their other subsidiaries, are now wholly owned subsidiaries of the Company. This acquisition accelerates the Company's strategy of establishing a captive financing arm and underwriting vehicle financing for its customers, the results of which will be included within the Ecommerce reporting segment. UACC will also continue its current operations with its network of third-party dealership customers, including the purchases and servicing of vehicle installment contracts, which will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constitute the separate Retail Financing reporting segment. The cash consideration transferred was approximately $315.4 million at the Acquisition Date, inclusive of immaterial measurement period adjustments.</w:t>
      </w:r>
    </w:p>
    <w:p>
      <w:pPr>
        <w:spacing w:after="0" w:line="184" w:lineRule="exact"/>
        <w:rPr>
          <w:sz w:val="20"/>
          <w:szCs w:val="20"/>
          <w:color w:val="auto"/>
        </w:rPr>
      </w:pPr>
    </w:p>
    <w:p>
      <w:pPr>
        <w:ind w:right="260" w:firstLine="799"/>
        <w:spacing w:after="0" w:line="245"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gridSpan w:val="2"/>
          </w:tcPr>
          <w:p>
            <w:pPr>
              <w:jc w:val="right"/>
              <w:ind w:right="1201"/>
              <w:spacing w:after="0"/>
              <w:rPr>
                <w:sz w:val="20"/>
                <w:szCs w:val="20"/>
                <w:color w:val="auto"/>
              </w:rPr>
            </w:pPr>
            <w:r>
              <w:rPr>
                <w:rFonts w:ascii="Arial" w:cs="Arial" w:eastAsia="Arial" w:hAnsi="Arial"/>
                <w:sz w:val="14"/>
                <w:szCs w:val="14"/>
                <w:b w:val="1"/>
                <w:bCs w:val="1"/>
                <w:color w:val="auto"/>
              </w:rPr>
              <w:t>Fair Value</w:t>
            </w:r>
          </w:p>
        </w:tc>
      </w:tr>
      <w:tr>
        <w:trPr>
          <w:trHeight w:val="202"/>
        </w:trPr>
        <w:tc>
          <w:tcPr>
            <w:tcW w:w="81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auto"/>
            </w:tcBorders>
            <w:shd w:val="clear" w:color="auto" w:fill="CFF0FC"/>
          </w:tcPr>
          <w:p>
            <w:pPr>
              <w:jc w:val="right"/>
              <w:ind w:right="430"/>
              <w:spacing w:after="0" w:line="201" w:lineRule="exact"/>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7"/>
                <w:szCs w:val="17"/>
                <w:color w:val="auto"/>
              </w:rPr>
            </w:pPr>
          </w:p>
        </w:tc>
      </w:tr>
      <w:tr>
        <w:trPr>
          <w:trHeight w:val="202"/>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7"/>
                <w:szCs w:val="17"/>
                <w:color w:val="auto"/>
              </w:rPr>
            </w:pP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42,631</w:t>
            </w:r>
          </w:p>
        </w:tc>
        <w:tc>
          <w:tcPr>
            <w:tcW w:w="100" w:type="dxa"/>
            <w:vAlign w:val="bottom"/>
          </w:tcPr>
          <w:p>
            <w:pPr>
              <w:spacing w:after="0"/>
              <w:rPr>
                <w:sz w:val="17"/>
                <w:szCs w:val="17"/>
                <w:color w:val="auto"/>
              </w:rPr>
            </w:pPr>
          </w:p>
        </w:tc>
      </w:tr>
      <w:tr>
        <w:trPr>
          <w:trHeight w:val="202"/>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640" w:type="dxa"/>
            <w:vAlign w:val="bottom"/>
            <w:shd w:val="clear" w:color="auto" w:fill="CFF0FC"/>
          </w:tcPr>
          <w:p>
            <w:pPr>
              <w:spacing w:after="0"/>
              <w:rPr>
                <w:sz w:val="17"/>
                <w:szCs w:val="17"/>
                <w:color w:val="auto"/>
              </w:rPr>
            </w:pPr>
          </w:p>
        </w:tc>
        <w:tc>
          <w:tcPr>
            <w:tcW w:w="2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296,927</w:t>
            </w:r>
          </w:p>
        </w:tc>
        <w:tc>
          <w:tcPr>
            <w:tcW w:w="100" w:type="dxa"/>
            <w:vAlign w:val="bottom"/>
            <w:shd w:val="clear" w:color="auto" w:fill="CFF0FC"/>
          </w:tcPr>
          <w:p>
            <w:pPr>
              <w:spacing w:after="0"/>
              <w:rPr>
                <w:sz w:val="17"/>
                <w:szCs w:val="17"/>
                <w:color w:val="auto"/>
              </w:rPr>
            </w:pPr>
          </w:p>
        </w:tc>
      </w:tr>
      <w:tr>
        <w:trPr>
          <w:trHeight w:val="202"/>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held for sale</w:t>
            </w:r>
          </w:p>
        </w:tc>
        <w:tc>
          <w:tcPr>
            <w:tcW w:w="640" w:type="dxa"/>
            <w:vAlign w:val="bottom"/>
          </w:tcPr>
          <w:p>
            <w:pPr>
              <w:spacing w:after="0"/>
              <w:rPr>
                <w:sz w:val="17"/>
                <w:szCs w:val="17"/>
                <w:color w:val="auto"/>
              </w:rPr>
            </w:pP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263,393</w:t>
            </w:r>
          </w:p>
        </w:tc>
        <w:tc>
          <w:tcPr>
            <w:tcW w:w="100" w:type="dxa"/>
            <w:vAlign w:val="bottom"/>
          </w:tcPr>
          <w:p>
            <w:pPr>
              <w:spacing w:after="0"/>
              <w:rPr>
                <w:sz w:val="17"/>
                <w:szCs w:val="17"/>
                <w:color w:val="auto"/>
              </w:rPr>
            </w:pPr>
          </w:p>
        </w:tc>
      </w:tr>
      <w:tr>
        <w:trPr>
          <w:trHeight w:val="202"/>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640" w:type="dxa"/>
            <w:vAlign w:val="bottom"/>
            <w:shd w:val="clear" w:color="auto" w:fill="CFF0FC"/>
          </w:tcPr>
          <w:p>
            <w:pPr>
              <w:spacing w:after="0"/>
              <w:rPr>
                <w:sz w:val="17"/>
                <w:szCs w:val="17"/>
                <w:color w:val="auto"/>
              </w:rPr>
            </w:pPr>
          </w:p>
        </w:tc>
        <w:tc>
          <w:tcPr>
            <w:tcW w:w="2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7"/>
                <w:szCs w:val="17"/>
                <w:color w:val="auto"/>
              </w:rPr>
            </w:pPr>
          </w:p>
        </w:tc>
      </w:tr>
      <w:tr>
        <w:trPr>
          <w:trHeight w:val="202"/>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7"/>
                <w:szCs w:val="17"/>
                <w:color w:val="auto"/>
              </w:rPr>
            </w:pP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42,886</w:t>
            </w:r>
          </w:p>
        </w:tc>
        <w:tc>
          <w:tcPr>
            <w:tcW w:w="100" w:type="dxa"/>
            <w:vAlign w:val="bottom"/>
          </w:tcPr>
          <w:p>
            <w:pPr>
              <w:spacing w:after="0"/>
              <w:rPr>
                <w:sz w:val="17"/>
                <w:szCs w:val="17"/>
                <w:color w:val="auto"/>
              </w:rPr>
            </w:pPr>
          </w:p>
        </w:tc>
      </w:tr>
      <w:tr>
        <w:trPr>
          <w:trHeight w:val="202"/>
        </w:trPr>
        <w:tc>
          <w:tcPr>
            <w:tcW w:w="8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640" w:type="dxa"/>
            <w:vAlign w:val="bottom"/>
            <w:tcBorders>
              <w:bottom w:val="single" w:sz="8" w:color="auto"/>
            </w:tcBorders>
            <w:shd w:val="clear" w:color="auto" w:fill="CFF0FC"/>
          </w:tcPr>
          <w:p>
            <w:pPr>
              <w:spacing w:after="0"/>
              <w:rPr>
                <w:sz w:val="17"/>
                <w:szCs w:val="17"/>
                <w:color w:val="auto"/>
              </w:rPr>
            </w:pPr>
          </w:p>
        </w:tc>
        <w:tc>
          <w:tcPr>
            <w:tcW w:w="2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25,934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20" w:type="dxa"/>
            <w:vAlign w:val="bottom"/>
          </w:tcPr>
          <w:p>
            <w:pPr>
              <w:ind w:left="20"/>
              <w:spacing w:after="0" w:line="195" w:lineRule="exact"/>
              <w:rPr>
                <w:sz w:val="20"/>
                <w:szCs w:val="20"/>
                <w:color w:val="auto"/>
              </w:rPr>
            </w:pPr>
            <w:r>
              <w:rPr>
                <w:rFonts w:ascii="Arial" w:cs="Arial" w:eastAsia="Arial" w:hAnsi="Arial"/>
                <w:sz w:val="18"/>
                <w:szCs w:val="18"/>
                <w:color w:val="auto"/>
              </w:rPr>
              <w:t>Total assets acquired</w:t>
            </w:r>
          </w:p>
        </w:tc>
        <w:tc>
          <w:tcPr>
            <w:tcW w:w="640" w:type="dxa"/>
            <w:vAlign w:val="bottom"/>
            <w:tcBorders>
              <w:bottom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833,065</w:t>
            </w:r>
          </w:p>
        </w:tc>
        <w:tc>
          <w:tcPr>
            <w:tcW w:w="100" w:type="dxa"/>
            <w:vAlign w:val="bottom"/>
          </w:tcPr>
          <w:p>
            <w:pPr>
              <w:spacing w:after="0"/>
              <w:rPr>
                <w:sz w:val="17"/>
                <w:szCs w:val="17"/>
                <w:color w:val="auto"/>
              </w:rPr>
            </w:pPr>
          </w:p>
        </w:tc>
      </w:tr>
      <w:tr>
        <w:trPr>
          <w:trHeight w:val="196"/>
        </w:trPr>
        <w:tc>
          <w:tcPr>
            <w:tcW w:w="81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Warehouse credit facilities</w:t>
            </w:r>
          </w:p>
        </w:tc>
        <w:tc>
          <w:tcPr>
            <w:tcW w:w="640" w:type="dxa"/>
            <w:vAlign w:val="bottom"/>
            <w:shd w:val="clear" w:color="auto" w:fill="CFF0FC"/>
          </w:tcPr>
          <w:p>
            <w:pPr>
              <w:spacing w:after="0"/>
              <w:rPr>
                <w:sz w:val="17"/>
                <w:szCs w:val="17"/>
                <w:color w:val="auto"/>
              </w:rPr>
            </w:pPr>
          </w:p>
        </w:tc>
        <w:tc>
          <w:tcPr>
            <w:tcW w:w="23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(178,067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2"/>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Long term debt</w:t>
            </w:r>
          </w:p>
        </w:tc>
        <w:tc>
          <w:tcPr>
            <w:tcW w:w="640" w:type="dxa"/>
            <w:vAlign w:val="bottom"/>
          </w:tcPr>
          <w:p>
            <w:pPr>
              <w:spacing w:after="0"/>
              <w:rPr>
                <w:sz w:val="17"/>
                <w:szCs w:val="17"/>
                <w:color w:val="auto"/>
              </w:rPr>
            </w:pP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(285,704 )</w:t>
            </w:r>
          </w:p>
        </w:tc>
      </w:tr>
      <w:tr>
        <w:trPr>
          <w:trHeight w:val="202"/>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640" w:type="dxa"/>
            <w:vAlign w:val="bottom"/>
            <w:shd w:val="clear" w:color="auto" w:fill="CFF0FC"/>
          </w:tcPr>
          <w:p>
            <w:pPr>
              <w:spacing w:after="0"/>
              <w:rPr>
                <w:sz w:val="17"/>
                <w:szCs w:val="17"/>
                <w:color w:val="auto"/>
              </w:rPr>
            </w:pPr>
          </w:p>
        </w:tc>
        <w:tc>
          <w:tcPr>
            <w:tcW w:w="2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(23,855 )</w:t>
            </w:r>
          </w:p>
        </w:tc>
      </w:tr>
      <w:tr>
        <w:trPr>
          <w:trHeight w:val="202"/>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7"/>
                <w:szCs w:val="17"/>
                <w:color w:val="auto"/>
              </w:rPr>
            </w:pP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(30,026 )</w:t>
            </w:r>
          </w:p>
        </w:tc>
      </w:tr>
      <w:tr>
        <w:trPr>
          <w:trHeight w:val="196"/>
        </w:trPr>
        <w:tc>
          <w:tcPr>
            <w:tcW w:w="81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liabilities assumed</w:t>
            </w:r>
          </w:p>
        </w:tc>
        <w:tc>
          <w:tcPr>
            <w:tcW w:w="640" w:type="dxa"/>
            <w:vAlign w:val="bottom"/>
            <w:tcBorders>
              <w:top w:val="single" w:sz="8" w:color="auto"/>
              <w:bottom w:val="single" w:sz="8" w:color="auto"/>
            </w:tcBorders>
            <w:shd w:val="clear" w:color="auto" w:fill="CFF0FC"/>
          </w:tcPr>
          <w:p>
            <w:pPr>
              <w:jc w:val="right"/>
              <w:ind w:right="430"/>
              <w:spacing w:after="0" w:line="195" w:lineRule="exact"/>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(517,652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8120" w:type="dxa"/>
            <w:vAlign w:val="bottom"/>
          </w:tcPr>
          <w:p>
            <w:pPr>
              <w:ind w:left="20"/>
              <w:spacing w:after="0" w:line="195" w:lineRule="exact"/>
              <w:rPr>
                <w:sz w:val="20"/>
                <w:szCs w:val="20"/>
                <w:color w:val="auto"/>
              </w:rPr>
            </w:pPr>
            <w:r>
              <w:rPr>
                <w:rFonts w:ascii="Arial" w:cs="Arial" w:eastAsia="Arial" w:hAnsi="Arial"/>
                <w:sz w:val="18"/>
                <w:szCs w:val="18"/>
                <w:color w:val="auto"/>
              </w:rPr>
              <w:t>Net assets acquired</w:t>
            </w:r>
          </w:p>
        </w:tc>
        <w:tc>
          <w:tcPr>
            <w:tcW w:w="640" w:type="dxa"/>
            <w:vAlign w:val="bottom"/>
            <w:tcBorders>
              <w:bottom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315,413</w:t>
            </w:r>
          </w:p>
        </w:tc>
        <w:tc>
          <w:tcPr>
            <w:tcW w:w="10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-955675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189"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16 -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192" w:lineRule="exact"/>
        <w:rPr>
          <w:sz w:val="20"/>
          <w:szCs w:val="20"/>
          <w:color w:val="auto"/>
        </w:rPr>
      </w:pPr>
    </w:p>
    <w:p>
      <w:pPr>
        <w:ind w:right="300" w:firstLine="749"/>
        <w:spacing w:after="0"/>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18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that UACC completed on February 16, 2022.</w:t>
      </w:r>
    </w:p>
    <w:p>
      <w:pPr>
        <w:spacing w:after="0" w:line="188"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280" w:firstLine="749"/>
        <w:spacing w:after="0" w:line="245"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Weighted Average Useful</w:t>
            </w:r>
          </w:p>
        </w:tc>
        <w:tc>
          <w:tcPr>
            <w:tcW w:w="0" w:type="dxa"/>
            <w:vAlign w:val="bottom"/>
          </w:tcPr>
          <w:p>
            <w:pPr>
              <w:spacing w:after="0"/>
              <w:rPr>
                <w:sz w:val="1"/>
                <w:szCs w:val="1"/>
                <w:color w:val="auto"/>
              </w:rPr>
            </w:pPr>
          </w:p>
        </w:tc>
      </w:tr>
      <w:tr>
        <w:trPr>
          <w:trHeight w:val="109"/>
        </w:trPr>
        <w:tc>
          <w:tcPr>
            <w:tcW w:w="7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79"/>
        </w:trPr>
        <w:tc>
          <w:tcPr>
            <w:tcW w:w="72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Purchased technology</w:t>
            </w:r>
          </w:p>
        </w:tc>
        <w:tc>
          <w:tcPr>
            <w:tcW w:w="320" w:type="dxa"/>
            <w:vAlign w:val="bottom"/>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83,000</w:t>
            </w:r>
          </w:p>
        </w:tc>
        <w:tc>
          <w:tcPr>
            <w:tcW w:w="460" w:type="dxa"/>
            <w:vAlign w:val="bottom"/>
            <w:shd w:val="clear" w:color="auto" w:fill="CFF0FC"/>
          </w:tcPr>
          <w:p>
            <w:pPr>
              <w:spacing w:after="0"/>
              <w:rPr>
                <w:sz w:val="17"/>
                <w:szCs w:val="17"/>
                <w:color w:val="auto"/>
              </w:rPr>
            </w:pPr>
          </w:p>
        </w:tc>
        <w:tc>
          <w:tcPr>
            <w:tcW w:w="184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2"/>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66,000</w:t>
            </w:r>
          </w:p>
        </w:tc>
        <w:tc>
          <w:tcPr>
            <w:tcW w:w="2300" w:type="dxa"/>
            <w:vAlign w:val="bottom"/>
            <w:gridSpan w:val="2"/>
          </w:tcPr>
          <w:p>
            <w:pPr>
              <w:jc w:val="center"/>
              <w:ind w:left="390"/>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2"/>
        </w:trPr>
        <w:tc>
          <w:tcPr>
            <w:tcW w:w="7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7,000</w:t>
            </w:r>
          </w:p>
        </w:tc>
        <w:tc>
          <w:tcPr>
            <w:tcW w:w="2300" w:type="dxa"/>
            <w:vAlign w:val="bottom"/>
            <w:tcBorders>
              <w:bottom w:val="single" w:sz="8" w:color="CFF0FC"/>
            </w:tcBorders>
            <w:gridSpan w:val="2"/>
            <w:shd w:val="clear" w:color="auto" w:fill="CFF0FC"/>
          </w:tcPr>
          <w:p>
            <w:pPr>
              <w:jc w:val="center"/>
              <w:ind w:left="370"/>
              <w:spacing w:after="0" w:line="202"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156,000</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-159385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ind w:right="80" w:firstLine="799"/>
        <w:spacing w:after="0" w:line="238"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developed technology, the royalty rate, the obsolescence factor and the discount rate.</w:t>
      </w:r>
    </w:p>
    <w:p>
      <w:pPr>
        <w:spacing w:after="0" w:line="190"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Under this approach, the Company estimates future cash flows attributable to the existing dealer relationships and discounts these cash flows at a rate of return that reflects the inherent risk in the dealer relationships.</w:t>
      </w:r>
    </w:p>
    <w:p>
      <w:pPr>
        <w:spacing w:after="0" w:line="189" w:lineRule="exact"/>
        <w:rPr>
          <w:sz w:val="20"/>
          <w:szCs w:val="20"/>
          <w:color w:val="auto"/>
        </w:rPr>
      </w:pPr>
    </w:p>
    <w:p>
      <w:pPr>
        <w:ind w:right="200" w:firstLine="799"/>
        <w:spacing w:after="0" w:line="238"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90" w:lineRule="exact"/>
        <w:rPr>
          <w:sz w:val="20"/>
          <w:szCs w:val="20"/>
          <w:color w:val="auto"/>
        </w:rPr>
      </w:pPr>
    </w:p>
    <w:p>
      <w:pPr>
        <w:jc w:val="both"/>
        <w:ind w:right="180" w:firstLine="749"/>
        <w:spacing w:after="0" w:line="261" w:lineRule="auto"/>
        <w:rPr>
          <w:sz w:val="20"/>
          <w:szCs w:val="20"/>
          <w:color w:val="auto"/>
        </w:rPr>
      </w:pPr>
      <w:r>
        <w:rPr>
          <w:rFonts w:ascii="Arial" w:cs="Arial" w:eastAsia="Arial" w:hAnsi="Arial"/>
          <w:sz w:val="17"/>
          <w:szCs w:val="17"/>
          <w:color w:val="auto"/>
        </w:rPr>
        <w:t>The fair values assigned to assets acquired and liabilities assumed are based on management’s estimates and assumptions and may be subject to change as additional information is received. The allocation of the total consideration transferred to the assets acquired, including intangible assets and goodwill, as well as the liabilities assumed is preliminary, pending the finalization of the third-party valuation.</w:t>
      </w:r>
    </w:p>
    <w:p>
      <w:pPr>
        <w:spacing w:after="0" w:line="171" w:lineRule="exact"/>
        <w:rPr>
          <w:sz w:val="20"/>
          <w:szCs w:val="20"/>
          <w:color w:val="auto"/>
        </w:rPr>
      </w:pPr>
    </w:p>
    <w:p>
      <w:pPr>
        <w:jc w:val="both"/>
        <w:ind w:right="20" w:firstLine="749"/>
        <w:spacing w:after="0"/>
        <w:rPr>
          <w:sz w:val="20"/>
          <w:szCs w:val="20"/>
          <w:color w:val="auto"/>
        </w:rPr>
      </w:pPr>
      <w:r>
        <w:rPr>
          <w:rFonts w:ascii="Arial" w:cs="Arial" w:eastAsia="Arial" w:hAnsi="Arial"/>
          <w:sz w:val="18"/>
          <w:szCs w:val="18"/>
          <w:color w:val="auto"/>
        </w:rPr>
        <w:t>The transaction costs associated with the UACC Acquisition were not material for the three months ended June 30, 2022 and were $5.7 million for the six months ended June 30, 2022, and are included within "Selling, general and administrative expenses" in the condensed consolidated statement of operations.</w:t>
      </w:r>
    </w:p>
    <w:p>
      <w:pPr>
        <w:spacing w:after="0" w:line="188"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$37.0 million and $1.0 million, respectively, for the three months ended June 30, 2022, and $86.0 million and $20.2 million for the six months ended June 30, 2022,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220"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adjustments to reflect non-recurring acquisition-related costs of $5.7 million as of the beginning comparable prior annual reporting period, a non-recurring tax adjustment of $24.1 million for the six months ended June 30, 2022 and a non-recurring tax benefit of $30.2 million for the six months ended June 30, 2021.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three months ended June 30, 2021 and the six months ended June 30, 2022 and 2021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440" w:type="dxa"/>
            <w:vAlign w:val="bottom"/>
          </w:tcPr>
          <w:p>
            <w:pPr>
              <w:spacing w:after="0"/>
              <w:rPr>
                <w:sz w:val="14"/>
                <w:szCs w:val="14"/>
                <w:color w:val="auto"/>
              </w:rPr>
            </w:pPr>
          </w:p>
        </w:tc>
        <w:tc>
          <w:tcPr>
            <w:tcW w:w="3600" w:type="dxa"/>
            <w:vAlign w:val="bottom"/>
            <w:gridSpan w:val="5"/>
            <w:vMerge w:val="restart"/>
          </w:tcPr>
          <w:p>
            <w:pPr>
              <w:jc w:val="right"/>
              <w:ind w:right="1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739"/>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Total revenue</w:t>
            </w:r>
          </w:p>
        </w:tc>
        <w:tc>
          <w:tcPr>
            <w:tcW w:w="4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805,231</w:t>
            </w: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1,414,683</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1,436,726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(45,860 )</w:t>
            </w:r>
          </w:p>
        </w:tc>
        <w:tc>
          <w:tcPr>
            <w:tcW w:w="2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(437,739 )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(90,243 )</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Acquisition</w:t>
      </w:r>
    </w:p>
    <w:p>
      <w:pPr>
        <w:spacing w:after="0" w:line="220"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CarStory continues to offer its digital retailing services to dealers, automotive financial services companies and others in the automotive industry. The financial results of CarStory were included in the consolidated financial statements from the date of acquisition. The transaction costs associated with its acquisition were not material for the year ended December 31, 2021. Pro forma results of operations have not been presented as the effect of this acquisition was not material to the consolidated financial statements.</w:t>
      </w:r>
    </w:p>
    <w:p>
      <w:pPr>
        <w:spacing w:after="0" w:line="193" w:lineRule="exact"/>
        <w:rPr>
          <w:sz w:val="20"/>
          <w:szCs w:val="20"/>
          <w:color w:val="auto"/>
        </w:rPr>
      </w:pPr>
    </w:p>
    <w:p>
      <w:pPr>
        <w:ind w:right="600" w:firstLine="749"/>
        <w:spacing w:after="0" w:line="245" w:lineRule="auto"/>
        <w:rPr>
          <w:sz w:val="20"/>
          <w:szCs w:val="20"/>
          <w:color w:val="auto"/>
        </w:rPr>
      </w:pPr>
      <w:r>
        <w:rPr>
          <w:rFonts w:ascii="Arial" w:cs="Arial" w:eastAsia="Arial" w:hAnsi="Arial"/>
          <w:sz w:val="18"/>
          <w:szCs w:val="18"/>
          <w:color w:val="auto"/>
        </w:rPr>
        <w:t>The fair value of the consideration transferred was approximately $116.6 million, inclusive of immaterial measurement period adjustments, and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r>
      <w:tr>
        <w:trPr>
          <w:trHeight w:val="202"/>
        </w:trPr>
        <w:tc>
          <w:tcPr>
            <w:tcW w:w="9220" w:type="dxa"/>
            <w:vAlign w:val="bottom"/>
            <w:shd w:val="clear" w:color="auto" w:fill="CFF0FC"/>
          </w:tcPr>
          <w:p>
            <w:pPr>
              <w:ind w:left="80"/>
              <w:spacing w:after="0" w:line="201" w:lineRule="exact"/>
              <w:rPr>
                <w:sz w:val="20"/>
                <w:szCs w:val="20"/>
                <w:color w:val="auto"/>
              </w:rPr>
            </w:pPr>
            <w:r>
              <w:rPr>
                <w:rFonts w:ascii="Arial" w:cs="Arial" w:eastAsia="Arial" w:hAnsi="Arial"/>
                <w:sz w:val="18"/>
                <w:szCs w:val="18"/>
                <w:color w:val="auto"/>
              </w:rPr>
              <w:t>Cash</w:t>
            </w:r>
          </w:p>
        </w:tc>
        <w:tc>
          <w:tcPr>
            <w:tcW w:w="360" w:type="dxa"/>
            <w:vAlign w:val="bottom"/>
            <w:shd w:val="clear" w:color="auto" w:fill="CFF0FC"/>
          </w:tcPr>
          <w:p>
            <w:pPr>
              <w:jc w:val="right"/>
              <w:ind w:right="150"/>
              <w:spacing w:after="0" w:line="201"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76,740</w:t>
            </w:r>
          </w:p>
        </w:tc>
        <w:tc>
          <w:tcPr>
            <w:tcW w:w="100" w:type="dxa"/>
            <w:vAlign w:val="bottom"/>
            <w:shd w:val="clear" w:color="auto" w:fill="CFF0FC"/>
          </w:tcPr>
          <w:p>
            <w:pPr>
              <w:spacing w:after="0"/>
              <w:rPr>
                <w:sz w:val="17"/>
                <w:szCs w:val="17"/>
                <w:color w:val="auto"/>
              </w:rPr>
            </w:pPr>
          </w:p>
        </w:tc>
      </w:tr>
      <w:tr>
        <w:trPr>
          <w:trHeight w:val="202"/>
        </w:trPr>
        <w:tc>
          <w:tcPr>
            <w:tcW w:w="9220" w:type="dxa"/>
            <w:vAlign w:val="bottom"/>
          </w:tcPr>
          <w:p>
            <w:pPr>
              <w:ind w:left="80"/>
              <w:spacing w:after="0" w:line="202" w:lineRule="exact"/>
              <w:rPr>
                <w:sz w:val="20"/>
                <w:szCs w:val="20"/>
                <w:color w:val="auto"/>
              </w:rPr>
            </w:pPr>
            <w:r>
              <w:rPr>
                <w:rFonts w:ascii="Arial" w:cs="Arial" w:eastAsia="Arial" w:hAnsi="Arial"/>
                <w:sz w:val="17"/>
                <w:szCs w:val="17"/>
                <w:color w:val="auto"/>
              </w:rPr>
              <w:t xml:space="preserve">Common stock issued </w:t>
            </w:r>
            <w:r>
              <w:rPr>
                <w:rFonts w:ascii="Arial" w:cs="Arial" w:eastAsia="Arial" w:hAnsi="Arial"/>
                <w:sz w:val="23"/>
                <w:szCs w:val="23"/>
                <w:color w:val="auto"/>
                <w:vertAlign w:val="superscript"/>
              </w:rPr>
              <w:t>(1)</w:t>
            </w:r>
          </w:p>
        </w:tc>
        <w:tc>
          <w:tcPr>
            <w:tcW w:w="3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38,811</w:t>
            </w:r>
          </w:p>
        </w:tc>
        <w:tc>
          <w:tcPr>
            <w:tcW w:w="100" w:type="dxa"/>
            <w:vAlign w:val="bottom"/>
          </w:tcPr>
          <w:p>
            <w:pPr>
              <w:spacing w:after="0"/>
              <w:rPr>
                <w:sz w:val="17"/>
                <w:szCs w:val="17"/>
                <w:color w:val="auto"/>
              </w:rPr>
            </w:pPr>
          </w:p>
        </w:tc>
      </w:tr>
      <w:tr>
        <w:trPr>
          <w:trHeight w:val="202"/>
        </w:trPr>
        <w:tc>
          <w:tcPr>
            <w:tcW w:w="92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7"/>
                <w:szCs w:val="17"/>
                <w:color w:val="auto"/>
              </w:rPr>
              <w:t xml:space="preserve">Fair value of unvested stock options assumed </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60"/>
              <w:spacing w:after="0" w:line="195"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116,568</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7" w:lineRule="exact"/>
        <w:rPr>
          <w:sz w:val="20"/>
          <w:szCs w:val="20"/>
          <w:color w:val="auto"/>
        </w:rPr>
      </w:pPr>
    </w:p>
    <w:p>
      <w:pPr>
        <w:ind w:left="760" w:right="140" w:hanging="378"/>
        <w:spacing w:after="0" w:line="257"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issued 1,066,444 shares of common stock, net of 5,673 shares cancelled to satisfy working capital adjustment,. The fair value of common stock was determined based on the closing market price on the date of acquisition discounted for a lack of marketability of 10.0% to account for the 180 day lock up period.</w:t>
      </w:r>
    </w:p>
    <w:p>
      <w:pPr>
        <w:spacing w:after="0" w:line="86" w:lineRule="exact"/>
        <w:rPr>
          <w:rFonts w:ascii="Arial" w:cs="Arial" w:eastAsia="Arial" w:hAnsi="Arial"/>
          <w:sz w:val="14"/>
          <w:szCs w:val="14"/>
          <w:color w:val="auto"/>
        </w:rPr>
      </w:pPr>
    </w:p>
    <w:p>
      <w:pPr>
        <w:ind w:left="760" w:right="100" w:hanging="378"/>
        <w:spacing w:after="0" w:line="257"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60" w:firstLine="749"/>
        <w:spacing w:after="0" w:line="274" w:lineRule="auto"/>
        <w:rPr>
          <w:sz w:val="20"/>
          <w:szCs w:val="20"/>
          <w:color w:val="auto"/>
        </w:rPr>
      </w:pPr>
      <w:r>
        <w:rPr>
          <w:rFonts w:ascii="Arial" w:cs="Arial" w:eastAsia="Arial" w:hAnsi="Arial"/>
          <w:sz w:val="17"/>
          <w:szCs w:val="17"/>
          <w:color w:val="auto"/>
        </w:rPr>
        <w:t>The following table summarizes the fair value of the identified assets acquired and liabilities assumed as of the acquisition date, inclusive of immaterial measurement period adjustments which were finalized in the year ended December 31, 2021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9240" w:type="dxa"/>
            <w:vAlign w:val="bottom"/>
            <w:shd w:val="clear" w:color="auto" w:fill="CFF0FC"/>
          </w:tcPr>
          <w:p>
            <w:pPr>
              <w:ind w:left="80"/>
              <w:spacing w:after="0" w:line="195"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865</w:t>
            </w:r>
          </w:p>
        </w:tc>
        <w:tc>
          <w:tcPr>
            <w:tcW w:w="100" w:type="dxa"/>
            <w:vAlign w:val="bottom"/>
            <w:shd w:val="clear" w:color="auto" w:fill="CFF0FC"/>
          </w:tcPr>
          <w:p>
            <w:pPr>
              <w:spacing w:after="0"/>
              <w:rPr>
                <w:sz w:val="17"/>
                <w:szCs w:val="17"/>
                <w:color w:val="auto"/>
              </w:rPr>
            </w:pPr>
          </w:p>
        </w:tc>
      </w:tr>
      <w:tr>
        <w:trPr>
          <w:trHeight w:val="202"/>
        </w:trPr>
        <w:tc>
          <w:tcPr>
            <w:tcW w:w="9240" w:type="dxa"/>
            <w:vAlign w:val="bottom"/>
          </w:tcPr>
          <w:p>
            <w:pPr>
              <w:ind w:left="60"/>
              <w:spacing w:after="0" w:line="202" w:lineRule="exact"/>
              <w:rPr>
                <w:sz w:val="20"/>
                <w:szCs w:val="20"/>
                <w:color w:val="auto"/>
              </w:rPr>
            </w:pPr>
            <w:r>
              <w:rPr>
                <w:rFonts w:ascii="Arial" w:cs="Arial" w:eastAsia="Arial" w:hAnsi="Arial"/>
                <w:sz w:val="18"/>
                <w:szCs w:val="18"/>
                <w:color w:val="auto"/>
              </w:rPr>
              <w:t>Accounts receivable, prepaid expenses and other current assets</w:t>
            </w:r>
          </w:p>
        </w:tc>
        <w:tc>
          <w:tcPr>
            <w:tcW w:w="3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1,330</w:t>
            </w:r>
          </w:p>
        </w:tc>
        <w:tc>
          <w:tcPr>
            <w:tcW w:w="100" w:type="dxa"/>
            <w:vAlign w:val="bottom"/>
          </w:tcPr>
          <w:p>
            <w:pPr>
              <w:spacing w:after="0"/>
              <w:rPr>
                <w:sz w:val="17"/>
                <w:szCs w:val="17"/>
                <w:color w:val="auto"/>
              </w:rPr>
            </w:pPr>
          </w:p>
        </w:tc>
      </w:tr>
      <w:tr>
        <w:trPr>
          <w:trHeight w:val="202"/>
        </w:trPr>
        <w:tc>
          <w:tcPr>
            <w:tcW w:w="9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Property and equipment and other assets</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7"/>
                <w:szCs w:val="17"/>
                <w:color w:val="auto"/>
              </w:rPr>
            </w:pPr>
          </w:p>
        </w:tc>
      </w:tr>
      <w:tr>
        <w:trPr>
          <w:trHeight w:val="202"/>
        </w:trPr>
        <w:tc>
          <w:tcPr>
            <w:tcW w:w="924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34,300</w:t>
            </w:r>
          </w:p>
        </w:tc>
        <w:tc>
          <w:tcPr>
            <w:tcW w:w="100" w:type="dxa"/>
            <w:vAlign w:val="bottom"/>
          </w:tcPr>
          <w:p>
            <w:pPr>
              <w:spacing w:after="0"/>
              <w:rPr>
                <w:sz w:val="17"/>
                <w:szCs w:val="17"/>
                <w:color w:val="auto"/>
              </w:rPr>
            </w:pPr>
          </w:p>
        </w:tc>
      </w:tr>
      <w:tr>
        <w:trPr>
          <w:trHeight w:val="202"/>
        </w:trPr>
        <w:tc>
          <w:tcPr>
            <w:tcW w:w="9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80,645</w:t>
            </w:r>
          </w:p>
        </w:tc>
        <w:tc>
          <w:tcPr>
            <w:tcW w:w="100" w:type="dxa"/>
            <w:vAlign w:val="bottom"/>
            <w:shd w:val="clear" w:color="auto" w:fill="CFF0FC"/>
          </w:tcPr>
          <w:p>
            <w:pPr>
              <w:spacing w:after="0"/>
              <w:rPr>
                <w:sz w:val="17"/>
                <w:szCs w:val="17"/>
                <w:color w:val="auto"/>
              </w:rPr>
            </w:pPr>
          </w:p>
        </w:tc>
      </w:tr>
      <w:tr>
        <w:trPr>
          <w:trHeight w:val="202"/>
        </w:trPr>
        <w:tc>
          <w:tcPr>
            <w:tcW w:w="9240" w:type="dxa"/>
            <w:vAlign w:val="bottom"/>
          </w:tcPr>
          <w:p>
            <w:pPr>
              <w:ind w:left="80"/>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(943 )</w:t>
            </w:r>
          </w:p>
        </w:tc>
      </w:tr>
      <w:tr>
        <w:trPr>
          <w:trHeight w:val="236"/>
        </w:trPr>
        <w:tc>
          <w:tcPr>
            <w:tcW w:w="9240" w:type="dxa"/>
            <w:vAlign w:val="bottom"/>
            <w:tcBorders>
              <w:bottom w:val="single" w:sz="8" w:color="CFF0FC"/>
            </w:tcBorders>
            <w:shd w:val="clear" w:color="auto" w:fill="CFF0FC"/>
          </w:tcPr>
          <w:p>
            <w:pPr>
              <w:ind w:left="80"/>
              <w:spacing w:after="0" w:line="195" w:lineRule="exact"/>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116,568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reporting unit.</w:t>
      </w:r>
    </w:p>
    <w:p>
      <w:pPr>
        <w:spacing w:after="0" w:line="190" w:lineRule="exact"/>
        <w:rPr>
          <w:sz w:val="20"/>
          <w:szCs w:val="20"/>
          <w:color w:val="auto"/>
        </w:rPr>
      </w:pPr>
    </w:p>
    <w:p>
      <w:pPr>
        <w:ind w:right="200" w:firstLine="749"/>
        <w:spacing w:after="0" w:line="245" w:lineRule="auto"/>
        <w:rPr>
          <w:sz w:val="20"/>
          <w:szCs w:val="20"/>
          <w:color w:val="auto"/>
        </w:rPr>
      </w:pPr>
      <w:r>
        <w:rPr>
          <w:rFonts w:ascii="Arial" w:cs="Arial" w:eastAsia="Arial" w:hAnsi="Arial"/>
          <w:sz w:val="18"/>
          <w:szCs w:val="18"/>
          <w:color w:val="auto"/>
        </w:rPr>
        <w:t>The following table summarizes the final identifiable intangible assets acquired and their estimated weighted average useful life at the date of acquisition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Useful</w:t>
            </w:r>
          </w:p>
        </w:tc>
        <w:tc>
          <w:tcPr>
            <w:tcW w:w="0" w:type="dxa"/>
            <w:vAlign w:val="bottom"/>
          </w:tcPr>
          <w:p>
            <w:pPr>
              <w:spacing w:after="0"/>
              <w:rPr>
                <w:sz w:val="1"/>
                <w:szCs w:val="1"/>
                <w:color w:val="auto"/>
              </w:rPr>
            </w:pPr>
          </w:p>
        </w:tc>
      </w:tr>
      <w:tr>
        <w:trPr>
          <w:trHeight w:val="189"/>
        </w:trPr>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80"/>
              <w:spacing w:after="0" w:line="195" w:lineRule="exact"/>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FF0FC"/>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25,700</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2"/>
        </w:trPr>
        <w:tc>
          <w:tcPr>
            <w:tcW w:w="7820" w:type="dxa"/>
            <w:vAlign w:val="bottom"/>
          </w:tcPr>
          <w:p>
            <w:pPr>
              <w:ind w:left="60"/>
              <w:spacing w:after="0" w:line="202" w:lineRule="exact"/>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5,200</w:t>
            </w:r>
          </w:p>
        </w:tc>
        <w:tc>
          <w:tcPr>
            <w:tcW w:w="18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2"/>
        </w:trPr>
        <w:tc>
          <w:tcPr>
            <w:tcW w:w="78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3,400</w:t>
            </w:r>
          </w:p>
        </w:tc>
        <w:tc>
          <w:tcPr>
            <w:tcW w:w="1800" w:type="dxa"/>
            <w:vAlign w:val="bottom"/>
            <w:tcBorders>
              <w:bottom w:val="single" w:sz="8" w:color="CFF0FC"/>
            </w:tcBorders>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7820" w:type="dxa"/>
            <w:vAlign w:val="bottom"/>
          </w:tcPr>
          <w:p>
            <w:pPr>
              <w:ind w:left="60"/>
              <w:spacing w:after="0" w:line="195" w:lineRule="exact"/>
              <w:rPr>
                <w:sz w:val="20"/>
                <w:szCs w:val="20"/>
                <w:color w:val="auto"/>
              </w:rPr>
            </w:pPr>
            <w:r>
              <w:rPr>
                <w:rFonts w:ascii="Arial" w:cs="Arial" w:eastAsia="Arial" w:hAnsi="Arial"/>
                <w:sz w:val="18"/>
                <w:szCs w:val="18"/>
                <w:color w:val="auto"/>
              </w:rPr>
              <w:t>Total intangible assets subject to amortization</w:t>
            </w:r>
          </w:p>
        </w:tc>
        <w:tc>
          <w:tcPr>
            <w:tcW w:w="30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34,300</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-159385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84"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The estimated fair value of the intangible assets acquired was determined using a discounted cash flow method under the income approach. Under this approach, the Company estimates future cash flows and discounts these cash flows at a rate of return that reflects the Company’s relative risk.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2021</w:t>
            </w:r>
          </w:p>
        </w:tc>
      </w:tr>
      <w:tr>
        <w:trPr>
          <w:trHeight w:val="196"/>
        </w:trPr>
        <w:tc>
          <w:tcPr>
            <w:tcW w:w="70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Vehicles</w:t>
            </w:r>
          </w:p>
        </w:tc>
        <w:tc>
          <w:tcPr>
            <w:tcW w:w="380" w:type="dxa"/>
            <w:vAlign w:val="bottom"/>
            <w:shd w:val="clear" w:color="auto" w:fill="CFF0FC"/>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7"/>
              <w:spacing w:after="0" w:line="195" w:lineRule="exact"/>
              <w:rPr>
                <w:sz w:val="20"/>
                <w:szCs w:val="20"/>
                <w:color w:val="auto"/>
              </w:rPr>
            </w:pPr>
            <w:r>
              <w:rPr>
                <w:rFonts w:ascii="Arial" w:cs="Arial" w:eastAsia="Arial" w:hAnsi="Arial"/>
                <w:sz w:val="18"/>
                <w:szCs w:val="18"/>
                <w:color w:val="auto"/>
              </w:rPr>
              <w:t>532,702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37"/>
              <w:spacing w:after="0" w:line="195" w:lineRule="exact"/>
              <w:rPr>
                <w:sz w:val="20"/>
                <w:szCs w:val="20"/>
                <w:color w:val="auto"/>
              </w:rPr>
            </w:pPr>
            <w:r>
              <w:rPr>
                <w:rFonts w:ascii="Arial" w:cs="Arial" w:eastAsia="Arial" w:hAnsi="Arial"/>
                <w:sz w:val="18"/>
                <w:szCs w:val="18"/>
                <w:color w:val="auto"/>
              </w:rPr>
              <w:t>724,542</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Parts and accessories</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3,070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1,842</w:t>
            </w:r>
          </w:p>
        </w:tc>
      </w:tr>
      <w:tr>
        <w:trPr>
          <w:trHeight w:val="236"/>
        </w:trPr>
        <w:tc>
          <w:tcPr>
            <w:tcW w:w="708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shd w:val="clear" w:color="auto" w:fill="CFF0FC"/>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37"/>
              <w:spacing w:after="0" w:line="195" w:lineRule="exact"/>
              <w:rPr>
                <w:sz w:val="20"/>
                <w:szCs w:val="20"/>
                <w:color w:val="auto"/>
              </w:rPr>
            </w:pPr>
            <w:r>
              <w:rPr>
                <w:rFonts w:ascii="Arial" w:cs="Arial" w:eastAsia="Arial" w:hAnsi="Arial"/>
                <w:sz w:val="18"/>
                <w:szCs w:val="18"/>
                <w:color w:val="auto"/>
              </w:rPr>
              <w:t>535,772</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37"/>
              <w:spacing w:after="0" w:line="195" w:lineRule="exact"/>
              <w:rPr>
                <w:sz w:val="20"/>
                <w:szCs w:val="20"/>
                <w:color w:val="auto"/>
              </w:rPr>
            </w:pPr>
            <w:r>
              <w:rPr>
                <w:rFonts w:ascii="Arial" w:cs="Arial" w:eastAsia="Arial" w:hAnsi="Arial"/>
                <w:sz w:val="18"/>
                <w:szCs w:val="18"/>
                <w:color w:val="auto"/>
              </w:rPr>
              <w:t>726,384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-24765</wp:posOffset>
            </wp:positionV>
            <wp:extent cx="120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120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1" w:lineRule="exact"/>
        <w:rPr>
          <w:sz w:val="20"/>
          <w:szCs w:val="20"/>
          <w:color w:val="auto"/>
        </w:rPr>
      </w:pPr>
    </w:p>
    <w:p>
      <w:pPr>
        <w:ind w:right="100" w:firstLine="761"/>
        <w:spacing w:after="0" w:line="245" w:lineRule="auto"/>
        <w:rPr>
          <w:sz w:val="20"/>
          <w:szCs w:val="20"/>
          <w:color w:val="auto"/>
        </w:rPr>
      </w:pPr>
      <w:r>
        <w:rPr>
          <w:rFonts w:ascii="Arial" w:cs="Arial" w:eastAsia="Arial" w:hAnsi="Arial"/>
          <w:sz w:val="18"/>
          <w:szCs w:val="18"/>
          <w:color w:val="auto"/>
        </w:rPr>
        <w:t>As of June 30, 2022 and December 31, 2021, “Inventory” includes an adjustment of $20.4 million and $22.4 million, respectively, to record the balances at the lower of cost or net realizable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r>
      <w:tr>
        <w:trPr>
          <w:trHeight w:val="196"/>
        </w:trPr>
        <w:tc>
          <w:tcPr>
            <w:tcW w:w="70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Equipment</w:t>
            </w:r>
          </w:p>
        </w:tc>
        <w:tc>
          <w:tcPr>
            <w:tcW w:w="380" w:type="dxa"/>
            <w:vAlign w:val="bottom"/>
            <w:shd w:val="clear" w:color="auto" w:fill="CFF0FC"/>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3,045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1,011</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7"/>
                <w:szCs w:val="17"/>
                <w:color w:val="auto"/>
              </w:rPr>
            </w:pPr>
          </w:p>
        </w:tc>
        <w:tc>
          <w:tcPr>
            <w:tcW w:w="1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1,827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2,244</w:t>
            </w:r>
          </w:p>
        </w:tc>
      </w:tr>
      <w:tr>
        <w:trPr>
          <w:trHeight w:val="202"/>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Logistics fleet</w:t>
            </w: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31,540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22,810</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7"/>
                <w:szCs w:val="17"/>
                <w:color w:val="auto"/>
              </w:rPr>
            </w:pPr>
          </w:p>
        </w:tc>
        <w:tc>
          <w:tcPr>
            <w:tcW w:w="1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6,558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7,161</w:t>
            </w:r>
          </w:p>
        </w:tc>
      </w:tr>
      <w:tr>
        <w:trPr>
          <w:trHeight w:val="202"/>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Internal-use software</w:t>
            </w: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25,812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18,423</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6,762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5,811</w:t>
            </w:r>
          </w:p>
        </w:tc>
      </w:tr>
      <w:tr>
        <w:trPr>
          <w:trHeight w:val="196"/>
        </w:trPr>
        <w:tc>
          <w:tcPr>
            <w:tcW w:w="7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75,544</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57,460</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(25,708 )</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(20,418 )</w:t>
            </w:r>
          </w:p>
        </w:tc>
      </w:tr>
      <w:tr>
        <w:trPr>
          <w:trHeight w:val="236"/>
        </w:trPr>
        <w:tc>
          <w:tcPr>
            <w:tcW w:w="708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FF0FC"/>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49,836</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37,042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-24765</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1"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Depreciation and amortization expense was $3.4 million and $1.5 million for the three months ended June 30, 2022 and 2021, respectively, and $6.2 million and $3.0 million for the six months ended June 30, 2022 and 2021, respectively. Depreciation and amortization expense included within “Cost of sales” in the condensed consolidated statements of operations was not material for the three and six months ended June 30, 2022 and 2021, respectively.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w:t>
      </w:r>
    </w:p>
    <w:p>
      <w:pPr>
        <w:spacing w:after="0" w:line="234" w:lineRule="auto"/>
        <w:rPr>
          <w:sz w:val="20"/>
          <w:szCs w:val="20"/>
          <w:color w:val="auto"/>
        </w:rPr>
      </w:pPr>
      <w:r>
        <w:rPr>
          <w:rFonts w:ascii="Arial" w:cs="Arial" w:eastAsia="Arial" w:hAnsi="Arial"/>
          <w:sz w:val="18"/>
          <w:szCs w:val="18"/>
          <w:color w:val="auto"/>
        </w:rPr>
        <w:t>$10.3 million and $3.5 million as of June 30, 2022, respectively, and $8.1 million and $2.4 million as of December 31, 2021, respectively, and</w:t>
      </w:r>
    </w:p>
    <w:p>
      <w:pPr>
        <w:spacing w:after="0" w:line="235" w:lineRule="auto"/>
        <w:rPr>
          <w:sz w:val="20"/>
          <w:szCs w:val="20"/>
          <w:color w:val="auto"/>
        </w:rPr>
      </w:pPr>
      <w:r>
        <w:rPr>
          <w:rFonts w:ascii="Arial" w:cs="Arial" w:eastAsia="Arial" w:hAnsi="Arial"/>
          <w:sz w:val="18"/>
          <w:szCs w:val="18"/>
          <w:color w:val="auto"/>
        </w:rPr>
        <w:t>were included within “Other assets” in the condensed consolidated balance sheets. Amortization expense of $0.6 million and $0.3 million was</w:t>
      </w:r>
    </w:p>
    <w:p>
      <w:pPr>
        <w:spacing w:after="0" w:line="234" w:lineRule="auto"/>
        <w:rPr>
          <w:sz w:val="20"/>
          <w:szCs w:val="20"/>
          <w:color w:val="auto"/>
        </w:rPr>
      </w:pPr>
      <w:r>
        <w:rPr>
          <w:rFonts w:ascii="Arial" w:cs="Arial" w:eastAsia="Arial" w:hAnsi="Arial"/>
          <w:sz w:val="18"/>
          <w:szCs w:val="18"/>
          <w:color w:val="auto"/>
        </w:rPr>
        <w:t>included within “Selling, general and administrative expenses” in the condensed consolidated statements of operations for the three months</w:t>
      </w:r>
    </w:p>
    <w:p>
      <w:pPr>
        <w:spacing w:after="0" w:line="235" w:lineRule="auto"/>
        <w:rPr>
          <w:sz w:val="20"/>
          <w:szCs w:val="20"/>
          <w:color w:val="auto"/>
        </w:rPr>
      </w:pPr>
      <w:r>
        <w:rPr>
          <w:rFonts w:ascii="Arial" w:cs="Arial" w:eastAsia="Arial" w:hAnsi="Arial"/>
          <w:sz w:val="18"/>
          <w:szCs w:val="18"/>
          <w:color w:val="auto"/>
        </w:rPr>
        <w:t>ended June 30, 2022 and 2021, respectively, and $1.1 million and $0.6 million for the six months ended June 30, 2022 and 2021,</w:t>
      </w:r>
    </w:p>
    <w:p>
      <w:pPr>
        <w:spacing w:after="0"/>
        <w:rPr>
          <w:sz w:val="20"/>
          <w:szCs w:val="20"/>
          <w:color w:val="auto"/>
        </w:rPr>
      </w:pPr>
      <w:r>
        <w:rPr>
          <w:rFonts w:ascii="Arial" w:cs="Arial" w:eastAsia="Arial" w:hAnsi="Arial"/>
          <w:sz w:val="18"/>
          <w:szCs w:val="18"/>
          <w:color w:val="auto"/>
        </w:rPr>
        <w:t>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400" w:firstLine="761"/>
        <w:spacing w:after="0" w:line="277"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six months ended June 30, 2022 and 2021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Ecommerce</w:t>
            </w:r>
          </w:p>
        </w:tc>
        <w:tc>
          <w:tcPr>
            <w:tcW w:w="300" w:type="dxa"/>
            <w:vAlign w:val="bottom"/>
          </w:tcPr>
          <w:p>
            <w:pPr>
              <w:spacing w:after="0"/>
              <w:rPr>
                <w:sz w:val="16"/>
                <w:szCs w:val="16"/>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Wholesale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TDA</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r>
      <w:tr>
        <w:trPr>
          <w:trHeight w:val="196"/>
        </w:trPr>
        <w:tc>
          <w:tcPr>
            <w:tcW w:w="38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Balance as of December 31, 2020</w:t>
            </w:r>
          </w:p>
        </w:tc>
        <w:tc>
          <w:tcPr>
            <w:tcW w:w="260" w:type="dxa"/>
            <w:vAlign w:val="bottom"/>
            <w:tcBorders>
              <w:top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72,231</w:t>
            </w:r>
          </w:p>
        </w:tc>
        <w:tc>
          <w:tcPr>
            <w:tcW w:w="3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1,720</w:t>
            </w:r>
          </w:p>
        </w:tc>
        <w:tc>
          <w:tcPr>
            <w:tcW w:w="3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794"/>
              <w:spacing w:after="0" w:line="195"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4,221</w:t>
            </w: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78,172</w:t>
            </w:r>
          </w:p>
        </w:tc>
        <w:tc>
          <w:tcPr>
            <w:tcW w:w="100" w:type="dxa"/>
            <w:vAlign w:val="bottom"/>
            <w:shd w:val="clear" w:color="auto" w:fill="CFF0FC"/>
          </w:tcPr>
          <w:p>
            <w:pPr>
              <w:spacing w:after="0"/>
              <w:rPr>
                <w:sz w:val="17"/>
                <w:szCs w:val="17"/>
                <w:color w:val="auto"/>
              </w:rPr>
            </w:pPr>
          </w:p>
        </w:tc>
      </w:tr>
      <w:tr>
        <w:trPr>
          <w:trHeight w:val="202"/>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Acquisition</w:t>
            </w: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81,134</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81,134</w:t>
            </w:r>
          </w:p>
        </w:tc>
        <w:tc>
          <w:tcPr>
            <w:tcW w:w="100" w:type="dxa"/>
            <w:vAlign w:val="bottom"/>
          </w:tcPr>
          <w:p>
            <w:pPr>
              <w:spacing w:after="0"/>
              <w:rPr>
                <w:sz w:val="17"/>
                <w:szCs w:val="17"/>
                <w:color w:val="auto"/>
              </w:rPr>
            </w:pPr>
          </w:p>
        </w:tc>
      </w:tr>
      <w:tr>
        <w:trPr>
          <w:trHeight w:val="236"/>
        </w:trPr>
        <w:tc>
          <w:tcPr>
            <w:tcW w:w="38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Balance as of June 30, 2021</w:t>
            </w:r>
          </w:p>
        </w:tc>
        <w:tc>
          <w:tcPr>
            <w:tcW w:w="260" w:type="dxa"/>
            <w:vAlign w:val="bottom"/>
            <w:tcBorders>
              <w:top w:val="single" w:sz="8" w:color="auto"/>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153,365</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1,720</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794"/>
              <w:spacing w:after="0" w:line="195"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4,221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159,306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38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 as of December 31, 2021</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152,876</w:t>
            </w:r>
          </w:p>
        </w:tc>
        <w:tc>
          <w:tcPr>
            <w:tcW w:w="320" w:type="dxa"/>
            <w:vAlign w:val="bottom"/>
          </w:tcPr>
          <w:p>
            <w:pPr>
              <w:spacing w:after="0"/>
              <w:rPr>
                <w:sz w:val="15"/>
                <w:szCs w:val="15"/>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1,720</w:t>
            </w:r>
          </w:p>
        </w:tc>
        <w:tc>
          <w:tcPr>
            <w:tcW w:w="300" w:type="dxa"/>
            <w:vAlign w:val="bottom"/>
          </w:tcPr>
          <w:p>
            <w:pPr>
              <w:spacing w:after="0"/>
              <w:rPr>
                <w:sz w:val="15"/>
                <w:szCs w:val="15"/>
                <w:color w:val="auto"/>
              </w:rPr>
            </w:pPr>
          </w:p>
        </w:tc>
        <w:tc>
          <w:tcPr>
            <w:tcW w:w="1000" w:type="dxa"/>
            <w:vAlign w:val="bottom"/>
          </w:tcPr>
          <w:p>
            <w:pPr>
              <w:jc w:val="right"/>
              <w:ind w:right="794"/>
              <w:spacing w:after="0" w:line="182"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4,221</w:t>
            </w:r>
          </w:p>
        </w:tc>
        <w:tc>
          <w:tcPr>
            <w:tcW w:w="300" w:type="dxa"/>
            <w:vAlign w:val="bottom"/>
          </w:tcPr>
          <w:p>
            <w:pPr>
              <w:spacing w:after="0"/>
              <w:rPr>
                <w:sz w:val="15"/>
                <w:szCs w:val="15"/>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158,817</w:t>
            </w:r>
          </w:p>
        </w:tc>
        <w:tc>
          <w:tcPr>
            <w:tcW w:w="100" w:type="dxa"/>
            <w:vAlign w:val="bottom"/>
          </w:tcPr>
          <w:p>
            <w:pPr>
              <w:spacing w:after="0"/>
              <w:rPr>
                <w:sz w:val="15"/>
                <w:szCs w:val="15"/>
                <w:color w:val="auto"/>
              </w:rPr>
            </w:pPr>
          </w:p>
        </w:tc>
      </w:tr>
      <w:tr>
        <w:trPr>
          <w:trHeight w:val="202"/>
        </w:trPr>
        <w:tc>
          <w:tcPr>
            <w:tcW w:w="3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42,886</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42,886</w:t>
            </w:r>
          </w:p>
        </w:tc>
        <w:tc>
          <w:tcPr>
            <w:tcW w:w="100" w:type="dxa"/>
            <w:vAlign w:val="bottom"/>
            <w:shd w:val="clear" w:color="auto" w:fill="CFF0FC"/>
          </w:tcPr>
          <w:p>
            <w:pPr>
              <w:spacing w:after="0"/>
              <w:rPr>
                <w:sz w:val="17"/>
                <w:szCs w:val="17"/>
                <w:color w:val="auto"/>
              </w:rPr>
            </w:pPr>
          </w:p>
        </w:tc>
      </w:tr>
      <w:tr>
        <w:trPr>
          <w:trHeight w:val="202"/>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26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(195,762 )</w:t>
            </w:r>
          </w:p>
        </w:tc>
        <w:tc>
          <w:tcPr>
            <w:tcW w:w="30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(1,720 )</w:t>
            </w:r>
          </w:p>
        </w:tc>
        <w:tc>
          <w:tcPr>
            <w:tcW w:w="10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(4,221 )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(201,703 )</w:t>
            </w:r>
          </w:p>
        </w:tc>
      </w:tr>
      <w:tr>
        <w:trPr>
          <w:trHeight w:val="236"/>
        </w:trPr>
        <w:tc>
          <w:tcPr>
            <w:tcW w:w="38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Balance as of June 30, 2022</w:t>
            </w:r>
          </w:p>
        </w:tc>
        <w:tc>
          <w:tcPr>
            <w:tcW w:w="260" w:type="dxa"/>
            <w:vAlign w:val="bottom"/>
            <w:tcBorders>
              <w:top w:val="single" w:sz="8" w:color="auto"/>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794"/>
              <w:spacing w:after="0" w:line="195"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-572770</wp:posOffset>
            </wp:positionV>
            <wp:extent cx="370776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07765" cy="15430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80" w:firstLine="761"/>
        <w:spacing w:after="0" w:line="242"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191" w:lineRule="exact"/>
        <w:rPr>
          <w:sz w:val="20"/>
          <w:szCs w:val="20"/>
          <w:color w:val="auto"/>
        </w:rPr>
      </w:pPr>
    </w:p>
    <w:p>
      <w:pPr>
        <w:ind w:right="340" w:firstLine="764"/>
        <w:spacing w:after="0" w:line="237" w:lineRule="auto"/>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automotive and ecommerce industries, recent performance, expectations of future performance and other assumptions the Company believe to be reasonable.</w:t>
      </w:r>
    </w:p>
    <w:p>
      <w:pPr>
        <w:spacing w:after="0" w:line="184" w:lineRule="exact"/>
        <w:rPr>
          <w:sz w:val="20"/>
          <w:szCs w:val="20"/>
          <w:color w:val="auto"/>
        </w:rPr>
      </w:pPr>
    </w:p>
    <w:p>
      <w:pPr>
        <w:ind w:right="60" w:firstLine="764"/>
        <w:spacing w:after="0" w:line="238" w:lineRule="auto"/>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condensed consolidated statements of operations for the six months ended June 30, 2022. No goodwill impairment charges were recorded for the three and six months ended June 30, 2021.</w:t>
      </w:r>
    </w:p>
    <w:p>
      <w:pPr>
        <w:spacing w:after="0" w:line="190" w:lineRule="exact"/>
        <w:rPr>
          <w:sz w:val="20"/>
          <w:szCs w:val="20"/>
          <w:color w:val="auto"/>
        </w:rPr>
      </w:pPr>
    </w:p>
    <w:p>
      <w:pPr>
        <w:ind w:right="120" w:firstLine="761"/>
        <w:spacing w:after="0" w:line="245"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six months ended June 30, 2022 and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94"/>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5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76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Developed and Purchased Technology</w:t>
            </w: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108,70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476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w:t>
            </w:r>
          </w:p>
        </w:tc>
        <w:tc>
          <w:tcPr>
            <w:tcW w:w="520" w:type="dxa"/>
            <w:vAlign w:val="bottom"/>
            <w:gridSpan w:val="3"/>
            <w:shd w:val="clear" w:color="auto" w:fill="CFF0FC"/>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(12,554 )</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96,146</w:t>
            </w:r>
          </w:p>
        </w:tc>
        <w:tc>
          <w:tcPr>
            <w:tcW w:w="9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$ 25,700</w:t>
            </w:r>
          </w:p>
        </w:tc>
        <w:tc>
          <w:tcPr>
            <w:tcW w:w="520" w:type="dxa"/>
            <w:vAlign w:val="bottom"/>
            <w:gridSpan w:val="2"/>
            <w:shd w:val="clear" w:color="auto" w:fill="CFF0FC"/>
          </w:tcPr>
          <w:p>
            <w:pPr>
              <w:ind w:left="22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(5,043 )</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20,657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69,400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(4,323 )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65,077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5,240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(673 )</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Trademarks and Trade names</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12,240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(1,038 )</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11,202</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(417 )</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(252 )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(252 )</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760" w:type="dxa"/>
            <w:vAlign w:val="bottom"/>
            <w:shd w:val="clear" w:color="auto" w:fill="CFF0FC"/>
          </w:tcPr>
          <w:p>
            <w:pPr>
              <w:ind w:left="320"/>
              <w:spacing w:after="0" w:line="168" w:lineRule="exact"/>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190,59</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(18,167 )</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172,425</w:t>
            </w:r>
          </w:p>
        </w:tc>
        <w:tc>
          <w:tcPr>
            <w:tcW w:w="9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$ 34,592</w:t>
            </w:r>
          </w:p>
        </w:tc>
        <w:tc>
          <w:tcPr>
            <w:tcW w:w="520" w:type="dxa"/>
            <w:vAlign w:val="bottom"/>
            <w:gridSpan w:val="2"/>
            <w:shd w:val="clear" w:color="auto" w:fill="CFF0FC"/>
          </w:tcPr>
          <w:p>
            <w:pPr>
              <w:ind w:left="22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(6,385 )</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120" w:firstLine="761"/>
        <w:spacing w:after="0" w:line="245"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six months ended June 30, 2022 and 2021.</w:t>
      </w:r>
    </w:p>
    <w:p>
      <w:pPr>
        <w:spacing w:after="0" w:line="184" w:lineRule="exact"/>
        <w:rPr>
          <w:sz w:val="20"/>
          <w:szCs w:val="20"/>
          <w:color w:val="auto"/>
        </w:rPr>
      </w:pPr>
    </w:p>
    <w:p>
      <w:pPr>
        <w:ind w:right="220" w:firstLine="761"/>
        <w:spacing w:after="0" w:line="245" w:lineRule="auto"/>
        <w:rPr>
          <w:sz w:val="20"/>
          <w:szCs w:val="20"/>
          <w:color w:val="auto"/>
        </w:rPr>
      </w:pPr>
      <w:r>
        <w:rPr>
          <w:rFonts w:ascii="Arial" w:cs="Arial" w:eastAsia="Arial" w:hAnsi="Arial"/>
          <w:sz w:val="18"/>
          <w:szCs w:val="18"/>
          <w:color w:val="auto"/>
        </w:rPr>
        <w:t>Amortization expense for intangible assets was $6.8 million and $1.6 million for the three months ended June 30, 2022 and 2021, respectively, and $11.8 million and $3.0 million for the six months ended June 30, 2022 and 2021, respectively.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June 30, 2022, consists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6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For remainder of 2022</w:t>
            </w:r>
          </w:p>
        </w:tc>
        <w:tc>
          <w:tcPr>
            <w:tcW w:w="48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10"/>
              <w:spacing w:after="0" w:line="195"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13,512</w:t>
            </w:r>
          </w:p>
        </w:tc>
        <w:tc>
          <w:tcPr>
            <w:tcW w:w="100" w:type="dxa"/>
            <w:vAlign w:val="bottom"/>
            <w:shd w:val="clear" w:color="auto" w:fill="CFF0FC"/>
          </w:tcPr>
          <w:p>
            <w:pPr>
              <w:spacing w:after="0"/>
              <w:rPr>
                <w:sz w:val="17"/>
                <w:szCs w:val="17"/>
                <w:color w:val="auto"/>
              </w:rPr>
            </w:pPr>
          </w:p>
        </w:tc>
      </w:tr>
      <w:tr>
        <w:trPr>
          <w:trHeight w:val="202"/>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27,022</w:t>
            </w:r>
          </w:p>
        </w:tc>
        <w:tc>
          <w:tcPr>
            <w:tcW w:w="100" w:type="dxa"/>
            <w:vAlign w:val="bottom"/>
          </w:tcPr>
          <w:p>
            <w:pPr>
              <w:spacing w:after="0"/>
              <w:rPr>
                <w:sz w:val="17"/>
                <w:szCs w:val="17"/>
                <w:color w:val="auto"/>
              </w:rPr>
            </w:pPr>
          </w:p>
        </w:tc>
      </w:tr>
      <w:tr>
        <w:trPr>
          <w:trHeight w:val="202"/>
        </w:trPr>
        <w:tc>
          <w:tcPr>
            <w:tcW w:w="3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7"/>
                <w:szCs w:val="17"/>
                <w:color w:val="auto"/>
              </w:rPr>
            </w:pPr>
          </w:p>
        </w:tc>
      </w:tr>
      <w:tr>
        <w:trPr>
          <w:trHeight w:val="202"/>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27,022</w:t>
            </w:r>
          </w:p>
        </w:tc>
        <w:tc>
          <w:tcPr>
            <w:tcW w:w="100" w:type="dxa"/>
            <w:vAlign w:val="bottom"/>
          </w:tcPr>
          <w:p>
            <w:pPr>
              <w:spacing w:after="0"/>
              <w:rPr>
                <w:sz w:val="17"/>
                <w:szCs w:val="17"/>
                <w:color w:val="auto"/>
              </w:rPr>
            </w:pPr>
          </w:p>
        </w:tc>
      </w:tr>
      <w:tr>
        <w:trPr>
          <w:trHeight w:val="202"/>
        </w:trPr>
        <w:tc>
          <w:tcPr>
            <w:tcW w:w="3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21,979</w:t>
            </w:r>
          </w:p>
        </w:tc>
        <w:tc>
          <w:tcPr>
            <w:tcW w:w="100" w:type="dxa"/>
            <w:vAlign w:val="bottom"/>
            <w:shd w:val="clear" w:color="auto" w:fill="CFF0FC"/>
          </w:tcPr>
          <w:p>
            <w:pPr>
              <w:spacing w:after="0"/>
              <w:rPr>
                <w:sz w:val="17"/>
                <w:szCs w:val="17"/>
                <w:color w:val="auto"/>
              </w:rPr>
            </w:pPr>
          </w:p>
        </w:tc>
      </w:tr>
      <w:tr>
        <w:trPr>
          <w:trHeight w:val="202"/>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55,868</w:t>
            </w:r>
          </w:p>
        </w:tc>
        <w:tc>
          <w:tcPr>
            <w:tcW w:w="100" w:type="dxa"/>
            <w:vAlign w:val="bottom"/>
          </w:tcPr>
          <w:p>
            <w:pPr>
              <w:spacing w:after="0"/>
              <w:rPr>
                <w:sz w:val="17"/>
                <w:szCs w:val="17"/>
                <w:color w:val="auto"/>
              </w:rPr>
            </w:pPr>
          </w:p>
        </w:tc>
      </w:tr>
      <w:tr>
        <w:trPr>
          <w:trHeight w:val="236"/>
        </w:trPr>
        <w:tc>
          <w:tcPr>
            <w:tcW w:w="3680" w:type="dxa"/>
            <w:vAlign w:val="bottom"/>
            <w:tcBorders>
              <w:bottom w:val="single" w:sz="8" w:color="CFF0FC"/>
            </w:tcBorders>
            <w:shd w:val="clear" w:color="auto" w:fill="CFF0FC"/>
          </w:tcPr>
          <w:p>
            <w:pPr>
              <w:spacing w:after="0"/>
              <w:rPr>
                <w:sz w:val="20"/>
                <w:szCs w:val="20"/>
                <w:color w:val="auto"/>
              </w:rPr>
            </w:pPr>
          </w:p>
        </w:tc>
        <w:tc>
          <w:tcPr>
            <w:tcW w:w="5060" w:type="dxa"/>
            <w:vAlign w:val="bottom"/>
            <w:tcBorders>
              <w:bottom w:val="single" w:sz="8" w:color="CFF0FC"/>
            </w:tcBorders>
            <w:gridSpan w:val="2"/>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0"/>
              <w:spacing w:after="0" w:line="195"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172,425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4"/>
        </w:trPr>
        <w:tc>
          <w:tcPr>
            <w:tcW w:w="3680" w:type="dxa"/>
            <w:vAlign w:val="bottom"/>
          </w:tcPr>
          <w:p>
            <w:pPr>
              <w:spacing w:after="0"/>
              <w:rPr>
                <w:sz w:val="24"/>
                <w:szCs w:val="24"/>
                <w:color w:val="auto"/>
              </w:rPr>
            </w:pPr>
          </w:p>
        </w:tc>
        <w:tc>
          <w:tcPr>
            <w:tcW w:w="4820" w:type="dxa"/>
            <w:vAlign w:val="bottom"/>
          </w:tcPr>
          <w:p>
            <w:pPr>
              <w:jc w:val="right"/>
              <w:ind w:right="269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2021</w:t>
            </w:r>
          </w:p>
        </w:tc>
      </w:tr>
      <w:tr>
        <w:trPr>
          <w:trHeight w:val="196"/>
        </w:trPr>
        <w:tc>
          <w:tcPr>
            <w:tcW w:w="70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Accrued marketing expenses</w:t>
            </w:r>
          </w:p>
        </w:tc>
        <w:tc>
          <w:tcPr>
            <w:tcW w:w="360" w:type="dxa"/>
            <w:vAlign w:val="bottom"/>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4"/>
              <w:spacing w:after="0" w:line="195" w:lineRule="exact"/>
              <w:rPr>
                <w:sz w:val="20"/>
                <w:szCs w:val="20"/>
                <w:color w:val="auto"/>
              </w:rPr>
            </w:pPr>
            <w:r>
              <w:rPr>
                <w:rFonts w:ascii="Arial" w:cs="Arial" w:eastAsia="Arial" w:hAnsi="Arial"/>
                <w:sz w:val="18"/>
                <w:szCs w:val="18"/>
                <w:color w:val="auto"/>
              </w:rPr>
              <w:t>8,433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ind w:right="34"/>
              <w:spacing w:after="0" w:line="195" w:lineRule="exact"/>
              <w:rPr>
                <w:sz w:val="20"/>
                <w:szCs w:val="20"/>
                <w:color w:val="auto"/>
              </w:rPr>
            </w:pPr>
            <w:r>
              <w:rPr>
                <w:rFonts w:ascii="Arial" w:cs="Arial" w:eastAsia="Arial" w:hAnsi="Arial"/>
                <w:sz w:val="18"/>
                <w:szCs w:val="18"/>
                <w:color w:val="auto"/>
              </w:rPr>
              <w:t>17,546</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Vehicle related expenses</w:t>
            </w:r>
          </w:p>
        </w:tc>
        <w:tc>
          <w:tcPr>
            <w:tcW w:w="360" w:type="dxa"/>
            <w:vAlign w:val="bottom"/>
          </w:tcPr>
          <w:p>
            <w:pPr>
              <w:spacing w:after="0"/>
              <w:rPr>
                <w:sz w:val="17"/>
                <w:szCs w:val="17"/>
                <w:color w:val="auto"/>
              </w:rPr>
            </w:pPr>
          </w:p>
        </w:tc>
        <w:tc>
          <w:tcPr>
            <w:tcW w:w="1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29,416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36,459</w:t>
            </w:r>
          </w:p>
        </w:tc>
      </w:tr>
      <w:tr>
        <w:trPr>
          <w:trHeight w:val="202"/>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taxes</w:t>
            </w:r>
          </w:p>
        </w:tc>
        <w:tc>
          <w:tcPr>
            <w:tcW w:w="36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19,568</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39,163</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17"/>
                <w:szCs w:val="17"/>
                <w:color w:val="auto"/>
              </w:rPr>
            </w:pPr>
          </w:p>
        </w:tc>
        <w:tc>
          <w:tcPr>
            <w:tcW w:w="1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28,497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16,150</w:t>
            </w:r>
          </w:p>
        </w:tc>
      </w:tr>
      <w:tr>
        <w:trPr>
          <w:trHeight w:val="202"/>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4,987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4,225</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16,190</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7,965</w:t>
            </w:r>
          </w:p>
        </w:tc>
      </w:tr>
      <w:tr>
        <w:trPr>
          <w:trHeight w:val="236"/>
        </w:trPr>
        <w:tc>
          <w:tcPr>
            <w:tcW w:w="708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4"/>
              <w:spacing w:after="0" w:line="195" w:lineRule="exact"/>
              <w:rPr>
                <w:sz w:val="20"/>
                <w:szCs w:val="20"/>
                <w:color w:val="auto"/>
              </w:rPr>
            </w:pPr>
            <w:r>
              <w:rPr>
                <w:rFonts w:ascii="Arial" w:cs="Arial" w:eastAsia="Arial" w:hAnsi="Arial"/>
                <w:sz w:val="18"/>
                <w:szCs w:val="18"/>
                <w:color w:val="auto"/>
              </w:rPr>
              <w:t>107,091</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ind w:right="34"/>
              <w:spacing w:after="0" w:line="195" w:lineRule="exact"/>
              <w:rPr>
                <w:sz w:val="20"/>
                <w:szCs w:val="20"/>
                <w:color w:val="auto"/>
              </w:rPr>
            </w:pPr>
            <w:r>
              <w:rPr>
                <w:rFonts w:ascii="Arial" w:cs="Arial" w:eastAsia="Arial" w:hAnsi="Arial"/>
                <w:sz w:val="18"/>
                <w:szCs w:val="18"/>
                <w:color w:val="auto"/>
              </w:rPr>
              <w:t>121,508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-24765</wp:posOffset>
            </wp:positionV>
            <wp:extent cx="111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20" w:type="dxa"/>
            <w:vAlign w:val="bottom"/>
          </w:tcPr>
          <w:p>
            <w:pPr>
              <w:spacing w:after="0"/>
              <w:rPr>
                <w:sz w:val="14"/>
                <w:szCs w:val="14"/>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r>
      <w:tr>
        <w:trPr>
          <w:trHeight w:val="196"/>
        </w:trPr>
        <w:tc>
          <w:tcPr>
            <w:tcW w:w="70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Vehicle payable</w:t>
            </w:r>
          </w:p>
        </w:tc>
        <w:tc>
          <w:tcPr>
            <w:tcW w:w="1280" w:type="dxa"/>
            <w:vAlign w:val="bottom"/>
            <w:shd w:val="clear" w:color="auto" w:fill="CFF0FC"/>
          </w:tcPr>
          <w:p>
            <w:pPr>
              <w:jc w:val="right"/>
              <w:ind w:right="1079"/>
              <w:spacing w:after="0" w:line="195"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7,665</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36"/>
              <w:spacing w:after="0" w:line="195" w:lineRule="exact"/>
              <w:rPr>
                <w:sz w:val="20"/>
                <w:szCs w:val="20"/>
                <w:color w:val="auto"/>
              </w:rPr>
            </w:pPr>
            <w:r>
              <w:rPr>
                <w:rFonts w:ascii="Arial" w:cs="Arial" w:eastAsia="Arial" w:hAnsi="Arial"/>
                <w:sz w:val="18"/>
                <w:szCs w:val="18"/>
                <w:color w:val="auto"/>
              </w:rPr>
              <w:t>30,647</w:t>
            </w:r>
          </w:p>
        </w:tc>
      </w:tr>
      <w:tr>
        <w:trPr>
          <w:trHeight w:val="202"/>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Reserve for estimated returns</w:t>
            </w:r>
          </w:p>
        </w:tc>
        <w:tc>
          <w:tcPr>
            <w:tcW w:w="128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12,178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26,522</w:t>
            </w:r>
          </w:p>
        </w:tc>
      </w:tr>
      <w:tr>
        <w:trPr>
          <w:trHeight w:val="202"/>
        </w:trPr>
        <w:tc>
          <w:tcPr>
            <w:tcW w:w="7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2,296</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435</w:t>
            </w:r>
          </w:p>
        </w:tc>
      </w:tr>
      <w:tr>
        <w:trPr>
          <w:trHeight w:val="196"/>
        </w:trPr>
        <w:tc>
          <w:tcPr>
            <w:tcW w:w="7020" w:type="dxa"/>
            <w:vAlign w:val="bottom"/>
          </w:tcPr>
          <w:p>
            <w:pPr>
              <w:ind w:left="20"/>
              <w:spacing w:after="0" w:line="195" w:lineRule="exact"/>
              <w:rPr>
                <w:sz w:val="20"/>
                <w:szCs w:val="20"/>
                <w:color w:val="auto"/>
              </w:rPr>
            </w:pPr>
            <w:r>
              <w:rPr>
                <w:rFonts w:ascii="Arial" w:cs="Arial" w:eastAsia="Arial" w:hAnsi="Arial"/>
                <w:sz w:val="18"/>
                <w:szCs w:val="18"/>
                <w:color w:val="auto"/>
              </w:rPr>
              <w:t>Total other current liabilities</w:t>
            </w:r>
          </w:p>
        </w:tc>
        <w:tc>
          <w:tcPr>
            <w:tcW w:w="1280" w:type="dxa"/>
            <w:vAlign w:val="bottom"/>
          </w:tcPr>
          <w:p>
            <w:pPr>
              <w:jc w:val="right"/>
              <w:ind w:right="1079"/>
              <w:spacing w:after="0" w:line="195"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22,139</w:t>
            </w:r>
          </w:p>
        </w:tc>
        <w:tc>
          <w:tcPr>
            <w:tcW w:w="50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36"/>
              <w:spacing w:after="0" w:line="195" w:lineRule="exact"/>
              <w:rPr>
                <w:sz w:val="20"/>
                <w:szCs w:val="20"/>
                <w:color w:val="auto"/>
              </w:rPr>
            </w:pPr>
            <w:r>
              <w:rPr>
                <w:rFonts w:ascii="Arial" w:cs="Arial" w:eastAsia="Arial" w:hAnsi="Arial"/>
                <w:sz w:val="18"/>
                <w:szCs w:val="18"/>
                <w:color w:val="auto"/>
              </w:rPr>
              <w:t>57,604</w:t>
            </w:r>
          </w:p>
        </w:tc>
      </w:tr>
      <w:tr>
        <w:trPr>
          <w:trHeight w:val="20"/>
        </w:trPr>
        <w:tc>
          <w:tcPr>
            <w:tcW w:w="70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-159385</wp:posOffset>
            </wp:positionV>
            <wp:extent cx="1200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Facility</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(as amended to date, the “2020 Vehicle Floorplan Facility”). The 2020 Vehicle Floorplan provides a committed credit line of up to $700.0 million which is scheduled to mature on March 31, 2023. The amount of credit available is determined on a monthly basis based on a calculation that considers average outstanding borrowings and vehicle units paid off by the Company within the immediately preceding three-month period. As of June 30, 2022, the borrowing capacity of the 2020 Vehicle Floorplan Facility was $700.0 million, of which $277.5 million was unutilized.</w:t>
      </w:r>
    </w:p>
    <w:p>
      <w:pPr>
        <w:spacing w:after="0" w:line="192"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the Prime Rate, announced per annum by Ally Bank, plus 105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credit line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 Cash deposits required under the Company's 2020 Vehicle Floorplan of $42.2 million and $50.6 million are classified as "Restricted cash" within the consolidated balance sheets as of June 30, 2022 and December 31, 2021, respectively.</w:t>
      </w:r>
    </w:p>
    <w:p>
      <w:pPr>
        <w:spacing w:after="0" w:line="191" w:lineRule="exact"/>
        <w:rPr>
          <w:sz w:val="20"/>
          <w:szCs w:val="20"/>
          <w:color w:val="auto"/>
        </w:rPr>
      </w:pPr>
    </w:p>
    <w:p>
      <w:pPr>
        <w:ind w:right="300" w:firstLine="761"/>
        <w:spacing w:after="0" w:line="245" w:lineRule="auto"/>
        <w:rPr>
          <w:sz w:val="20"/>
          <w:szCs w:val="20"/>
          <w:color w:val="auto"/>
        </w:rPr>
      </w:pPr>
      <w:r>
        <w:rPr>
          <w:rFonts w:ascii="Arial" w:cs="Arial" w:eastAsia="Arial" w:hAnsi="Arial"/>
          <w:sz w:val="18"/>
          <w:szCs w:val="18"/>
          <w:color w:val="auto"/>
        </w:rPr>
        <w:t>As of June 30, 2022 and December 31, 2021, outstanding borrowings on the 2020 Vehicle Floorplan Facility were $422.5 million and $512.8 million, respectively.</w:t>
      </w:r>
    </w:p>
    <w:p>
      <w:pPr>
        <w:spacing w:after="0" w:line="184"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Interest expense incurred by the Company for the 2020 Vehicle Floorplan Facility was $6.3 million and $3.6 million for the three months ended June 30, 2022 and 2021, respectively, and $13.3 million and $7.4 million for the six months ended June 30, 2022 and 2021, respectively, which are recorded within “Interest expense” in the consolidated statements of operations. The weighted average interest rate on the vehicle floorplan borrowings was 5.80% and 4.30% as of June 30, 2022 and December 31, 2021, respectively.</w:t>
      </w:r>
    </w:p>
    <w:p>
      <w:pPr>
        <w:spacing w:after="0" w:line="190" w:lineRule="exact"/>
        <w:rPr>
          <w:sz w:val="20"/>
          <w:szCs w:val="20"/>
          <w:color w:val="auto"/>
        </w:rPr>
      </w:pPr>
    </w:p>
    <w:p>
      <w:pPr>
        <w:ind w:right="560" w:firstLine="761"/>
        <w:spacing w:after="0" w:line="245" w:lineRule="auto"/>
        <w:rPr>
          <w:sz w:val="20"/>
          <w:szCs w:val="20"/>
          <w:color w:val="auto"/>
        </w:rPr>
      </w:pPr>
      <w:r>
        <w:rPr>
          <w:rFonts w:ascii="Arial" w:cs="Arial" w:eastAsia="Arial" w:hAnsi="Arial"/>
          <w:sz w:val="18"/>
          <w:szCs w:val="18"/>
          <w:color w:val="auto"/>
        </w:rPr>
        <w:t>As of June 30, 2022 and December 31, 2021, the Company was in compliance with all covenants related to the 2020 Vehicle Floorplan Facility.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In connection with the 2020 Vehicle Floorplan Facility, the Company entered into credit balance agreements with Ally Bank and Ally Financial that permit the Company to deposit cash with the bank for the purpose of reducing the amount of interest payable for borrowings. Interest credits earned by the Company were $3.6 million and $2.0 million for the three months ended June 30, 2022 and 2021, respectively, and $7.5 and $4.2 million for the six months ended June 30, 2022 and 2021, respectively, which are recorded within “Interest income”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Warehouse Credit Facilities of Consolidated VIEs</w:t>
      </w:r>
    </w:p>
    <w:p>
      <w:pPr>
        <w:spacing w:after="0" w:line="220" w:lineRule="exact"/>
        <w:rPr>
          <w:sz w:val="20"/>
          <w:szCs w:val="20"/>
          <w:color w:val="auto"/>
        </w:rPr>
      </w:pPr>
    </w:p>
    <w:p>
      <w:pPr>
        <w:ind w:right="120" w:firstLine="764"/>
        <w:spacing w:after="0"/>
        <w:rPr>
          <w:sz w:val="20"/>
          <w:szCs w:val="20"/>
          <w:color w:val="auto"/>
        </w:rPr>
      </w:pPr>
      <w:r>
        <w:rPr>
          <w:rFonts w:ascii="Arial" w:cs="Arial" w:eastAsia="Arial" w:hAnsi="Arial"/>
          <w:sz w:val="18"/>
          <w:szCs w:val="18"/>
          <w:color w:val="auto"/>
        </w:rPr>
        <w:t>UACC has three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terms of the Warehouse Credit Facilities include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Facility One</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Facility Two</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Facility Three</w:t>
            </w:r>
          </w:p>
        </w:tc>
        <w:tc>
          <w:tcPr>
            <w:tcW w:w="100" w:type="dxa"/>
            <w:vAlign w:val="bottom"/>
          </w:tcPr>
          <w:p>
            <w:pPr>
              <w:spacing w:after="0"/>
              <w:rPr>
                <w:sz w:val="16"/>
                <w:szCs w:val="16"/>
                <w:color w:val="auto"/>
              </w:rPr>
            </w:pPr>
          </w:p>
        </w:tc>
      </w:tr>
      <w:tr>
        <w:trPr>
          <w:trHeight w:val="196"/>
        </w:trPr>
        <w:tc>
          <w:tcPr>
            <w:tcW w:w="45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Execution Date</w:t>
            </w: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May 30, 2012</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November 19, 2013</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July 11, 2019</w:t>
            </w:r>
          </w:p>
        </w:tc>
        <w:tc>
          <w:tcPr>
            <w:tcW w:w="100" w:type="dxa"/>
            <w:vAlign w:val="bottom"/>
            <w:shd w:val="clear" w:color="auto" w:fill="CFF0FC"/>
          </w:tcPr>
          <w:p>
            <w:pPr>
              <w:spacing w:after="0"/>
              <w:rPr>
                <w:sz w:val="17"/>
                <w:szCs w:val="17"/>
                <w:color w:val="auto"/>
              </w:rPr>
            </w:pPr>
          </w:p>
        </w:tc>
      </w:tr>
      <w:tr>
        <w:trPr>
          <w:trHeight w:val="202"/>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Maturity Date</w:t>
            </w: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October 20, 2023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May 19, 2023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May 24, 2024</w:t>
            </w:r>
          </w:p>
        </w:tc>
        <w:tc>
          <w:tcPr>
            <w:tcW w:w="100" w:type="dxa"/>
            <w:vAlign w:val="bottom"/>
          </w:tcPr>
          <w:p>
            <w:pPr>
              <w:spacing w:after="0"/>
              <w:rPr>
                <w:sz w:val="17"/>
                <w:szCs w:val="17"/>
                <w:color w:val="auto"/>
              </w:rPr>
            </w:pPr>
          </w:p>
        </w:tc>
      </w:tr>
      <w:tr>
        <w:trPr>
          <w:trHeight w:val="202"/>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Aggregate Borrowings Limit (in thousands)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6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7"/>
                <w:szCs w:val="17"/>
                <w:color w:val="auto"/>
              </w:rPr>
            </w:pPr>
          </w:p>
        </w:tc>
      </w:tr>
      <w:tr>
        <w:trPr>
          <w:trHeight w:val="174"/>
        </w:trPr>
        <w:tc>
          <w:tcPr>
            <w:tcW w:w="4560" w:type="dxa"/>
            <w:vAlign w:val="bottom"/>
          </w:tcPr>
          <w:p>
            <w:pPr>
              <w:ind w:left="20"/>
              <w:spacing w:after="0" w:line="175" w:lineRule="exact"/>
              <w:rPr>
                <w:sz w:val="20"/>
                <w:szCs w:val="20"/>
                <w:color w:val="auto"/>
              </w:rPr>
            </w:pPr>
            <w:r>
              <w:rPr>
                <w:rFonts w:ascii="Arial" w:cs="Arial" w:eastAsia="Arial" w:hAnsi="Arial"/>
                <w:sz w:val="18"/>
                <w:szCs w:val="18"/>
                <w:color w:val="auto"/>
              </w:rPr>
              <w:t>Aggregate Principal Balance of Finance Receivables</w:t>
            </w: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560" w:type="dxa"/>
            <w:vAlign w:val="bottom"/>
          </w:tcPr>
          <w:p>
            <w:pPr>
              <w:ind w:left="20"/>
              <w:spacing w:after="0" w:line="176" w:lineRule="exact"/>
              <w:rPr>
                <w:sz w:val="20"/>
                <w:szCs w:val="20"/>
                <w:color w:val="auto"/>
              </w:rPr>
            </w:pPr>
            <w:r>
              <w:rPr>
                <w:rFonts w:ascii="Arial" w:cs="Arial" w:eastAsia="Arial" w:hAnsi="Arial"/>
                <w:sz w:val="18"/>
                <w:szCs w:val="18"/>
                <w:color w:val="auto"/>
              </w:rPr>
              <w:t>Pledged as Collateral as of June 30, 2022 (in</w:t>
            </w: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60" w:type="dxa"/>
            <w:vAlign w:val="bottom"/>
          </w:tcPr>
          <w:p>
            <w:pPr>
              <w:ind w:left="20"/>
              <w:spacing w:after="0" w:line="203" w:lineRule="exact"/>
              <w:rPr>
                <w:sz w:val="20"/>
                <w:szCs w:val="20"/>
                <w:color w:val="auto"/>
              </w:rPr>
            </w:pPr>
            <w:r>
              <w:rPr>
                <w:rFonts w:ascii="Arial" w:cs="Arial" w:eastAsia="Arial" w:hAnsi="Arial"/>
                <w:sz w:val="18"/>
                <w:szCs w:val="18"/>
                <w:color w:val="auto"/>
              </w:rPr>
              <w:t>thousands)</w:t>
            </w: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125,980</w:t>
            </w:r>
          </w:p>
        </w:tc>
        <w:tc>
          <w:tcPr>
            <w:tcW w:w="6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28,307</w:t>
            </w:r>
          </w:p>
        </w:tc>
        <w:tc>
          <w:tcPr>
            <w:tcW w:w="6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165,979</w:t>
            </w:r>
          </w:p>
        </w:tc>
        <w:tc>
          <w:tcPr>
            <w:tcW w:w="100" w:type="dxa"/>
            <w:vAlign w:val="bottom"/>
          </w:tcPr>
          <w:p>
            <w:pPr>
              <w:spacing w:after="0"/>
              <w:rPr>
                <w:sz w:val="17"/>
                <w:szCs w:val="17"/>
                <w:color w:val="auto"/>
              </w:rPr>
            </w:pPr>
          </w:p>
        </w:tc>
      </w:tr>
      <w:tr>
        <w:trPr>
          <w:trHeight w:val="174"/>
        </w:trPr>
        <w:tc>
          <w:tcPr>
            <w:tcW w:w="45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Outstanding Balance as of June 30, 2022 (in</w:t>
            </w:r>
          </w:p>
        </w:tc>
        <w:tc>
          <w:tcPr>
            <w:tcW w:w="3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5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thousands)</w:t>
            </w:r>
          </w:p>
        </w:tc>
        <w:tc>
          <w:tcPr>
            <w:tcW w:w="320" w:type="dxa"/>
            <w:vAlign w:val="bottom"/>
            <w:shd w:val="clear" w:color="auto" w:fill="CFF0FC"/>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59,200</w:t>
            </w:r>
          </w:p>
        </w:tc>
        <w:tc>
          <w:tcPr>
            <w:tcW w:w="64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21,122</w:t>
            </w:r>
          </w:p>
        </w:tc>
        <w:tc>
          <w:tcPr>
            <w:tcW w:w="62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130,255</w:t>
            </w:r>
          </w:p>
        </w:tc>
        <w:tc>
          <w:tcPr>
            <w:tcW w:w="100" w:type="dxa"/>
            <w:vAlign w:val="bottom"/>
            <w:shd w:val="clear" w:color="auto" w:fill="CFF0FC"/>
          </w:tcPr>
          <w:p>
            <w:pPr>
              <w:spacing w:after="0"/>
              <w:rPr>
                <w:sz w:val="17"/>
                <w:szCs w:val="17"/>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8"/>
                <w:szCs w:val="18"/>
                <w:color w:val="auto"/>
              </w:rPr>
              <w:t>Restricted Cash as of June 30, 2022 (in thousands)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4,332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1,413</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Pr>
          <w:p>
            <w:pPr>
              <w:spacing w:after="0"/>
              <w:rPr>
                <w:sz w:val="18"/>
                <w:szCs w:val="18"/>
                <w:color w:val="auto"/>
              </w:rPr>
            </w:pPr>
          </w:p>
        </w:tc>
      </w:tr>
    </w:tbl>
    <w:p>
      <w:pPr>
        <w:spacing w:after="0" w:line="1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of June 30, 2022, the Company was in compliance with all covenants related to the Warehouse Credit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220" w:lineRule="exact"/>
        <w:rPr>
          <w:sz w:val="20"/>
          <w:szCs w:val="20"/>
          <w:color w:val="auto"/>
        </w:rPr>
      </w:pPr>
    </w:p>
    <w:p>
      <w:pPr>
        <w:ind w:right="360" w:firstLine="764"/>
        <w:spacing w:after="0"/>
        <w:rPr>
          <w:sz w:val="20"/>
          <w:szCs w:val="20"/>
          <w:color w:val="auto"/>
        </w:rPr>
      </w:pPr>
      <w:r>
        <w:rPr>
          <w:rFonts w:ascii="Arial" w:cs="Arial" w:eastAsia="Arial" w:hAnsi="Arial"/>
          <w:sz w:val="18"/>
          <w:szCs w:val="18"/>
          <w:color w:val="auto"/>
        </w:rPr>
        <w:t>Debt instruments, excluding the 2020 Vehicle Floorplan Facility, which is discussed in Note 10 — Vehicle Floorplan Facility, and warehouse credit facilities of consolidated VIEs, which are discussed in Note 11 — Warehouse Credit Facilities of Consolidated VIEs,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680" w:type="dxa"/>
            <w:vAlign w:val="bottom"/>
          </w:tcPr>
          <w:p>
            <w:pPr>
              <w:jc w:val="right"/>
              <w:ind w:right="57"/>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ind w:right="6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5"/>
        </w:trPr>
        <w:tc>
          <w:tcPr>
            <w:tcW w:w="57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5720" w:type="dxa"/>
            <w:vAlign w:val="bottom"/>
          </w:tcPr>
          <w:p>
            <w:pPr>
              <w:spacing w:after="0"/>
              <w:rPr>
                <w:sz w:val="14"/>
                <w:szCs w:val="14"/>
                <w:color w:val="auto"/>
              </w:rPr>
            </w:pPr>
          </w:p>
        </w:tc>
        <w:tc>
          <w:tcPr>
            <w:tcW w:w="1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9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Current portion of securitization debt of consolidated VIEs</w:t>
            </w:r>
          </w:p>
        </w:tc>
        <w:tc>
          <w:tcPr>
            <w:tcW w:w="1680" w:type="dxa"/>
            <w:vAlign w:val="bottom"/>
            <w:shd w:val="clear" w:color="auto" w:fill="CFF0FC"/>
          </w:tcPr>
          <w:p>
            <w:pPr>
              <w:jc w:val="right"/>
              <w:ind w:right="1477"/>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115,325</w:t>
            </w: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20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Convertible senior notes</w:t>
            </w:r>
          </w:p>
        </w:tc>
        <w:tc>
          <w:tcPr>
            <w:tcW w:w="16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612,231</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610,618</w:t>
            </w:r>
          </w:p>
        </w:tc>
        <w:tc>
          <w:tcPr>
            <w:tcW w:w="100" w:type="dxa"/>
            <w:vAlign w:val="bottom"/>
          </w:tcPr>
          <w:p>
            <w:pPr>
              <w:spacing w:after="0"/>
              <w:rPr>
                <w:sz w:val="17"/>
                <w:szCs w:val="17"/>
                <w:color w:val="auto"/>
              </w:rPr>
            </w:pPr>
          </w:p>
        </w:tc>
      </w:tr>
      <w:tr>
        <w:trPr>
          <w:trHeight w:val="202"/>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 of consolidated VIEs, net of current portion</w:t>
            </w:r>
          </w:p>
        </w:tc>
        <w:tc>
          <w:tcPr>
            <w:tcW w:w="16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51,790</w:t>
            </w: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2"/>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Junior subordinated debentures</w:t>
            </w:r>
          </w:p>
        </w:tc>
        <w:tc>
          <w:tcPr>
            <w:tcW w:w="1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10,310</w:t>
            </w:r>
          </w:p>
        </w:tc>
        <w:tc>
          <w:tcPr>
            <w:tcW w:w="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57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Long term debt, net of current portion</w:t>
            </w:r>
          </w:p>
        </w:tc>
        <w:tc>
          <w:tcPr>
            <w:tcW w:w="1680" w:type="dxa"/>
            <w:vAlign w:val="bottom"/>
            <w:tcBorders>
              <w:bottom w:val="single" w:sz="8" w:color="auto"/>
            </w:tcBorders>
            <w:shd w:val="clear" w:color="auto" w:fill="CFF0FC"/>
          </w:tcPr>
          <w:p>
            <w:pPr>
              <w:jc w:val="right"/>
              <w:ind w:right="1477"/>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674,331</w:t>
            </w:r>
          </w:p>
        </w:tc>
        <w:tc>
          <w:tcPr>
            <w:tcW w:w="4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610,618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20" w:type="dxa"/>
            <w:vAlign w:val="bottom"/>
          </w:tcPr>
          <w:p>
            <w:pPr>
              <w:ind w:left="20"/>
              <w:spacing w:after="0" w:line="195" w:lineRule="exact"/>
              <w:rPr>
                <w:sz w:val="20"/>
                <w:szCs w:val="20"/>
                <w:color w:val="auto"/>
              </w:rPr>
            </w:pPr>
            <w:r>
              <w:rPr>
                <w:rFonts w:ascii="Arial" w:cs="Arial" w:eastAsia="Arial" w:hAnsi="Arial"/>
                <w:sz w:val="18"/>
                <w:szCs w:val="18"/>
                <w:color w:val="auto"/>
              </w:rPr>
              <w:t>Total debt</w:t>
            </w:r>
          </w:p>
        </w:tc>
        <w:tc>
          <w:tcPr>
            <w:tcW w:w="1680" w:type="dxa"/>
            <w:vAlign w:val="bottom"/>
          </w:tcPr>
          <w:p>
            <w:pPr>
              <w:jc w:val="right"/>
              <w:ind w:right="1477"/>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789,656</w:t>
            </w:r>
          </w:p>
        </w:tc>
        <w:tc>
          <w:tcPr>
            <w:tcW w:w="900" w:type="dxa"/>
            <w:vAlign w:val="bottom"/>
            <w:gridSpan w:val="2"/>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2040" w:type="dxa"/>
            <w:vAlign w:val="bottom"/>
          </w:tcPr>
          <w:p>
            <w:pPr>
              <w:jc w:val="right"/>
              <w:spacing w:after="0" w:line="195" w:lineRule="exact"/>
              <w:rPr>
                <w:sz w:val="20"/>
                <w:szCs w:val="20"/>
                <w:color w:val="auto"/>
              </w:rPr>
            </w:pPr>
            <w:r>
              <w:rPr>
                <w:rFonts w:ascii="Arial" w:cs="Arial" w:eastAsia="Arial" w:hAnsi="Arial"/>
                <w:sz w:val="18"/>
                <w:szCs w:val="18"/>
                <w:color w:val="auto"/>
              </w:rPr>
              <w:t>610,618</w:t>
            </w:r>
          </w:p>
        </w:tc>
        <w:tc>
          <w:tcPr>
            <w:tcW w:w="10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-159385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90" w:lineRule="exact"/>
        <w:rPr>
          <w:sz w:val="20"/>
          <w:szCs w:val="20"/>
          <w:color w:val="auto"/>
        </w:rPr>
      </w:pPr>
    </w:p>
    <w:p>
      <w:pPr>
        <w:ind w:right="560" w:firstLine="749"/>
        <w:spacing w:after="0" w:line="245"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540"/>
        <w:spacing w:after="0" w:line="245" w:lineRule="auto"/>
        <w:rPr>
          <w:sz w:val="20"/>
          <w:szCs w:val="20"/>
          <w:color w:val="auto"/>
        </w:rPr>
      </w:pPr>
      <w:r>
        <w:rPr>
          <w:rFonts w:ascii="Arial" w:cs="Arial" w:eastAsia="Arial" w:hAnsi="Arial"/>
          <w:sz w:val="18"/>
          <w:szCs w:val="18"/>
          <w:color w:val="auto"/>
        </w:rPr>
        <w:t>redemption or conversion. The total net proceeds from the offering, after deducting commissions paid to the initial purchasers and debt issuance costs paid to third-parties, were approximately $608.9 million.</w:t>
      </w:r>
    </w:p>
    <w:p>
      <w:pPr>
        <w:spacing w:after="0" w:line="184"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190" w:lineRule="exact"/>
        <w:rPr>
          <w:sz w:val="20"/>
          <w:szCs w:val="20"/>
          <w:color w:val="auto"/>
        </w:rPr>
      </w:pPr>
    </w:p>
    <w:p>
      <w:pPr>
        <w:ind w:left="760" w:right="60" w:hanging="378"/>
        <w:spacing w:after="0" w:line="23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90" w:lineRule="exact"/>
        <w:rPr>
          <w:rFonts w:ascii="Arial" w:cs="Arial" w:eastAsia="Arial" w:hAnsi="Arial"/>
          <w:sz w:val="18"/>
          <w:szCs w:val="18"/>
          <w:color w:val="auto"/>
        </w:rPr>
      </w:pPr>
    </w:p>
    <w:p>
      <w:pPr>
        <w:jc w:val="both"/>
        <w:ind w:left="760" w:right="20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8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197" w:lineRule="exact"/>
        <w:rPr>
          <w:rFonts w:ascii="Arial" w:cs="Arial" w:eastAsia="Arial" w:hAnsi="Arial"/>
          <w:sz w:val="18"/>
          <w:szCs w:val="18"/>
          <w:color w:val="auto"/>
        </w:rPr>
      </w:pPr>
    </w:p>
    <w:p>
      <w:pPr>
        <w:ind w:left="760" w:right="780" w:hanging="378"/>
        <w:spacing w:after="0" w:line="24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184" w:lineRule="exact"/>
        <w:rPr>
          <w:sz w:val="20"/>
          <w:szCs w:val="20"/>
          <w:color w:val="auto"/>
        </w:rPr>
      </w:pPr>
    </w:p>
    <w:p>
      <w:pPr>
        <w:ind w:right="120" w:firstLine="764"/>
        <w:spacing w:after="0" w:line="245"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184" w:lineRule="exact"/>
        <w:rPr>
          <w:sz w:val="20"/>
          <w:szCs w:val="20"/>
          <w:color w:val="auto"/>
        </w:rPr>
      </w:pPr>
    </w:p>
    <w:p>
      <w:pPr>
        <w:ind w:right="120" w:firstLine="824"/>
        <w:spacing w:after="0" w:line="238"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190"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year ended June 30, 2022, the conditions allowing holders of the Notes to convert were not met.</w:t>
      </w:r>
    </w:p>
    <w:p>
      <w:pPr>
        <w:spacing w:after="0" w:line="189" w:lineRule="exact"/>
        <w:rPr>
          <w:sz w:val="20"/>
          <w:szCs w:val="20"/>
          <w:color w:val="auto"/>
        </w:rPr>
      </w:pPr>
    </w:p>
    <w:p>
      <w:pPr>
        <w:ind w:right="280" w:firstLine="764"/>
        <w:spacing w:after="0" w:line="245"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of June 30, 2022, the unamortized debt discount and debt issuance costs was $12.8 million and the net carrying value was $612.2 million.</w:t>
      </w:r>
    </w:p>
    <w:p>
      <w:pPr>
        <w:spacing w:after="0" w:line="184" w:lineRule="exact"/>
        <w:rPr>
          <w:sz w:val="20"/>
          <w:szCs w:val="20"/>
          <w:color w:val="auto"/>
        </w:rPr>
      </w:pPr>
    </w:p>
    <w:p>
      <w:pPr>
        <w:jc w:val="both"/>
        <w:ind w:right="40" w:firstLine="764"/>
        <w:spacing w:after="0" w:line="238"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and six months ended June 30, 2022 was $2.0 million and $4.0 million, respectively. The interest expense for the three and six months ended June 30, 2021 was not material. The effective interest rate of the Notes is 1.3%.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220" w:lineRule="exact"/>
        <w:rPr>
          <w:sz w:val="20"/>
          <w:szCs w:val="20"/>
          <w:color w:val="auto"/>
        </w:rPr>
      </w:pPr>
    </w:p>
    <w:p>
      <w:pPr>
        <w:ind w:right="180" w:firstLine="764"/>
        <w:spacing w:after="0" w:line="237"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on February 1, 2022 using the measurement alternative. Fair value adjustments are recorded in "Other loss (income), net" in the condensed consolidated statements of operations. Refer to Note 16 – Financial Instruments and Fair Value Measurements. For all securitization transactions consummated prior to the Acquisition Date, UACC consolidated VIEs and accounted for these transactions as secured borrowings. Refer to Note 4 - Variable Interest Entities and Securitizations for further discussion.</w:t>
      </w:r>
    </w:p>
    <w:p>
      <w:pPr>
        <w:spacing w:after="0" w:line="192"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UACC retained the servicing rights for the finance receivables that were securitized; therefore, is responsible for the administration and collection of the amounts owed under the contracts. The securitization agreements also require certain funds to be held in restricted cash accounts to provide additional collateral for the borrowings or to be applied to make payments on the securitization debt. Restricted cash under the various agreements totaled approximately $20.5 million as of June 30, 2022.</w:t>
      </w:r>
    </w:p>
    <w:p>
      <w:pPr>
        <w:spacing w:after="0" w:line="190"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Upon the issuance of the securitization debt, UACC retained the right to receive excess cash flows over time from the underlying pool of securitized transactions. The 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92" w:lineRule="exact"/>
        <w:rPr>
          <w:sz w:val="20"/>
          <w:szCs w:val="20"/>
          <w:color w:val="auto"/>
        </w:rPr>
      </w:pPr>
    </w:p>
    <w:p>
      <w:pPr>
        <w:ind w:right="280" w:firstLine="764"/>
        <w:spacing w:after="0" w:line="245" w:lineRule="auto"/>
        <w:rPr>
          <w:sz w:val="20"/>
          <w:szCs w:val="20"/>
          <w:color w:val="auto"/>
        </w:rPr>
      </w:pPr>
      <w:r>
        <w:rPr>
          <w:rFonts w:ascii="Arial" w:cs="Arial" w:eastAsia="Arial" w:hAnsi="Arial"/>
          <w:sz w:val="18"/>
          <w:szCs w:val="18"/>
          <w:color w:val="auto"/>
        </w:rPr>
        <w:t>The debt issued is included in "Long Term Debt" on the consolidated balance sheet. The securitization debt of consolidated VIEs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As of June 30, 2022</w:t>
            </w:r>
          </w:p>
        </w:tc>
        <w:tc>
          <w:tcPr>
            <w:tcW w:w="240" w:type="dxa"/>
            <w:vAlign w:val="bottom"/>
          </w:tcPr>
          <w:p>
            <w:pPr>
              <w:spacing w:after="0"/>
              <w:rPr>
                <w:sz w:val="16"/>
                <w:szCs w:val="16"/>
                <w:color w:val="auto"/>
              </w:rPr>
            </w:pPr>
          </w:p>
        </w:tc>
        <w:tc>
          <w:tcPr>
            <w:tcW w:w="1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vMerge w:val="restart"/>
          </w:tcPr>
          <w:p>
            <w:pPr>
              <w:jc w:val="center"/>
              <w:ind w:right="270"/>
              <w:spacing w:after="0"/>
              <w:rPr>
                <w:sz w:val="20"/>
                <w:szCs w:val="20"/>
                <w:color w:val="auto"/>
              </w:rPr>
            </w:pPr>
            <w:r>
              <w:rPr>
                <w:rFonts w:ascii="Arial" w:cs="Arial" w:eastAsia="Arial" w:hAnsi="Arial"/>
                <w:sz w:val="14"/>
                <w:szCs w:val="14"/>
                <w:b w:val="1"/>
                <w:bCs w:val="1"/>
                <w:color w:val="auto"/>
              </w:rPr>
              <w:t>Contractual Interest</w:t>
            </w:r>
          </w:p>
        </w:tc>
        <w:tc>
          <w:tcPr>
            <w:tcW w:w="11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1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ind w:left="300"/>
              <w:spacing w:after="0"/>
              <w:rPr>
                <w:sz w:val="20"/>
                <w:szCs w:val="20"/>
                <w:color w:val="auto"/>
              </w:rPr>
            </w:pPr>
            <w:r>
              <w:rPr>
                <w:rFonts w:ascii="Arial" w:cs="Arial" w:eastAsia="Arial" w:hAnsi="Arial"/>
                <w:sz w:val="14"/>
                <w:szCs w:val="14"/>
                <w:b w:val="1"/>
                <w:bCs w:val="1"/>
                <w:color w:val="auto"/>
              </w:rPr>
              <w:t>Payment Date</w:t>
            </w:r>
          </w:p>
        </w:tc>
        <w:tc>
          <w:tcPr>
            <w:tcW w:w="1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rPr>
              <w:t>Rate</w:t>
            </w: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United Auto Credit 2020-1-D</w:t>
            </w:r>
          </w:p>
        </w:tc>
        <w:tc>
          <w:tcPr>
            <w:tcW w:w="24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February 10, 2025</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31,450</w:t>
            </w:r>
          </w:p>
        </w:tc>
        <w:tc>
          <w:tcPr>
            <w:tcW w:w="32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2.88</w:t>
            </w:r>
          </w:p>
        </w:tc>
        <w:tc>
          <w:tcPr>
            <w:tcW w:w="2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27,677</w:t>
            </w: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27,685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2020-1-E</w:t>
            </w:r>
          </w:p>
        </w:tc>
        <w:tc>
          <w:tcPr>
            <w:tcW w:w="240" w:type="dxa"/>
            <w:vAlign w:val="bottom"/>
          </w:tcPr>
          <w:p>
            <w:pPr>
              <w:spacing w:after="0"/>
              <w:rPr>
                <w:sz w:val="17"/>
                <w:szCs w:val="17"/>
                <w:color w:val="auto"/>
              </w:rPr>
            </w:pPr>
          </w:p>
        </w:tc>
        <w:tc>
          <w:tcPr>
            <w:tcW w:w="19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February 10, 2025</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18,730</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5.19 %</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18,730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2020-1-F</w:t>
            </w:r>
          </w:p>
        </w:tc>
        <w:tc>
          <w:tcPr>
            <w:tcW w:w="240" w:type="dxa"/>
            <w:vAlign w:val="bottom"/>
            <w:shd w:val="clear" w:color="auto" w:fill="CFF0FC"/>
          </w:tcPr>
          <w:p>
            <w:pPr>
              <w:spacing w:after="0"/>
              <w:rPr>
                <w:sz w:val="17"/>
                <w:szCs w:val="17"/>
                <w:color w:val="auto"/>
              </w:rPr>
            </w:pPr>
          </w:p>
        </w:tc>
        <w:tc>
          <w:tcPr>
            <w:tcW w:w="19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January 12, 2026</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7,360</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9.08 %</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2021-1-B</w:t>
            </w:r>
          </w:p>
        </w:tc>
        <w:tc>
          <w:tcPr>
            <w:tcW w:w="240" w:type="dxa"/>
            <w:vAlign w:val="bottom"/>
          </w:tcPr>
          <w:p>
            <w:pPr>
              <w:spacing w:after="0"/>
              <w:rPr>
                <w:sz w:val="17"/>
                <w:szCs w:val="17"/>
                <w:color w:val="auto"/>
              </w:rPr>
            </w:pPr>
          </w:p>
        </w:tc>
        <w:tc>
          <w:tcPr>
            <w:tcW w:w="19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March 11, 2024</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33,540</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0.68 %</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22,333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2021-1-C</w:t>
            </w:r>
          </w:p>
        </w:tc>
        <w:tc>
          <w:tcPr>
            <w:tcW w:w="240" w:type="dxa"/>
            <w:vAlign w:val="bottom"/>
            <w:shd w:val="clear" w:color="auto" w:fill="CFF0FC"/>
          </w:tcPr>
          <w:p>
            <w:pPr>
              <w:spacing w:after="0"/>
              <w:rPr>
                <w:sz w:val="17"/>
                <w:szCs w:val="17"/>
                <w:color w:val="auto"/>
              </w:rPr>
            </w:pPr>
          </w:p>
        </w:tc>
        <w:tc>
          <w:tcPr>
            <w:tcW w:w="19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June 10, 2026</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29,640</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0.84 %</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29,640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2021-1-D</w:t>
            </w:r>
          </w:p>
        </w:tc>
        <w:tc>
          <w:tcPr>
            <w:tcW w:w="240" w:type="dxa"/>
            <w:vAlign w:val="bottom"/>
          </w:tcPr>
          <w:p>
            <w:pPr>
              <w:spacing w:after="0"/>
              <w:rPr>
                <w:sz w:val="17"/>
                <w:szCs w:val="17"/>
                <w:color w:val="auto"/>
              </w:rPr>
            </w:pPr>
          </w:p>
        </w:tc>
        <w:tc>
          <w:tcPr>
            <w:tcW w:w="19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June 10, 2026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29,380</w:t>
            </w: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1.14 %</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29,380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2021-1-E</w:t>
            </w:r>
          </w:p>
        </w:tc>
        <w:tc>
          <w:tcPr>
            <w:tcW w:w="240" w:type="dxa"/>
            <w:vAlign w:val="bottom"/>
            <w:shd w:val="clear" w:color="auto" w:fill="CFF0FC"/>
          </w:tcPr>
          <w:p>
            <w:pPr>
              <w:spacing w:after="0"/>
              <w:rPr>
                <w:sz w:val="17"/>
                <w:szCs w:val="17"/>
                <w:color w:val="auto"/>
              </w:rPr>
            </w:pPr>
          </w:p>
        </w:tc>
        <w:tc>
          <w:tcPr>
            <w:tcW w:w="19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June 10, 2026</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20,800</w:t>
            </w:r>
          </w:p>
        </w:tc>
        <w:tc>
          <w:tcPr>
            <w:tcW w:w="1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2.58 %</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20"/>
              <w:spacing w:after="0" w:line="175" w:lineRule="exact"/>
              <w:rPr>
                <w:sz w:val="20"/>
                <w:szCs w:val="20"/>
                <w:color w:val="auto"/>
              </w:rPr>
            </w:pPr>
            <w:r>
              <w:rPr>
                <w:rFonts w:ascii="Arial" w:cs="Arial" w:eastAsia="Arial" w:hAnsi="Arial"/>
                <w:sz w:val="18"/>
                <w:szCs w:val="18"/>
                <w:color w:val="auto"/>
              </w:rPr>
              <w:t>United Auto Credit 2021-1-F</w:t>
            </w:r>
          </w:p>
        </w:tc>
        <w:tc>
          <w:tcPr>
            <w:tcW w:w="240" w:type="dxa"/>
            <w:vAlign w:val="bottom"/>
          </w:tcPr>
          <w:p>
            <w:pPr>
              <w:spacing w:after="0"/>
              <w:rPr>
                <w:sz w:val="15"/>
                <w:szCs w:val="15"/>
                <w:color w:val="auto"/>
              </w:rPr>
            </w:pPr>
          </w:p>
        </w:tc>
        <w:tc>
          <w:tcPr>
            <w:tcW w:w="1900" w:type="dxa"/>
            <w:vAlign w:val="bottom"/>
            <w:gridSpan w:val="3"/>
          </w:tcPr>
          <w:p>
            <w:pPr>
              <w:ind w:left="20"/>
              <w:spacing w:after="0" w:line="175" w:lineRule="exact"/>
              <w:rPr>
                <w:sz w:val="20"/>
                <w:szCs w:val="20"/>
                <w:color w:val="auto"/>
              </w:rPr>
            </w:pPr>
            <w:r>
              <w:rPr>
                <w:rFonts w:ascii="Arial" w:cs="Arial" w:eastAsia="Arial" w:hAnsi="Arial"/>
                <w:sz w:val="18"/>
                <w:szCs w:val="18"/>
                <w:color w:val="auto"/>
              </w:rPr>
              <w:t>September 10,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780" w:type="dxa"/>
            <w:vAlign w:val="bottom"/>
            <w:gridSpan w:val="2"/>
          </w:tcPr>
          <w:p>
            <w:pPr>
              <w:ind w:left="260"/>
              <w:spacing w:after="0" w:line="189"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9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4.30 %</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80" w:type="dxa"/>
            <w:vAlign w:val="bottom"/>
            <w:tcBorders>
              <w:bottom w:val="single" w:sz="8" w:color="CFF0FC"/>
            </w:tcBorders>
            <w:shd w:val="clear" w:color="auto" w:fill="CFF0FC"/>
          </w:tcPr>
          <w:p>
            <w:pPr>
              <w:spacing w:after="0"/>
              <w:rPr>
                <w:sz w:val="20"/>
                <w:szCs w:val="20"/>
                <w:color w:val="auto"/>
              </w:rPr>
            </w:pPr>
          </w:p>
        </w:tc>
        <w:tc>
          <w:tcPr>
            <w:tcW w:w="2020" w:type="dxa"/>
            <w:vAlign w:val="bottom"/>
            <w:tcBorders>
              <w:bottom w:val="single" w:sz="8" w:color="CFF0FC"/>
            </w:tcBorders>
            <w:gridSpan w:val="3"/>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184,810</w:t>
            </w:r>
          </w:p>
        </w:tc>
        <w:tc>
          <w:tcPr>
            <w:tcW w:w="1920" w:type="dxa"/>
            <w:vAlign w:val="bottom"/>
            <w:tcBorders>
              <w:bottom w:val="single" w:sz="8" w:color="CFF0FC"/>
            </w:tcBorders>
            <w:gridSpan w:val="3"/>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169,830</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167,115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40" w:firstLine="764"/>
        <w:spacing w:after="0" w:line="238" w:lineRule="auto"/>
        <w:rPr>
          <w:sz w:val="20"/>
          <w:szCs w:val="20"/>
          <w:color w:val="auto"/>
        </w:rPr>
      </w:pPr>
      <w:r>
        <w:rPr>
          <w:rFonts w:ascii="Arial" w:cs="Arial" w:eastAsia="Arial" w:hAnsi="Arial"/>
          <w:sz w:val="18"/>
          <w:szCs w:val="18"/>
          <w:color w:val="auto"/>
        </w:rPr>
        <w:t>The Final Scheduled Payment Date represents final legal maturity of the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$52.3 million in 2022, $72.7 million in 2023, $33.0 million in 2024 and $11.6 million in 2025.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40" w:firstLine="764"/>
        <w:spacing w:after="0" w:line="245"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 June 30, 2022</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50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6500" w:type="dxa"/>
            <w:vAlign w:val="bottom"/>
          </w:tcPr>
          <w:p>
            <w:pPr>
              <w:spacing w:after="0"/>
              <w:rPr>
                <w:sz w:val="14"/>
                <w:szCs w:val="14"/>
                <w:color w:val="auto"/>
              </w:rPr>
            </w:pPr>
          </w:p>
        </w:tc>
        <w:tc>
          <w:tcPr>
            <w:tcW w:w="21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Aggregate Principal Balance</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United Auto Credit 2020-1</w:t>
            </w:r>
          </w:p>
        </w:tc>
        <w:tc>
          <w:tcPr>
            <w:tcW w:w="800" w:type="dxa"/>
            <w:vAlign w:val="bottom"/>
            <w:shd w:val="clear" w:color="auto" w:fill="CFF0FC"/>
          </w:tcPr>
          <w:p>
            <w:pPr>
              <w:jc w:val="right"/>
              <w:ind w:right="596"/>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60,885</w:t>
            </w: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10"/>
              <w:spacing w:after="0" w:line="195"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46,602</w:t>
            </w:r>
          </w:p>
        </w:tc>
        <w:tc>
          <w:tcPr>
            <w:tcW w:w="100" w:type="dxa"/>
            <w:vAlign w:val="bottom"/>
            <w:shd w:val="clear" w:color="auto" w:fill="CFF0FC"/>
          </w:tcPr>
          <w:p>
            <w:pPr>
              <w:spacing w:after="0"/>
              <w:rPr>
                <w:sz w:val="17"/>
                <w:szCs w:val="17"/>
                <w:color w:val="auto"/>
              </w:rPr>
            </w:pPr>
          </w:p>
        </w:tc>
      </w:tr>
      <w:tr>
        <w:trPr>
          <w:trHeight w:val="202"/>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2021-1</w:t>
            </w: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120,130</w:t>
            </w:r>
          </w:p>
        </w:tc>
        <w:tc>
          <w:tcPr>
            <w:tcW w:w="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112,775</w:t>
            </w:r>
          </w:p>
        </w:tc>
        <w:tc>
          <w:tcPr>
            <w:tcW w:w="100" w:type="dxa"/>
            <w:vAlign w:val="bottom"/>
          </w:tcPr>
          <w:p>
            <w:pPr>
              <w:spacing w:after="0"/>
              <w:rPr>
                <w:sz w:val="17"/>
                <w:szCs w:val="17"/>
                <w:color w:val="auto"/>
              </w:rPr>
            </w:pPr>
          </w:p>
        </w:tc>
      </w:tr>
      <w:tr>
        <w:trPr>
          <w:trHeight w:val="236"/>
        </w:trPr>
        <w:tc>
          <w:tcPr>
            <w:tcW w:w="65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finance receivables of CFEs</w:t>
            </w:r>
          </w:p>
        </w:tc>
        <w:tc>
          <w:tcPr>
            <w:tcW w:w="800" w:type="dxa"/>
            <w:vAlign w:val="bottom"/>
            <w:tcBorders>
              <w:bottom w:val="single" w:sz="8" w:color="auto"/>
            </w:tcBorders>
            <w:shd w:val="clear" w:color="auto" w:fill="CFF0FC"/>
          </w:tcPr>
          <w:p>
            <w:pPr>
              <w:jc w:val="right"/>
              <w:ind w:right="596"/>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181,015</w:t>
            </w:r>
          </w:p>
        </w:tc>
        <w:tc>
          <w:tcPr>
            <w:tcW w:w="3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10"/>
              <w:spacing w:after="0" w:line="195"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159,377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20" w:lineRule="exact"/>
        <w:rPr>
          <w:sz w:val="20"/>
          <w:szCs w:val="20"/>
          <w:color w:val="auto"/>
        </w:rPr>
      </w:pPr>
    </w:p>
    <w:p>
      <w:pPr>
        <w:ind w:right="340" w:firstLine="764"/>
        <w:spacing w:after="0" w:line="238"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UACC. The interest is paid quarterly at a variable rate, equal to the three-month LIBOR plus 3.05 percent. The final maturity of these securities is on October 7, 2033; however, they can be called at par any time at the Company’s discretion.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92"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In August 2021, November 2021, January 2022, and February 2022, one of the Company’s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90" w:lineRule="exact"/>
        <w:rPr>
          <w:sz w:val="20"/>
          <w:szCs w:val="20"/>
          <w:color w:val="auto"/>
        </w:rPr>
      </w:pPr>
    </w:p>
    <w:p>
      <w:pPr>
        <w:ind w:right="40" w:firstLine="599"/>
        <w:spacing w:after="0" w:line="237"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This lawsuit remains in preliminary stages and there have been no substantive developments.</w:t>
      </w:r>
    </w:p>
    <w:p>
      <w:pPr>
        <w:spacing w:after="0" w:line="192"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and the parties have agreed to stay discovery in the interim.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7"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 xml:space="preserve">In July 2021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w:t>
      </w:r>
      <w:r>
        <w:rPr>
          <w:rFonts w:ascii="Arial" w:cs="Arial" w:eastAsia="Arial" w:hAnsi="Arial"/>
          <w:sz w:val="18"/>
          <w:szCs w:val="18"/>
          <w:i w:val="1"/>
          <w:iCs w:val="1"/>
          <w:color w:val="auto"/>
        </w:rPr>
        <w:t>Blake Sonne, individually and on behalf of all</w:t>
      </w:r>
      <w:r>
        <w:rPr>
          <w:rFonts w:ascii="Arial" w:cs="Arial" w:eastAsia="Arial" w:hAnsi="Arial"/>
          <w:sz w:val="18"/>
          <w:szCs w:val="18"/>
          <w:color w:val="auto"/>
        </w:rPr>
        <w:t xml:space="preserve"> </w:t>
      </w:r>
      <w:r>
        <w:rPr>
          <w:rFonts w:ascii="Arial" w:cs="Arial" w:eastAsia="Arial" w:hAnsi="Arial"/>
          <w:sz w:val="18"/>
          <w:szCs w:val="18"/>
          <w:i w:val="1"/>
          <w:iCs w:val="1"/>
          <w:color w:val="auto"/>
        </w:rPr>
        <w:t>others similar situated, v. Vroom Automotive, LLC and Vroom, Inc</w:t>
      </w:r>
      <w:r>
        <w:rPr>
          <w:rFonts w:ascii="Arial" w:cs="Arial" w:eastAsia="Arial" w:hAnsi="Arial"/>
          <w:sz w:val="18"/>
          <w:szCs w:val="18"/>
          <w:color w:val="auto"/>
        </w:rPr>
        <w:t>., CJ-2022-822 and</w:t>
      </w:r>
      <w:r>
        <w:rPr>
          <w:rFonts w:ascii="Arial" w:cs="Arial" w:eastAsia="Arial" w:hAnsi="Arial"/>
          <w:sz w:val="18"/>
          <w:szCs w:val="18"/>
          <w:i w:val="1"/>
          <w:iCs w:val="1"/>
          <w:color w:val="auto"/>
        </w:rPr>
        <w:t xml:space="preserve"> Emely Reyes Martinez, on behalf of all others similarly situated, v. Vroom Automotive, LLC and Vroom Inc.</w:t>
      </w:r>
      <w:r>
        <w:rPr>
          <w:rFonts w:ascii="Arial" w:cs="Arial" w:eastAsia="Arial" w:hAnsi="Arial"/>
          <w:sz w:val="18"/>
          <w:szCs w:val="18"/>
          <w:color w:val="auto"/>
        </w:rPr>
        <w:t>,. Because these cases are at early stages and the outcome of any complex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3"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0"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0" w:lineRule="exact"/>
        <w:rPr>
          <w:sz w:val="20"/>
          <w:szCs w:val="20"/>
          <w:color w:val="auto"/>
        </w:rPr>
      </w:pPr>
    </w:p>
    <w:p>
      <w:pPr>
        <w:ind w:right="480" w:firstLine="637"/>
        <w:spacing w:after="0" w:line="245"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June 30, 2022, there was no preferred stock issued or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440" w:firstLine="637"/>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0" w:lineRule="exact"/>
        <w:rPr>
          <w:sz w:val="20"/>
          <w:szCs w:val="20"/>
          <w:color w:val="auto"/>
        </w:rPr>
      </w:pPr>
    </w:p>
    <w:p>
      <w:pPr>
        <w:jc w:val="both"/>
        <w:ind w:right="180" w:firstLine="761"/>
        <w:spacing w:after="0" w:line="25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are forfeited or lapse unexercised and which following the effective date are not issued under the 2014 Plan. Awards may be issued in the form of restricted stock units, restricted stock, stock appreciation rights, and stock options. On February 28, 2022, the Company registered an additional 5,483,716 shares of the Company's common stock to be issued pursuant to the 2020 Plan. As of June 30, 2022, there were 191,196 shares available for future issuance under the 2020 Plan.</w:t>
      </w:r>
    </w:p>
    <w:p>
      <w:pPr>
        <w:spacing w:after="0" w:line="187"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3,000,000 shares of the Company’s common stock are reserved for issuance under the Inducement Award Plan. As of June 30, 2022, there were 2,701,671 shares available for future issuance under the Inducement Award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ind w:right="180" w:firstLine="761"/>
        <w:spacing w:after="0" w:line="237" w:lineRule="auto"/>
        <w:rPr>
          <w:sz w:val="20"/>
          <w:szCs w:val="20"/>
          <w:color w:val="auto"/>
        </w:rPr>
      </w:pPr>
      <w:r>
        <w:rPr>
          <w:rFonts w:ascii="Arial" w:cs="Arial" w:eastAsia="Arial" w:hAnsi="Arial"/>
          <w:sz w:val="18"/>
          <w:szCs w:val="18"/>
          <w:color w:val="auto"/>
        </w:rPr>
        <w:t>The Company recognized $0.4 million and $0.6 million of stock-based compensation expense related to stock options for the three months ended June 30, 2022 and 2021, respectively, and $0.8 million and $1.2 million for the six months ended June 30, 2022 and 2021, respectively. As of June 30, 2022 and December 31, 2021, the Company had $2.6 million and $2.5 million, respectively, of unrecognized stock-based compensation expense that is expected to be recognized over a weighted-average period of 2.1 years and 1.7 years, respectively.</w:t>
      </w:r>
    </w:p>
    <w:p>
      <w:pPr>
        <w:spacing w:after="0" w:line="192" w:lineRule="exact"/>
        <w:rPr>
          <w:sz w:val="20"/>
          <w:szCs w:val="20"/>
          <w:color w:val="auto"/>
        </w:rPr>
      </w:pPr>
    </w:p>
    <w:p>
      <w:pPr>
        <w:ind w:right="240" w:firstLine="761"/>
        <w:spacing w:after="0" w:line="238" w:lineRule="auto"/>
        <w:rPr>
          <w:sz w:val="20"/>
          <w:szCs w:val="20"/>
          <w:color w:val="auto"/>
        </w:rPr>
      </w:pPr>
      <w:r>
        <w:rPr>
          <w:rFonts w:ascii="Arial" w:cs="Arial" w:eastAsia="Arial" w:hAnsi="Arial"/>
          <w:sz w:val="18"/>
          <w:szCs w:val="18"/>
          <w:color w:val="auto"/>
        </w:rPr>
        <w:t>On May 9, 2022 and May 20, 2022, 600,000 stock options having a fair value of $0.83 per share were granted to the CEO and an aggregate of 650,000 stock options having a grant date fair value of $1.14 per share were granted to certain members of key management. The exercise price of the stock options is $7.50 per share. The stock options vest ratably over a three year period subject to continued employment through each applicable vesting date.</w:t>
      </w:r>
    </w:p>
    <w:p>
      <w:pPr>
        <w:spacing w:after="0" w:line="190"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The grant date fair value of stock options granted during the three and six months ended June 30, 2022 was estimated at the time of grant using the Black-Scholes option-pricing model and utilized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May 20, 2022</w:t>
            </w:r>
          </w:p>
        </w:tc>
        <w:tc>
          <w:tcPr>
            <w:tcW w:w="280" w:type="dxa"/>
            <w:vAlign w:val="bottom"/>
          </w:tcPr>
          <w:p>
            <w:pPr>
              <w:spacing w:after="0"/>
              <w:rPr>
                <w:sz w:val="16"/>
                <w:szCs w:val="16"/>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May 9, 2022</w:t>
            </w:r>
          </w:p>
        </w:tc>
      </w:tr>
      <w:tr>
        <w:trPr>
          <w:trHeight w:val="196"/>
        </w:trPr>
        <w:tc>
          <w:tcPr>
            <w:tcW w:w="43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Fair value of common stock (per share)</w:t>
            </w:r>
          </w:p>
        </w:tc>
        <w:tc>
          <w:tcPr>
            <w:tcW w:w="3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0.83</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4340" w:type="dxa"/>
            <w:vAlign w:val="bottom"/>
          </w:tcPr>
          <w:p>
            <w:pPr>
              <w:ind w:left="20"/>
              <w:spacing w:after="0" w:line="201" w:lineRule="exact"/>
              <w:rPr>
                <w:sz w:val="20"/>
                <w:szCs w:val="20"/>
                <w:color w:val="auto"/>
              </w:rPr>
            </w:pPr>
            <w:r>
              <w:rPr>
                <w:rFonts w:ascii="Arial" w:cs="Arial" w:eastAsia="Arial" w:hAnsi="Arial"/>
                <w:sz w:val="18"/>
                <w:szCs w:val="18"/>
                <w:color w:val="auto"/>
              </w:rPr>
              <w:t>Expected term (in years)</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2.78 %</w:t>
            </w:r>
          </w:p>
        </w:tc>
        <w:tc>
          <w:tcPr>
            <w:tcW w:w="280" w:type="dxa"/>
            <w:vAlign w:val="bottom"/>
          </w:tcPr>
          <w:p>
            <w:pPr>
              <w:spacing w:after="0"/>
              <w:rPr>
                <w:sz w:val="17"/>
                <w:szCs w:val="17"/>
                <w:color w:val="auto"/>
              </w:rPr>
            </w:pP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3.05 %</w:t>
            </w:r>
          </w:p>
        </w:tc>
      </w:tr>
      <w:tr>
        <w:trPr>
          <w:trHeight w:val="203"/>
        </w:trPr>
        <w:tc>
          <w:tcPr>
            <w:tcW w:w="4340" w:type="dxa"/>
            <w:vAlign w:val="bottom"/>
          </w:tcPr>
          <w:p>
            <w:pPr>
              <w:ind w:left="20"/>
              <w:spacing w:after="0" w:line="203" w:lineRule="exact"/>
              <w:rPr>
                <w:sz w:val="20"/>
                <w:szCs w:val="20"/>
                <w:color w:val="auto"/>
              </w:rPr>
            </w:pPr>
            <w:r>
              <w:rPr>
                <w:rFonts w:ascii="Arial" w:cs="Arial" w:eastAsia="Arial" w:hAnsi="Arial"/>
                <w:sz w:val="18"/>
                <w:szCs w:val="18"/>
                <w:color w:val="auto"/>
              </w:rPr>
              <w:t>Expected volatility</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100.00 %</w:t>
            </w:r>
          </w:p>
        </w:tc>
        <w:tc>
          <w:tcPr>
            <w:tcW w:w="280" w:type="dxa"/>
            <w:vAlign w:val="bottom"/>
          </w:tcPr>
          <w:p>
            <w:pPr>
              <w:spacing w:after="0"/>
              <w:rPr>
                <w:sz w:val="17"/>
                <w:szCs w:val="17"/>
                <w:color w:val="auto"/>
              </w:rPr>
            </w:pPr>
          </w:p>
        </w:tc>
        <w:tc>
          <w:tcPr>
            <w:tcW w:w="15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100.00 %</w:t>
            </w:r>
          </w:p>
        </w:tc>
      </w:tr>
      <w:tr>
        <w:trPr>
          <w:trHeight w:val="202"/>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 yield</w:t>
            </w:r>
          </w:p>
        </w:tc>
        <w:tc>
          <w:tcPr>
            <w:tcW w:w="3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634"/>
        </w:trPr>
        <w:tc>
          <w:tcPr>
            <w:tcW w:w="4340" w:type="dxa"/>
            <w:vAlign w:val="bottom"/>
          </w:tcPr>
          <w:p>
            <w:pPr>
              <w:spacing w:after="0"/>
              <w:rPr>
                <w:sz w:val="24"/>
                <w:szCs w:val="24"/>
                <w:color w:val="auto"/>
              </w:rPr>
            </w:pPr>
          </w:p>
        </w:tc>
        <w:tc>
          <w:tcPr>
            <w:tcW w:w="3280" w:type="dxa"/>
            <w:vAlign w:val="bottom"/>
          </w:tcPr>
          <w:p>
            <w:pPr>
              <w:jc w:val="right"/>
              <w:ind w:right="18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recognized $1.4 million and $4.8 million of stock-based compensation expense related to RSUs for the three months ended June 30, 2022 and 2021, respectively, and $4.6 million and $7.0 million for the six months ended June 30, 2022 and 2021, respectively. As of June 30, 2022 and December 31, 2021, the Company had $28.1 million and $21.7 million, respectively, of unrecognized stock-based compensation expense that is expected to be recognized over a weighted-average period of 2.2 and 2.1 years, respectively.</w:t>
      </w:r>
    </w:p>
    <w:p>
      <w:pPr>
        <w:spacing w:after="0" w:line="19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On May 9, 2022 and May 20, 2022, 1,200,000 restricted stock units (“RSUs”) having a grant date fair value of $1.08 per share were granted to the CEO and an aggregate of 3,190,000 RSUs having a grant date fair value of $1.45 per share were granted to certain members of key management. The RSUs will vest on the third anniversary of the grant date, subject to continued employment through that date. The vesting of RSUs will accelerate in one-third increments if the Company achieves a closing price at or above $7.50 per share for twenty consecutive trading days during the three-year vesting period; a closing price at or above $15.00 per share for twenty consecutive trading days in the second or third years of the vesting period; and a closing price at or above $21.00 per share for twenty consecutive trading days during the third year of the vesting period. As of June 30, 2022, the accelerated vesting conditions were not met.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Fair Value Measurements</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3" w:lineRule="exact"/>
        <w:rPr>
          <w:sz w:val="20"/>
          <w:szCs w:val="20"/>
          <w:color w:val="auto"/>
        </w:rPr>
      </w:pPr>
    </w:p>
    <w:p>
      <w:pPr>
        <w:jc w:val="both"/>
        <w:ind w:left="760" w:right="12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4"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completed in February and certain of UACC’s finance receivables that are ineligible to be sold as of the acquisition date.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40" w:firstLine="761"/>
        <w:spacing w:after="0" w:line="245" w:lineRule="auto"/>
        <w:rPr>
          <w:sz w:val="20"/>
          <w:szCs w:val="20"/>
          <w:color w:val="auto"/>
        </w:rPr>
      </w:pPr>
      <w:r>
        <w:rPr>
          <w:rFonts w:ascii="Arial" w:cs="Arial" w:eastAsia="Arial" w:hAnsi="Arial"/>
          <w:sz w:val="18"/>
          <w:szCs w:val="18"/>
          <w:color w:val="auto"/>
        </w:rPr>
        <w:t>The following tables presents the Company’s financial assets and liabilities measured at fair value on a recurring basis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243,813</w:t>
            </w:r>
          </w:p>
        </w:tc>
        <w:tc>
          <w:tcPr>
            <w:tcW w:w="3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243,813</w:t>
            </w: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CFE assets: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5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Finance receivables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159,377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159,377</w:t>
            </w: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200" w:type="dxa"/>
            <w:vAlign w:val="bottom"/>
          </w:tcPr>
          <w:p>
            <w:pPr>
              <w:spacing w:after="0"/>
              <w:rPr>
                <w:sz w:val="17"/>
                <w:szCs w:val="17"/>
                <w:color w:val="auto"/>
              </w:rPr>
            </w:pPr>
          </w:p>
        </w:tc>
        <w:tc>
          <w:tcPr>
            <w:tcW w:w="10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68,407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68,407</w:t>
            </w:r>
          </w:p>
        </w:tc>
      </w:tr>
      <w:tr>
        <w:trPr>
          <w:trHeight w:val="202"/>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Beneficial interests in securitizations</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13,432</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13,432</w:t>
            </w:r>
          </w:p>
        </w:tc>
      </w:tr>
      <w:tr>
        <w:trPr>
          <w:trHeight w:val="196"/>
        </w:trPr>
        <w:tc>
          <w:tcPr>
            <w:tcW w:w="5740" w:type="dxa"/>
            <w:vAlign w:val="bottom"/>
          </w:tcPr>
          <w:p>
            <w:pPr>
              <w:ind w:left="20"/>
              <w:spacing w:after="0" w:line="195" w:lineRule="exact"/>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line="195" w:lineRule="exact"/>
              <w:rPr>
                <w:sz w:val="20"/>
                <w:szCs w:val="20"/>
                <w:color w:val="auto"/>
              </w:rPr>
            </w:pPr>
            <w:r>
              <w:rPr>
                <w:rFonts w:ascii="Arial" w:cs="Arial" w:eastAsia="Arial" w:hAnsi="Arial"/>
                <w:sz w:val="18"/>
                <w:szCs w:val="18"/>
                <w:color w:val="auto"/>
              </w:rPr>
              <w:t>243,813</w:t>
            </w:r>
          </w:p>
        </w:tc>
        <w:tc>
          <w:tcPr>
            <w:tcW w:w="34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line="195" w:lineRule="exact"/>
              <w:rPr>
                <w:sz w:val="20"/>
                <w:szCs w:val="20"/>
                <w:color w:val="auto"/>
              </w:rPr>
            </w:pPr>
            <w:r>
              <w:rPr>
                <w:rFonts w:ascii="Arial" w:cs="Arial" w:eastAsia="Arial" w:hAnsi="Arial"/>
                <w:sz w:val="18"/>
                <w:szCs w:val="18"/>
                <w:color w:val="auto"/>
              </w:rPr>
              <w:t>13,432</w:t>
            </w:r>
          </w:p>
        </w:tc>
        <w:tc>
          <w:tcPr>
            <w:tcW w:w="3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line="195" w:lineRule="exact"/>
              <w:rPr>
                <w:sz w:val="20"/>
                <w:szCs w:val="20"/>
                <w:color w:val="auto"/>
              </w:rPr>
            </w:pPr>
            <w:r>
              <w:rPr>
                <w:rFonts w:ascii="Arial" w:cs="Arial" w:eastAsia="Arial" w:hAnsi="Arial"/>
                <w:sz w:val="18"/>
                <w:szCs w:val="18"/>
                <w:color w:val="auto"/>
              </w:rPr>
              <w:t>227,784</w:t>
            </w:r>
          </w:p>
        </w:tc>
        <w:tc>
          <w:tcPr>
            <w:tcW w:w="400" w:type="dxa"/>
            <w:vAlign w:val="bottom"/>
            <w:gridSpan w:val="2"/>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195" w:lineRule="exact"/>
              <w:rPr>
                <w:sz w:val="20"/>
                <w:szCs w:val="20"/>
                <w:color w:val="auto"/>
              </w:rPr>
            </w:pPr>
            <w:r>
              <w:rPr>
                <w:rFonts w:ascii="Arial" w:cs="Arial" w:eastAsia="Arial" w:hAnsi="Arial"/>
                <w:sz w:val="18"/>
                <w:szCs w:val="18"/>
                <w:color w:val="auto"/>
              </w:rPr>
              <w:t>485,029</w:t>
            </w: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CFE liabilities: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 of consolidated VIEs</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167,115</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167,115</w:t>
            </w:r>
          </w:p>
        </w:tc>
      </w:tr>
      <w:tr>
        <w:trPr>
          <w:trHeight w:val="196"/>
        </w:trPr>
        <w:tc>
          <w:tcPr>
            <w:tcW w:w="5740" w:type="dxa"/>
            <w:vAlign w:val="bottom"/>
          </w:tcPr>
          <w:p>
            <w:pPr>
              <w:ind w:left="20"/>
              <w:spacing w:after="0" w:line="195" w:lineRule="exact"/>
              <w:rPr>
                <w:sz w:val="20"/>
                <w:szCs w:val="20"/>
                <w:color w:val="auto"/>
              </w:rPr>
            </w:pPr>
            <w:r>
              <w:rPr>
                <w:rFonts w:ascii="Arial" w:cs="Arial" w:eastAsia="Arial" w:hAnsi="Arial"/>
                <w:sz w:val="18"/>
                <w:szCs w:val="18"/>
                <w:color w:val="auto"/>
              </w:rPr>
              <w:t>Total financial liabilities</w:t>
            </w:r>
          </w:p>
        </w:tc>
        <w:tc>
          <w:tcPr>
            <w:tcW w:w="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3"/>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5"/>
              <w:spacing w:after="0" w:line="195" w:lineRule="exact"/>
              <w:rPr>
                <w:sz w:val="20"/>
                <w:szCs w:val="20"/>
                <w:color w:val="auto"/>
              </w:rPr>
            </w:pPr>
            <w:r>
              <w:rPr>
                <w:rFonts w:ascii="Arial" w:cs="Arial" w:eastAsia="Arial" w:hAnsi="Arial"/>
                <w:sz w:val="18"/>
                <w:szCs w:val="18"/>
                <w:color w:val="auto"/>
              </w:rPr>
              <w:t>167,115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3"/>
              <w:spacing w:after="0" w:line="195" w:lineRule="exact"/>
              <w:rPr>
                <w:sz w:val="20"/>
                <w:szCs w:val="20"/>
                <w:color w:val="auto"/>
              </w:rPr>
            </w:pPr>
            <w:r>
              <w:rPr>
                <w:rFonts w:ascii="Arial" w:cs="Arial" w:eastAsia="Arial" w:hAnsi="Arial"/>
                <w:sz w:val="18"/>
                <w:szCs w:val="18"/>
                <w:color w:val="auto"/>
              </w:rPr>
              <w:t>167,115</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8"/>
        </w:trPr>
        <w:tc>
          <w:tcPr>
            <w:tcW w:w="5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601,807</w:t>
            </w:r>
          </w:p>
        </w:tc>
        <w:tc>
          <w:tcPr>
            <w:tcW w:w="3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601,807</w:t>
            </w: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149,974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149,974</w:t>
            </w:r>
          </w:p>
        </w:tc>
      </w:tr>
      <w:tr>
        <w:trPr>
          <w:trHeight w:val="236"/>
        </w:trPr>
        <w:tc>
          <w:tcPr>
            <w:tcW w:w="574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53"/>
              <w:spacing w:after="0" w:line="195" w:lineRule="exact"/>
              <w:rPr>
                <w:sz w:val="20"/>
                <w:szCs w:val="20"/>
                <w:color w:val="auto"/>
              </w:rPr>
            </w:pPr>
            <w:r>
              <w:rPr>
                <w:rFonts w:ascii="Arial" w:cs="Arial" w:eastAsia="Arial" w:hAnsi="Arial"/>
                <w:sz w:val="18"/>
                <w:szCs w:val="18"/>
                <w:color w:val="auto"/>
              </w:rPr>
              <w:t>601,807</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5"/>
              <w:spacing w:after="0" w:line="195" w:lineRule="exact"/>
              <w:rPr>
                <w:sz w:val="20"/>
                <w:szCs w:val="20"/>
                <w:color w:val="auto"/>
              </w:rPr>
            </w:pPr>
            <w:r>
              <w:rPr>
                <w:rFonts w:ascii="Arial" w:cs="Arial" w:eastAsia="Arial" w:hAnsi="Arial"/>
                <w:sz w:val="18"/>
                <w:szCs w:val="18"/>
                <w:color w:val="auto"/>
              </w:rPr>
              <w:t>149,974</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center"/>
              <w:ind w:right="50"/>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751,781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-1751965</wp:posOffset>
            </wp:positionV>
            <wp:extent cx="857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-1751965</wp:posOffset>
            </wp:positionV>
            <wp:extent cx="768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-1751965</wp:posOffset>
            </wp:positionV>
            <wp:extent cx="768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-1203960</wp:posOffset>
            </wp:positionV>
            <wp:extent cx="857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-1203960</wp:posOffset>
            </wp:positionV>
            <wp:extent cx="768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-1203960</wp:posOffset>
            </wp:positionV>
            <wp:extent cx="768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220" w:lineRule="exact"/>
        <w:rPr>
          <w:sz w:val="20"/>
          <w:szCs w:val="20"/>
          <w:color w:val="auto"/>
        </w:rPr>
      </w:pPr>
    </w:p>
    <w:p>
      <w:pPr>
        <w:ind w:right="440" w:firstLine="749"/>
        <w:spacing w:after="0"/>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70" w:lineRule="exact"/>
        <w:rPr>
          <w:sz w:val="20"/>
          <w:szCs w:val="20"/>
          <w:color w:val="auto"/>
        </w:rPr>
      </w:pPr>
    </w:p>
    <w:p>
      <w:pPr>
        <w:ind w:right="40" w:firstLine="749"/>
        <w:spacing w:after="0" w:line="250"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62" w:lineRule="exact"/>
        <w:rPr>
          <w:sz w:val="20"/>
          <w:szCs w:val="20"/>
          <w:color w:val="auto"/>
        </w:rPr>
      </w:pPr>
    </w:p>
    <w:p>
      <w:pPr>
        <w:jc w:val="both"/>
        <w:ind w:right="340" w:firstLine="749"/>
        <w:spacing w:after="0" w:line="250"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Commercial paper consists of unsecured promissory notes issued by companies, with original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and is classified as Level 2. Commercial paper is issued at a discount to face value and is priced to reflect prevailing market interest rates.</w:t>
      </w:r>
    </w:p>
    <w:p>
      <w:pPr>
        <w:spacing w:after="0" w:line="162" w:lineRule="exact"/>
        <w:rPr>
          <w:sz w:val="20"/>
          <w:szCs w:val="20"/>
          <w:color w:val="auto"/>
        </w:rPr>
      </w:pPr>
    </w:p>
    <w:p>
      <w:pPr>
        <w:ind w:right="140" w:firstLine="749"/>
        <w:spacing w:after="0" w:line="245"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In connection with the UACC Acquisition, as described in Note 5– Acquisitions,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acquired certain financial assets and liabilities of consolidated VIE subsidiaries related to securitization transactions that were deemed to be CFEs. The Company elected the fair value option for the assets and liabilities of its consolidated VIEs related to the 2020 and 2021 historical securitizations acquired from UACC.</w:t>
      </w:r>
    </w:p>
    <w:p>
      <w:pPr>
        <w:spacing w:after="0" w:line="184"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As of the Acquisition Date, in accordance with ASC 825, the Company has elected the fair value option, for the eligible financial assets and liabilities of these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 changes in the CFE’s net assets, including changes in fair value adjustments and net interest earned, in its condensed consolidated statements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92"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51" w:lineRule="exact"/>
        <w:rPr>
          <w:sz w:val="20"/>
          <w:szCs w:val="20"/>
          <w:color w:val="auto"/>
        </w:rPr>
      </w:pPr>
    </w:p>
    <w:p>
      <w:pPr>
        <w:ind w:right="120" w:firstLine="749"/>
        <w:spacing w:after="0"/>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In connection with the UACC Acquisition as described in Note 5 – Acquisitions,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finance receivables for which it elected the fair value option in accordance with ASC 825. These receivables primarily relate to finance receivables that are not eligible to be sold in the immediate future due to 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74" w:lineRule="exact"/>
        <w:rPr>
          <w:sz w:val="20"/>
          <w:szCs w:val="20"/>
          <w:color w:val="auto"/>
        </w:rPr>
      </w:pPr>
    </w:p>
    <w:p>
      <w:pPr>
        <w:jc w:val="both"/>
        <w:ind w:right="60" w:firstLine="749"/>
        <w:spacing w:after="0" w:line="250"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Company’s 2022-1 securitization completed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2022 and include rated notes as well as certificates. Refer to Note 4 – Variable Interest Entities and Securitizations. The Company elected the fair value option on its beneficial interests in securitization.</w:t>
      </w:r>
    </w:p>
    <w:p>
      <w:pPr>
        <w:spacing w:after="0" w:line="180"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rPr>
          <w:sz w:val="20"/>
          <w:szCs w:val="20"/>
          <w:color w:val="auto"/>
        </w:rPr>
      </w:pPr>
      <w:r>
        <w:rPr>
          <w:rFonts w:ascii="Arial" w:cs="Arial" w:eastAsia="Arial" w:hAnsi="Arial"/>
          <w:sz w:val="18"/>
          <w:szCs w:val="18"/>
          <w:color w:val="auto"/>
        </w:rPr>
        <w:t>Level 3 inputs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Finance Receivables of</w:t>
            </w:r>
          </w:p>
        </w:tc>
        <w:tc>
          <w:tcPr>
            <w:tcW w:w="2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14"/>
                <w:szCs w:val="14"/>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Securitization Debt of</w:t>
            </w:r>
          </w:p>
        </w:tc>
      </w:tr>
      <w:tr>
        <w:trPr>
          <w:trHeight w:val="189"/>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Consolidated CFEs</w:t>
            </w:r>
          </w:p>
        </w:tc>
        <w:tc>
          <w:tcPr>
            <w:tcW w:w="36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Consolidated CFEs</w:t>
            </w:r>
          </w:p>
        </w:tc>
      </w:tr>
      <w:tr>
        <w:trPr>
          <w:trHeight w:val="196"/>
        </w:trPr>
        <w:tc>
          <w:tcPr>
            <w:tcW w:w="51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Fair value as of January 1, 2022</w:t>
            </w:r>
          </w:p>
        </w:tc>
        <w:tc>
          <w:tcPr>
            <w:tcW w:w="1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56"/>
              <w:spacing w:after="0" w:line="195"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Acquired in business combination</w:t>
            </w:r>
          </w:p>
        </w:tc>
        <w:tc>
          <w:tcPr>
            <w:tcW w:w="1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262,644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34,283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275,394</w:t>
            </w:r>
          </w:p>
        </w:tc>
        <w:tc>
          <w:tcPr>
            <w:tcW w:w="100" w:type="dxa"/>
            <w:vAlign w:val="bottom"/>
          </w:tcPr>
          <w:p>
            <w:pPr>
              <w:spacing w:after="0"/>
              <w:rPr>
                <w:sz w:val="17"/>
                <w:szCs w:val="17"/>
                <w:color w:val="auto"/>
              </w:rPr>
            </w:pPr>
          </w:p>
        </w:tc>
      </w:tr>
      <w:tr>
        <w:trPr>
          <w:trHeight w:val="202"/>
        </w:trPr>
        <w:tc>
          <w:tcPr>
            <w:tcW w:w="5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 out of Level 3</w:t>
            </w: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(275,394 )</w:t>
            </w: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Transfer within Level 3 categories</w:t>
            </w:r>
          </w:p>
        </w:tc>
        <w:tc>
          <w:tcPr>
            <w:tcW w:w="180" w:type="dxa"/>
            <w:vAlign w:val="bottom"/>
          </w:tcPr>
          <w:p>
            <w:pPr>
              <w:spacing w:after="0"/>
              <w:rPr>
                <w:sz w:val="17"/>
                <w:szCs w:val="17"/>
                <w:color w:val="auto"/>
              </w:rPr>
            </w:pPr>
          </w:p>
        </w:tc>
        <w:tc>
          <w:tcPr>
            <w:tcW w:w="1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(10,904 )</w:t>
            </w:r>
          </w:p>
        </w:tc>
        <w:tc>
          <w:tcPr>
            <w:tcW w:w="3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10,904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Losses included in other income</w:t>
            </w: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(18,279 )</w:t>
            </w:r>
          </w:p>
        </w:tc>
        <w:tc>
          <w:tcPr>
            <w:tcW w:w="3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(10,163 )</w:t>
            </w:r>
          </w:p>
        </w:tc>
        <w:tc>
          <w:tcPr>
            <w:tcW w:w="1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Issuances, net of discount</w:t>
            </w:r>
          </w:p>
        </w:tc>
        <w:tc>
          <w:tcPr>
            <w:tcW w:w="180" w:type="dxa"/>
            <w:vAlign w:val="bottom"/>
          </w:tcPr>
          <w:p>
            <w:pPr>
              <w:spacing w:after="0"/>
              <w:rPr>
                <w:sz w:val="17"/>
                <w:szCs w:val="17"/>
                <w:color w:val="auto"/>
              </w:rPr>
            </w:pPr>
          </w:p>
        </w:tc>
        <w:tc>
          <w:tcPr>
            <w:tcW w:w="1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49,475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w:t>
            </w:r>
          </w:p>
        </w:tc>
        <w:tc>
          <w:tcPr>
            <w:tcW w:w="18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(24,312 )</w:t>
            </w:r>
          </w:p>
        </w:tc>
        <w:tc>
          <w:tcPr>
            <w:tcW w:w="3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Paydowns</w:t>
            </w:r>
          </w:p>
        </w:tc>
        <w:tc>
          <w:tcPr>
            <w:tcW w:w="180" w:type="dxa"/>
            <w:vAlign w:val="bottom"/>
          </w:tcPr>
          <w:p>
            <w:pPr>
              <w:spacing w:after="0"/>
              <w:rPr>
                <w:sz w:val="17"/>
                <w:szCs w:val="17"/>
                <w:color w:val="auto"/>
              </w:rPr>
            </w:pPr>
          </w:p>
        </w:tc>
        <w:tc>
          <w:tcPr>
            <w:tcW w:w="1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(56,749 )</w:t>
            </w:r>
          </w:p>
        </w:tc>
        <w:tc>
          <w:tcPr>
            <w:tcW w:w="360" w:type="dxa"/>
            <w:vAlign w:val="bottom"/>
          </w:tcPr>
          <w:p>
            <w:pPr>
              <w:spacing w:after="0"/>
              <w:rPr>
                <w:sz w:val="17"/>
                <w:szCs w:val="17"/>
                <w:color w:val="auto"/>
              </w:rPr>
            </w:pP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(17,941 )</w:t>
            </w:r>
          </w:p>
        </w:tc>
        <w:tc>
          <w:tcPr>
            <w:tcW w:w="120" w:type="dxa"/>
            <w:vAlign w:val="bottom"/>
          </w:tcPr>
          <w:p>
            <w:pPr>
              <w:spacing w:after="0"/>
              <w:rPr>
                <w:sz w:val="17"/>
                <w:szCs w:val="17"/>
                <w:color w:val="auto"/>
              </w:rPr>
            </w:pP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6,977</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1,849</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Fair value as of June 30, 2022</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159,377</w:t>
            </w:r>
          </w:p>
        </w:tc>
        <w:tc>
          <w:tcPr>
            <w:tcW w:w="260" w:type="dxa"/>
            <w:vAlign w:val="bottom"/>
          </w:tcPr>
          <w:p>
            <w:pPr>
              <w:spacing w:after="0"/>
              <w:rPr>
                <w:sz w:val="17"/>
                <w:szCs w:val="17"/>
                <w:color w:val="auto"/>
              </w:rPr>
            </w:pPr>
          </w:p>
        </w:tc>
        <w:tc>
          <w:tcPr>
            <w:tcW w:w="360" w:type="dxa"/>
            <w:vAlign w:val="bottom"/>
          </w:tcPr>
          <w:p>
            <w:pPr>
              <w:jc w:val="right"/>
              <w:ind w:right="156"/>
              <w:spacing w:after="0" w:line="195"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68,407</w:t>
            </w:r>
          </w:p>
        </w:tc>
        <w:tc>
          <w:tcPr>
            <w:tcW w:w="260" w:type="dxa"/>
            <w:vAlign w:val="bottom"/>
          </w:tcPr>
          <w:p>
            <w:pPr>
              <w:spacing w:after="0"/>
              <w:rPr>
                <w:sz w:val="17"/>
                <w:szCs w:val="17"/>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-159385</wp:posOffset>
            </wp:positionV>
            <wp:extent cx="768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-159385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out of Level 3</w:t>
      </w:r>
    </w:p>
    <w:p>
      <w:pPr>
        <w:spacing w:after="0" w:line="220" w:lineRule="exact"/>
        <w:rPr>
          <w:sz w:val="20"/>
          <w:szCs w:val="20"/>
          <w:color w:val="auto"/>
        </w:rPr>
      </w:pPr>
    </w:p>
    <w:p>
      <w:pPr>
        <w:jc w:val="both"/>
        <w:ind w:right="40" w:firstLine="764"/>
        <w:spacing w:after="0"/>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period as described below. There were no transfers into Level 3 during the three and six months ended June 30, 2022.</w:t>
      </w:r>
    </w:p>
    <w:p>
      <w:pPr>
        <w:spacing w:after="0" w:line="188" w:lineRule="exact"/>
        <w:rPr>
          <w:sz w:val="20"/>
          <w:szCs w:val="20"/>
          <w:color w:val="auto"/>
        </w:rPr>
      </w:pPr>
    </w:p>
    <w:p>
      <w:pPr>
        <w:ind w:right="60" w:firstLine="764"/>
        <w:spacing w:after="0" w:line="237" w:lineRule="auto"/>
        <w:rPr>
          <w:sz w:val="20"/>
          <w:szCs w:val="20"/>
          <w:color w:val="auto"/>
        </w:rPr>
      </w:pPr>
      <w:r>
        <w:rPr>
          <w:rFonts w:ascii="Arial" w:cs="Arial" w:eastAsia="Arial" w:hAnsi="Arial"/>
          <w:sz w:val="18"/>
          <w:szCs w:val="18"/>
          <w:color w:val="auto"/>
        </w:rPr>
        <w:t>During the six months ended June 30, 2022, transfers out of Level 3 liabilities related to securitization debt of consolidated CFEs. The transfer out of Level 3 was the result of achieving consensus pricing from third -party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June 30, 2022. For the CFEs liabilities acquired during the period, the transfer was presumed to occur immediately after the Acquisition Date.</w:t>
      </w:r>
    </w:p>
    <w:p>
      <w:pPr>
        <w:spacing w:after="0" w:line="192" w:lineRule="exact"/>
        <w:rPr>
          <w:sz w:val="20"/>
          <w:szCs w:val="20"/>
          <w:color w:val="auto"/>
        </w:rPr>
      </w:pPr>
    </w:p>
    <w:p>
      <w:pPr>
        <w:ind w:right="1280" w:firstLine="764"/>
        <w:spacing w:after="0" w:line="469" w:lineRule="auto"/>
        <w:rPr>
          <w:sz w:val="20"/>
          <w:szCs w:val="20"/>
          <w:color w:val="auto"/>
        </w:rPr>
      </w:pPr>
      <w:r>
        <w:rPr>
          <w:rFonts w:ascii="Arial" w:cs="Arial" w:eastAsia="Arial" w:hAnsi="Arial"/>
          <w:sz w:val="18"/>
          <w:szCs w:val="18"/>
          <w:color w:val="auto"/>
        </w:rPr>
        <w:t xml:space="preserve">As of June 30, 2021, there were no financial assets or liabilities measured using Level 3 inputs on a recurring basis. </w:t>
      </w:r>
      <w:r>
        <w:rPr>
          <w:rFonts w:ascii="Arial" w:cs="Arial" w:eastAsia="Arial" w:hAnsi="Arial"/>
          <w:sz w:val="18"/>
          <w:szCs w:val="18"/>
          <w:b w:val="1"/>
          <w:bCs w:val="1"/>
          <w:i w:val="1"/>
          <w:iCs w:val="1"/>
          <w:color w:val="auto"/>
        </w:rPr>
        <w:t>Other Relevant Data for Financial Assets and Liabilities for which FVO Was Elected</w:t>
      </w:r>
    </w:p>
    <w:p>
      <w:pPr>
        <w:ind w:right="40" w:firstLine="749"/>
        <w:spacing w:after="0" w:line="245" w:lineRule="auto"/>
        <w:rPr>
          <w:sz w:val="20"/>
          <w:szCs w:val="20"/>
          <w:color w:val="auto"/>
        </w:rPr>
      </w:pPr>
      <w:r>
        <w:rPr>
          <w:rFonts w:ascii="Arial" w:cs="Arial" w:eastAsia="Arial" w:hAnsi="Arial"/>
          <w:sz w:val="18"/>
          <w:szCs w:val="18"/>
          <w:color w:val="auto"/>
        </w:rPr>
        <w:t>The following table presents the gains or losses recorded in "Other loss (income), net" in the condensed consolidated statements of operations related to the eligible financial instruments for which the fair value option was elected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43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76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43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Financial Assets</w:t>
            </w:r>
          </w:p>
        </w:tc>
        <w:tc>
          <w:tcPr>
            <w:tcW w:w="26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340" w:type="dxa"/>
            <w:vAlign w:val="bottom"/>
          </w:tcPr>
          <w:p>
            <w:pPr>
              <w:ind w:left="280"/>
              <w:spacing w:after="0" w:line="202" w:lineRule="exact"/>
              <w:rPr>
                <w:sz w:val="20"/>
                <w:szCs w:val="20"/>
                <w:color w:val="auto"/>
              </w:rPr>
            </w:pPr>
            <w:r>
              <w:rPr>
                <w:rFonts w:ascii="Arial" w:cs="Arial" w:eastAsia="Arial" w:hAnsi="Arial"/>
                <w:sz w:val="18"/>
                <w:szCs w:val="18"/>
                <w:color w:val="auto"/>
              </w:rPr>
              <w:t>Finance receivables of CFEs</w:t>
            </w:r>
          </w:p>
        </w:tc>
        <w:tc>
          <w:tcPr>
            <w:tcW w:w="2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(924 )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(15,295 )</w:t>
            </w:r>
          </w:p>
        </w:tc>
      </w:tr>
      <w:tr>
        <w:trPr>
          <w:trHeight w:val="202"/>
        </w:trPr>
        <w:tc>
          <w:tcPr>
            <w:tcW w:w="43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Finance receivables at fair value</w:t>
            </w:r>
          </w:p>
        </w:tc>
        <w:tc>
          <w:tcPr>
            <w:tcW w:w="2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(8,865 )</w:t>
            </w:r>
          </w:p>
        </w:tc>
        <w:tc>
          <w:tcPr>
            <w:tcW w:w="20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(8,252 )</w:t>
            </w:r>
          </w:p>
        </w:tc>
      </w:tr>
      <w:tr>
        <w:trPr>
          <w:trHeight w:val="202"/>
        </w:trPr>
        <w:tc>
          <w:tcPr>
            <w:tcW w:w="4340" w:type="dxa"/>
            <w:vAlign w:val="bottom"/>
          </w:tcPr>
          <w:p>
            <w:pPr>
              <w:ind w:left="280"/>
              <w:spacing w:after="0" w:line="202" w:lineRule="exact"/>
              <w:rPr>
                <w:sz w:val="20"/>
                <w:szCs w:val="20"/>
                <w:color w:val="auto"/>
              </w:rPr>
            </w:pPr>
            <w:r>
              <w:rPr>
                <w:rFonts w:ascii="Arial" w:cs="Arial" w:eastAsia="Arial" w:hAnsi="Arial"/>
                <w:sz w:val="18"/>
                <w:szCs w:val="18"/>
                <w:color w:val="auto"/>
              </w:rPr>
              <w:t>Beneficial interests in securitizations</w:t>
            </w: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(165 )</w:t>
            </w:r>
          </w:p>
        </w:tc>
        <w:tc>
          <w:tcPr>
            <w:tcW w:w="20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(321 )</w:t>
            </w:r>
          </w:p>
        </w:tc>
      </w:tr>
      <w:tr>
        <w:trPr>
          <w:trHeight w:val="202"/>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Financial Liabilities</w:t>
            </w:r>
          </w:p>
        </w:tc>
        <w:tc>
          <w:tcPr>
            <w:tcW w:w="2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Debt of securitized VIEs</w:t>
            </w:r>
          </w:p>
        </w:tc>
        <w:tc>
          <w:tcPr>
            <w:tcW w:w="2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2,716</w:t>
            </w:r>
          </w:p>
        </w:tc>
        <w:tc>
          <w:tcPr>
            <w:tcW w:w="100" w:type="dxa"/>
            <w:vAlign w:val="bottom"/>
          </w:tcPr>
          <w:p>
            <w:pPr>
              <w:spacing w:after="0"/>
              <w:rPr>
                <w:sz w:val="17"/>
                <w:szCs w:val="17"/>
                <w:color w:val="auto"/>
              </w:rPr>
            </w:pPr>
          </w:p>
        </w:tc>
      </w:tr>
      <w:tr>
        <w:trPr>
          <w:trHeight w:val="236"/>
        </w:trPr>
        <w:tc>
          <w:tcPr>
            <w:tcW w:w="434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net loss included in other income</w:t>
            </w:r>
          </w:p>
        </w:tc>
        <w:tc>
          <w:tcPr>
            <w:tcW w:w="26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(9,602</w:t>
            </w:r>
          </w:p>
        </w:tc>
        <w:tc>
          <w:tcPr>
            <w:tcW w:w="300" w:type="dxa"/>
            <w:vAlign w:val="bottom"/>
            <w:tcBorders>
              <w:bottom w:val="single" w:sz="8" w:color="CFF0FC"/>
            </w:tcBorders>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(21,152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14"/>
        </w:trPr>
        <w:tc>
          <w:tcPr>
            <w:tcW w:w="4340" w:type="dxa"/>
            <w:vAlign w:val="bottom"/>
          </w:tcPr>
          <w:p>
            <w:pPr>
              <w:spacing w:after="0"/>
              <w:rPr>
                <w:sz w:val="24"/>
                <w:szCs w:val="24"/>
                <w:color w:val="auto"/>
              </w:rPr>
            </w:pPr>
          </w:p>
        </w:tc>
        <w:tc>
          <w:tcPr>
            <w:tcW w:w="2660" w:type="dxa"/>
            <w:vAlign w:val="bottom"/>
          </w:tcPr>
          <w:p>
            <w:pPr>
              <w:jc w:val="right"/>
              <w:ind w:right="119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-495935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-478790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8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Receivables of CFEs</w:t>
            </w:r>
          </w:p>
        </w:tc>
        <w:tc>
          <w:tcPr>
            <w:tcW w:w="280" w:type="dxa"/>
            <w:vAlign w:val="bottom"/>
          </w:tcPr>
          <w:p>
            <w:pPr>
              <w:spacing w:after="0"/>
              <w:rPr>
                <w:sz w:val="14"/>
                <w:szCs w:val="14"/>
                <w:color w:val="auto"/>
              </w:rPr>
            </w:pPr>
          </w:p>
        </w:tc>
        <w:tc>
          <w:tcPr>
            <w:tcW w:w="19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Finance Receivable at Fair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at Fair Value</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ind w:left="60"/>
              <w:spacing w:after="0" w:line="168"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reported at fair value</w:t>
            </w:r>
          </w:p>
        </w:tc>
        <w:tc>
          <w:tcPr>
            <w:tcW w:w="540" w:type="dxa"/>
            <w:vAlign w:val="bottom"/>
            <w:gridSpan w:val="2"/>
            <w:shd w:val="clear" w:color="auto" w:fill="CFF0FC"/>
          </w:tcPr>
          <w:p>
            <w:pPr>
              <w:ind w:left="180"/>
              <w:spacing w:after="0" w:line="203"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181,015</w:t>
            </w:r>
          </w:p>
        </w:tc>
        <w:tc>
          <w:tcPr>
            <w:tcW w:w="720" w:type="dxa"/>
            <w:vAlign w:val="bottom"/>
            <w:gridSpan w:val="2"/>
            <w:shd w:val="clear" w:color="auto" w:fill="CFF0FC"/>
          </w:tcPr>
          <w:p>
            <w:pPr>
              <w:jc w:val="right"/>
              <w:ind w:right="248"/>
              <w:spacing w:after="0" w:line="203"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79,374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60" w:type="dxa"/>
            <w:vAlign w:val="bottom"/>
          </w:tcPr>
          <w:p>
            <w:pPr>
              <w:ind w:left="60"/>
              <w:spacing w:after="0" w:line="202" w:lineRule="exact"/>
              <w:rPr>
                <w:sz w:val="20"/>
                <w:szCs w:val="20"/>
                <w:color w:val="auto"/>
              </w:rPr>
            </w:pPr>
            <w:r>
              <w:rPr>
                <w:rFonts w:ascii="Arial" w:cs="Arial" w:eastAsia="Arial" w:hAnsi="Arial"/>
                <w:sz w:val="18"/>
                <w:szCs w:val="18"/>
                <w:color w:val="auto"/>
              </w:rPr>
              <w:t>Aggregate fair value of finance receivables that are reported at fair value</w:t>
            </w:r>
          </w:p>
        </w:tc>
        <w:tc>
          <w:tcPr>
            <w:tcW w:w="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159,377</w:t>
            </w:r>
          </w:p>
        </w:tc>
        <w:tc>
          <w:tcPr>
            <w:tcW w:w="7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68,407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660" w:type="dxa"/>
            <w:vAlign w:val="bottom"/>
            <w:shd w:val="clear" w:color="auto" w:fill="CFF0FC"/>
          </w:tcPr>
          <w:p>
            <w:pPr>
              <w:ind w:left="80"/>
              <w:spacing w:after="0" w:line="175" w:lineRule="exact"/>
              <w:rPr>
                <w:sz w:val="20"/>
                <w:szCs w:val="20"/>
                <w:color w:val="auto"/>
              </w:rPr>
            </w:pPr>
            <w:r>
              <w:rPr>
                <w:rFonts w:ascii="Arial" w:cs="Arial" w:eastAsia="Arial" w:hAnsi="Arial"/>
                <w:sz w:val="18"/>
                <w:szCs w:val="18"/>
                <w:color w:val="auto"/>
              </w:rPr>
              <w:t>Unpaid principal balance of receivables within finance receivables that are</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reported at fair value and are on nonaccrual status (90 days or more past due)</w:t>
            </w:r>
          </w:p>
        </w:tc>
        <w:tc>
          <w:tcPr>
            <w:tcW w:w="540" w:type="dxa"/>
            <w:vAlign w:val="bottom"/>
            <w:gridSpan w:val="2"/>
            <w:shd w:val="clear" w:color="auto" w:fill="CFF0FC"/>
          </w:tcPr>
          <w:p>
            <w:pPr>
              <w:ind w:left="180"/>
              <w:spacing w:after="0" w:line="203"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1,726</w:t>
            </w:r>
          </w:p>
        </w:tc>
        <w:tc>
          <w:tcPr>
            <w:tcW w:w="720" w:type="dxa"/>
            <w:vAlign w:val="bottom"/>
            <w:gridSpan w:val="2"/>
            <w:shd w:val="clear" w:color="auto" w:fill="CFF0FC"/>
          </w:tcPr>
          <w:p>
            <w:pPr>
              <w:jc w:val="right"/>
              <w:ind w:right="248"/>
              <w:spacing w:after="0" w:line="203"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660" w:type="dxa"/>
            <w:vAlign w:val="bottom"/>
          </w:tcPr>
          <w:p>
            <w:pPr>
              <w:ind w:left="60"/>
              <w:spacing w:after="0" w:line="175" w:lineRule="exact"/>
              <w:rPr>
                <w:sz w:val="20"/>
                <w:szCs w:val="20"/>
                <w:color w:val="auto"/>
              </w:rPr>
            </w:pPr>
            <w:r>
              <w:rPr>
                <w:rFonts w:ascii="Arial" w:cs="Arial" w:eastAsia="Arial" w:hAnsi="Arial"/>
                <w:sz w:val="18"/>
                <w:szCs w:val="18"/>
                <w:color w:val="auto"/>
              </w:rPr>
              <w:t>Aggregate fair value of receivables carried at fair value that are on nonaccrual</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0"/>
              <w:spacing w:after="0"/>
              <w:rPr>
                <w:sz w:val="20"/>
                <w:szCs w:val="20"/>
                <w:color w:val="auto"/>
              </w:rPr>
            </w:pPr>
            <w:r>
              <w:rPr>
                <w:rFonts w:ascii="Arial" w:cs="Arial" w:eastAsia="Arial" w:hAnsi="Arial"/>
                <w:sz w:val="18"/>
                <w:szCs w:val="18"/>
                <w:color w:val="auto"/>
              </w:rPr>
              <w:t>status (90 days or more past due)</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1,506</w:t>
            </w:r>
          </w:p>
        </w:tc>
        <w:tc>
          <w:tcPr>
            <w:tcW w:w="7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45"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2022</w:t>
            </w:r>
          </w:p>
        </w:tc>
        <w:tc>
          <w:tcPr>
            <w:tcW w:w="240" w:type="dxa"/>
            <w:vAlign w:val="bottom"/>
          </w:tcPr>
          <w:p>
            <w:pPr>
              <w:spacing w:after="0"/>
              <w:rPr>
                <w:sz w:val="14"/>
                <w:szCs w:val="14"/>
                <w:color w:val="auto"/>
              </w:rPr>
            </w:pPr>
          </w:p>
        </w:tc>
        <w:tc>
          <w:tcPr>
            <w:tcW w:w="258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Securitization debt of 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Aggregate unpaid principal balance of debt of securitized VIEs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9"/>
              <w:spacing w:after="0" w:line="195" w:lineRule="exact"/>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169,830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20"/>
              <w:spacing w:after="0"/>
              <w:rPr>
                <w:sz w:val="20"/>
                <w:szCs w:val="20"/>
                <w:color w:val="auto"/>
              </w:rPr>
            </w:pPr>
            <w:r>
              <w:rPr>
                <w:rFonts w:ascii="Arial" w:cs="Arial" w:eastAsia="Arial" w:hAnsi="Arial"/>
                <w:sz w:val="18"/>
                <w:szCs w:val="18"/>
                <w:color w:val="auto"/>
              </w:rPr>
              <w:t>Aggregate fair value of debt of securitized VIEs</w:t>
            </w:r>
          </w:p>
        </w:tc>
        <w:tc>
          <w:tcPr>
            <w:tcW w:w="64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167,115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2021, there were no financial assets or liabilities for which the fair value option was elected.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2020 Vehicle Floorplan Facility and the Warehouse Credit Facilities was determined to approximate fair value due to its short-term duration and variable interest rate that approximates prevailing interest rates as of each reporting period.</w:t>
      </w:r>
    </w:p>
    <w:p>
      <w:pPr>
        <w:spacing w:after="0" w:line="172" w:lineRule="exact"/>
        <w:rPr>
          <w:sz w:val="20"/>
          <w:szCs w:val="20"/>
          <w:color w:val="auto"/>
        </w:rPr>
      </w:pPr>
    </w:p>
    <w:p>
      <w:pPr>
        <w:ind w:right="100" w:firstLine="749"/>
        <w:spacing w:after="0"/>
        <w:rPr>
          <w:sz w:val="20"/>
          <w:szCs w:val="20"/>
          <w:color w:val="auto"/>
        </w:rPr>
      </w:pPr>
      <w:r>
        <w:rPr>
          <w:rFonts w:ascii="Arial" w:cs="Arial" w:eastAsia="Arial" w:hAnsi="Arial"/>
          <w:sz w:val="18"/>
          <w:szCs w:val="18"/>
          <w:i w:val="1"/>
          <w:iCs w:val="1"/>
          <w:color w:val="auto"/>
        </w:rPr>
        <w:t xml:space="preserve">Finance receivables held for sale, net: </w:t>
      </w:r>
      <w:r>
        <w:rPr>
          <w:rFonts w:ascii="Arial" w:cs="Arial" w:eastAsia="Arial" w:hAnsi="Arial"/>
          <w:sz w:val="18"/>
          <w:szCs w:val="18"/>
          <w:color w:val="auto"/>
        </w:rPr>
        <w:t>For finance receivables eligible to be sold, the Company determines the fair value of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utilizing sales prices based on estimated securitization transactions, adjusted for transformation costs, risk and a normal profit margin associated with securitization transactions. The Company uses a discounted cash flow model to estimate the present value of future recoveries for finance receivables that become delinquent and no longer meet the expected sales criteria. Such fair value measurement of finance receivables held for sale, net is considered Level 3 of the fair value hierarchy. The carrying value and fair value of the finance receivables held for sale, net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r>
      <w:tr>
        <w:trPr>
          <w:trHeight w:val="169"/>
        </w:trPr>
        <w:tc>
          <w:tcPr>
            <w:tcW w:w="8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right"/>
              <w:ind w:right="1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80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Carrying value</w:t>
            </w:r>
          </w:p>
        </w:tc>
        <w:tc>
          <w:tcPr>
            <w:tcW w:w="660" w:type="dxa"/>
            <w:vAlign w:val="bottom"/>
            <w:shd w:val="clear" w:color="auto" w:fill="CFF0FC"/>
          </w:tcPr>
          <w:p>
            <w:pPr>
              <w:jc w:val="right"/>
              <w:ind w:right="470"/>
              <w:spacing w:after="0" w:line="195" w:lineRule="exact"/>
              <w:rPr>
                <w:sz w:val="20"/>
                <w:szCs w:val="20"/>
                <w:color w:val="auto"/>
              </w:rPr>
            </w:pPr>
            <w:r>
              <w:rPr>
                <w:rFonts w:ascii="Arial" w:cs="Arial" w:eastAsia="Arial" w:hAnsi="Arial"/>
                <w:sz w:val="18"/>
                <w:szCs w:val="18"/>
                <w:color w:val="auto"/>
                <w:w w:val="79"/>
              </w:rPr>
              <w:t>$</w:t>
            </w:r>
          </w:p>
        </w:tc>
        <w:tc>
          <w:tcPr>
            <w:tcW w:w="24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295,303</w:t>
            </w:r>
          </w:p>
        </w:tc>
        <w:tc>
          <w:tcPr>
            <w:tcW w:w="100" w:type="dxa"/>
            <w:vAlign w:val="bottom"/>
            <w:shd w:val="clear" w:color="auto" w:fill="CFF0FC"/>
          </w:tcPr>
          <w:p>
            <w:pPr>
              <w:spacing w:after="0"/>
              <w:rPr>
                <w:sz w:val="17"/>
                <w:szCs w:val="17"/>
                <w:color w:val="auto"/>
              </w:rPr>
            </w:pPr>
          </w:p>
        </w:tc>
      </w:tr>
      <w:tr>
        <w:trPr>
          <w:trHeight w:val="217"/>
        </w:trPr>
        <w:tc>
          <w:tcPr>
            <w:tcW w:w="808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297,745</w:t>
            </w:r>
          </w:p>
        </w:tc>
        <w:tc>
          <w:tcPr>
            <w:tcW w:w="100" w:type="dxa"/>
            <w:vAlign w:val="bottom"/>
          </w:tcPr>
          <w:p>
            <w:pPr>
              <w:spacing w:after="0"/>
              <w:rPr>
                <w:sz w:val="18"/>
                <w:szCs w:val="18"/>
                <w:color w:val="auto"/>
              </w:rPr>
            </w:pPr>
          </w:p>
        </w:tc>
      </w:tr>
    </w:tbl>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2021, the Company did not have any finance receivables held for sale.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was determined utilizing actual bids and offer prices of the Notes in markets that are not active and are classified within Level 2 of the fair value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1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Carrying value</w:t>
            </w:r>
          </w:p>
        </w:tc>
        <w:tc>
          <w:tcPr>
            <w:tcW w:w="1560" w:type="dxa"/>
            <w:vAlign w:val="bottom"/>
            <w:shd w:val="clear" w:color="auto" w:fill="CFF0FC"/>
          </w:tcPr>
          <w:p>
            <w:pPr>
              <w:jc w:val="right"/>
              <w:ind w:right="1359"/>
              <w:spacing w:after="0" w:line="195"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612,231</w:t>
            </w: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5" w:lineRule="exact"/>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610,618</w:t>
            </w:r>
          </w:p>
        </w:tc>
        <w:tc>
          <w:tcPr>
            <w:tcW w:w="100" w:type="dxa"/>
            <w:vAlign w:val="bottom"/>
            <w:shd w:val="clear" w:color="auto" w:fill="CFF0FC"/>
          </w:tcPr>
          <w:p>
            <w:pPr>
              <w:spacing w:after="0"/>
              <w:rPr>
                <w:sz w:val="17"/>
                <w:szCs w:val="17"/>
                <w:color w:val="auto"/>
              </w:rPr>
            </w:pPr>
          </w:p>
        </w:tc>
      </w:tr>
      <w:tr>
        <w:trPr>
          <w:trHeight w:val="217"/>
        </w:trPr>
        <w:tc>
          <w:tcPr>
            <w:tcW w:w="614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560" w:type="dxa"/>
            <w:vAlign w:val="bottom"/>
          </w:tcPr>
          <w:p>
            <w:pPr>
              <w:jc w:val="right"/>
              <w:ind w:right="135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178,125</w:t>
            </w: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386,100</w:t>
            </w:r>
          </w:p>
        </w:tc>
        <w:tc>
          <w:tcPr>
            <w:tcW w:w="100" w:type="dxa"/>
            <w:vAlign w:val="bottom"/>
          </w:tcPr>
          <w:p>
            <w:pPr>
              <w:spacing w:after="0"/>
              <w:rPr>
                <w:sz w:val="18"/>
                <w:szCs w:val="18"/>
                <w:color w:val="auto"/>
              </w:rPr>
            </w:pPr>
          </w:p>
        </w:tc>
      </w:tr>
    </w:tbl>
    <w:p>
      <w:pPr>
        <w:spacing w:after="0" w:line="169" w:lineRule="exact"/>
        <w:rPr>
          <w:sz w:val="20"/>
          <w:szCs w:val="20"/>
          <w:color w:val="auto"/>
        </w:rPr>
      </w:pPr>
    </w:p>
    <w:p>
      <w:pPr>
        <w:ind w:right="280" w:firstLine="749"/>
        <w:spacing w:after="0" w:line="250"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June 30, 2022 and are classified within Level 3 of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220" w:lineRule="exact"/>
        <w:rPr>
          <w:sz w:val="20"/>
          <w:szCs w:val="20"/>
          <w:color w:val="auto"/>
        </w:rPr>
      </w:pPr>
    </w:p>
    <w:p>
      <w:pPr>
        <w:jc w:val="both"/>
        <w:ind w:right="140" w:firstLine="749"/>
        <w:spacing w:after="0"/>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Acquisitions and Note 8 - Goodwill and Intangible Assets for additional information.</w:t>
      </w:r>
    </w:p>
    <w:p>
      <w:pPr>
        <w:spacing w:after="0" w:line="18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From time to time the Company may mark certain receivables classified as held for sale to fair value and classified as financial instruments recorded at fair value on a non-recurring basis. As of June 30, 2022 there were no material finance receivables that were marked to fair value on a non-recurring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Restructuring Activities</w:t>
      </w:r>
    </w:p>
    <w:p>
      <w:pPr>
        <w:spacing w:after="0" w:line="220" w:lineRule="exact"/>
        <w:rPr>
          <w:sz w:val="20"/>
          <w:szCs w:val="20"/>
          <w:color w:val="auto"/>
        </w:rPr>
      </w:pPr>
    </w:p>
    <w:p>
      <w:pPr>
        <w:ind w:right="700" w:firstLine="761"/>
        <w:spacing w:after="0" w:line="245" w:lineRule="auto"/>
        <w:rPr>
          <w:sz w:val="20"/>
          <w:szCs w:val="20"/>
          <w:color w:val="auto"/>
        </w:rPr>
      </w:pPr>
      <w:r>
        <w:rPr>
          <w:rFonts w:ascii="Arial" w:cs="Arial" w:eastAsia="Arial" w:hAnsi="Arial"/>
          <w:sz w:val="18"/>
          <w:szCs w:val="18"/>
          <w:color w:val="auto"/>
        </w:rPr>
        <w:t>On May 5, 2022, the Company approved the Realignment Plan, which was designed to position the Company for long-term profitable growth by prioritizing unit economics, reducing operating expenses and maximizing liquidity.</w:t>
      </w:r>
    </w:p>
    <w:p>
      <w:pPr>
        <w:spacing w:after="0" w:line="184" w:lineRule="exact"/>
        <w:rPr>
          <w:sz w:val="20"/>
          <w:szCs w:val="20"/>
          <w:color w:val="auto"/>
        </w:rPr>
      </w:pPr>
    </w:p>
    <w:p>
      <w:pPr>
        <w:ind w:right="120" w:firstLine="761"/>
        <w:spacing w:after="0" w:line="257" w:lineRule="auto"/>
        <w:rPr>
          <w:sz w:val="20"/>
          <w:szCs w:val="20"/>
          <w:color w:val="auto"/>
        </w:rPr>
      </w:pPr>
      <w:r>
        <w:rPr>
          <w:rFonts w:ascii="Arial" w:cs="Arial" w:eastAsia="Arial" w:hAnsi="Arial"/>
          <w:sz w:val="17"/>
          <w:szCs w:val="17"/>
          <w:color w:val="auto"/>
        </w:rPr>
        <w:t>The Realignment Plan initially included a headcount reduction of approximately 270 positions and the closing of the New York City, Detroit and Sell Us Your Car® center facilities. Since announcement of the Realignment Plan, the Company streamlined TDA's operations and closed its service center. The service center is being repurposed to replace the reconditioning facility in Stafford, Texas. The Company also further reduced headcount by an additional 67 positions related to its proprietary reconditioning operations to align with unit volume.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restructuring charges related to the Realignment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and Six months ended June</w:t>
            </w:r>
          </w:p>
        </w:tc>
        <w:tc>
          <w:tcPr>
            <w:tcW w:w="100" w:type="dxa"/>
            <w:vAlign w:val="bottom"/>
          </w:tcPr>
          <w:p>
            <w:pPr>
              <w:spacing w:after="0"/>
              <w:rPr>
                <w:sz w:val="14"/>
                <w:szCs w:val="14"/>
                <w:color w:val="auto"/>
              </w:rPr>
            </w:pPr>
          </w:p>
        </w:tc>
      </w:tr>
      <w:tr>
        <w:trPr>
          <w:trHeight w:val="189"/>
        </w:trPr>
        <w:tc>
          <w:tcPr>
            <w:tcW w:w="87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r>
      <w:tr>
        <w:trPr>
          <w:trHeight w:val="169"/>
        </w:trPr>
        <w:tc>
          <w:tcPr>
            <w:tcW w:w="8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8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8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Charges by Activity:</w:t>
            </w:r>
          </w:p>
        </w:tc>
        <w:tc>
          <w:tcPr>
            <w:tcW w:w="5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8740" w:type="dxa"/>
            <w:vAlign w:val="bottom"/>
          </w:tcPr>
          <w:p>
            <w:pPr>
              <w:ind w:left="180"/>
              <w:spacing w:after="0" w:line="202" w:lineRule="exact"/>
              <w:rPr>
                <w:sz w:val="20"/>
                <w:szCs w:val="20"/>
                <w:color w:val="auto"/>
              </w:rPr>
            </w:pPr>
            <w:r>
              <w:rPr>
                <w:rFonts w:ascii="Arial" w:cs="Arial" w:eastAsia="Arial" w:hAnsi="Arial"/>
                <w:sz w:val="17"/>
                <w:szCs w:val="17"/>
                <w:color w:val="auto"/>
              </w:rPr>
              <w:t xml:space="preserve">Severance and termination benefits </w:t>
            </w:r>
            <w:r>
              <w:rPr>
                <w:rFonts w:ascii="Arial" w:cs="Arial" w:eastAsia="Arial" w:hAnsi="Arial"/>
                <w:sz w:val="23"/>
                <w:szCs w:val="23"/>
                <w:color w:val="auto"/>
                <w:vertAlign w:val="superscript"/>
              </w:rPr>
              <w:t>(1)</w:t>
            </w:r>
          </w:p>
        </w:tc>
        <w:tc>
          <w:tcPr>
            <w:tcW w:w="5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4,946</w:t>
            </w:r>
          </w:p>
        </w:tc>
        <w:tc>
          <w:tcPr>
            <w:tcW w:w="100" w:type="dxa"/>
            <w:vAlign w:val="bottom"/>
          </w:tcPr>
          <w:p>
            <w:pPr>
              <w:spacing w:after="0"/>
              <w:rPr>
                <w:sz w:val="17"/>
                <w:szCs w:val="17"/>
                <w:color w:val="auto"/>
              </w:rPr>
            </w:pPr>
          </w:p>
        </w:tc>
      </w:tr>
      <w:tr>
        <w:trPr>
          <w:trHeight w:val="229"/>
        </w:trPr>
        <w:tc>
          <w:tcPr>
            <w:tcW w:w="8740" w:type="dxa"/>
            <w:vAlign w:val="bottom"/>
            <w:shd w:val="clear" w:color="auto" w:fill="CFF0FC"/>
          </w:tcPr>
          <w:p>
            <w:pPr>
              <w:ind w:left="180"/>
              <w:spacing w:after="0" w:line="229" w:lineRule="exact"/>
              <w:rPr>
                <w:sz w:val="20"/>
                <w:szCs w:val="20"/>
                <w:color w:val="auto"/>
              </w:rPr>
            </w:pPr>
            <w:r>
              <w:rPr>
                <w:rFonts w:ascii="Arial" w:cs="Arial" w:eastAsia="Arial" w:hAnsi="Arial"/>
                <w:sz w:val="18"/>
                <w:szCs w:val="18"/>
                <w:color w:val="auto"/>
              </w:rPr>
              <w:t xml:space="preserve">Impairment of operating lease right-of-use assets </w:t>
            </w:r>
            <w:r>
              <w:rPr>
                <w:rFonts w:ascii="Arial" w:cs="Arial" w:eastAsia="Arial" w:hAnsi="Arial"/>
                <w:sz w:val="24"/>
                <w:szCs w:val="24"/>
                <w:color w:val="auto"/>
                <w:vertAlign w:val="superscript"/>
              </w:rPr>
              <w:t>(2)</w:t>
            </w:r>
          </w:p>
        </w:tc>
        <w:tc>
          <w:tcPr>
            <w:tcW w:w="5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FF0FC"/>
          </w:tcPr>
          <w:p>
            <w:pPr>
              <w:spacing w:after="0"/>
              <w:rPr>
                <w:sz w:val="19"/>
                <w:szCs w:val="19"/>
                <w:color w:val="auto"/>
              </w:rPr>
            </w:pPr>
          </w:p>
        </w:tc>
      </w:tr>
      <w:tr>
        <w:trPr>
          <w:trHeight w:val="216"/>
        </w:trPr>
        <w:tc>
          <w:tcPr>
            <w:tcW w:w="87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4"/>
                <w:szCs w:val="24"/>
                <w:color w:val="auto"/>
                <w:vertAlign w:val="superscript"/>
              </w:rPr>
              <w:t>(3)</w:t>
            </w:r>
          </w:p>
        </w:tc>
        <w:tc>
          <w:tcPr>
            <w:tcW w:w="5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r>
      <w:tr>
        <w:trPr>
          <w:trHeight w:val="236"/>
        </w:trPr>
        <w:tc>
          <w:tcPr>
            <w:tcW w:w="874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Restructuring and Related Charges</w:t>
            </w:r>
          </w:p>
        </w:tc>
        <w:tc>
          <w:tcPr>
            <w:tcW w:w="580" w:type="dxa"/>
            <w:vAlign w:val="bottom"/>
            <w:tcBorders>
              <w:bottom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9,529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940" w:hanging="172"/>
        <w:spacing w:after="0"/>
        <w:tabs>
          <w:tab w:leader="none" w:pos="94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Severance and termination costs consist of severance costs provided to employees who have been terminated as well outplacement costs and COBRA benefits.</w:t>
      </w:r>
    </w:p>
    <w:p>
      <w:pPr>
        <w:spacing w:after="0" w:line="37" w:lineRule="exact"/>
        <w:rPr>
          <w:rFonts w:ascii="Arial" w:cs="Arial" w:eastAsia="Arial" w:hAnsi="Arial"/>
          <w:sz w:val="12"/>
          <w:szCs w:val="12"/>
          <w:color w:val="auto"/>
        </w:rPr>
      </w:pPr>
    </w:p>
    <w:p>
      <w:pPr>
        <w:ind w:right="140" w:firstLine="768"/>
        <w:spacing w:after="0" w:line="304" w:lineRule="auto"/>
        <w:tabs>
          <w:tab w:leader="none" w:pos="941" w:val="left"/>
        </w:tabs>
        <w:numPr>
          <w:ilvl w:val="0"/>
          <w:numId w:val="7"/>
        </w:numPr>
        <w:rPr>
          <w:rFonts w:ascii="Arial" w:cs="Arial" w:eastAsia="Arial" w:hAnsi="Arial"/>
          <w:sz w:val="12"/>
          <w:szCs w:val="12"/>
          <w:color w:val="auto"/>
        </w:rPr>
      </w:pPr>
      <w:r>
        <w:rPr>
          <w:rFonts w:ascii="Arial" w:cs="Arial" w:eastAsia="Arial" w:hAnsi="Arial"/>
          <w:sz w:val="12"/>
          <w:szCs w:val="12"/>
          <w:color w:val="auto"/>
        </w:rPr>
        <w:t>Impairment of operating lease right-of-use assets consist of costs associated with planned facility closures of $5.5 million, net of applicable sublease income of $2.1 million, that will continue to be incurred under the contract for its remaining term without economic benefit to the Company.</w:t>
      </w:r>
    </w:p>
    <w:p>
      <w:pPr>
        <w:spacing w:after="0" w:line="1" w:lineRule="exact"/>
        <w:rPr>
          <w:rFonts w:ascii="Arial" w:cs="Arial" w:eastAsia="Arial" w:hAnsi="Arial"/>
          <w:sz w:val="12"/>
          <w:szCs w:val="12"/>
          <w:color w:val="auto"/>
        </w:rPr>
      </w:pPr>
    </w:p>
    <w:p>
      <w:pPr>
        <w:ind w:right="200" w:firstLine="768"/>
        <w:spacing w:after="0" w:line="317" w:lineRule="auto"/>
        <w:tabs>
          <w:tab w:leader="none" w:pos="941" w:val="left"/>
        </w:tabs>
        <w:numPr>
          <w:ilvl w:val="0"/>
          <w:numId w:val="7"/>
        </w:numPr>
        <w:rPr>
          <w:rFonts w:ascii="Arial" w:cs="Arial" w:eastAsia="Arial" w:hAnsi="Arial"/>
          <w:sz w:val="12"/>
          <w:szCs w:val="12"/>
          <w:color w:val="auto"/>
        </w:rPr>
      </w:pPr>
      <w:r>
        <w:rPr>
          <w:rFonts w:ascii="Arial" w:cs="Arial" w:eastAsia="Arial" w:hAnsi="Arial"/>
          <w:sz w:val="12"/>
          <w:szCs w:val="12"/>
          <w:color w:val="auto"/>
        </w:rPr>
        <w:t>Other costs consist of legal expenses of $0.6 million incurred in connection with the Realignment Plan and acceleration of depreciation of property and equipment of $0.6 million related to the planned facility 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expects to incur approximately $2.0 million of lease impairment charges in the second half of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Severance and termination benefits and other costs are included in "Selling, general, and administrative expenses" and impairment of operating lease right-of-use assets are included in "Impairment charges" in the condensed consolidated statements of operations for the three and six months ended June 30, 2022.</w:t>
      </w:r>
    </w:p>
    <w:p>
      <w:pPr>
        <w:spacing w:after="0" w:line="188" w:lineRule="exact"/>
        <w:rPr>
          <w:sz w:val="20"/>
          <w:szCs w:val="20"/>
          <w:color w:val="auto"/>
        </w:rPr>
      </w:pPr>
    </w:p>
    <w:p>
      <w:pPr>
        <w:ind w:right="440" w:firstLine="761"/>
        <w:spacing w:after="0" w:line="245" w:lineRule="auto"/>
        <w:rPr>
          <w:sz w:val="20"/>
          <w:szCs w:val="20"/>
          <w:color w:val="auto"/>
        </w:rPr>
      </w:pPr>
      <w:r>
        <w:rPr>
          <w:rFonts w:ascii="Arial" w:cs="Arial" w:eastAsia="Arial" w:hAnsi="Arial"/>
          <w:sz w:val="18"/>
          <w:szCs w:val="18"/>
          <w:color w:val="auto"/>
        </w:rPr>
        <w:t>The following table is a reconciliation of the beginning and ending restructuring liability for the six months ended June 30, 2022 related to the Realignment Plan:</w:t>
      </w:r>
    </w:p>
    <w:p>
      <w:pPr>
        <w:sectPr>
          <w:pgSz w:w="11900" w:h="16838" w:orient="portrait"/>
          <w:cols w:equalWidth="0" w:num="1">
            <w:col w:w="11240"/>
          </w:cols>
          <w:pgMar w:left="320" w:top="140"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Accrual and accrual adjustments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Balance as of June 30, 2022</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0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5,529</w:t>
            </w:r>
          </w:p>
        </w:tc>
        <w:tc>
          <w:tcPr>
            <w:tcW w:w="6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(2,435 )</w:t>
            </w:r>
          </w:p>
        </w:tc>
      </w:tr>
      <w:tr>
        <w:trPr>
          <w:trHeight w:val="196"/>
        </w:trPr>
        <w:tc>
          <w:tcPr>
            <w:tcW w:w="1040" w:type="dxa"/>
            <w:vAlign w:val="bottom"/>
            <w:tcBorders>
              <w:top w:val="single" w:sz="8" w:color="auto"/>
              <w:bottom w:val="single" w:sz="8" w:color="auto"/>
            </w:tcBorders>
          </w:tcPr>
          <w:p>
            <w:pPr>
              <w:jc w:val="right"/>
              <w:ind w:right="830"/>
              <w:spacing w:after="0" w:line="195"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3,094</w:t>
            </w:r>
          </w:p>
        </w:tc>
        <w:tc>
          <w:tcPr>
            <w:tcW w:w="60" w:type="dxa"/>
            <w:vAlign w:val="bottom"/>
          </w:tcPr>
          <w:p>
            <w:pPr>
              <w:spacing w:after="0"/>
              <w:rPr>
                <w:sz w:val="17"/>
                <w:szCs w:val="17"/>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720"/>
            <w:col w:w="2580"/>
          </w:cols>
          <w:pgMar w:left="320" w:top="140" w:right="339" w:bottom="1440" w:gutter="0" w:footer="0" w:header="0"/>
          <w:type w:val="continuous"/>
        </w:sectPr>
      </w:pPr>
    </w:p>
    <w:p>
      <w:pPr>
        <w:spacing w:after="0" w:line="1"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The restructuring liability for severance and termination benefits is reflected in "Accrued Expenses" in the condensed consolidated balance sheet as of June 30, 2022.</w:t>
      </w:r>
    </w:p>
    <w:p>
      <w:pPr>
        <w:spacing w:after="0" w:line="184" w:lineRule="exact"/>
        <w:rPr>
          <w:sz w:val="20"/>
          <w:szCs w:val="20"/>
          <w:color w:val="auto"/>
        </w:rPr>
      </w:pPr>
    </w:p>
    <w:p>
      <w:pPr>
        <w:ind w:right="400" w:firstLine="764"/>
        <w:spacing w:after="0" w:line="238" w:lineRule="auto"/>
        <w:rPr>
          <w:sz w:val="20"/>
          <w:szCs w:val="20"/>
          <w:color w:val="auto"/>
        </w:rPr>
      </w:pPr>
      <w:r>
        <w:rPr>
          <w:rFonts w:ascii="Arial" w:cs="Arial" w:eastAsia="Arial" w:hAnsi="Arial"/>
          <w:sz w:val="18"/>
          <w:szCs w:val="18"/>
          <w:color w:val="auto"/>
        </w:rPr>
        <w:t>In July 2022, the Company began restructuring its network of logistics hubs in order to align with reduced unit volume and its regional operating model and is in the process of reassessing other aspects of its logistics operations. Such actions include reductions in headcount in its proprietary logistics operations and, as a result, the Company expects to incur severance and other related personnel reduction costs in the third quarter of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As part of the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The Company now presents three reportable segments: Ecommerce, Wholesale, and Retail Financing. The Company reclassified TDA revenue and TDA gross profit for the comparative period from the TDA reportable segment to the “All Other” category to conform to current year presentation. No operating segments have been aggregated to form the reportable segments.</w:t>
      </w:r>
    </w:p>
    <w:p>
      <w:pPr>
        <w:spacing w:after="0" w:line="189" w:lineRule="exact"/>
        <w:rPr>
          <w:sz w:val="20"/>
          <w:szCs w:val="20"/>
          <w:color w:val="auto"/>
        </w:rPr>
      </w:pPr>
    </w:p>
    <w:p>
      <w:pPr>
        <w:ind w:firstLine="761"/>
        <w:spacing w:after="0" w:line="254" w:lineRule="auto"/>
        <w:rPr>
          <w:sz w:val="20"/>
          <w:szCs w:val="20"/>
          <w:color w:val="auto"/>
        </w:rPr>
      </w:pPr>
      <w:r>
        <w:rPr>
          <w:rFonts w:ascii="Arial" w:cs="Arial" w:eastAsia="Arial" w:hAnsi="Arial"/>
          <w:sz w:val="17"/>
          <w:szCs w:val="17"/>
          <w:color w:val="auto"/>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June 30, 2022 and December 31, 2021, long-lived assets were predominantly located in the United States.</w:t>
      </w:r>
    </w:p>
    <w:p>
      <w:pPr>
        <w:spacing w:after="0" w:line="17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fees earned on vehicle financing originated by UACC or our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Three Months Ended June 30, 2022</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Ecommerce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20" w:type="dxa"/>
            <w:vAlign w:val="bottom"/>
          </w:tcPr>
          <w:p>
            <w:pPr>
              <w:jc w:val="center"/>
              <w:ind w:right="99"/>
              <w:spacing w:after="0" w:line="129" w:lineRule="exact"/>
              <w:rPr>
                <w:sz w:val="20"/>
                <w:szCs w:val="20"/>
                <w:color w:val="auto"/>
              </w:rPr>
            </w:pPr>
            <w:r>
              <w:rPr>
                <w:rFonts w:ascii="Arial" w:cs="Arial" w:eastAsia="Arial" w:hAnsi="Arial"/>
                <w:sz w:val="14"/>
                <w:szCs w:val="14"/>
                <w:b w:val="1"/>
                <w:bCs w:val="1"/>
                <w:color w:val="auto"/>
                <w:w w:val="99"/>
              </w:rPr>
              <w:t>Retail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321,632</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82,901</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32,121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38,783</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475,437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33,509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(1,934 )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28,720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6,062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Ecommerce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20" w:type="dxa"/>
            <w:vAlign w:val="bottom"/>
          </w:tcPr>
          <w:p>
            <w:pPr>
              <w:jc w:val="center"/>
              <w:ind w:right="99"/>
              <w:spacing w:after="0" w:line="129" w:lineRule="exact"/>
              <w:rPr>
                <w:sz w:val="20"/>
                <w:szCs w:val="20"/>
                <w:color w:val="auto"/>
              </w:rPr>
            </w:pPr>
            <w:r>
              <w:rPr>
                <w:rFonts w:ascii="Arial" w:cs="Arial" w:eastAsia="Arial" w:hAnsi="Arial"/>
                <w:sz w:val="14"/>
                <w:szCs w:val="14"/>
                <w:b w:val="1"/>
                <w:bCs w:val="1"/>
                <w:color w:val="auto"/>
                <w:w w:val="99"/>
              </w:rPr>
              <w:t>Retail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All Other</w:t>
            </w:r>
            <w:r>
              <w:rPr>
                <w:rFonts w:ascii="Arial" w:cs="Arial" w:eastAsia="Arial" w:hAnsi="Arial"/>
                <w:sz w:val="19"/>
                <w:szCs w:val="19"/>
                <w:b w:val="1"/>
                <w:bCs w:val="1"/>
                <w:color w:val="auto"/>
                <w:w w:val="96"/>
                <w:vertAlign w:val="superscript"/>
              </w:rPr>
              <w:t>(1)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579,663</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128,108</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54,119</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761,890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49,638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8,516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4,974</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6"/>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Six Months Ended June 30, 2022</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Ecommerce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20" w:type="dxa"/>
            <w:vAlign w:val="bottom"/>
          </w:tcPr>
          <w:p>
            <w:pPr>
              <w:jc w:val="center"/>
              <w:ind w:right="139"/>
              <w:spacing w:after="0" w:line="129" w:lineRule="exact"/>
              <w:rPr>
                <w:sz w:val="20"/>
                <w:szCs w:val="20"/>
                <w:color w:val="auto"/>
              </w:rPr>
            </w:pPr>
            <w:r>
              <w:rPr>
                <w:rFonts w:ascii="Arial" w:cs="Arial" w:eastAsia="Arial" w:hAnsi="Arial"/>
                <w:sz w:val="14"/>
                <w:szCs w:val="14"/>
                <w:b w:val="1"/>
                <w:bCs w:val="1"/>
                <w:color w:val="auto"/>
                <w:w w:val="99"/>
              </w:rPr>
              <w:t>Retail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Revenues from external customers</w:t>
            </w:r>
          </w:p>
        </w:tc>
        <w:tc>
          <w:tcPr>
            <w:tcW w:w="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996,995</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222,885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79,808</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99,524</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1,399,212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67,828</w:t>
            </w: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(4,686 )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73,682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11,173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Six Months Ended June 30, 2021</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Ecommerce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20" w:type="dxa"/>
            <w:vAlign w:val="bottom"/>
          </w:tcPr>
          <w:p>
            <w:pPr>
              <w:jc w:val="center"/>
              <w:ind w:right="139"/>
              <w:spacing w:after="0" w:line="129" w:lineRule="exact"/>
              <w:rPr>
                <w:sz w:val="20"/>
                <w:szCs w:val="20"/>
                <w:color w:val="auto"/>
              </w:rPr>
            </w:pPr>
            <w:r>
              <w:rPr>
                <w:rFonts w:ascii="Arial" w:cs="Arial" w:eastAsia="Arial" w:hAnsi="Arial"/>
                <w:sz w:val="14"/>
                <w:szCs w:val="14"/>
                <w:b w:val="1"/>
                <w:bCs w:val="1"/>
                <w:color w:val="auto"/>
                <w:w w:val="99"/>
              </w:rPr>
              <w:t>Retail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All Other</w:t>
            </w:r>
            <w:r>
              <w:rPr>
                <w:rFonts w:ascii="Arial" w:cs="Arial" w:eastAsia="Arial" w:hAnsi="Arial"/>
                <w:sz w:val="19"/>
                <w:szCs w:val="19"/>
                <w:b w:val="1"/>
                <w:bCs w:val="1"/>
                <w:color w:val="auto"/>
                <w:w w:val="96"/>
                <w:vertAlign w:val="superscript"/>
              </w:rPr>
              <w:t>(1)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Revenues from external customers</w:t>
            </w:r>
          </w:p>
        </w:tc>
        <w:tc>
          <w:tcPr>
            <w:tcW w:w="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1,001,971</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246,132</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104,905</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1,353,008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81,475</w:t>
            </w: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8,234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9,595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140" w:right="660" w:hanging="383"/>
        <w:spacing w:after="0" w:line="257" w:lineRule="auto"/>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reclassified TDA revenue and TDA gross profit from the TDA reportable segment to the “All Other” category to conform to current year presentation.</w:t>
      </w:r>
    </w:p>
    <w:p>
      <w:pPr>
        <w:spacing w:after="0" w:line="283" w:lineRule="exact"/>
        <w:rPr>
          <w:sz w:val="20"/>
          <w:szCs w:val="20"/>
          <w:color w:val="auto"/>
        </w:rPr>
      </w:pPr>
    </w:p>
    <w:p>
      <w:pPr>
        <w:ind w:right="200" w:firstLine="764"/>
        <w:spacing w:after="0" w:line="245"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1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Reconciliation to consolidated total revenue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Total reportable segment revenue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436,654</w:t>
            </w:r>
          </w:p>
        </w:tc>
        <w:tc>
          <w:tcPr>
            <w:tcW w:w="2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707,771</w:t>
            </w:r>
          </w:p>
        </w:tc>
        <w:tc>
          <w:tcPr>
            <w:tcW w:w="2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1,299,688</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1,248,103</w:t>
            </w:r>
          </w:p>
        </w:tc>
        <w:tc>
          <w:tcPr>
            <w:tcW w:w="100" w:type="dxa"/>
            <w:vAlign w:val="bottom"/>
          </w:tcPr>
          <w:p>
            <w:pPr>
              <w:spacing w:after="0"/>
              <w:rPr>
                <w:sz w:val="17"/>
                <w:szCs w:val="17"/>
                <w:color w:val="auto"/>
              </w:rPr>
            </w:pPr>
          </w:p>
        </w:tc>
      </w:tr>
      <w:tr>
        <w:trPr>
          <w:trHeight w:val="202"/>
        </w:trPr>
        <w:tc>
          <w:tcPr>
            <w:tcW w:w="5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 revenues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38,783</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54,119</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99,524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104,905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00" w:type="dxa"/>
            <w:vAlign w:val="bottom"/>
          </w:tcPr>
          <w:p>
            <w:pPr>
              <w:ind w:left="20"/>
              <w:spacing w:after="0" w:line="195" w:lineRule="exact"/>
              <w:rPr>
                <w:sz w:val="20"/>
                <w:szCs w:val="20"/>
                <w:color w:val="auto"/>
              </w:rPr>
            </w:pPr>
            <w:r>
              <w:rPr>
                <w:rFonts w:ascii="Arial" w:cs="Arial" w:eastAsia="Arial" w:hAnsi="Arial"/>
                <w:sz w:val="18"/>
                <w:szCs w:val="18"/>
                <w:color w:val="auto"/>
              </w:rPr>
              <w:t>Consolidated total revenue</w:t>
            </w:r>
          </w:p>
        </w:tc>
        <w:tc>
          <w:tcPr>
            <w:tcW w:w="30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475,437</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761,890</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1,399,212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1,353,008</w:t>
            </w:r>
          </w:p>
        </w:tc>
        <w:tc>
          <w:tcPr>
            <w:tcW w:w="10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1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Reconciliation to consolidated loss before provision for</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Total reportable segment gross profit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60,295</w:t>
            </w:r>
          </w:p>
        </w:tc>
        <w:tc>
          <w:tcPr>
            <w:tcW w:w="2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58,154</w:t>
            </w:r>
          </w:p>
        </w:tc>
        <w:tc>
          <w:tcPr>
            <w:tcW w:w="24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136,824</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89,709</w:t>
            </w:r>
          </w:p>
        </w:tc>
        <w:tc>
          <w:tcPr>
            <w:tcW w:w="100" w:type="dxa"/>
            <w:vAlign w:val="bottom"/>
          </w:tcPr>
          <w:p>
            <w:pPr>
              <w:spacing w:after="0"/>
              <w:rPr>
                <w:sz w:val="17"/>
                <w:szCs w:val="17"/>
                <w:color w:val="auto"/>
              </w:rPr>
            </w:pPr>
          </w:p>
        </w:tc>
      </w:tr>
      <w:tr>
        <w:trPr>
          <w:trHeight w:val="202"/>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 gross profit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11,173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9,595</w:t>
            </w:r>
          </w:p>
        </w:tc>
        <w:tc>
          <w:tcPr>
            <w:tcW w:w="100" w:type="dxa"/>
            <w:vAlign w:val="bottom"/>
            <w:shd w:val="clear" w:color="auto" w:fill="CFF0FC"/>
          </w:tcPr>
          <w:p>
            <w:pPr>
              <w:spacing w:after="0"/>
              <w:rPr>
                <w:sz w:val="17"/>
                <w:szCs w:val="17"/>
                <w:color w:val="auto"/>
              </w:rPr>
            </w:pPr>
          </w:p>
        </w:tc>
      </w:tr>
      <w:tr>
        <w:trPr>
          <w:trHeight w:val="202"/>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152,990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123,898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340,984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232,764</w:t>
            </w:r>
          </w:p>
        </w:tc>
        <w:tc>
          <w:tcPr>
            <w:tcW w:w="100" w:type="dxa"/>
            <w:vAlign w:val="bottom"/>
          </w:tcPr>
          <w:p>
            <w:pPr>
              <w:spacing w:after="0"/>
              <w:rPr>
                <w:sz w:val="17"/>
                <w:szCs w:val="17"/>
                <w:color w:val="auto"/>
              </w:rPr>
            </w:pPr>
          </w:p>
        </w:tc>
      </w:tr>
      <w:tr>
        <w:trPr>
          <w:trHeight w:val="202"/>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17,895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5,900</w:t>
            </w:r>
          </w:p>
        </w:tc>
        <w:tc>
          <w:tcPr>
            <w:tcW w:w="100" w:type="dxa"/>
            <w:vAlign w:val="bottom"/>
            <w:shd w:val="clear" w:color="auto" w:fill="CFF0FC"/>
          </w:tcPr>
          <w:p>
            <w:pPr>
              <w:spacing w:after="0"/>
              <w:rPr>
                <w:sz w:val="17"/>
                <w:szCs w:val="17"/>
                <w:color w:val="auto"/>
              </w:rPr>
            </w:pPr>
          </w:p>
        </w:tc>
      </w:tr>
      <w:tr>
        <w:trPr>
          <w:trHeight w:val="202"/>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3,407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205,110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9,533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18,913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7,692</w:t>
            </w:r>
          </w:p>
        </w:tc>
        <w:tc>
          <w:tcPr>
            <w:tcW w:w="100" w:type="dxa"/>
            <w:vAlign w:val="bottom"/>
            <w:shd w:val="clear" w:color="auto" w:fill="CFF0FC"/>
          </w:tcPr>
          <w:p>
            <w:pPr>
              <w:spacing w:after="0"/>
              <w:rPr>
                <w:sz w:val="17"/>
                <w:szCs w:val="17"/>
                <w:color w:val="auto"/>
              </w:rPr>
            </w:pPr>
          </w:p>
        </w:tc>
      </w:tr>
      <w:tr>
        <w:trPr>
          <w:trHeight w:val="202"/>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(3,935 )</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(2,062 )</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(7,887 )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(4,358 )</w:t>
            </w:r>
          </w:p>
        </w:tc>
      </w:tr>
      <w:tr>
        <w:trPr>
          <w:trHeight w:val="202"/>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loss (income), net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9,156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(33 )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21,514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(48 )</w:t>
            </w:r>
          </w:p>
        </w:tc>
      </w:tr>
      <w:tr>
        <w:trPr>
          <w:trHeight w:val="20"/>
        </w:trPr>
        <w:tc>
          <w:tcPr>
            <w:tcW w:w="5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100" w:type="dxa"/>
            <w:vAlign w:val="bottom"/>
          </w:tcPr>
          <w:p>
            <w:pPr>
              <w:ind w:left="20"/>
              <w:spacing w:after="0" w:line="195" w:lineRule="exact"/>
              <w:rPr>
                <w:sz w:val="20"/>
                <w:szCs w:val="20"/>
                <w:color w:val="auto"/>
              </w:rPr>
            </w:pPr>
            <w:r>
              <w:rPr>
                <w:rFonts w:ascii="Arial" w:cs="Arial" w:eastAsia="Arial" w:hAnsi="Arial"/>
                <w:sz w:val="18"/>
                <w:szCs w:val="18"/>
                <w:color w:val="auto"/>
              </w:rPr>
              <w:t>Consolidated loss before provision for income taxes</w:t>
            </w: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(114,833 )</w:t>
            </w:r>
          </w:p>
        </w:tc>
        <w:tc>
          <w:tcPr>
            <w:tcW w:w="3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(65,613 )</w:t>
            </w:r>
          </w:p>
        </w:tc>
        <w:tc>
          <w:tcPr>
            <w:tcW w:w="30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(448,532 )</w:t>
            </w: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(142,646 )</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-1588770</wp:posOffset>
            </wp:positionV>
            <wp:extent cx="768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-1588770</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-1588770</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-1588770</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-159385</wp:posOffset>
            </wp:positionV>
            <wp:extent cx="768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-159385</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-159385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0" w:lineRule="exact"/>
        <w:rPr>
          <w:sz w:val="20"/>
          <w:szCs w:val="20"/>
          <w:color w:val="auto"/>
        </w:rPr>
      </w:pPr>
    </w:p>
    <w:p>
      <w:pPr>
        <w:ind w:right="540" w:firstLine="761"/>
        <w:spacing w:after="0" w:line="245"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18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Company’s effective tax rate for the three months ended June 30, 2022 and 2021 was (0.22)% and (0.30)%, respectively. The Company’s effective tax rate for the six months ended June 30, 2022 and 2021 was 5.12% and (0.25)%, respectively. The increase in effective tax rate was primarily driven by a deferred tax benefit recorded for the decrease of Valuation Allowance resulting from the acquisition of Unitas Holdings Corp. (now known as Vroom Finance Corporation) that occurred during the six months ended June 30, 2022 of $23.9 million.</w:t>
      </w:r>
    </w:p>
    <w:p>
      <w:pPr>
        <w:spacing w:after="0" w:line="192"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184"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92"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refer to Note 5 – Acquisitions for additional information. The NOLs and other tax attributes acquired will be subject to Section 382 limitations. The Company is in the process of determining the amount of attributes that will be available for use.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June 30, 2022 and December 31, 2021.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40" w:right="400"/>
        <w:spacing w:after="0" w:line="213" w:lineRule="auto"/>
        <w:rPr>
          <w:sz w:val="20"/>
          <w:szCs w:val="20"/>
          <w:color w:val="auto"/>
        </w:rPr>
      </w:pPr>
      <w:r>
        <w:rPr>
          <w:rFonts w:ascii="Arial" w:cs="Arial" w:eastAsia="Arial" w:hAnsi="Arial"/>
          <w:sz w:val="18"/>
          <w:szCs w:val="18"/>
          <w:color w:val="auto"/>
        </w:rPr>
        <w:t>Weighted-average number of shares outstanding used to compute net loss per share attributable to common stockholders, basic and diluted</w:t>
      </w:r>
    </w:p>
    <w:p>
      <w:pPr>
        <w:spacing w:after="0" w:line="2" w:lineRule="exact"/>
        <w:rPr>
          <w:sz w:val="20"/>
          <w:szCs w:val="20"/>
          <w:color w:val="auto"/>
        </w:rPr>
      </w:pPr>
    </w:p>
    <w:p>
      <w:pPr>
        <w:ind w:left="140"/>
        <w:spacing w:after="0" w:line="227"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6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196"/>
        </w:trPr>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(115,089 )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(65,807 )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(425,548 )</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(142,996 )</w:t>
            </w:r>
          </w:p>
        </w:tc>
      </w:tr>
      <w:tr>
        <w:trPr>
          <w:trHeight w:val="533"/>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138,075,210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136,507,177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137,667,419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136,002,344</w:t>
            </w:r>
          </w:p>
        </w:tc>
      </w:tr>
      <w:tr>
        <w:trPr>
          <w:trHeight w:val="33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(0.83 )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-727075</wp:posOffset>
            </wp:positionV>
            <wp:extent cx="698690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86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-239395</wp:posOffset>
            </wp:positionV>
            <wp:extent cx="6986905"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86905" cy="24003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060" w:space="300"/>
            <w:col w:w="5840"/>
          </w:cols>
          <w:pgMar w:left="320" w:top="140" w:right="379" w:bottom="1440" w:gutter="0" w:footer="0" w:header="0"/>
          <w:type w:val="continuous"/>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20" w:firstLine="761"/>
        <w:spacing w:after="0" w:line="245"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3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As of June 30,</w:t>
            </w:r>
          </w:p>
        </w:tc>
        <w:tc>
          <w:tcPr>
            <w:tcW w:w="1280" w:type="dxa"/>
            <w:vAlign w:val="bottom"/>
            <w:tcBorders>
              <w:bottom w:val="single" w:sz="8" w:color="auto"/>
            </w:tcBorders>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2021</w:t>
            </w:r>
          </w:p>
        </w:tc>
      </w:tr>
      <w:tr>
        <w:trPr>
          <w:trHeight w:val="196"/>
        </w:trPr>
        <w:tc>
          <w:tcPr>
            <w:tcW w:w="73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Convertible senior notes</w:t>
            </w:r>
          </w:p>
        </w:tc>
        <w:tc>
          <w:tcPr>
            <w:tcW w:w="1680" w:type="dxa"/>
            <w:vAlign w:val="bottom"/>
            <w:shd w:val="clear" w:color="auto" w:fill="CFF0FC"/>
          </w:tcPr>
          <w:p>
            <w:pPr>
              <w:jc w:val="right"/>
              <w:ind w:right="56"/>
              <w:spacing w:after="0" w:line="195" w:lineRule="exact"/>
              <w:rPr>
                <w:sz w:val="20"/>
                <w:szCs w:val="20"/>
                <w:color w:val="auto"/>
              </w:rPr>
            </w:pPr>
            <w:r>
              <w:rPr>
                <w:rFonts w:ascii="Arial" w:cs="Arial" w:eastAsia="Arial" w:hAnsi="Arial"/>
                <w:sz w:val="18"/>
                <w:szCs w:val="18"/>
                <w:color w:val="auto"/>
              </w:rPr>
              <w:t>11,158,722</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4"/>
              <w:spacing w:after="0" w:line="195" w:lineRule="exact"/>
              <w:rPr>
                <w:sz w:val="20"/>
                <w:szCs w:val="20"/>
                <w:color w:val="auto"/>
              </w:rPr>
            </w:pPr>
            <w:r>
              <w:rPr>
                <w:rFonts w:ascii="Arial" w:cs="Arial" w:eastAsia="Arial" w:hAnsi="Arial"/>
                <w:sz w:val="18"/>
                <w:szCs w:val="18"/>
                <w:color w:val="auto"/>
              </w:rPr>
              <w:t>11,158,722</w:t>
            </w:r>
          </w:p>
        </w:tc>
      </w:tr>
      <w:tr>
        <w:trPr>
          <w:trHeight w:val="202"/>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Stock options</w:t>
            </w:r>
          </w:p>
        </w:tc>
        <w:tc>
          <w:tcPr>
            <w:tcW w:w="16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4,920,028</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4,586,319</w:t>
            </w:r>
          </w:p>
        </w:tc>
      </w:tr>
      <w:tr>
        <w:trPr>
          <w:trHeight w:val="202"/>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68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9,145,799</w:t>
            </w:r>
          </w:p>
        </w:tc>
        <w:tc>
          <w:tcPr>
            <w:tcW w:w="160" w:type="dxa"/>
            <w:vAlign w:val="bottom"/>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2,145,136</w:t>
            </w:r>
          </w:p>
        </w:tc>
      </w:tr>
      <w:tr>
        <w:trPr>
          <w:trHeight w:val="196"/>
        </w:trPr>
        <w:tc>
          <w:tcPr>
            <w:tcW w:w="736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56"/>
              <w:spacing w:after="0" w:line="195" w:lineRule="exact"/>
              <w:rPr>
                <w:sz w:val="20"/>
                <w:szCs w:val="20"/>
                <w:color w:val="auto"/>
              </w:rPr>
            </w:pPr>
            <w:r>
              <w:rPr>
                <w:rFonts w:ascii="Arial" w:cs="Arial" w:eastAsia="Arial" w:hAnsi="Arial"/>
                <w:sz w:val="18"/>
                <w:szCs w:val="18"/>
                <w:color w:val="auto"/>
              </w:rPr>
              <w:t>25,224,549</w:t>
            </w:r>
          </w:p>
        </w:tc>
        <w:tc>
          <w:tcPr>
            <w:tcW w:w="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
              <w:spacing w:after="0" w:line="195" w:lineRule="exact"/>
              <w:rPr>
                <w:sz w:val="20"/>
                <w:szCs w:val="20"/>
                <w:color w:val="auto"/>
              </w:rPr>
            </w:pPr>
            <w:r>
              <w:rPr>
                <w:rFonts w:ascii="Arial" w:cs="Arial" w:eastAsia="Arial" w:hAnsi="Arial"/>
                <w:sz w:val="18"/>
                <w:szCs w:val="18"/>
                <w:color w:val="auto"/>
              </w:rPr>
              <w:t>17,890,177</w:t>
            </w:r>
          </w:p>
        </w:tc>
      </w:tr>
      <w:tr>
        <w:trPr>
          <w:trHeight w:val="20"/>
        </w:trPr>
        <w:tc>
          <w:tcPr>
            <w:tcW w:w="7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764"/>
        <w:spacing w:after="0" w:line="253" w:lineRule="auto"/>
        <w:rPr>
          <w:sz w:val="20"/>
          <w:szCs w:val="20"/>
          <w:color w:val="auto"/>
        </w:rPr>
      </w:pPr>
      <w:r>
        <w:rPr>
          <w:rFonts w:ascii="Arial" w:cs="Arial" w:eastAsia="Arial" w:hAnsi="Arial"/>
          <w:sz w:val="17"/>
          <w:szCs w:val="17"/>
          <w:color w:val="1D1C1D"/>
        </w:rPr>
        <w:t>In July 2022, UACC completed a securitization transaction in which it sold approximately $242.3 million of rated asset-backed securities and $17.3 million of residual certificates in an auto loan securitization offering from a securitization trust, established and sponsored by UACC. The trust is collateralized by finance receivables with an aggregate principal balance of $285.0 million and had a carrying value of $246.9 million at the time of sale. UACC received proceeds of $265.6 million in connection with the transaction and recognized a gain on the sale upon transfer in an amount equal to the fair value of the net proceeds received less the carrying amount of the finance receivables sold. These finance receivables are serviced by UACC. UACC retained 5% of the notes and residual certificates sold.</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2021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right="260" w:firstLine="761"/>
        <w:spacing w:after="0" w:line="245"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84"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We are driving enduring change in the industry on a national scale. Leveraging the benefits of national scale and local efficiency, we take a vertically integrated, hybrid asset-light approach that is reinventing all phases of the vehicle buying and selling process, from discovery to delivery and everything in between. Our platform encompasses:</w:t>
      </w:r>
    </w:p>
    <w:p>
      <w:pPr>
        <w:spacing w:after="0" w:line="166" w:lineRule="exact"/>
        <w:rPr>
          <w:sz w:val="20"/>
          <w:szCs w:val="20"/>
          <w:color w:val="auto"/>
        </w:rPr>
      </w:pPr>
    </w:p>
    <w:p>
      <w:pPr>
        <w:ind w:left="1020" w:right="40" w:hanging="249"/>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8" w:lineRule="exact"/>
        <w:rPr>
          <w:rFonts w:ascii="Arial" w:cs="Arial" w:eastAsia="Arial" w:hAnsi="Arial"/>
          <w:sz w:val="18"/>
          <w:szCs w:val="18"/>
          <w:color w:val="auto"/>
        </w:rPr>
      </w:pPr>
    </w:p>
    <w:p>
      <w:pPr>
        <w:ind w:left="1020" w:right="60" w:hanging="249"/>
        <w:spacing w:after="0" w:line="23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OEMs, and dealers. We improve our ability to acquire high-demand vehicles through enhanced supply science across all our sourcing channels and we have expanded our national marketing efforts to drive consumer sourcing. In our reconditioning and logistics operations, we deploy a hybrid asset-light strategy that optimizes a combination of ownership and operation of assets by us with strategic third-party partnerships. As we scale nationally, we continue to leverage our last mile hub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71" w:lineRule="exact"/>
        <w:rPr>
          <w:rFonts w:ascii="Arial" w:cs="Arial" w:eastAsia="Arial" w:hAnsi="Arial"/>
          <w:sz w:val="18"/>
          <w:szCs w:val="18"/>
          <w:color w:val="auto"/>
        </w:rPr>
      </w:pPr>
    </w:p>
    <w:p>
      <w:pPr>
        <w:ind w:left="1020" w:right="100" w:hanging="249"/>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191"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Based on data from Cox Automotive, there were an estimated 40.5 million used vehicle transactions in 2021. The U.S. used automotive market is also highly fragmented and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offer consumers what we offer.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Realignment Plan</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In light of operational challenges in our business, the need to reduce our cash spend and changes in financial market sentiment, on May 5, 2022, our board of directors (the "Board") approved a business realignment plan designed to position the Company for long-term profitable growth by prioritizing unit economics, reducing our operating expenses and maximizing liquidity (the “Realignment Plan”). The Realignment Plan included a number of elements, such as reducing the rate of unit sales to focus on lowering SG&amp;A and expanding GPPU; reducing marketing expense by focusing on highest-ROI channels while aligning with volume trajectory; reducing the number of physical office locations and right sizing our organization to align with unit volume; and further developing our regional operating model.</w:t>
      </w:r>
    </w:p>
    <w:p>
      <w:pPr>
        <w:spacing w:after="0" w:line="189" w:lineRule="exact"/>
        <w:rPr>
          <w:sz w:val="20"/>
          <w:szCs w:val="20"/>
          <w:color w:val="auto"/>
        </w:rPr>
      </w:pPr>
    </w:p>
    <w:p>
      <w:pPr>
        <w:ind w:right="400" w:firstLine="761"/>
        <w:spacing w:after="0"/>
        <w:rPr>
          <w:sz w:val="20"/>
          <w:szCs w:val="20"/>
          <w:color w:val="auto"/>
        </w:rPr>
      </w:pPr>
      <w:r>
        <w:rPr>
          <w:rFonts w:ascii="Arial" w:cs="Arial" w:eastAsia="Arial" w:hAnsi="Arial"/>
          <w:sz w:val="18"/>
          <w:szCs w:val="18"/>
          <w:color w:val="auto"/>
        </w:rPr>
        <w:t>In addition, as we execute on our Realignment Plan, we intend to accelerate the development of UACC as a captive financing operation, giving us the ability to better serve our customers across the credit spectrum, drive enhanced unit economics and improve our overall customer experience.</w:t>
      </w:r>
    </w:p>
    <w:p>
      <w:pPr>
        <w:spacing w:after="0" w:line="188"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In connection with the Realignment Plan, in the second quarter of 2022 we incurred expenses of approximately $4.3 million, consisting primarily of severance and other related personnel reduction costs. Additionally, we recognized approximately $3.4 million of lease impairment charges in the second quarter of 2022, related to closing physical office locations in New York and Detroit as well as Sell Us Your Car® centers. We expect to achieve approximately $135.0 to $165.0 million of cost reductions and operating improvements across our operations for the remainder of 2022, when compared to the first quarter annualized, as a result of the Realignment Plan.</w:t>
      </w:r>
    </w:p>
    <w:p>
      <w:pPr>
        <w:spacing w:after="0" w:line="192"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Throughout the second quarter of 2022, we continued our strategic analysis of the operations at the TDA store location and subsequently decided to further streamline those operations and close the TDA service center. We intend to repurpose the service center to replace our reconditioning facility in Stafford, Texas, which we believe will enable us to align our proprietary reconditioning operations in the Houston market with our reduced unit sales volume, reduce our lease expenses and provide an improved work environment for our employees. We are also restructuring our network of logistics operations to align with reduced unit volume and our regional operating model. Relatedly, we are taking further action to right-size the staffing of those operations, which will result in a further reduction in headcount. As a result, we incurred approximately $0.6 million in severance and other related personnel reduction costs during the second quarter of 2022, related to the reduction in headcount at our reconditioning operations, and expect to incur severance and other related personnel reduction costs related to our logistics operations in the third quarter of 2022. We also expect to incur approximately $2.0 million of lease impairment charges in the second half of 2022.</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restructuring activities associated with the Realignment Plan are expected to be substantially completed during the third quarter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of 2022.</w:t>
      </w:r>
    </w:p>
    <w:p>
      <w:pPr>
        <w:spacing w:after="0" w:line="198"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The foregoing estimates are based upon current assumptions and expectations but are subject to known and unknown risks and uncertainties. Accordingly, we may not be able to fully realize the cost savings and benefits initially anticipated from the Realignment Plan, and the actual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Roadmap</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on our Realignment Plan, we are following a long-term road map that is designed to achieve three key objectives:</w:t>
      </w:r>
    </w:p>
    <w:p>
      <w:pPr>
        <w:spacing w:after="0"/>
        <w:rPr>
          <w:sz w:val="20"/>
          <w:szCs w:val="20"/>
          <w:color w:val="auto"/>
        </w:rPr>
      </w:pPr>
      <w:r>
        <w:rPr>
          <w:rFonts w:ascii="Arial" w:cs="Arial" w:eastAsia="Arial" w:hAnsi="Arial"/>
          <w:sz w:val="18"/>
          <w:szCs w:val="18"/>
          <w:color w:val="auto"/>
        </w:rPr>
        <w:t>prioritizing unit economics over growth, significantly reducing operating expenses, and maximizing liquidity.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176" w:lineRule="exact"/>
        <w:rPr>
          <w:sz w:val="20"/>
          <w:szCs w:val="20"/>
          <w:color w:val="auto"/>
        </w:rPr>
      </w:pPr>
    </w:p>
    <w:p>
      <w:pPr>
        <w:ind w:left="1020" w:right="200" w:hanging="249"/>
        <w:spacing w:after="0" w:line="274"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Building a well-oiled transaction machine: </w:t>
      </w:r>
      <w:r>
        <w:rPr>
          <w:rFonts w:ascii="Arial" w:cs="Arial" w:eastAsia="Arial" w:hAnsi="Arial"/>
          <w:sz w:val="17"/>
          <w:szCs w:val="17"/>
          <w:color w:val="auto"/>
        </w:rPr>
        <w:t>Optimize our sales channels using internal and outsourced resources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digitization; streamline and digitize the title and registration process; optimize our marketing strategies by building brand awareness, growing organic search traffic and fine-tuning paid media campaigns to improve direct traffic and drive conversion.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left="1020" w:right="20" w:hanging="249"/>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Building a well-oiled metal machine: </w:t>
      </w:r>
      <w:r>
        <w:rPr>
          <w:rFonts w:ascii="Arial" w:cs="Arial" w:eastAsia="Arial" w:hAnsi="Arial"/>
          <w:sz w:val="18"/>
          <w:szCs w:val="18"/>
          <w:color w:val="auto"/>
        </w:rPr>
        <w:t>Optimize pricing and assortment of vehicles through predictive data and analytics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regionalization, as well as synchronize end-to-end supply chain to increase velocity and improve flow.</w:t>
      </w:r>
    </w:p>
    <w:p>
      <w:pPr>
        <w:spacing w:after="0" w:line="139" w:lineRule="exact"/>
        <w:rPr>
          <w:rFonts w:ascii="Arial" w:cs="Arial" w:eastAsia="Arial" w:hAnsi="Arial"/>
          <w:sz w:val="18"/>
          <w:szCs w:val="18"/>
          <w:color w:val="auto"/>
        </w:rPr>
      </w:pPr>
    </w:p>
    <w:p>
      <w:pPr>
        <w:ind w:left="1020" w:right="320" w:hanging="249"/>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Building a regional operating model: </w:t>
      </w:r>
      <w:r>
        <w:rPr>
          <w:rFonts w:ascii="Arial" w:cs="Arial" w:eastAsia="Arial" w:hAnsi="Arial"/>
          <w:sz w:val="18"/>
          <w:szCs w:val="18"/>
          <w:color w:val="auto"/>
        </w:rPr>
        <w:t>Build a regional operating model to improve the customer experience, improve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speed of the supply chain, and reduce logistics costs and markdowns.</w:t>
      </w:r>
    </w:p>
    <w:p>
      <w:pPr>
        <w:spacing w:after="0" w:line="139" w:lineRule="exact"/>
        <w:rPr>
          <w:rFonts w:ascii="Arial" w:cs="Arial" w:eastAsia="Arial" w:hAnsi="Arial"/>
          <w:sz w:val="18"/>
          <w:szCs w:val="18"/>
          <w:color w:val="auto"/>
        </w:rPr>
      </w:pPr>
    </w:p>
    <w:p>
      <w:pPr>
        <w:ind w:left="1020" w:right="300" w:hanging="249"/>
        <w:spacing w:after="0" w:line="25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Building a captive finance offering: </w:t>
      </w:r>
      <w:r>
        <w:rPr>
          <w:rFonts w:ascii="Arial" w:cs="Arial" w:eastAsia="Arial" w:hAnsi="Arial"/>
          <w:sz w:val="18"/>
          <w:szCs w:val="18"/>
          <w:color w:val="auto"/>
        </w:rPr>
        <w:t>Accelerate the development of UACC as a captive financing operation, giving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better serve our customers across the credit spectrum, drive enhanced unit economics and improve our overall customer experience.</w:t>
      </w:r>
    </w:p>
    <w:p>
      <w:pPr>
        <w:spacing w:after="0" w:line="179" w:lineRule="exact"/>
        <w:rPr>
          <w:sz w:val="20"/>
          <w:szCs w:val="20"/>
          <w:color w:val="auto"/>
        </w:rPr>
      </w:pPr>
    </w:p>
    <w:p>
      <w:pPr>
        <w:ind w:right="720" w:firstLine="761"/>
        <w:spacing w:after="0" w:line="245" w:lineRule="auto"/>
        <w:rPr>
          <w:sz w:val="20"/>
          <w:szCs w:val="20"/>
          <w:color w:val="auto"/>
        </w:rPr>
      </w:pPr>
      <w:r>
        <w:rPr>
          <w:rFonts w:ascii="Arial" w:cs="Arial" w:eastAsia="Arial" w:hAnsi="Arial"/>
          <w:sz w:val="18"/>
          <w:szCs w:val="18"/>
          <w:color w:val="auto"/>
        </w:rPr>
        <w:t>These initiatives are designed to further our progress in building a profitable business model, enable us to build a well-oiled machine across our operations and position us to resume growth.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Effective May 9, 2022, Thomas H. Shortt was appointed as our Chief Executive Officer and a director, succeeding Paul J. Hennessy upon Mr. Hennessy’s resignation as Chief Executive Officer and a director of the Company. Mr. Shortt previously served as our Chief Operating Officer since January 2022.</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entered into a new employment agreement with Mr. Shortt in connection with his appointment as Chief Executive Officer.</w:t>
      </w:r>
    </w:p>
    <w:p>
      <w:pPr>
        <w:spacing w:after="0" w:line="198"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Also effective on May 9, 2022, Robert J. Mylod, Jr., the Chairperson of the Board, was appointed as the Independent Executive Chair of the Board in order to support the leadership change in our Chief Executive Officer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On February 1, 2022 (the "Acquisition Date"), we completed the acquisition (the "UACC Acquisition") of 100% of Unitas Holdings Corp., including its wholly owned subsidiaries United PanAm Financial Corp. and United Auto Credit Corporation ("UACC"). Unitas Holdings Corp. (now known as Vroom Finance Corporation), United PanAm Financial Corp. (now known as Vroom Automotive Financial Corporation) and UACC, as well as their other subsidiaries, are now our wholly owned subsidiaries. This acquisition accelerates our strategy of establishing a captive financing arm and underwriting vehicle financing for our customers, the results of which are included within the Ecommerce reporting segment. UACC will also continue its current operations with its network of third-party dealership customers, which we intend to continue growing, including the purchases and servicing of vehicle installment contracts, which constitutes a separate reporting segment — Retail Financing. The cash consideration transferred was approximately $315.4 million.</w:t>
      </w:r>
    </w:p>
    <w:p>
      <w:pPr>
        <w:spacing w:after="0" w:line="192"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We believe that, over time, the UACC platform will unlock the benefits of our captive finance strategy and enable us to expand our penetration of sales to customers across the credit spectrum, enhance aggregate gross profit and GPPU, and leverage our fixed cost base. In addition, we expect loans originated by UACC to be funded through existing warehouse credit facilities and sold via securitization transactions and whole loan sales under forward flow arrangements. This originate-to-sell strategy is designed to achieve the benefits of a captive financing operation while maintaining an asset-light funding strategy.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Model</w:t>
      </w:r>
    </w:p>
    <w:p>
      <w:pPr>
        <w:spacing w:after="0" w:line="220" w:lineRule="exact"/>
        <w:rPr>
          <w:sz w:val="20"/>
          <w:szCs w:val="20"/>
          <w:color w:val="auto"/>
        </w:rPr>
      </w:pPr>
    </w:p>
    <w:p>
      <w:pPr>
        <w:ind w:right="300" w:firstLine="761"/>
        <w:spacing w:after="0" w:line="245" w:lineRule="auto"/>
        <w:rPr>
          <w:sz w:val="20"/>
          <w:szCs w:val="20"/>
          <w:color w:val="auto"/>
        </w:rPr>
      </w:pPr>
      <w:r>
        <w:rPr>
          <w:rFonts w:ascii="Arial" w:cs="Arial" w:eastAsia="Arial" w:hAnsi="Arial"/>
          <w:sz w:val="18"/>
          <w:szCs w:val="18"/>
          <w:color w:val="auto"/>
        </w:rPr>
        <w:t>We generate revenue through the sale of used vehicles, vehicle financing and value-added products. We sell vehicles directly to consumers primarily through our Ecommerce segment as a licensed dealer.</w:t>
      </w:r>
    </w:p>
    <w:p>
      <w:pPr>
        <w:spacing w:after="0" w:line="184"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generate ecommerce product revenue through UACC’s sale of Vroom finance receivables in securitization transactions or forward flow arrangements. Additionally, we expect UACC to continue to purchase and service finance receivables originated by its existing network of third-party dealership customers and generate finance revenue, including interest income as well 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gain on sale related to these finance receivables. Over time, we intend to grow the third-party dealership network and business.</w:t>
      </w:r>
    </w:p>
    <w:p>
      <w:pPr>
        <w:spacing w:after="0" w:line="198" w:lineRule="exact"/>
        <w:rPr>
          <w:sz w:val="20"/>
          <w:szCs w:val="20"/>
          <w:color w:val="auto"/>
        </w:rPr>
      </w:pPr>
    </w:p>
    <w:p>
      <w:pPr>
        <w:jc w:val="both"/>
        <w:ind w:right="140" w:firstLine="761"/>
        <w:spacing w:after="0"/>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188" w:lineRule="exact"/>
        <w:rPr>
          <w:sz w:val="20"/>
          <w:szCs w:val="20"/>
          <w:color w:val="auto"/>
        </w:rPr>
      </w:pPr>
    </w:p>
    <w:p>
      <w:pPr>
        <w:ind w:right="520" w:firstLine="761"/>
        <w:spacing w:after="0"/>
        <w:rPr>
          <w:sz w:val="20"/>
          <w:szCs w:val="20"/>
          <w:color w:val="auto"/>
        </w:rPr>
      </w:pPr>
      <w:r>
        <w:rPr>
          <w:rFonts w:ascii="Arial" w:cs="Arial" w:eastAsia="Arial" w:hAnsi="Arial"/>
          <w:sz w:val="18"/>
          <w:szCs w:val="18"/>
          <w:color w:val="auto"/>
        </w:rPr>
        <w:t>For the three months ended June 30, 2022, our Ecommerce, Wholesale, and Retail Financing segments represented 67.6%, 17.4%, and 6.8% of our total revenue, respectively. For the six months ended June 30, 2022, our Ecommerce, Wholesale, and Retail Financing segments represented 71.3%, 15.9%, and 5.7% of our total revenue, respectively.</w:t>
      </w:r>
    </w:p>
    <w:p>
      <w:pPr>
        <w:spacing w:after="0" w:line="188"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Starting in the second quarter of 2022, Product Gross Profit also includes interest income earned on finance receivables held for sale from Vroom customers that we originate through UACC to finance the vehicles we sell. Going forward, it will also include gain on sales of those finance receivables once sold in a securitization transaction or forward flow arrangement. See “—Key Operating and Financial Metrics.”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125730</wp:posOffset>
            </wp:positionV>
            <wp:extent cx="5274310" cy="2174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74310" cy="217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Our profitability depends primarily on improving unit economics and achieving operating leverage. We deploy a hybrid asset-light strategy that optimizes a combination of ownership and operation of assets by us with strategic third-party partnerships. Our hybrid approach also applies to the third-party value-added products we sell to customers. Historically, we generated additional revenue streams without directly underwriting vehicle financing or protection products; however, the UACC Acquisition enables us to underwrite vehicle financing for our customers. As we scale, we expect to benefit from efficiencies and operating leverage across our business, including our marketing and technology investments, and our inventory procurement, logistics, reconditioning and sales processes.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We source our vehicle inventory from a variety of channels, including consumers, auctions,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See “—Other Key Factors and Trends Affecting our Operating Results—Ability to utilize data science to drive revenue growth by cost effectively increasing the volume and selection of vehicles in our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220"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grow profitably. To recondition vehicles, we rely on a combination of our Vroom-owned vehicle reconditioning centers ("VRCs") along with a network of VRCs owned and operated by third parties. In February 2022, Adesa U.S. ("Adesa"), one of our third-party VRC providers and host of a number of our last-mile hubs, communicated its intent to discontinue its third-party reconditioning services with us as it was being acquired by a competitor. We replaced Adesa's capacity with capacity at our other existing providers. In the second quarter of 2022, we took further action to right-size the staffing of our proprietary reconditioning operations as well as to optimize the number of third-party reconditioning partner locations to align with a focus on reduced unit sales volume, resulting in a further reduction in headcount. We also announced our intention to relocate the reconditioning facility in Stafford, Texas to the former service center at the TDA store location. Going forward, we will seek to optimize the combination of strategic and geographically dispersed proprietary and third-party VRCs, including the possible addition of proprietary VRCs into our integrated hybrid network over time. See “—Other Key Factors and Trends Affecting our Operating Results—Ability to optimize our reconditioning capacity to satisfy increasing demand.”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220"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nationally through the development of strategic carrier arrangements with national haulers and consolidated our carrier base into dedicated operating regions. This combination of proprietary and focused third-party service allowed us to focus on improving the quality and reliability of our logistics operations and enhancing of our customer experience. We have prioritized investment in our last mile hub delivery operations, where we can have the greatest impact on the customer experience, and invested in short-haul vehicles to make regional deliveries from our last mile hubs and line-haul vehicles for hub-to-hub shipments on high-volume routes. We are also continuing to invest in our processes and technology to remove inefficiencies, automate processes and improve our customer experience. We are taking further action to optimize our proprietary logistics operations in order to align with reduced unit sales volume, which will result in a further reduction in headcount, as well as the restructuring of our network of logistics operations. Consistent with the continued development of our regional operating model, we intend to strategically combine the operation of our proprietary fleet with the use of third-party carriers, as well as synchronize our end-to-end supply chain to increase sales velocity and optimize flow of our inventory. We believe these initiatives will enable us to reduce logistics costs per mile, improve our inventory turnover and provide the highest level of customer service. See “—Other Key Factors and Trends Affecting our Operating Results—Ability to optimize our logistics network.”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generate revenue by earning fees on vehicle financing through our continued partnerships with third-party lenders. The recent UACC Acquisition enables us to accelerate the development of our captive financing capabilities. As a first step in our integration plan, UACC has joined the existing lineup of third-party lenders available on our ecommerce platform as we work to integrate UACC’s services and develop our captive financing operation, which will enable us to provide our customers with automotive financing solutions across the credit spectrum and an enhanced customer experience. See “—Other Key Factors and Trends Affecting our Operating Results—Ability to expand and develop our financing capabilities.”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Value-Added Products</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other third-party value-added product offerings consist of protection products, such as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See “—Other Key Factors and Trends Affecting our Operating Results—Ability to increase and better monetize other value-added products.”</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140" w:hanging="249"/>
        <w:spacing w:after="0" w:line="25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(67.6% and 71.3% of total revenue for the three and six months ended June 30, 2022): The Ecommerce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through our ecommerce platform and fees earned on sales of value-added products associated with those vehicle sales.</w:t>
      </w:r>
    </w:p>
    <w:p>
      <w:pPr>
        <w:spacing w:after="0" w:line="157" w:lineRule="exact"/>
        <w:rPr>
          <w:rFonts w:ascii="Arial" w:cs="Arial" w:eastAsia="Arial" w:hAnsi="Arial"/>
          <w:sz w:val="18"/>
          <w:szCs w:val="18"/>
          <w:color w:val="auto"/>
        </w:rPr>
      </w:pPr>
    </w:p>
    <w:p>
      <w:pPr>
        <w:ind w:left="1020" w:right="40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(17.4% and 15.9% of total revenue for the three and six months ended June 30, 2022):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channels.</w:t>
      </w:r>
    </w:p>
    <w:p>
      <w:pPr>
        <w:spacing w:after="0" w:line="139" w:lineRule="exact"/>
        <w:rPr>
          <w:rFonts w:ascii="Arial" w:cs="Arial" w:eastAsia="Arial" w:hAnsi="Arial"/>
          <w:sz w:val="18"/>
          <w:szCs w:val="18"/>
          <w:color w:val="auto"/>
        </w:rPr>
      </w:pPr>
    </w:p>
    <w:p>
      <w:pPr>
        <w:ind w:left="1020" w:right="44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(6.8% and 5.7% of total revenue for the three and six months ended June 30, 2022: The Retail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UACC’s operations with its network of third-party dealership customers.</w:t>
      </w:r>
    </w:p>
    <w:p>
      <w:pPr>
        <w:spacing w:after="0" w:line="161"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As part of the Realignment Plan, initiated in the second quarter of 2022, we streamlined TDA's operations and closed our service center. We also reevaluated our reporting segments based on relative revenue and gross profit and significance in our long term strategy. As a result of the quantitative analysis, we determined to no longer report TDA as a separate segment.</w:t>
      </w:r>
    </w:p>
    <w:p>
      <w:pPr>
        <w:spacing w:after="0" w:line="188" w:lineRule="exact"/>
        <w:rPr>
          <w:sz w:val="20"/>
          <w:szCs w:val="20"/>
          <w:color w:val="auto"/>
        </w:rPr>
      </w:pPr>
    </w:p>
    <w:p>
      <w:pPr>
        <w:ind w:right="440" w:firstLine="761"/>
        <w:spacing w:after="0" w:line="245"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and six months ended June 30,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635"/>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line="169"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9"/>
                <w:szCs w:val="19"/>
                <w:b w:val="1"/>
                <w:bCs w:val="1"/>
                <w:color w:val="auto"/>
                <w:vertAlign w:val="superscript"/>
              </w:rPr>
              <w:t>(1)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line="169"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9"/>
                <w:szCs w:val="19"/>
                <w:b w:val="1"/>
                <w:bCs w:val="1"/>
                <w:color w:val="auto"/>
                <w:vertAlign w:val="superscript"/>
              </w:rPr>
              <w:t>(1)</w:t>
            </w:r>
          </w:p>
        </w:tc>
      </w:tr>
      <w:tr>
        <w:trPr>
          <w:trHeight w:val="209"/>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(in thousands)</w:t>
            </w: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Ecommerce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321,632</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579,663</w:t>
            </w: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996,995</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1,001,971</w:t>
            </w: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82,901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128,108</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222,885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246,132</w:t>
            </w: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w:t>
            </w:r>
          </w:p>
        </w:tc>
        <w:tc>
          <w:tcPr>
            <w:tcW w:w="26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32,121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79,808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2"/>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38,783</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54,119</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99,524</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104,905</w:t>
            </w:r>
          </w:p>
        </w:tc>
      </w:tr>
      <w:tr>
        <w:trPr>
          <w:trHeight w:val="196"/>
        </w:trPr>
        <w:tc>
          <w:tcPr>
            <w:tcW w:w="5700" w:type="dxa"/>
            <w:vAlign w:val="bottom"/>
          </w:tcPr>
          <w:p>
            <w:pPr>
              <w:ind w:left="20"/>
              <w:spacing w:after="0" w:line="195" w:lineRule="exact"/>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line="195" w:lineRule="exact"/>
              <w:rPr>
                <w:sz w:val="20"/>
                <w:szCs w:val="20"/>
                <w:color w:val="auto"/>
              </w:rPr>
            </w:pPr>
            <w:r>
              <w:rPr>
                <w:rFonts w:ascii="Arial" w:cs="Arial" w:eastAsia="Arial" w:hAnsi="Arial"/>
                <w:sz w:val="18"/>
                <w:szCs w:val="18"/>
                <w:color w:val="auto"/>
              </w:rPr>
              <w:t>475,437</w:t>
            </w:r>
          </w:p>
        </w:tc>
        <w:tc>
          <w:tcPr>
            <w:tcW w:w="46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195" w:lineRule="exact"/>
              <w:rPr>
                <w:sz w:val="20"/>
                <w:szCs w:val="20"/>
                <w:color w:val="auto"/>
              </w:rPr>
            </w:pPr>
            <w:r>
              <w:rPr>
                <w:rFonts w:ascii="Arial" w:cs="Arial" w:eastAsia="Arial" w:hAnsi="Arial"/>
                <w:sz w:val="18"/>
                <w:szCs w:val="18"/>
                <w:color w:val="auto"/>
              </w:rPr>
              <w:t>761,890</w:t>
            </w:r>
          </w:p>
        </w:tc>
        <w:tc>
          <w:tcPr>
            <w:tcW w:w="3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line="195" w:lineRule="exact"/>
              <w:rPr>
                <w:sz w:val="20"/>
                <w:szCs w:val="20"/>
                <w:color w:val="auto"/>
              </w:rPr>
            </w:pPr>
            <w:r>
              <w:rPr>
                <w:rFonts w:ascii="Arial" w:cs="Arial" w:eastAsia="Arial" w:hAnsi="Arial"/>
                <w:sz w:val="18"/>
                <w:szCs w:val="18"/>
                <w:color w:val="auto"/>
              </w:rPr>
              <w:t>1,399,212</w:t>
            </w:r>
          </w:p>
        </w:tc>
        <w:tc>
          <w:tcPr>
            <w:tcW w:w="46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195" w:lineRule="exact"/>
              <w:rPr>
                <w:sz w:val="20"/>
                <w:szCs w:val="20"/>
                <w:color w:val="auto"/>
              </w:rPr>
            </w:pPr>
            <w:r>
              <w:rPr>
                <w:rFonts w:ascii="Arial" w:cs="Arial" w:eastAsia="Arial" w:hAnsi="Arial"/>
                <w:sz w:val="18"/>
                <w:szCs w:val="18"/>
                <w:color w:val="auto"/>
              </w:rPr>
              <w:t>1,353,008</w:t>
            </w: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Gross profit (loss):</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Ecommerce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33,509</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49,638</w:t>
            </w: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67,828</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81,475</w:t>
            </w: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(1,934 )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8,516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(4,686 )</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8,234</w:t>
            </w: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w:t>
            </w:r>
          </w:p>
        </w:tc>
        <w:tc>
          <w:tcPr>
            <w:tcW w:w="26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28,720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73,682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2"/>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6,062</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4,974</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11,173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9,595</w:t>
            </w:r>
          </w:p>
        </w:tc>
      </w:tr>
      <w:tr>
        <w:trPr>
          <w:trHeight w:val="196"/>
        </w:trPr>
        <w:tc>
          <w:tcPr>
            <w:tcW w:w="5700" w:type="dxa"/>
            <w:vAlign w:val="bottom"/>
          </w:tcPr>
          <w:p>
            <w:pPr>
              <w:ind w:left="20"/>
              <w:spacing w:after="0" w:line="195" w:lineRule="exact"/>
              <w:rPr>
                <w:sz w:val="20"/>
                <w:szCs w:val="20"/>
                <w:color w:val="auto"/>
              </w:rPr>
            </w:pPr>
            <w:r>
              <w:rPr>
                <w:rFonts w:ascii="Arial" w:cs="Arial" w:eastAsia="Arial" w:hAnsi="Arial"/>
                <w:sz w:val="18"/>
                <w:szCs w:val="18"/>
                <w:color w:val="auto"/>
              </w:rPr>
              <w:t>Total gross profit</w:t>
            </w: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line="195" w:lineRule="exact"/>
              <w:rPr>
                <w:sz w:val="20"/>
                <w:szCs w:val="20"/>
                <w:color w:val="auto"/>
              </w:rPr>
            </w:pPr>
            <w:r>
              <w:rPr>
                <w:rFonts w:ascii="Arial" w:cs="Arial" w:eastAsia="Arial" w:hAnsi="Arial"/>
                <w:sz w:val="18"/>
                <w:szCs w:val="18"/>
                <w:color w:val="auto"/>
              </w:rPr>
              <w:t>66,357</w:t>
            </w:r>
          </w:p>
        </w:tc>
        <w:tc>
          <w:tcPr>
            <w:tcW w:w="46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195" w:lineRule="exact"/>
              <w:rPr>
                <w:sz w:val="20"/>
                <w:szCs w:val="20"/>
                <w:color w:val="auto"/>
              </w:rPr>
            </w:pPr>
            <w:r>
              <w:rPr>
                <w:rFonts w:ascii="Arial" w:cs="Arial" w:eastAsia="Arial" w:hAnsi="Arial"/>
                <w:sz w:val="18"/>
                <w:szCs w:val="18"/>
                <w:color w:val="auto"/>
              </w:rPr>
              <w:t>63,128</w:t>
            </w:r>
          </w:p>
        </w:tc>
        <w:tc>
          <w:tcPr>
            <w:tcW w:w="3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line="195" w:lineRule="exact"/>
              <w:rPr>
                <w:sz w:val="20"/>
                <w:szCs w:val="20"/>
                <w:color w:val="auto"/>
              </w:rPr>
            </w:pPr>
            <w:r>
              <w:rPr>
                <w:rFonts w:ascii="Arial" w:cs="Arial" w:eastAsia="Arial" w:hAnsi="Arial"/>
                <w:sz w:val="18"/>
                <w:szCs w:val="18"/>
                <w:color w:val="auto"/>
              </w:rPr>
              <w:t>147,997</w:t>
            </w:r>
          </w:p>
        </w:tc>
        <w:tc>
          <w:tcPr>
            <w:tcW w:w="46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195" w:lineRule="exact"/>
              <w:rPr>
                <w:sz w:val="20"/>
                <w:szCs w:val="20"/>
                <w:color w:val="auto"/>
              </w:rPr>
            </w:pPr>
            <w:r>
              <w:rPr>
                <w:rFonts w:ascii="Arial" w:cs="Arial" w:eastAsia="Arial" w:hAnsi="Arial"/>
                <w:sz w:val="18"/>
                <w:szCs w:val="18"/>
                <w:color w:val="auto"/>
              </w:rPr>
              <w:t>99,304</w:t>
            </w: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-963930</wp:posOffset>
            </wp:positionV>
            <wp:extent cx="85725" cy="160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16002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-963930</wp:posOffset>
            </wp:positionV>
            <wp:extent cx="76835" cy="160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16002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-963930</wp:posOffset>
            </wp:positionV>
            <wp:extent cx="76835" cy="160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1600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-159385</wp:posOffset>
            </wp:positionV>
            <wp:extent cx="85725" cy="160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16002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-159385</wp:posOffset>
            </wp:positionV>
            <wp:extent cx="76835" cy="160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16002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-159385</wp:posOffset>
            </wp:positionV>
            <wp:extent cx="76835" cy="160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60020"/>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We reclassified TDA revenue and TDA gross profit from the TDA reportable segment to the “All Other” category to conform to current year presentation.</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0" w:lineRule="exact"/>
        <w:rPr>
          <w:sz w:val="20"/>
          <w:szCs w:val="20"/>
          <w:color w:val="auto"/>
        </w:rPr>
      </w:pPr>
    </w:p>
    <w:p>
      <w:pPr>
        <w:ind w:right="380" w:firstLine="761"/>
        <w:spacing w:after="0" w:line="237"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184"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196"/>
        </w:trPr>
        <w:tc>
          <w:tcPr>
            <w:tcW w:w="58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Ecommerce units sold</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6"/>
              <w:spacing w:after="0" w:line="195" w:lineRule="exact"/>
              <w:rPr>
                <w:sz w:val="20"/>
                <w:szCs w:val="20"/>
                <w:color w:val="auto"/>
              </w:rPr>
            </w:pPr>
            <w:r>
              <w:rPr>
                <w:rFonts w:ascii="Arial" w:cs="Arial" w:eastAsia="Arial" w:hAnsi="Arial"/>
                <w:sz w:val="18"/>
                <w:szCs w:val="18"/>
                <w:color w:val="auto"/>
              </w:rPr>
              <w:t>9,233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18,268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6"/>
              <w:spacing w:after="0" w:line="195" w:lineRule="exact"/>
              <w:rPr>
                <w:sz w:val="20"/>
                <w:szCs w:val="20"/>
                <w:color w:val="auto"/>
              </w:rPr>
            </w:pPr>
            <w:r>
              <w:rPr>
                <w:rFonts w:ascii="Arial" w:cs="Arial" w:eastAsia="Arial" w:hAnsi="Arial"/>
                <w:sz w:val="18"/>
                <w:szCs w:val="18"/>
                <w:color w:val="auto"/>
              </w:rPr>
              <w:t>28,706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195" w:lineRule="exact"/>
              <w:rPr>
                <w:sz w:val="20"/>
                <w:szCs w:val="20"/>
                <w:color w:val="auto"/>
              </w:rPr>
            </w:pPr>
            <w:r>
              <w:rPr>
                <w:rFonts w:ascii="Arial" w:cs="Arial" w:eastAsia="Arial" w:hAnsi="Arial"/>
                <w:sz w:val="18"/>
                <w:szCs w:val="18"/>
                <w:color w:val="auto"/>
              </w:rPr>
              <w:t>33,772</w:t>
            </w:r>
          </w:p>
        </w:tc>
      </w:tr>
      <w:tr>
        <w:trPr>
          <w:trHeight w:val="202"/>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ecommerce unit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2,166</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1,587</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1,100</w:t>
            </w: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1,387</w:t>
            </w:r>
          </w:p>
        </w:tc>
      </w:tr>
      <w:tr>
        <w:trPr>
          <w:trHeight w:val="202"/>
        </w:trPr>
        <w:tc>
          <w:tcPr>
            <w:tcW w:w="5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ecommerce unit</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1,463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1,131</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1,263</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1,026</w:t>
            </w:r>
          </w:p>
        </w:tc>
      </w:tr>
      <w:tr>
        <w:trPr>
          <w:trHeight w:val="196"/>
        </w:trPr>
        <w:tc>
          <w:tcPr>
            <w:tcW w:w="5820" w:type="dxa"/>
            <w:vAlign w:val="bottom"/>
          </w:tcPr>
          <w:p>
            <w:pPr>
              <w:ind w:left="20"/>
              <w:spacing w:after="0" w:line="195" w:lineRule="exact"/>
              <w:rPr>
                <w:sz w:val="20"/>
                <w:szCs w:val="20"/>
                <w:color w:val="auto"/>
              </w:rPr>
            </w:pPr>
            <w:r>
              <w:rPr>
                <w:rFonts w:ascii="Arial" w:cs="Arial" w:eastAsia="Arial" w:hAnsi="Arial"/>
                <w:sz w:val="18"/>
                <w:szCs w:val="18"/>
                <w:color w:val="auto"/>
              </w:rPr>
              <w:t>Total Gross Profit per ecommerce unit</w:t>
            </w:r>
          </w:p>
        </w:tc>
        <w:tc>
          <w:tcPr>
            <w:tcW w:w="22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line="195" w:lineRule="exact"/>
              <w:rPr>
                <w:sz w:val="20"/>
                <w:szCs w:val="20"/>
                <w:color w:val="auto"/>
              </w:rPr>
            </w:pPr>
            <w:r>
              <w:rPr>
                <w:rFonts w:ascii="Arial" w:cs="Arial" w:eastAsia="Arial" w:hAnsi="Arial"/>
                <w:sz w:val="18"/>
                <w:szCs w:val="18"/>
                <w:color w:val="auto"/>
              </w:rPr>
              <w:t>3,629</w:t>
            </w:r>
          </w:p>
        </w:tc>
        <w:tc>
          <w:tcPr>
            <w:tcW w:w="38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line="195" w:lineRule="exact"/>
              <w:rPr>
                <w:sz w:val="20"/>
                <w:szCs w:val="20"/>
                <w:color w:val="auto"/>
              </w:rPr>
            </w:pPr>
            <w:r>
              <w:rPr>
                <w:rFonts w:ascii="Arial" w:cs="Arial" w:eastAsia="Arial" w:hAnsi="Arial"/>
                <w:sz w:val="18"/>
                <w:szCs w:val="18"/>
                <w:color w:val="auto"/>
              </w:rPr>
              <w:t>2,718</w:t>
            </w:r>
          </w:p>
        </w:tc>
        <w:tc>
          <w:tcPr>
            <w:tcW w:w="3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line="195" w:lineRule="exact"/>
              <w:rPr>
                <w:sz w:val="20"/>
                <w:szCs w:val="20"/>
                <w:color w:val="auto"/>
              </w:rPr>
            </w:pPr>
            <w:r>
              <w:rPr>
                <w:rFonts w:ascii="Arial" w:cs="Arial" w:eastAsia="Arial" w:hAnsi="Arial"/>
                <w:sz w:val="18"/>
                <w:szCs w:val="18"/>
                <w:color w:val="auto"/>
              </w:rPr>
              <w:t>2,363</w:t>
            </w:r>
          </w:p>
        </w:tc>
        <w:tc>
          <w:tcPr>
            <w:tcW w:w="40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195" w:lineRule="exact"/>
              <w:rPr>
                <w:sz w:val="20"/>
                <w:szCs w:val="20"/>
                <w:color w:val="auto"/>
              </w:rPr>
            </w:pPr>
            <w:r>
              <w:rPr>
                <w:rFonts w:ascii="Arial" w:cs="Arial" w:eastAsia="Arial" w:hAnsi="Arial"/>
                <w:sz w:val="18"/>
                <w:szCs w:val="18"/>
                <w:color w:val="auto"/>
              </w:rPr>
              <w:t>2,413</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Average monthly unique visitors</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rPr>
              <w:t>1,734,535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1,749,480</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rPr>
              <w:t>2,160,983</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1,649,869</w:t>
            </w:r>
          </w:p>
        </w:tc>
      </w:tr>
      <w:tr>
        <w:trPr>
          <w:trHeight w:val="217"/>
        </w:trPr>
        <w:tc>
          <w:tcPr>
            <w:tcW w:w="582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22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-424815</wp:posOffset>
            </wp:positionV>
            <wp:extent cx="85725" cy="160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16002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-424815</wp:posOffset>
            </wp:positionV>
            <wp:extent cx="85725" cy="160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16002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-424815</wp:posOffset>
            </wp:positionV>
            <wp:extent cx="85725" cy="160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1600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at TDA and through the Wholesale segment.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We believe Vehicle GPPU is a key driver of our long-term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20"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We plan to continue to introduce initiatives to increase the attachment rates of value-added products and expand our offerings of value-added products which will grow our Product GPPU. The UACC Acquisition accelerates our strategy to develop a captive financing arm and creates the opportunity to expand our automotive financing solutions across the credit spectrum, improve unit economics and create long-term value for our shareholders. With the captive financing offered by UACC, we will begin to generate additional product gross profit on receivables generated by financing provided to Vroom customers from interest income on such finance receivables held for sale and proceeds from the sale of such finance receivables in securitization transactions or through forward flow arrangements.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0" w:lineRule="exact"/>
        <w:rPr>
          <w:sz w:val="20"/>
          <w:szCs w:val="20"/>
          <w:color w:val="auto"/>
        </w:rPr>
      </w:pPr>
    </w:p>
    <w:p>
      <w:pPr>
        <w:ind w:right="480" w:firstLine="761"/>
        <w:spacing w:after="0" w:line="245"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9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at TDA and through the Wholesale segment. Ecommerce average days to sale is an important metric because a reduction in the number of days between the acquisition of a vehicle and the delivery of such vehicle typically results in a higher gross profit per unit.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right="40" w:firstLine="764"/>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EBITDA excluding securitization gain, Non-GAAP net loss, Non-GAAP net loss excluding securitization gain, Non-GAAP net loss per share, and Non-GAAP net loss per share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91" w:lineRule="exact"/>
        <w:rPr>
          <w:sz w:val="20"/>
          <w:szCs w:val="20"/>
          <w:color w:val="auto"/>
        </w:rPr>
      </w:pPr>
    </w:p>
    <w:p>
      <w:pPr>
        <w:ind w:right="320" w:firstLine="764"/>
        <w:spacing w:after="0" w:line="253" w:lineRule="auto"/>
        <w:rPr>
          <w:sz w:val="20"/>
          <w:szCs w:val="20"/>
          <w:color w:val="auto"/>
        </w:rPr>
      </w:pPr>
      <w:r>
        <w:rPr>
          <w:rFonts w:ascii="Arial" w:cs="Arial" w:eastAsia="Arial" w:hAnsi="Arial"/>
          <w:sz w:val="17"/>
          <w:szCs w:val="17"/>
          <w:color w:val="auto"/>
        </w:rPr>
        <w:t>EBITDA, Adjusted EBITDA, Adjusted EBITDA excluding securitization gain, Non-GAAP net loss, Non-GAAP net loss excluding securitization gain, Non-GAAP net loss per share, and Non-GAAP net loss per share excluding securitization gain, are supplemental performance measures that our management uses to assess our operating performance and the operating leverage in our business. Because EBITDA, Adjusted EBITDA, Adjusted EBITDA excluding securitization gain, Non-GAAP net loss, Non-GAAP net loss excluding securitization gain, Non-GAAP net loss per share, and Non-GAAP net loss per share excluding securitization gain facilitate internal comparisons of our historical operating performance on a more consistent basis, we use these measures for business planning purposes.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excluding securitization gain</w:t>
      </w:r>
    </w:p>
    <w:p>
      <w:pPr>
        <w:spacing w:after="0" w:line="220" w:lineRule="exact"/>
        <w:rPr>
          <w:sz w:val="20"/>
          <w:szCs w:val="20"/>
          <w:color w:val="auto"/>
        </w:rPr>
      </w:pPr>
    </w:p>
    <w:p>
      <w:pPr>
        <w:ind w:right="40" w:firstLine="764"/>
        <w:spacing w:after="0" w:line="235"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realignment costs, acquisition related costs, change in fair value of finance receivables, goodwill impairment charge and other costs, which relate to the write off of the upfront shares issued as part of the Rocket Auto agreement and previously recognized within "Other assets". Changes in fair value of finance receivables can fluctuate significantly from period to period and relate primarily to historical loans and debt which have been securitized, and acquired on February 1, 2022 from UACC. Our ongoing business model is to originate or purchase finance receivables with the intent to sell which we recognize at the lower of cost or fair value. Therefore, these historical finance receivables acquired, which are accounted for under the fair value option, will experience fluctuations in value from period to period. We believe it is appropriate to remove this temporary volatility from our Adjusted EBITDA results to better reflect our ongoing business model. Additionally, these historical finance receivables acquired from UACC are expected to run-off within approximately 15 months. 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 The following table presents a reconciliation of EBITDA, Adjusted EBITDA, and Adjusted EBITDA excluding securitization gain to net loss, which is the most directly comparable U.S. GAAP measure: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center"/>
              <w:ind w:right="2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center"/>
              <w:ind w:right="29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09"/>
        </w:trPr>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8"/>
                <w:szCs w:val="18"/>
                <w:color w:val="auto"/>
              </w:rPr>
            </w:pPr>
          </w:p>
        </w:tc>
      </w:tr>
      <w:tr>
        <w:trPr>
          <w:trHeight w:val="202"/>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FF0FC"/>
          </w:tcPr>
          <w:p>
            <w:pPr>
              <w:jc w:val="center"/>
              <w:ind w:left="6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(115,089 )</w:t>
            </w:r>
          </w:p>
        </w:tc>
        <w:tc>
          <w:tcPr>
            <w:tcW w:w="58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(65,807 )</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(425,548 )</w:t>
            </w:r>
          </w:p>
        </w:tc>
        <w:tc>
          <w:tcPr>
            <w:tcW w:w="62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(142,996 )</w:t>
            </w: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2"/>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9,533</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3,880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18,913</w:t>
            </w: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7,692</w:t>
            </w: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(3,935 )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(2,062 )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(7,887 )</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(4,358 )</w:t>
            </w:r>
          </w:p>
        </w:tc>
      </w:tr>
      <w:tr>
        <w:trPr>
          <w:trHeight w:val="202"/>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(22,984 )</w:t>
            </w: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350</w:t>
            </w: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10,115</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3,122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18,010</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6,028</w:t>
            </w:r>
          </w:p>
        </w:tc>
      </w:tr>
      <w:tr>
        <w:trPr>
          <w:trHeight w:val="236"/>
        </w:trPr>
        <w:tc>
          <w:tcPr>
            <w:tcW w:w="46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EBITDA</w:t>
            </w:r>
          </w:p>
        </w:tc>
        <w:tc>
          <w:tcPr>
            <w:tcW w:w="9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center"/>
              <w:ind w:right="50"/>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(99,120 )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(60,673 )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(419,496 )</w:t>
            </w: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(133,284 )</w:t>
            </w:r>
          </w:p>
        </w:tc>
      </w:tr>
      <w:tr>
        <w:trPr>
          <w:trHeight w:val="183"/>
        </w:trPr>
        <w:tc>
          <w:tcPr>
            <w:tcW w:w="4620" w:type="dxa"/>
            <w:vAlign w:val="bottom"/>
          </w:tcPr>
          <w:p>
            <w:pPr>
              <w:ind w:left="20"/>
              <w:spacing w:after="0" w:line="182" w:lineRule="exact"/>
              <w:rPr>
                <w:sz w:val="20"/>
                <w:szCs w:val="20"/>
                <w:color w:val="auto"/>
              </w:rPr>
            </w:pPr>
            <w:r>
              <w:rPr>
                <w:rFonts w:ascii="Arial" w:cs="Arial" w:eastAsia="Arial" w:hAnsi="Arial"/>
                <w:sz w:val="18"/>
                <w:szCs w:val="18"/>
                <w:color w:val="auto"/>
              </w:rPr>
              <w:t>Realignment costs</w:t>
            </w:r>
          </w:p>
        </w:tc>
        <w:tc>
          <w:tcPr>
            <w:tcW w:w="1200" w:type="dxa"/>
            <w:vAlign w:val="bottom"/>
            <w:gridSpan w:val="2"/>
          </w:tcPr>
          <w:p>
            <w:pPr>
              <w:jc w:val="center"/>
              <w:ind w:left="690"/>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line="182" w:lineRule="exact"/>
              <w:rPr>
                <w:sz w:val="20"/>
                <w:szCs w:val="20"/>
                <w:color w:val="auto"/>
              </w:rPr>
            </w:pPr>
            <w:r>
              <w:rPr>
                <w:rFonts w:ascii="Arial" w:cs="Arial" w:eastAsia="Arial" w:hAnsi="Arial"/>
                <w:sz w:val="18"/>
                <w:szCs w:val="18"/>
                <w:color w:val="auto"/>
              </w:rPr>
              <w:t>9,529</w:t>
            </w:r>
          </w:p>
        </w:tc>
        <w:tc>
          <w:tcPr>
            <w:tcW w:w="580" w:type="dxa"/>
            <w:vAlign w:val="bottom"/>
            <w:gridSpan w:val="2"/>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line="182" w:lineRule="exact"/>
              <w:rPr>
                <w:sz w:val="20"/>
                <w:szCs w:val="20"/>
                <w:color w:val="auto"/>
              </w:rPr>
            </w:pPr>
            <w:r>
              <w:rPr>
                <w:rFonts w:ascii="Arial" w:cs="Arial" w:eastAsia="Arial" w:hAnsi="Arial"/>
                <w:sz w:val="18"/>
                <w:szCs w:val="18"/>
                <w:color w:val="auto"/>
              </w:rPr>
              <w:t>9,529</w:t>
            </w:r>
          </w:p>
        </w:tc>
        <w:tc>
          <w:tcPr>
            <w:tcW w:w="620" w:type="dxa"/>
            <w:vAlign w:val="bottom"/>
            <w:gridSpan w:val="2"/>
          </w:tcPr>
          <w:p>
            <w:pPr>
              <w:jc w:val="right"/>
              <w:ind w:right="29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line="182" w:lineRule="exact"/>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related costs</w:t>
            </w: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5,653</w:t>
            </w: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finance receivables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1,846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7,467</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201,703</w:t>
            </w: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2"/>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2,127</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2,127</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36"/>
        </w:trPr>
        <w:tc>
          <w:tcPr>
            <w:tcW w:w="46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center"/>
              <w:ind w:right="50"/>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(85,618 )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(60,673 )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(193,017 )</w:t>
            </w: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(133,284 )</w:t>
            </w:r>
          </w:p>
        </w:tc>
      </w:tr>
      <w:tr>
        <w:trPr>
          <w:trHeight w:val="183"/>
        </w:trPr>
        <w:tc>
          <w:tcPr>
            <w:tcW w:w="4620" w:type="dxa"/>
            <w:vAlign w:val="bottom"/>
          </w:tcPr>
          <w:p>
            <w:pPr>
              <w:ind w:left="20"/>
              <w:spacing w:after="0" w:line="182" w:lineRule="exact"/>
              <w:rPr>
                <w:sz w:val="20"/>
                <w:szCs w:val="20"/>
                <w:color w:val="auto"/>
              </w:rPr>
            </w:pPr>
            <w:r>
              <w:rPr>
                <w:rFonts w:ascii="Arial" w:cs="Arial" w:eastAsia="Arial" w:hAnsi="Arial"/>
                <w:sz w:val="18"/>
                <w:szCs w:val="18"/>
                <w:color w:val="auto"/>
              </w:rPr>
              <w:t>Securitization gain</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4"/>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31"/>
              <w:spacing w:after="0" w:line="18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(29,617 )</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31"/>
              <w:spacing w:after="0" w:line="182" w:lineRule="exact"/>
              <w:rPr>
                <w:sz w:val="20"/>
                <w:szCs w:val="20"/>
                <w:color w:val="auto"/>
              </w:rPr>
            </w:pPr>
            <w:r>
              <w:rPr>
                <w:rFonts w:ascii="Arial" w:cs="Arial" w:eastAsia="Arial" w:hAnsi="Arial"/>
                <w:sz w:val="18"/>
                <w:szCs w:val="18"/>
                <w:color w:val="auto"/>
              </w:rPr>
              <w:t>—</w:t>
            </w:r>
          </w:p>
        </w:tc>
      </w:tr>
      <w:tr>
        <w:trPr>
          <w:trHeight w:val="236"/>
        </w:trPr>
        <w:tc>
          <w:tcPr>
            <w:tcW w:w="46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Adjusted EBITDA excluding securitization gain</w:t>
            </w:r>
          </w:p>
        </w:tc>
        <w:tc>
          <w:tcPr>
            <w:tcW w:w="9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center"/>
              <w:ind w:right="50"/>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(85,618 )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(60,673 )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(222,634 )</w:t>
            </w: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(133,284 )</w:t>
            </w:r>
          </w:p>
        </w:tc>
      </w:tr>
      <w:tr>
        <w:trPr>
          <w:trHeight w:val="614"/>
        </w:trPr>
        <w:tc>
          <w:tcPr>
            <w:tcW w:w="4620" w:type="dxa"/>
            <w:vAlign w:val="bottom"/>
          </w:tcPr>
          <w:p>
            <w:pPr>
              <w:spacing w:after="0"/>
              <w:rPr>
                <w:sz w:val="24"/>
                <w:szCs w:val="24"/>
                <w:color w:val="auto"/>
              </w:rPr>
            </w:pPr>
          </w:p>
        </w:tc>
        <w:tc>
          <w:tcPr>
            <w:tcW w:w="120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50</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1"/>
        </w:trPr>
        <w:tc>
          <w:tcPr>
            <w:tcW w:w="46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-1600835</wp:posOffset>
            </wp:positionV>
            <wp:extent cx="191770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1770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-795655</wp:posOffset>
            </wp:positionV>
            <wp:extent cx="191770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17700" cy="162560"/>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-504825</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-487680</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-504825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-487680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-504825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-487680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Non-GAAP net loss, Non-GAAP net loss excluding securitization gain, Non-GAAP net loss per share, and Non-GAAP net loss per share excluding securitization gain</w:t>
      </w:r>
    </w:p>
    <w:p>
      <w:pPr>
        <w:spacing w:after="0" w:line="148" w:lineRule="exact"/>
        <w:rPr>
          <w:sz w:val="20"/>
          <w:szCs w:val="20"/>
          <w:color w:val="auto"/>
        </w:rPr>
      </w:pPr>
    </w:p>
    <w:p>
      <w:pPr>
        <w:ind w:right="20" w:firstLine="764"/>
        <w:spacing w:after="0" w:line="222" w:lineRule="auto"/>
        <w:rPr>
          <w:sz w:val="20"/>
          <w:szCs w:val="20"/>
          <w:color w:val="auto"/>
        </w:rPr>
      </w:pPr>
      <w:r>
        <w:rPr>
          <w:rFonts w:ascii="Arial" w:cs="Arial" w:eastAsia="Arial" w:hAnsi="Arial"/>
          <w:sz w:val="18"/>
          <w:szCs w:val="18"/>
          <w:color w:val="auto"/>
        </w:rPr>
        <w:t>We calculate Non-GAAP net loss as net loss adjusted to exclude realignment costs, acquisition related costs, change in fair value of finance receivables, goodwill impairment charge, and other costs, which relate to the write off of the upfront shares issued as part of the Rocket Auto agreement and previously recognized within "Other assets". We calculate Non-GAAP net loss per share as Non-GAAP net loss divided by weighted average number of shares outstanding. We calculate Non-GAAP net loss excluding securitization gain as Non-GAAP net loss adjusted to exclude the securitization gain from the sale of UACC's finance receivables. We calculate Non-GAAP net loss per share excluding securitization gain as Non-GAAP net loss excluding securitization gain divided by weighted average number of shares outstanding. The following table presents a reconciliation of Non-GAAP net loss, Non-GAAP net loss excluding securitization gain, Non-GAAP net loss per share, and Non-GAAP net loss per share excluding securitization gain to net loss and net loss per share, which are the most directly comparable U.S. GAAP measures: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78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8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(115,089 )</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(65,807 )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(425,548 )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(142,996 )</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82" w:lineRule="exact"/>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(115,089</w:t>
            </w:r>
          </w:p>
        </w:tc>
        <w:tc>
          <w:tcPr>
            <w:tcW w:w="26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(65,807</w:t>
            </w:r>
          </w:p>
        </w:tc>
        <w:tc>
          <w:tcPr>
            <w:tcW w:w="22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(425,548</w:t>
            </w:r>
          </w:p>
        </w:tc>
        <w:tc>
          <w:tcPr>
            <w:tcW w:w="24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(142,996</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Add: Realignment costs</w:t>
            </w: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9,529</w:t>
            </w: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9,529</w:t>
            </w:r>
          </w:p>
        </w:tc>
        <w:tc>
          <w:tcPr>
            <w:tcW w:w="2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Add: Acquisition related costs</w:t>
            </w:r>
          </w:p>
        </w:tc>
        <w:tc>
          <w:tcPr>
            <w:tcW w:w="180" w:type="dxa"/>
            <w:vAlign w:val="bottom"/>
          </w:tcPr>
          <w:p>
            <w:pPr>
              <w:spacing w:after="0"/>
              <w:rPr>
                <w:sz w:val="17"/>
                <w:szCs w:val="17"/>
                <w:color w:val="auto"/>
              </w:rPr>
            </w:pPr>
          </w:p>
        </w:tc>
        <w:tc>
          <w:tcPr>
            <w:tcW w:w="13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5,653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Change in fair value of finance receivables</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7,467</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Add: Goodwill impairment charge</w:t>
            </w:r>
          </w:p>
        </w:tc>
        <w:tc>
          <w:tcPr>
            <w:tcW w:w="180" w:type="dxa"/>
            <w:vAlign w:val="bottom"/>
          </w:tcPr>
          <w:p>
            <w:pPr>
              <w:spacing w:after="0"/>
              <w:rPr>
                <w:sz w:val="17"/>
                <w:szCs w:val="17"/>
                <w:color w:val="auto"/>
              </w:rPr>
            </w:pPr>
          </w:p>
        </w:tc>
        <w:tc>
          <w:tcPr>
            <w:tcW w:w="13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201,703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Add: Other</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2,127</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2,127</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82" w:lineRule="exact"/>
              <w:rPr>
                <w:sz w:val="20"/>
                <w:szCs w:val="20"/>
                <w:color w:val="auto"/>
              </w:rPr>
            </w:pPr>
            <w:r>
              <w:rPr>
                <w:rFonts w:ascii="Arial" w:cs="Arial" w:eastAsia="Arial" w:hAnsi="Arial"/>
                <w:sz w:val="18"/>
                <w:szCs w:val="18"/>
                <w:color w:val="auto"/>
              </w:rPr>
              <w:t>Non-GAAP net loss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(101,587 )</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(65,807 )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(199,069 )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(142,996 )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Subtract: Securitization gain</w:t>
            </w: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(29,617</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82" w:lineRule="exact"/>
              <w:rPr>
                <w:sz w:val="20"/>
                <w:szCs w:val="20"/>
                <w:color w:val="auto"/>
              </w:rPr>
            </w:pPr>
            <w:r>
              <w:rPr>
                <w:rFonts w:ascii="Arial" w:cs="Arial" w:eastAsia="Arial" w:hAnsi="Arial"/>
                <w:sz w:val="18"/>
                <w:szCs w:val="18"/>
                <w:color w:val="auto"/>
              </w:rPr>
              <w:t>Non-GAAP net loss excluding securitization gain</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(101,587 )</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(65,807 )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(228,686 )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(142,996 )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0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number of shares outstanding used to</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138,075,210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136,507,177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137,667,419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136,002,344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00" w:type="dxa"/>
            <w:vAlign w:val="bottom"/>
          </w:tcPr>
          <w:p>
            <w:pPr>
              <w:ind w:left="20"/>
              <w:spacing w:after="0" w:line="143" w:lineRule="exact"/>
              <w:rPr>
                <w:sz w:val="20"/>
                <w:szCs w:val="20"/>
                <w:color w:val="auto"/>
              </w:rPr>
            </w:pPr>
            <w:r>
              <w:rPr>
                <w:rFonts w:ascii="Arial" w:cs="Arial" w:eastAsia="Arial" w:hAnsi="Arial"/>
                <w:sz w:val="16"/>
                <w:szCs w:val="16"/>
                <w:color w:val="auto"/>
              </w:rPr>
              <w:t>compute net loss per share, basic and diluted</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(0.83 )</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(0.48 )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(3.09 )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Impact of realignment costs</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0.07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Impact of acquisition related costs</w:t>
            </w:r>
          </w:p>
        </w:tc>
        <w:tc>
          <w:tcPr>
            <w:tcW w:w="180" w:type="dxa"/>
            <w:vAlign w:val="bottom"/>
          </w:tcPr>
          <w:p>
            <w:pPr>
              <w:spacing w:after="0"/>
              <w:rPr>
                <w:sz w:val="17"/>
                <w:szCs w:val="17"/>
                <w:color w:val="auto"/>
              </w:rPr>
            </w:pPr>
          </w:p>
        </w:tc>
        <w:tc>
          <w:tcPr>
            <w:tcW w:w="13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Impact of change in fair value of finance receivables</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Impact of goodwill impairment charge</w:t>
            </w:r>
          </w:p>
        </w:tc>
        <w:tc>
          <w:tcPr>
            <w:tcW w:w="180" w:type="dxa"/>
            <w:vAlign w:val="bottom"/>
          </w:tcPr>
          <w:p>
            <w:pPr>
              <w:spacing w:after="0"/>
              <w:rPr>
                <w:sz w:val="17"/>
                <w:szCs w:val="17"/>
                <w:color w:val="auto"/>
              </w:rPr>
            </w:pPr>
          </w:p>
        </w:tc>
        <w:tc>
          <w:tcPr>
            <w:tcW w:w="13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Impact of other</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0.02</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5" w:lineRule="exact"/>
              <w:rPr>
                <w:sz w:val="20"/>
                <w:szCs w:val="20"/>
                <w:color w:val="auto"/>
              </w:rPr>
            </w:pPr>
            <w:r>
              <w:rPr>
                <w:rFonts w:ascii="Arial" w:cs="Arial" w:eastAsia="Arial" w:hAnsi="Arial"/>
                <w:sz w:val="18"/>
                <w:szCs w:val="18"/>
                <w:color w:val="auto"/>
              </w:rPr>
              <w:t>Non-GAAP net loss per share, basic and diluted</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(0.73 )</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(0.48 )</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0"/>
              <w:spacing w:after="0" w:line="195" w:lineRule="exact"/>
              <w:rPr>
                <w:sz w:val="20"/>
                <w:szCs w:val="20"/>
                <w:color w:val="auto"/>
              </w:rPr>
            </w:pPr>
            <w:r>
              <w:rPr>
                <w:rFonts w:ascii="Arial" w:cs="Arial" w:eastAsia="Arial" w:hAnsi="Arial"/>
                <w:sz w:val="18"/>
                <w:szCs w:val="18"/>
                <w:color w:val="auto"/>
              </w:rPr>
              <w:t>(1.44 )</w:t>
            </w: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Impact of securitization gain</w:t>
            </w: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(0.22</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20"/>
              <w:spacing w:after="0" w:line="168" w:lineRule="exact"/>
              <w:rPr>
                <w:sz w:val="20"/>
                <w:szCs w:val="20"/>
                <w:color w:val="auto"/>
              </w:rPr>
            </w:pPr>
            <w:r>
              <w:rPr>
                <w:rFonts w:ascii="Arial" w:cs="Arial" w:eastAsia="Arial" w:hAnsi="Arial"/>
                <w:sz w:val="18"/>
                <w:szCs w:val="18"/>
                <w:color w:val="auto"/>
              </w:rPr>
              <w:t>Non-GAAP net loss per share excluding securitization gain,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(0.73 )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(0.48 )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(1.66 )</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163"/>
        </w:trPr>
        <w:tc>
          <w:tcPr>
            <w:tcW w:w="5300" w:type="dxa"/>
            <w:vAlign w:val="bottom"/>
          </w:tcPr>
          <w:p>
            <w:pPr>
              <w:ind w:left="20"/>
              <w:spacing w:after="0" w:line="143" w:lineRule="exact"/>
              <w:rPr>
                <w:sz w:val="20"/>
                <w:szCs w:val="20"/>
                <w:color w:val="auto"/>
              </w:rPr>
            </w:pPr>
            <w:r>
              <w:rPr>
                <w:rFonts w:ascii="Arial" w:cs="Arial" w:eastAsia="Arial" w:hAnsi="Arial"/>
                <w:sz w:val="16"/>
                <w:szCs w:val="16"/>
                <w:color w:val="auto"/>
              </w:rPr>
              <w:t>basic and diluted</w:t>
            </w:r>
          </w:p>
        </w:tc>
        <w:tc>
          <w:tcPr>
            <w:tcW w:w="18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-2282825</wp:posOffset>
            </wp:positionV>
            <wp:extent cx="768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-2282825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-2282825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-2282825</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-1991360</wp:posOffset>
            </wp:positionV>
            <wp:extent cx="768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-1991360</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-1991360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-1991360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-535940</wp:posOffset>
            </wp:positionV>
            <wp:extent cx="7683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-535940</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-535940</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-535940</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-244475</wp:posOffset>
            </wp:positionV>
            <wp:extent cx="768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-244475</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-244475</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-244475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0"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Data analytics and experimentation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analytics, to provide an automated pricing platform that delivers real time, market-driven appraisals, and continually experiment and test in order to further refine our approach to enhance the customer experience and drive increased vehicle purchases.</w:t>
      </w:r>
    </w:p>
    <w:p>
      <w:pPr>
        <w:spacing w:after="0" w:line="189"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service and sales support to respond to increased demand. Our ongoing investment in our sales and sales support operations includes investments in processes and technology. We are continuing to invest in our processes, including optimizing our sales channels using internal and outsourced resources, in order to remove friction and increase transaction flow and in technology, to automate and improve our customer experience, reduce costs per transaction and to drive conversion and consumer sourcing. In order to address the operational challenges created by our rapid growth over the past two years, including delays in titling and registering vehicles purchased by our customers, we have undertaken various initiatives. These initiatives include increased digitization and electronic transmission of transaction documents and implementation of our digital title vault to ensure that titles are quality checked and vaulted prior to listing. As we improve the customer experience and drive efficiency in transaction processing, we expect that we will attract more visitors, improve conversion, drive greater sales and increase the percentage of vehicles sourced from consumers.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UACC Acquisition. This ability is enabled by our data science capabilities that leverage the growing amount of data at our disposal and generate predictive data analytics that fine-tune our supply and sourcing models. As we continue to invest in our operational efficiency and data analytics, we expect that we will improve our unit economics and in turn drive increased gross profit.</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three and six months ended June 30, 2022, vehicles sourced from consumers represent approximately 76% of our retail inventory sold.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 In the first half of 2022, we have continued to experience unprecedented market conditions, caused in part by supply chain dislocations, a shortage of microchips and associated delays in new car manufacturing, which increased demand for used vehicles, putting downward pressure on supply, and making consumer sourcing even more favorable.</w:t>
      </w:r>
    </w:p>
    <w:p>
      <w:pPr>
        <w:spacing w:after="0" w:line="190" w:lineRule="exact"/>
        <w:rPr>
          <w:sz w:val="20"/>
          <w:szCs w:val="20"/>
          <w:color w:val="auto"/>
        </w:rPr>
      </w:pPr>
    </w:p>
    <w:p>
      <w:pPr>
        <w:ind w:right="280" w:firstLine="761"/>
        <w:spacing w:after="0"/>
        <w:rPr>
          <w:sz w:val="20"/>
          <w:szCs w:val="20"/>
          <w:color w:val="auto"/>
        </w:rPr>
      </w:pPr>
      <w:r>
        <w:rPr>
          <w:rFonts w:ascii="Arial" w:cs="Arial" w:eastAsia="Arial" w:hAnsi="Arial"/>
          <w:sz w:val="18"/>
          <w:szCs w:val="18"/>
          <w:color w:val="auto"/>
        </w:rPr>
        <w:t>In the future, we expect to have the ability to begin inspecting consumer sourced vehicles and making real time adjustments to acquisition pricing as a result of our scaling proprietary logistics operation, which we expect will provide improvements to our overall gross profit per unit over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reconditioning capacity</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continue to optimize our reconditioning capacity to satisfy customer demand, maximize profitability, and enhance the customer experience. We employ a hybrid approach that combines the use of our proprietary VRC and third-party VRCs to best meet our reconditioning needs.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80" w:firstLine="761"/>
        <w:spacing w:after="0" w:line="235" w:lineRule="auto"/>
        <w:rPr>
          <w:sz w:val="20"/>
          <w:szCs w:val="20"/>
          <w:color w:val="auto"/>
        </w:rPr>
      </w:pPr>
      <w:r>
        <w:rPr>
          <w:rFonts w:ascii="Arial" w:cs="Arial" w:eastAsia="Arial" w:hAnsi="Arial"/>
          <w:sz w:val="18"/>
          <w:szCs w:val="18"/>
          <w:color w:val="auto"/>
        </w:rPr>
        <w:t>We intend to optimize reconditioning capacity and operational efficiency through third-party VRC locations and additional proprietary VRCs. Our use of third-party VRCs to recondition vehicles allows us to avoid additional capital expenditures, quickly adjust capacity, maintain greater operational flexibility and broaden our geographic footprint to drive lower logistics costs. Proprietary VRCs will enable us to have increased control over our reconditioning operations, increase capacity as we scale, and support our regional operating model. In February 2022, Adesa, one of our third-party VRC providers and host of a number of our last-mile hubs, communicated its intent to discontinue its third-party reconditioning services with us as it was being acquired by a competitor. We replaced Adesa's capacity with capacity at our other existing providers. In the second quarter of 2022, we took further action to right-size the staffing of our proprietary reconditioning operations as well as optimize the number of third-party reconditioning partner locations to align with our reduced unit sales volume, resulting in a further reduction in headcount. We also announced our intention to relocate our reconditioning facility from Stafford, Texas to the former service center at the TDA store location. Going forward, we will seek to optimize the combination of strategic and geographically dispersed proprietary and third-party VRCs, including the possible addition of proprietary VRCs into our integrated hybrid network over time.</w:t>
      </w:r>
    </w:p>
    <w:p>
      <w:pPr>
        <w:spacing w:after="0" w:line="197" w:lineRule="exact"/>
        <w:rPr>
          <w:sz w:val="20"/>
          <w:szCs w:val="20"/>
          <w:color w:val="auto"/>
        </w:rPr>
      </w:pPr>
    </w:p>
    <w:p>
      <w:pPr>
        <w:ind w:right="320" w:firstLine="761"/>
        <w:spacing w:after="0" w:line="245" w:lineRule="auto"/>
        <w:rPr>
          <w:sz w:val="20"/>
          <w:szCs w:val="20"/>
          <w:color w:val="auto"/>
        </w:rPr>
      </w:pPr>
      <w:r>
        <w:rPr>
          <w:rFonts w:ascii="Arial" w:cs="Arial" w:eastAsia="Arial" w:hAnsi="Arial"/>
          <w:sz w:val="18"/>
          <w:szCs w:val="18"/>
          <w:color w:val="auto"/>
        </w:rPr>
        <w:t>We leverage our data analytics and deep industry experience to strategically select VRC locations where we believe there is the highest supply and demand for our vehicles and enable us to leverage a regional operating model.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logistics network</w:t>
      </w:r>
    </w:p>
    <w:p>
      <w:pPr>
        <w:spacing w:after="0" w:line="220" w:lineRule="exact"/>
        <w:rPr>
          <w:sz w:val="20"/>
          <w:szCs w:val="20"/>
          <w:color w:val="auto"/>
        </w:rPr>
      </w:pPr>
    </w:p>
    <w:p>
      <w:pPr>
        <w:ind w:right="60" w:firstLine="761"/>
        <w:spacing w:after="0" w:line="235" w:lineRule="auto"/>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We have been accelerating our strategy to optimize our hybrid approach by focusing on improving the quality and reliability of our logistics operations and enhancing our customer experience. We have prioritized investment in our last mile hub delivery operations, where we can have the greatest impact on the customer experience, and invested in short-haul vehicles to make regional deliveries from our last mile hubs, many of which are located at our third-party VRCs, and line-haul vehicles for hub-to-hub shipments on high-volume routes. We are also continuing to invest in our processes and technology to remove inefficiencies, automate processes and improve our customer experience. We are taking further action to optimize our proprietary logistics operations in order to align with reduced unit sales volume, which will result in a further reduction in headcount, as well as the restructuring of our network of logistics operations. Consistent with the continued development of our regional operating model, we intend to strategically combine the operation of our proprietary fleet with the use of third-party carriers, as well as synchronize our end-to-end supply chain to increase sales velocity and optimize flow of our inventory. We believe these initiatives will enable us to reduce logistics costs per mile, improve our inventory turnover and provide the highest level of customer service. We expect that optimizing our logistics network through this hybrid approach will result in improved unit economics, increased profitability and an enhanced customer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20" w:lineRule="exact"/>
        <w:rPr>
          <w:sz w:val="20"/>
          <w:szCs w:val="20"/>
          <w:color w:val="auto"/>
        </w:rPr>
      </w:pPr>
    </w:p>
    <w:p>
      <w:pPr>
        <w:ind w:right="260" w:firstLine="761"/>
        <w:spacing w:after="0" w:line="237" w:lineRule="auto"/>
        <w:rPr>
          <w:sz w:val="20"/>
          <w:szCs w:val="20"/>
          <w:color w:val="auto"/>
        </w:rPr>
      </w:pPr>
      <w:r>
        <w:rPr>
          <w:rFonts w:ascii="Arial" w:cs="Arial" w:eastAsia="Arial" w:hAnsi="Arial"/>
          <w:sz w:val="18"/>
          <w:szCs w:val="18"/>
          <w:color w:val="auto"/>
        </w:rPr>
        <w:t>As we have scaled our business, we have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financing capabilities</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Fees earned on vehicle financing, both through our continued partnerships with third-party lenders and the development of our captive financing capabilities, present an opportunity to grow our business and drive profitability. Strategic partnerships with lenders such as Chase, Ally Financial and Santander provide enhanced revenue streams for us, as well as offering convenience, assurance and efficiency for our customers and have contributed to improvements in Product GPPU. In addition, our recent UACC Acquisition enables us to accelerate the establishment of our captive financing capabilities. We expect that with further investment and our continued integration efforts, the UACC Acquisition will allow us to improve unit economics, which will accelerate our path to profitability.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Additionally, through our on-going data analytics, experimentation and further development of our ecommerce technology, we expect to increase attachment rates of our existing protection products while finding new opportunities to include additional protection products, as well as other value-added products. Because we are paid fees on value-added products we sell, our gross profit is equal to the revenue we generate on such sales. As a result, such sales help drive total gross profit per unit. As we scale our business, we intend to increase the breadth and variety of value-added products offered to customers and improve attachment rates to our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Given the current market demand for used vehicles and other macroeconomic factors, we have not experienced traditional seasonality trends in the most recent periods.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220" w:lineRule="exact"/>
        <w:rPr>
          <w:sz w:val="20"/>
          <w:szCs w:val="20"/>
          <w:color w:val="auto"/>
        </w:rPr>
      </w:pPr>
    </w:p>
    <w:p>
      <w:pPr>
        <w:ind w:right="140" w:firstLine="761"/>
        <w:spacing w:after="0" w:line="235" w:lineRule="auto"/>
        <w:rPr>
          <w:sz w:val="20"/>
          <w:szCs w:val="20"/>
          <w:color w:val="auto"/>
        </w:rPr>
      </w:pPr>
      <w:r>
        <w:rPr>
          <w:rFonts w:ascii="Arial" w:cs="Arial" w:eastAsia="Arial" w:hAnsi="Arial"/>
          <w:sz w:val="18"/>
          <w:szCs w:val="18"/>
          <w:color w:val="auto"/>
        </w:rPr>
        <w:t>We have recently experienced unprecedented market conditions, caused in part by supply chain dislocations, a shortage of microchips and associated delays in new car manufacturing, which increased demand for used vehicles, putting downward pressure on supply and upward pressure on used vehicle pricing. This volatility creates risks around our ability to appropriately price our vehicles and maintain our sales margins and may cause our results of operations to fluctuate significantly. In addition, both the United States and global economies are experiencing a sustained inflationary environment and the Federal Reserve’s efforts to tame inflation have led to, and may continue to lead to, increased interest rates, which affects automotive finance rates, reducing discretionary spending and making vehicle financing more costly and less accessible to many consumers. Moreover, Russia’s invasion of Ukraine has increased global economic and political uncertainty, which has caused dramatic fluctuations in global financial markets and uncertainty about world-wide oil supply and demand, which in turn has increased the volatility of oil and natural gas prices. A significant escalation or expansion of economic disruption could continue to disrupt our supply chain, broaden inflationary costs, and could have a material adverse effect on our results of operations. We will continue to actively monitor and develop responses to these disruptions, but depending on duration and severity, these trends could continue to negatively impact our business throughout the remainder of 2022.</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16"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88" w:lineRule="exact"/>
        <w:rPr>
          <w:sz w:val="20"/>
          <w:szCs w:val="20"/>
          <w:color w:val="auto"/>
        </w:rPr>
      </w:pPr>
    </w:p>
    <w:p>
      <w:pPr>
        <w:ind w:right="200" w:firstLine="761"/>
        <w:spacing w:after="0" w:line="245"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0" w:firstLine="761"/>
        <w:spacing w:after="0" w:line="245"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184"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As a data-driven company, we acquire inventory based upon demand predicted by our data analytics. Recently, our ASP increased significantly primarily due to market appreciation, and we expect ASP to fluctuate in the short-term as a result of market conditions. However, our long-term strategy continues to move us towards lower-priced inventory, which we expect will result in a lower ASP. The UACC Acquisition will enable us to expand our automotive financing solutions across the credit spectrum and we expect to increase our offering of lower-price-point vehicles to take advantage of those capabilities.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1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straight-buy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6" w:lineRule="exact"/>
        <w:rPr>
          <w:sz w:val="20"/>
          <w:szCs w:val="20"/>
          <w:color w:val="auto"/>
        </w:rPr>
      </w:pPr>
    </w:p>
    <w:p>
      <w:pPr>
        <w:ind w:right="280" w:firstLine="761"/>
        <w:spacing w:after="0" w:line="245" w:lineRule="auto"/>
        <w:rPr>
          <w:sz w:val="20"/>
          <w:szCs w:val="20"/>
          <w:color w:val="auto"/>
        </w:rPr>
      </w:pPr>
      <w:r>
        <w:rPr>
          <w:rFonts w:ascii="Arial" w:cs="Arial" w:eastAsia="Arial" w:hAnsi="Arial"/>
          <w:sz w:val="18"/>
          <w:szCs w:val="18"/>
          <w:color w:val="auto"/>
        </w:rPr>
        <w:t>We generate revenue by earning fees on sales of third-party financing and value-added products to our customers in connection with vehicle sales, such as vehicle service contracts, GAP protection and tire and wheel coverage.</w:t>
      </w:r>
    </w:p>
    <w:p>
      <w:pPr>
        <w:spacing w:after="0" w:line="184"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p>
    <w:p>
      <w:pPr>
        <w:spacing w:after="0" w:line="192"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 xml:space="preserve">As a result of the UACC Acquisition, we also generate ecommerce product revenue from receivables generated by financing provided to Vroom customers through our captive financing operation. We earn interest income on such finance receivables held for sale and receive proceeds from the sale of such finance receivables in securitization transactions or forward flow arrangements. We will account for sales of these finance receivables in accordance with ASC Topic 860, </w:t>
      </w:r>
      <w:r>
        <w:rPr>
          <w:rFonts w:ascii="Arial" w:cs="Arial" w:eastAsia="Arial" w:hAnsi="Arial"/>
          <w:sz w:val="18"/>
          <w:szCs w:val="18"/>
          <w:i w:val="1"/>
          <w:iCs w:val="1"/>
          <w:color w:val="auto"/>
        </w:rPr>
        <w:t>Transfers and Servicing of Financial Assets ("ASC 860")</w:t>
      </w:r>
      <w:r>
        <w:rPr>
          <w:rFonts w:ascii="Arial" w:cs="Arial" w:eastAsia="Arial" w:hAnsi="Arial"/>
          <w:sz w:val="18"/>
          <w:szCs w:val="18"/>
          <w:color w:val="auto"/>
        </w:rPr>
        <w:t>. In order for transfers of the finance receivables to qualify as sales, the finance receivables being transferred must be legally isolated, may not be constrained by restrictions from further transfer, and must be deemed to be beyond our control. Depending on market conditions, we intend to structure future securitization transactions to qualify for sale accounting, similar to the 2022-1 securitization transaction completed in February 2022, for which gain on sale was recorded in “Finance revenue”, as discussed below. There were no gain on sales recorded in "Product revenue" for the three and six months ended June 30, 2022. The revenue we are able to generate from these sales will be dependent on the number of finance receivables UACC originates with our customers, the average principal balance of the finance receivables, the credit quality of the portfolio, and the price at which they are sold in securitization transactions or through forward flow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216" w:lineRule="exact"/>
        <w:rPr>
          <w:sz w:val="20"/>
          <w:szCs w:val="20"/>
          <w:color w:val="auto"/>
        </w:rPr>
      </w:pPr>
    </w:p>
    <w:p>
      <w:pPr>
        <w:ind w:right="100" w:firstLine="764"/>
        <w:spacing w:after="0"/>
        <w:rPr>
          <w:sz w:val="20"/>
          <w:szCs w:val="20"/>
          <w:color w:val="auto"/>
        </w:rPr>
      </w:pPr>
      <w:r>
        <w:rPr>
          <w:rFonts w:ascii="Arial" w:cs="Arial" w:eastAsia="Arial" w:hAnsi="Arial"/>
          <w:sz w:val="18"/>
          <w:szCs w:val="18"/>
          <w:color w:val="auto"/>
        </w:rPr>
        <w:t>Our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Acquisition Date.</w:t>
      </w:r>
    </w:p>
    <w:p>
      <w:pPr>
        <w:spacing w:after="0" w:line="400" w:lineRule="exact"/>
        <w:rPr>
          <w:sz w:val="20"/>
          <w:szCs w:val="20"/>
          <w:color w:val="auto"/>
        </w:rPr>
      </w:pPr>
    </w:p>
    <w:p>
      <w:pPr>
        <w:ind w:right="540" w:firstLine="764"/>
        <w:spacing w:after="0" w:line="245"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860.</w:t>
      </w:r>
    </w:p>
    <w:p>
      <w:pPr>
        <w:spacing w:after="0" w:line="386" w:lineRule="exact"/>
        <w:rPr>
          <w:sz w:val="20"/>
          <w:szCs w:val="20"/>
          <w:color w:val="auto"/>
        </w:rPr>
      </w:pPr>
    </w:p>
    <w:p>
      <w:pPr>
        <w:jc w:val="both"/>
        <w:ind w:right="640" w:firstLine="764"/>
        <w:spacing w:after="0"/>
        <w:rPr>
          <w:sz w:val="20"/>
          <w:szCs w:val="20"/>
          <w:color w:val="auto"/>
        </w:rPr>
      </w:pPr>
      <w:r>
        <w:rPr>
          <w:rFonts w:ascii="Arial" w:cs="Arial" w:eastAsia="Arial" w:hAnsi="Arial"/>
          <w:sz w:val="18"/>
          <w:szCs w:val="18"/>
          <w:color w:val="auto"/>
        </w:rPr>
        <w:t>All securitization transactions consummated prior to the Acquisition Date were accounted for as secured borrowings and we recognize interest income, which includes finance charges and service charges in accordance with the terms of the related customer agreements.</w:t>
      </w:r>
    </w:p>
    <w:p>
      <w:pPr>
        <w:spacing w:after="0" w:line="390" w:lineRule="exact"/>
        <w:rPr>
          <w:sz w:val="20"/>
          <w:szCs w:val="20"/>
          <w:color w:val="auto"/>
        </w:rPr>
      </w:pPr>
    </w:p>
    <w:p>
      <w:pPr>
        <w:ind w:right="40" w:firstLine="764"/>
        <w:spacing w:after="0" w:line="238" w:lineRule="auto"/>
        <w:rPr>
          <w:sz w:val="20"/>
          <w:szCs w:val="20"/>
          <w:color w:val="auto"/>
        </w:rPr>
      </w:pPr>
      <w:r>
        <w:rPr>
          <w:rFonts w:ascii="Arial" w:cs="Arial" w:eastAsia="Arial" w:hAnsi="Arial"/>
          <w:sz w:val="18"/>
          <w:szCs w:val="18"/>
          <w:color w:val="auto"/>
        </w:rPr>
        <w:t>In February 2022, UACC completed the 2022-1 securitization transaction, which qualified as a sale, therefore we recorded a gain on the sale of the finance receivables. The amount of the gain is equal to the fair value of the net proceeds received less the carrying amount of the finance receivables. Subject to market conditions, we intend to structure future securitization transactions similar to the 2022-1 securitization and account for them as sales.</w:t>
      </w:r>
    </w:p>
    <w:p>
      <w:pPr>
        <w:spacing w:after="0" w:line="393" w:lineRule="exact"/>
        <w:rPr>
          <w:sz w:val="20"/>
          <w:szCs w:val="20"/>
          <w:color w:val="auto"/>
        </w:rPr>
      </w:pPr>
    </w:p>
    <w:p>
      <w:pPr>
        <w:ind w:right="80" w:firstLine="764"/>
        <w:spacing w:after="0" w:line="245"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of the outstanding principal balance of the finance receivables serviced.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revenue from CarStory's third-party customers and UACC licensing fee income.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Quarterly Report on Form</w:t>
      </w:r>
    </w:p>
    <w:p>
      <w:pPr>
        <w:spacing w:after="0"/>
        <w:rPr>
          <w:sz w:val="20"/>
          <w:szCs w:val="20"/>
          <w:color w:val="auto"/>
        </w:rPr>
      </w:pPr>
      <w:r>
        <w:rPr>
          <w:rFonts w:ascii="Arial" w:cs="Arial" w:eastAsia="Arial" w:hAnsi="Arial"/>
          <w:sz w:val="18"/>
          <w:szCs w:val="18"/>
          <w:color w:val="auto"/>
        </w:rPr>
        <w:t>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21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216"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Wholesale cost of sales primarily includes costs to acquire vehicles sold through wholesale channels as well as any accounting adjustments to reflect vehicle inventory at the lower of cost or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216" w:lineRule="exact"/>
        <w:rPr>
          <w:sz w:val="20"/>
          <w:szCs w:val="20"/>
          <w:color w:val="auto"/>
        </w:rPr>
      </w:pPr>
    </w:p>
    <w:p>
      <w:pPr>
        <w:ind w:right="540" w:firstLine="761"/>
        <w:spacing w:after="0" w:line="245" w:lineRule="auto"/>
        <w:rPr>
          <w:sz w:val="20"/>
          <w:szCs w:val="20"/>
          <w:color w:val="auto"/>
        </w:rPr>
      </w:pPr>
      <w:r>
        <w:rPr>
          <w:rFonts w:ascii="Arial" w:cs="Arial" w:eastAsia="Arial" w:hAnsi="Arial"/>
          <w:sz w:val="18"/>
          <w:szCs w:val="18"/>
          <w:color w:val="auto"/>
        </w:rPr>
        <w:t>Finance cost of sales consists of interest expense incurred on securitization debt and collection expenses related to servicing finance receivables originated by UACC.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 of sales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cost of sales consists of cost of sales from CarStory's third-party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62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professional fees for accounting, auditing, tax, legal and consulting services and software and IT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firstLine="761"/>
        <w:spacing w:after="0" w:line="257" w:lineRule="auto"/>
        <w:rPr>
          <w:sz w:val="20"/>
          <w:szCs w:val="20"/>
          <w:color w:val="auto"/>
        </w:rPr>
      </w:pPr>
      <w:r>
        <w:rPr>
          <w:rFonts w:ascii="Arial" w:cs="Arial" w:eastAsia="Arial" w:hAnsi="Arial"/>
          <w:sz w:val="17"/>
          <w:szCs w:val="17"/>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Impairment charges represent an impairment charge in the first quarter of 2022 to write down the carrying amount of the goodwill to fair value and lease impairment charges in the second quarter of 2022, related to closing physical office locations and Sell Us Your Car® centers as part of the Realignment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Our interest expense primarily includes interest expense related to our vehicle floorplan facility with Ally Bank and Ally Financial (the "2020 Vehicle Floorplan Facility"), as discussed below, which is used to finance our inventory, interest expense on our Notes, and interest expense on UACC's Warehouse Credit Facilities, which is used to fund our finance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340" w:firstLine="761"/>
        <w:spacing w:after="0" w:line="245" w:lineRule="auto"/>
        <w:rPr>
          <w:sz w:val="20"/>
          <w:szCs w:val="20"/>
          <w:color w:val="auto"/>
        </w:rPr>
      </w:pPr>
      <w:r>
        <w:rPr>
          <w:rFonts w:ascii="Arial" w:cs="Arial" w:eastAsia="Arial" w:hAnsi="Arial"/>
          <w:sz w:val="18"/>
          <w:szCs w:val="18"/>
          <w:color w:val="auto"/>
        </w:rPr>
        <w:t>Other loss (income) primarily represents unrealized losses (gains) on finance receivables at fair value and beneficial interests in securitizations.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13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left="653"/>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13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600" w:type="dxa"/>
            <w:vAlign w:val="bottom"/>
          </w:tcPr>
          <w:p>
            <w:pPr>
              <w:ind w:left="20"/>
              <w:spacing w:after="0" w:line="175" w:lineRule="exact"/>
              <w:rPr>
                <w:sz w:val="20"/>
                <w:szCs w:val="20"/>
                <w:color w:val="auto"/>
              </w:rPr>
            </w:pPr>
            <w:r>
              <w:rPr>
                <w:rFonts w:ascii="Arial" w:cs="Arial" w:eastAsia="Arial" w:hAnsi="Arial"/>
                <w:sz w:val="18"/>
                <w:szCs w:val="18"/>
                <w:color w:val="auto"/>
              </w:rPr>
              <w:t>Retail vehicle, net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3"/>
              <w:spacing w:after="0" w:line="175" w:lineRule="exact"/>
              <w:rPr>
                <w:sz w:val="20"/>
                <w:szCs w:val="20"/>
                <w:color w:val="auto"/>
              </w:rPr>
            </w:pPr>
            <w:r>
              <w:rPr>
                <w:rFonts w:ascii="Arial" w:cs="Arial" w:eastAsia="Arial" w:hAnsi="Arial"/>
                <w:sz w:val="18"/>
                <w:szCs w:val="18"/>
                <w:color w:val="auto"/>
              </w:rPr>
              <w:t>1,048,91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341,724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608,116</w:t>
            </w:r>
          </w:p>
        </w:tc>
        <w:tc>
          <w:tcPr>
            <w:tcW w:w="162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(43.8 )%$</w:t>
            </w: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w:t>
            </w:r>
          </w:p>
        </w:tc>
        <w:tc>
          <w:tcPr>
            <w:tcW w:w="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7"/>
              </w:rPr>
              <w:t>1,062,439</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82,901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128,108</w:t>
            </w:r>
          </w:p>
        </w:tc>
        <w:tc>
          <w:tcPr>
            <w:tcW w:w="15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(35.3 )%</w:t>
            </w: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222,885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246,132</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Product, net</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14,324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22,306</w:t>
            </w:r>
          </w:p>
        </w:tc>
        <w:tc>
          <w:tcPr>
            <w:tcW w:w="15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(35.8 )%</w:t>
            </w: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38,773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37,878</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79,808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4,367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3,360</w:t>
            </w: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8,836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6,559</w:t>
            </w: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168"/>
        </w:trPr>
        <w:tc>
          <w:tcPr>
            <w:tcW w:w="3600" w:type="dxa"/>
            <w:vAlign w:val="bottom"/>
          </w:tcPr>
          <w:p>
            <w:pPr>
              <w:ind w:left="20"/>
              <w:spacing w:after="0" w:line="168"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3"/>
              <w:spacing w:after="0" w:line="168" w:lineRule="exact"/>
              <w:rPr>
                <w:sz w:val="20"/>
                <w:szCs w:val="20"/>
                <w:color w:val="auto"/>
              </w:rPr>
            </w:pPr>
            <w:r>
              <w:rPr>
                <w:rFonts w:ascii="Arial" w:cs="Arial" w:eastAsia="Arial" w:hAnsi="Arial"/>
                <w:sz w:val="18"/>
                <w:szCs w:val="18"/>
                <w:color w:val="auto"/>
              </w:rPr>
              <w:t>1,399,21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10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475,437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761,890</w:t>
            </w:r>
          </w:p>
        </w:tc>
        <w:tc>
          <w:tcPr>
            <w:tcW w:w="1500" w:type="dxa"/>
            <w:vAlign w:val="bottom"/>
            <w:gridSpan w:val="4"/>
          </w:tcPr>
          <w:p>
            <w:pPr>
              <w:jc w:val="right"/>
              <w:ind w:right="80"/>
              <w:spacing w:after="0" w:line="203" w:lineRule="exact"/>
              <w:rPr>
                <w:sz w:val="20"/>
                <w:szCs w:val="20"/>
                <w:color w:val="auto"/>
              </w:rPr>
            </w:pPr>
            <w:r>
              <w:rPr>
                <w:rFonts w:ascii="Arial" w:cs="Arial" w:eastAsia="Arial" w:hAnsi="Arial"/>
                <w:sz w:val="18"/>
                <w:szCs w:val="18"/>
                <w:color w:val="auto"/>
              </w:rPr>
              <w:t>(37.6 )%</w:t>
            </w:r>
          </w:p>
        </w:tc>
        <w:tc>
          <w:tcPr>
            <w:tcW w:w="120" w:type="dxa"/>
            <w:vAlign w:val="bottom"/>
          </w:tcPr>
          <w:p>
            <w:pPr>
              <w:spacing w:after="0"/>
              <w:rPr>
                <w:sz w:val="17"/>
                <w:szCs w:val="17"/>
                <w:color w:val="auto"/>
              </w:rPr>
            </w:pPr>
          </w:p>
        </w:tc>
        <w:tc>
          <w:tcPr>
            <w:tcW w:w="9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w w:val="97"/>
              </w:rPr>
              <w:t>1,353,008</w:t>
            </w: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1"/>
        </w:trPr>
        <w:tc>
          <w:tcPr>
            <w:tcW w:w="3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Retail vehicle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3"/>
              <w:spacing w:after="0" w:line="176" w:lineRule="exact"/>
              <w:rPr>
                <w:sz w:val="20"/>
                <w:szCs w:val="20"/>
                <w:color w:val="auto"/>
              </w:rPr>
            </w:pPr>
            <w:r>
              <w:rPr>
                <w:rFonts w:ascii="Arial" w:cs="Arial" w:eastAsia="Arial" w:hAnsi="Arial"/>
                <w:sz w:val="18"/>
                <w:szCs w:val="18"/>
                <w:color w:val="auto"/>
              </w:rPr>
              <w:t>1,015,41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319,903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577,636</w:t>
            </w:r>
          </w:p>
        </w:tc>
        <w:tc>
          <w:tcPr>
            <w:tcW w:w="15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(44.6 )%</w:t>
            </w: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7"/>
              </w:rPr>
              <w:t>1,012,903</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84,834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119,592</w:t>
            </w:r>
          </w:p>
        </w:tc>
        <w:tc>
          <w:tcPr>
            <w:tcW w:w="15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(29.1 )%</w:t>
            </w: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227,571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237,898</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941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1,534</w:t>
            </w:r>
          </w:p>
        </w:tc>
        <w:tc>
          <w:tcPr>
            <w:tcW w:w="1500" w:type="dxa"/>
            <w:vAlign w:val="bottom"/>
            <w:gridSpan w:val="4"/>
          </w:tcPr>
          <w:p>
            <w:pPr>
              <w:jc w:val="right"/>
              <w:ind w:right="80"/>
              <w:spacing w:after="0" w:line="203" w:lineRule="exact"/>
              <w:rPr>
                <w:sz w:val="20"/>
                <w:szCs w:val="20"/>
                <w:color w:val="auto"/>
              </w:rPr>
            </w:pPr>
            <w:r>
              <w:rPr>
                <w:rFonts w:ascii="Arial" w:cs="Arial" w:eastAsia="Arial" w:hAnsi="Arial"/>
                <w:sz w:val="18"/>
                <w:szCs w:val="18"/>
                <w:color w:val="auto"/>
              </w:rPr>
              <w:t>(38.7 )%</w:t>
            </w:r>
          </w:p>
        </w:tc>
        <w:tc>
          <w:tcPr>
            <w:tcW w:w="120" w:type="dxa"/>
            <w:vAlign w:val="bottom"/>
          </w:tcPr>
          <w:p>
            <w:pPr>
              <w:spacing w:after="0"/>
              <w:rPr>
                <w:sz w:val="17"/>
                <w:szCs w:val="17"/>
                <w:color w:val="auto"/>
              </w:rPr>
            </w:pPr>
          </w:p>
        </w:tc>
        <w:tc>
          <w:tcPr>
            <w:tcW w:w="9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2,106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2,903</w:t>
            </w:r>
          </w:p>
        </w:tc>
        <w:tc>
          <w:tcPr>
            <w:tcW w:w="14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168"/>
        </w:trPr>
        <w:tc>
          <w:tcPr>
            <w:tcW w:w="3600" w:type="dxa"/>
            <w:vAlign w:val="bottom"/>
          </w:tcPr>
          <w:p>
            <w:pPr>
              <w:ind w:left="20"/>
              <w:spacing w:after="0" w:line="168" w:lineRule="exact"/>
              <w:rPr>
                <w:sz w:val="20"/>
                <w:szCs w:val="20"/>
                <w:color w:val="auto"/>
              </w:rPr>
            </w:pPr>
            <w:r>
              <w:rPr>
                <w:rFonts w:ascii="Arial" w:cs="Arial" w:eastAsia="Arial" w:hAnsi="Arial"/>
                <w:sz w:val="18"/>
                <w:szCs w:val="18"/>
                <w:color w:val="auto"/>
              </w:rPr>
              <w:t>Total cost of sales</w:t>
            </w: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3"/>
              <w:spacing w:after="0" w:line="168" w:lineRule="exact"/>
              <w:rPr>
                <w:sz w:val="20"/>
                <w:szCs w:val="20"/>
                <w:color w:val="auto"/>
              </w:rPr>
            </w:pPr>
            <w:r>
              <w:rPr>
                <w:rFonts w:ascii="Arial" w:cs="Arial" w:eastAsia="Arial" w:hAnsi="Arial"/>
                <w:sz w:val="18"/>
                <w:szCs w:val="18"/>
                <w:color w:val="auto"/>
              </w:rPr>
              <w:t>1,251,21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409,080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698,762</w:t>
            </w:r>
          </w:p>
        </w:tc>
        <w:tc>
          <w:tcPr>
            <w:tcW w:w="150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(41.5 )%</w:t>
            </w: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7"/>
              </w:rPr>
              <w:t>1,253,704</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Total gross profit</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66,357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63,128</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147,997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99,304</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152,990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123,898</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23.5 %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340,984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232,764</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10,039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3,058</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228.3 %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17,895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5,900</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203.3 %</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7"/>
                <w:szCs w:val="17"/>
                <w:color w:val="auto"/>
              </w:rPr>
            </w:pPr>
          </w:p>
        </w:tc>
        <w:tc>
          <w:tcPr>
            <w:tcW w:w="10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3,407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205,110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(100,079 )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(63,828 )</w:t>
            </w:r>
          </w:p>
        </w:tc>
        <w:tc>
          <w:tcPr>
            <w:tcW w:w="100" w:type="dxa"/>
            <w:vAlign w:val="bottom"/>
          </w:tcPr>
          <w:p>
            <w:pPr>
              <w:spacing w:after="0"/>
              <w:rPr>
                <w:sz w:val="16"/>
                <w:szCs w:val="16"/>
                <w:color w:val="auto"/>
              </w:rPr>
            </w:pPr>
          </w:p>
        </w:tc>
        <w:tc>
          <w:tcPr>
            <w:tcW w:w="13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56.8 %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(415,992 )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(139,360 )</w:t>
            </w:r>
          </w:p>
        </w:tc>
        <w:tc>
          <w:tcPr>
            <w:tcW w:w="140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198.5 %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3,880</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145.7 %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18,913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7,692</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145.9 %</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(3,935 )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(2,062 )</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90.8 %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(7,887 )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(4,358 )</w:t>
            </w:r>
          </w:p>
        </w:tc>
        <w:tc>
          <w:tcPr>
            <w:tcW w:w="14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81.0 %</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Other loss (income), net</w:t>
            </w:r>
          </w:p>
        </w:tc>
        <w:tc>
          <w:tcPr>
            <w:tcW w:w="120" w:type="dxa"/>
            <w:vAlign w:val="bottom"/>
          </w:tcPr>
          <w:p>
            <w:pPr>
              <w:spacing w:after="0"/>
              <w:rPr>
                <w:sz w:val="17"/>
                <w:szCs w:val="17"/>
                <w:color w:val="auto"/>
              </w:rPr>
            </w:pPr>
          </w:p>
        </w:tc>
        <w:tc>
          <w:tcPr>
            <w:tcW w:w="10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9,156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(33 )</w:t>
            </w:r>
          </w:p>
        </w:tc>
        <w:tc>
          <w:tcPr>
            <w:tcW w:w="100" w:type="dxa"/>
            <w:vAlign w:val="bottom"/>
          </w:tcPr>
          <w:p>
            <w:pPr>
              <w:spacing w:after="0"/>
              <w:rPr>
                <w:sz w:val="17"/>
                <w:szCs w:val="17"/>
                <w:color w:val="auto"/>
              </w:rPr>
            </w:pPr>
          </w:p>
        </w:tc>
        <w:tc>
          <w:tcPr>
            <w:tcW w:w="140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(27,845.5 )%</w:t>
            </w:r>
          </w:p>
        </w:tc>
        <w:tc>
          <w:tcPr>
            <w:tcW w:w="120" w:type="dxa"/>
            <w:vAlign w:val="bottom"/>
          </w:tcPr>
          <w:p>
            <w:pPr>
              <w:spacing w:after="0"/>
              <w:rPr>
                <w:sz w:val="17"/>
                <w:szCs w:val="17"/>
                <w:color w:val="auto"/>
              </w:rPr>
            </w:pPr>
          </w:p>
        </w:tc>
        <w:tc>
          <w:tcPr>
            <w:tcW w:w="9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21,514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(48 )</w:t>
            </w:r>
          </w:p>
        </w:tc>
        <w:tc>
          <w:tcPr>
            <w:tcW w:w="14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(44,920.8 )%</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(114,833 )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(65,613 )</w:t>
            </w:r>
          </w:p>
        </w:tc>
        <w:tc>
          <w:tcPr>
            <w:tcW w:w="100" w:type="dxa"/>
            <w:vAlign w:val="bottom"/>
          </w:tcPr>
          <w:p>
            <w:pPr>
              <w:spacing w:after="0"/>
              <w:rPr>
                <w:sz w:val="16"/>
                <w:szCs w:val="16"/>
                <w:color w:val="auto"/>
              </w:rPr>
            </w:pPr>
          </w:p>
        </w:tc>
        <w:tc>
          <w:tcPr>
            <w:tcW w:w="13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75.0 %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(448,532 )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(142,646 )</w:t>
            </w:r>
          </w:p>
        </w:tc>
        <w:tc>
          <w:tcPr>
            <w:tcW w:w="140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214.4 %</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17"/>
                <w:szCs w:val="17"/>
                <w:color w:val="auto"/>
              </w:rPr>
            </w:pPr>
          </w:p>
        </w:tc>
        <w:tc>
          <w:tcPr>
            <w:tcW w:w="1020" w:type="dxa"/>
            <w:vAlign w:val="bottom"/>
          </w:tcPr>
          <w:p>
            <w:pPr>
              <w:jc w:val="right"/>
              <w:ind w:right="53"/>
              <w:spacing w:after="0" w:line="203" w:lineRule="exact"/>
              <w:rPr>
                <w:sz w:val="20"/>
                <w:szCs w:val="20"/>
                <w:color w:val="auto"/>
              </w:rPr>
            </w:pPr>
            <w:r>
              <w:rPr>
                <w:rFonts w:ascii="Arial" w:cs="Arial" w:eastAsia="Arial" w:hAnsi="Arial"/>
                <w:sz w:val="18"/>
                <w:szCs w:val="18"/>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13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32.0 %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(22,984 )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350</w:t>
            </w:r>
          </w:p>
        </w:tc>
        <w:tc>
          <w:tcPr>
            <w:tcW w:w="14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(6,666.9 )%</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(115,089 )</w:t>
            </w:r>
          </w:p>
        </w:tc>
        <w:tc>
          <w:tcPr>
            <w:tcW w:w="100" w:type="dxa"/>
            <w:vAlign w:val="bottom"/>
          </w:tcPr>
          <w:p>
            <w:pPr>
              <w:spacing w:after="0"/>
              <w:rPr>
                <w:sz w:val="17"/>
                <w:szCs w:val="17"/>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(65,807 )</w:t>
            </w:r>
          </w:p>
        </w:tc>
        <w:tc>
          <w:tcPr>
            <w:tcW w:w="100" w:type="dxa"/>
            <w:vAlign w:val="bottom"/>
          </w:tcPr>
          <w:p>
            <w:pPr>
              <w:spacing w:after="0"/>
              <w:rPr>
                <w:sz w:val="17"/>
                <w:szCs w:val="17"/>
                <w:color w:val="auto"/>
              </w:rPr>
            </w:pPr>
          </w:p>
        </w:tc>
        <w:tc>
          <w:tcPr>
            <w:tcW w:w="1520" w:type="dxa"/>
            <w:vAlign w:val="bottom"/>
            <w:gridSpan w:val="4"/>
          </w:tcPr>
          <w:p>
            <w:pPr>
              <w:jc w:val="right"/>
              <w:ind w:right="100"/>
              <w:spacing w:after="0" w:line="195" w:lineRule="exact"/>
              <w:rPr>
                <w:sz w:val="20"/>
                <w:szCs w:val="20"/>
                <w:color w:val="auto"/>
              </w:rPr>
            </w:pPr>
            <w:r>
              <w:rPr>
                <w:rFonts w:ascii="Arial" w:cs="Arial" w:eastAsia="Arial" w:hAnsi="Arial"/>
                <w:sz w:val="18"/>
                <w:szCs w:val="18"/>
                <w:color w:val="auto"/>
              </w:rPr>
              <w:t>74.9 % $</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(425,548 )</w:t>
            </w:r>
          </w:p>
        </w:tc>
        <w:tc>
          <w:tcPr>
            <w:tcW w:w="40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(142,996 )</w:t>
            </w:r>
          </w:p>
        </w:tc>
        <w:tc>
          <w:tcPr>
            <w:tcW w:w="140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197.6 %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-3338830</wp:posOffset>
            </wp:positionV>
            <wp:extent cx="7132320" cy="1282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-3081655</wp:posOffset>
            </wp:positionV>
            <wp:extent cx="7132320" cy="1282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-2816225</wp:posOffset>
            </wp:positionV>
            <wp:extent cx="7132320" cy="2400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-2447925</wp:posOffset>
            </wp:positionV>
            <wp:extent cx="7132320" cy="2400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282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-1814830</wp:posOffset>
            </wp:positionV>
            <wp:extent cx="7132320" cy="2400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2400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132320" cy="393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93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5562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5562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240" w:hanging="251"/>
        <w:spacing w:after="0" w:line="25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(67.6% and 71.3% of total revenue for the three and six months ended June 30, 2022): The Ecommerce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through our ecommerce platform and fees earned on sales of value-added products associated with those vehicle sales.</w:t>
      </w:r>
    </w:p>
    <w:p>
      <w:pPr>
        <w:spacing w:after="0" w:line="157" w:lineRule="exact"/>
        <w:rPr>
          <w:rFonts w:ascii="Arial" w:cs="Arial" w:eastAsia="Arial" w:hAnsi="Arial"/>
          <w:sz w:val="18"/>
          <w:szCs w:val="18"/>
          <w:color w:val="auto"/>
        </w:rPr>
      </w:pPr>
    </w:p>
    <w:p>
      <w:pPr>
        <w:ind w:left="1020" w:right="500" w:hanging="251"/>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(17.4% and 15.9% of total revenue for the three and six months ended June 30, 2022):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channels.</w:t>
      </w:r>
    </w:p>
    <w:p>
      <w:pPr>
        <w:spacing w:after="0" w:line="139" w:lineRule="exact"/>
        <w:rPr>
          <w:rFonts w:ascii="Arial" w:cs="Arial" w:eastAsia="Arial" w:hAnsi="Arial"/>
          <w:sz w:val="18"/>
          <w:szCs w:val="18"/>
          <w:color w:val="auto"/>
        </w:rPr>
      </w:pPr>
    </w:p>
    <w:p>
      <w:pPr>
        <w:ind w:left="1020" w:right="480" w:hanging="249"/>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(6.8% and 5.7% of total revenue for the three and six months ended June 30, 2022): The Retail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UACC’s operations with its network of third-party dealership customers.</w:t>
      </w:r>
    </w:p>
    <w:p>
      <w:pPr>
        <w:spacing w:after="0" w:line="37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655"/>
              <w:spacing w:after="0"/>
              <w:rPr>
                <w:sz w:val="20"/>
                <w:szCs w:val="20"/>
                <w:color w:val="auto"/>
              </w:rPr>
            </w:pPr>
            <w:r>
              <w:rPr>
                <w:rFonts w:ascii="Arial" w:cs="Arial" w:eastAsia="Arial" w:hAnsi="Arial"/>
                <w:sz w:val="14"/>
                <w:szCs w:val="14"/>
                <w:b w:val="1"/>
                <w:bCs w:val="1"/>
                <w:color w:val="auto"/>
                <w:w w:val="99"/>
              </w:rPr>
              <w:t>June 30,</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40" w:type="dxa"/>
            <w:vAlign w:val="bottom"/>
            <w:vMerge w:val="restart"/>
          </w:tcPr>
          <w:p>
            <w:pPr>
              <w:spacing w:after="0"/>
              <w:rPr>
                <w:sz w:val="16"/>
                <w:szCs w:val="16"/>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20" w:type="dxa"/>
            <w:vAlign w:val="bottom"/>
            <w:gridSpan w:val="4"/>
          </w:tcPr>
          <w:p>
            <w:pPr>
              <w:jc w:val="center"/>
              <w:ind w:right="192"/>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rPr>
              <w:t>data and average days to sale)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Ecommerce units sold</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9,233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18,268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(9,035 )</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Ecommerce revenue: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Vehicle revenue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308,123</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559,010</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(250,887 )</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(44.9 )%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13,509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20,653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(7,144 )</w:t>
            </w:r>
          </w:p>
        </w:tc>
        <w:tc>
          <w:tcPr>
            <w:tcW w:w="13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196"/>
        </w:trPr>
        <w:tc>
          <w:tcPr>
            <w:tcW w:w="5480" w:type="dxa"/>
            <w:vAlign w:val="bottom"/>
          </w:tcPr>
          <w:p>
            <w:pPr>
              <w:ind w:left="20"/>
              <w:spacing w:after="0" w:line="195" w:lineRule="exact"/>
              <w:rPr>
                <w:sz w:val="20"/>
                <w:szCs w:val="20"/>
                <w:color w:val="auto"/>
              </w:rPr>
            </w:pPr>
            <w:r>
              <w:rPr>
                <w:rFonts w:ascii="Arial" w:cs="Arial" w:eastAsia="Arial" w:hAnsi="Arial"/>
                <w:sz w:val="18"/>
                <w:szCs w:val="18"/>
                <w:color w:val="auto"/>
              </w:rPr>
              <w:t>Total ecommerce revenue</w:t>
            </w: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321,632</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579,663</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(258,031</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(44.5</w:t>
            </w:r>
          </w:p>
        </w:tc>
        <w:tc>
          <w:tcPr>
            <w:tcW w:w="200" w:type="dxa"/>
            <w:vAlign w:val="bottom"/>
            <w:gridSpan w:val="2"/>
          </w:tcPr>
          <w:p>
            <w:pPr>
              <w:spacing w:after="0" w:line="195"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28,985</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(8,985 )</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Product gross profit</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13,509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20,653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(7,144 )</w:t>
            </w:r>
          </w:p>
        </w:tc>
        <w:tc>
          <w:tcPr>
            <w:tcW w:w="13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196"/>
        </w:trPr>
        <w:tc>
          <w:tcPr>
            <w:tcW w:w="5480" w:type="dxa"/>
            <w:vAlign w:val="bottom"/>
          </w:tcPr>
          <w:p>
            <w:pPr>
              <w:ind w:left="20"/>
              <w:spacing w:after="0" w:line="195" w:lineRule="exact"/>
              <w:rPr>
                <w:sz w:val="20"/>
                <w:szCs w:val="20"/>
                <w:color w:val="auto"/>
              </w:rPr>
            </w:pPr>
            <w:r>
              <w:rPr>
                <w:rFonts w:ascii="Arial" w:cs="Arial" w:eastAsia="Arial" w:hAnsi="Arial"/>
                <w:sz w:val="18"/>
                <w:szCs w:val="18"/>
                <w:color w:val="auto"/>
              </w:rPr>
              <w:t>Total ecommerce gross profit</w:t>
            </w: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33,509</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49,638</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(16,129</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(32.5</w:t>
            </w:r>
          </w:p>
        </w:tc>
        <w:tc>
          <w:tcPr>
            <w:tcW w:w="200" w:type="dxa"/>
            <w:vAlign w:val="bottom"/>
            <w:gridSpan w:val="2"/>
          </w:tcPr>
          <w:p>
            <w:pPr>
              <w:spacing w:after="0" w:line="195"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33,372</w:t>
            </w:r>
          </w:p>
        </w:tc>
        <w:tc>
          <w:tcPr>
            <w:tcW w:w="58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30,601</w:t>
            </w:r>
          </w:p>
        </w:tc>
        <w:tc>
          <w:tcPr>
            <w:tcW w:w="4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2,771</w:t>
            </w:r>
          </w:p>
        </w:tc>
        <w:tc>
          <w:tcPr>
            <w:tcW w:w="240" w:type="dxa"/>
            <w:vAlign w:val="bottom"/>
          </w:tcPr>
          <w:p>
            <w:pPr>
              <w:spacing w:after="0"/>
              <w:rPr>
                <w:sz w:val="15"/>
                <w:szCs w:val="15"/>
                <w:color w:val="auto"/>
              </w:rPr>
            </w:pPr>
          </w:p>
        </w:tc>
        <w:tc>
          <w:tcPr>
            <w:tcW w:w="13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2"/>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per ecommerce unit: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80" w:type="dxa"/>
            <w:vAlign w:val="bottom"/>
          </w:tcPr>
          <w:p>
            <w:pPr>
              <w:ind w:left="20"/>
              <w:spacing w:after="0" w:line="201" w:lineRule="exact"/>
              <w:rPr>
                <w:sz w:val="20"/>
                <w:szCs w:val="20"/>
                <w:color w:val="auto"/>
              </w:rPr>
            </w:pPr>
            <w:r>
              <w:rPr>
                <w:rFonts w:ascii="Arial" w:cs="Arial" w:eastAsia="Arial" w:hAnsi="Arial"/>
                <w:sz w:val="18"/>
                <w:szCs w:val="18"/>
                <w:color w:val="auto"/>
              </w:rPr>
              <w:t>Vehicle gross profit per ecommerce unit</w:t>
            </w:r>
          </w:p>
        </w:tc>
        <w:tc>
          <w:tcPr>
            <w:tcW w:w="260" w:type="dxa"/>
            <w:vAlign w:val="bottom"/>
          </w:tcPr>
          <w:p>
            <w:pPr>
              <w:jc w:val="right"/>
              <w:ind w:right="5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2,166</w:t>
            </w:r>
          </w:p>
        </w:tc>
        <w:tc>
          <w:tcPr>
            <w:tcW w:w="58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1,587</w:t>
            </w:r>
          </w:p>
        </w:tc>
        <w:tc>
          <w:tcPr>
            <w:tcW w:w="48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579</w:t>
            </w:r>
          </w:p>
        </w:tc>
        <w:tc>
          <w:tcPr>
            <w:tcW w:w="240" w:type="dxa"/>
            <w:vAlign w:val="bottom"/>
          </w:tcPr>
          <w:p>
            <w:pPr>
              <w:spacing w:after="0"/>
              <w:rPr>
                <w:sz w:val="17"/>
                <w:szCs w:val="17"/>
                <w:color w:val="auto"/>
              </w:rPr>
            </w:pPr>
          </w:p>
        </w:tc>
        <w:tc>
          <w:tcPr>
            <w:tcW w:w="132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Product gross profit per ecommerce unit</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1,463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332</w:t>
            </w:r>
          </w:p>
        </w:tc>
        <w:tc>
          <w:tcPr>
            <w:tcW w:w="240" w:type="dxa"/>
            <w:vAlign w:val="bottom"/>
          </w:tcPr>
          <w:p>
            <w:pPr>
              <w:spacing w:after="0"/>
              <w:rPr>
                <w:sz w:val="17"/>
                <w:szCs w:val="17"/>
                <w:color w:val="auto"/>
              </w:rPr>
            </w:pPr>
          </w:p>
        </w:tc>
        <w:tc>
          <w:tcPr>
            <w:tcW w:w="13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3,629</w:t>
            </w:r>
          </w:p>
        </w:tc>
        <w:tc>
          <w:tcPr>
            <w:tcW w:w="260" w:type="dxa"/>
            <w:vAlign w:val="bottom"/>
          </w:tcPr>
          <w:p>
            <w:pPr>
              <w:spacing w:after="0"/>
              <w:rPr>
                <w:sz w:val="17"/>
                <w:szCs w:val="17"/>
                <w:color w:val="auto"/>
              </w:rPr>
            </w:pPr>
          </w:p>
        </w:tc>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2,718</w:t>
            </w:r>
          </w:p>
        </w:tc>
        <w:tc>
          <w:tcPr>
            <w:tcW w:w="220" w:type="dxa"/>
            <w:vAlign w:val="bottom"/>
          </w:tcPr>
          <w:p>
            <w:pPr>
              <w:spacing w:after="0"/>
              <w:rPr>
                <w:sz w:val="17"/>
                <w:szCs w:val="17"/>
                <w:color w:val="auto"/>
              </w:rPr>
            </w:pP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911</w:t>
            </w:r>
          </w:p>
        </w:tc>
        <w:tc>
          <w:tcPr>
            <w:tcW w:w="240" w:type="dxa"/>
            <w:vAlign w:val="bottom"/>
          </w:tcPr>
          <w:p>
            <w:pPr>
              <w:spacing w:after="0"/>
              <w:rPr>
                <w:sz w:val="17"/>
                <w:szCs w:val="17"/>
                <w:color w:val="auto"/>
              </w:rPr>
            </w:pPr>
          </w:p>
        </w:tc>
        <w:tc>
          <w:tcPr>
            <w:tcW w:w="13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Ecommerce average days to sale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88.2</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-2366645</wp:posOffset>
            </wp:positionV>
            <wp:extent cx="7132320" cy="4667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466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-1771650</wp:posOffset>
            </wp:positionV>
            <wp:extent cx="7132320" cy="128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-1506220</wp:posOffset>
            </wp:positionV>
            <wp:extent cx="7132320" cy="410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410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2825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19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right="420" w:firstLine="761"/>
        <w:spacing w:after="0" w:line="274" w:lineRule="auto"/>
        <w:rPr>
          <w:sz w:val="20"/>
          <w:szCs w:val="20"/>
          <w:color w:val="auto"/>
        </w:rPr>
      </w:pPr>
      <w:r>
        <w:rPr>
          <w:rFonts w:ascii="Arial" w:cs="Arial" w:eastAsia="Arial" w:hAnsi="Arial"/>
          <w:sz w:val="17"/>
          <w:szCs w:val="17"/>
          <w:color w:val="auto"/>
        </w:rPr>
        <w:t>Ecommerce units sold decreased 9,035, or 49.5%, from 18,268 for the three months ended June 30, 2021 to 9,233 for the three months ended June 30, 2022. This decrease was driven by our strategic decision to prioritize unit economics over unit sales volume.</w:t>
      </w:r>
    </w:p>
    <w:p>
      <w:pPr>
        <w:spacing w:after="0" w:line="160"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Ecommerce average days to sale increased from 68 days for the three months ended June 30, 2021 to 128 days for the three months ended June 30, 2022. We have undertaken various initiatives to address the operational challenges created by our rapid growth over the past two years. While these initiatives are designed to improve our transaction processing, enhance our customer experience, and reduce our regulatory risk, they resulted in an increase in the number of days between our acquisition of vehicles and the final delivery of such vehicles to customers. We expect Ecommerce average days to sale to improve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Ecommerce vehicle revenue decreased $ 250.9 million, or 44.9%, from $559.0 million for the three months ended June 30, 2021 to $308.1 million for the three months ended June 30, 2022. The decrease in ecommerce vehicle revenue was primarily attributable to the 9,035 decrease in ecommerce units sold, which decreased vehicle revenue by $276.5 million, partially offset by an increase in ASP per unit, which increased from $30,601 for the three months ended June 30, 2021 to $33,372 for the three months ended June 30, 2022 and increased vehicle revenue by $25.6 million.</w:t>
      </w:r>
    </w:p>
    <w:p>
      <w:pPr>
        <w:spacing w:after="0" w:line="192"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The increase in ASP per unit was primarily due to market appreciation. Although we expect ASP to fluctuate in the short-term, our long-term strategy is expected to move us toward lower-priced inventory, which would result in a lower ASP. Furthermore, the UACC Acquisition will begin to enable us to expand our automotive financing solutions across the credit spectrum, and we expect to increase our offering of lower-price-point vehicles to take advantage of those capabilities.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480" w:firstLine="761"/>
        <w:spacing w:after="0" w:line="245" w:lineRule="auto"/>
        <w:rPr>
          <w:sz w:val="20"/>
          <w:szCs w:val="20"/>
          <w:color w:val="auto"/>
        </w:rPr>
      </w:pPr>
      <w:r>
        <w:rPr>
          <w:rFonts w:ascii="Arial" w:cs="Arial" w:eastAsia="Arial" w:hAnsi="Arial"/>
          <w:sz w:val="18"/>
          <w:szCs w:val="18"/>
          <w:color w:val="auto"/>
        </w:rPr>
        <w:t>Ecommerce product revenue decreased $7.2 million, or 34.6%, from $20.7 million for the three months ended June 30, 2021 to $13.5 million for the three months ended June 30, 2022. The decrease in ecommerce product revenue</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was primarily attributable to the 9,035 decrease in ecommerce units sold, which decreased product revenue by $10.2 million, partially offset by a $332 increase in product revenue per unit, which increased product revenue by $3.0 million. Product revenue per unit increased from $1,131 for the three months ended June 30, 2021 to $ 1,463 for the three months ended June 30, 2022, primarily due to interest income earned on finance receivables from Vroom customers originated by UACC. While in the long term we expect ecommerce product revenue will grow driven by the captive financing offered by UACC, the introduction of new value-added products and increased attachment rates, in the short term the growth will be partially impacted by our strategic decision to reduce ecommerce units sales as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Ecommerce vehicle gross profit decreased $9.0 million, or 31.0%, from $29.0 million for the three months ended June 30, 2021 to $20.0 million for the three months ended June 30, 2022. The decrease in vehicle gross profit was primarily attributable to the 9,035 decrease in ecommerce units sold, which decreased vehicle gross profit by $14.3 million, partially offset by a $ 579 increase in vehicle gross profit per unit, which increased vehicle gross profit by $5.3 million. Vehicle gross profit per unit increased from $1,587 for the three months ended June 30, 2021 to $2,166 for the three months ended June 30, 2022, primarily driven by a lower inventory reserve as a result of a decrease in inventory levels and higher shipping fees as a result of new variable shipping fee arrangements, partially offset by higher reconditioning costs related to an increased mix of higher mileage vehicles along with significant parts inflation.</w:t>
      </w:r>
    </w:p>
    <w:p>
      <w:pPr>
        <w:spacing w:after="0" w:line="193"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As we continue to mature our infrastructure and increase and optimize our hybrid network of VRCs, we expect ecommerce vehicle gross profit per unit to continue to increase in the future driven by reduced costs across acquisitions, logistics and reconditioning.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Ecommerce product gross profit decreased $7.2 million, or 34.6%, from $20.7 million for the three months ended June 30, 2021 to $13.5 million for the three months ended June 30, 2022. The decrease in ecommerce product gross profit was primarily attributable to the 9,035 decrease in ecommerce units sold, which decreased product gross profit by $10.2 million, partially offset by a $332 increase in product revenue per unit, which increased product revenue by $3.0 million. Product gross profit per unit increased from $1,131 for the three months ended June 30, 2021 to $1,463 for the three months ended June 30, 2022, primarily due to interest income earned on finance receivables from Vroom customers originated by UACC. While in the long term we expect ecommerce product gross profit will grow driven by the captive financing offered by UACC, the introduction of new value-added products and increased attachment rates, in the short term the growth will be partially impacted by our strategic decision to reduce ecommerce units sales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240" w:type="dxa"/>
            <w:vAlign w:val="bottom"/>
            <w:vMerge w:val="restart"/>
          </w:tcPr>
          <w:p>
            <w:pPr>
              <w:spacing w:after="0"/>
              <w:rPr>
                <w:sz w:val="16"/>
                <w:szCs w:val="16"/>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except unit data)</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Wholesale units sold</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5,867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(4,153 )</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Wholesale revenue</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82,901</w:t>
            </w:r>
          </w:p>
        </w:tc>
        <w:tc>
          <w:tcPr>
            <w:tcW w:w="2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128,108</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(45,207 )</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Wholesale gross (loss) profit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(1,934 )</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8,516</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(10,450 )</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Average selling price per unit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14,130</w:t>
            </w:r>
          </w:p>
        </w:tc>
        <w:tc>
          <w:tcPr>
            <w:tcW w:w="2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12,785</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2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Wholesale gross (loss) profit per unit</w:t>
            </w: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28"/>
              <w:spacing w:after="0" w:line="203" w:lineRule="exact"/>
              <w:rPr>
                <w:sz w:val="20"/>
                <w:szCs w:val="20"/>
                <w:color w:val="auto"/>
              </w:rPr>
            </w:pPr>
            <w:r>
              <w:rPr>
                <w:rFonts w:ascii="Arial" w:cs="Arial" w:eastAsia="Arial" w:hAnsi="Arial"/>
                <w:sz w:val="18"/>
                <w:szCs w:val="18"/>
                <w:color w:val="auto"/>
              </w:rPr>
              <w:t>(330 )</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850</w:t>
            </w:r>
          </w:p>
        </w:tc>
        <w:tc>
          <w:tcPr>
            <w:tcW w:w="5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(1,180 )</w:t>
            </w:r>
          </w:p>
        </w:tc>
        <w:tc>
          <w:tcPr>
            <w:tcW w:w="1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1282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282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2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0" w:lineRule="exact"/>
        <w:rPr>
          <w:sz w:val="20"/>
          <w:szCs w:val="20"/>
          <w:color w:val="auto"/>
        </w:rPr>
      </w:pPr>
    </w:p>
    <w:p>
      <w:pPr>
        <w:ind w:right="320" w:firstLine="761"/>
        <w:spacing w:after="0"/>
        <w:rPr>
          <w:sz w:val="20"/>
          <w:szCs w:val="20"/>
          <w:color w:val="auto"/>
        </w:rPr>
      </w:pPr>
      <w:r>
        <w:rPr>
          <w:rFonts w:ascii="Arial" w:cs="Arial" w:eastAsia="Arial" w:hAnsi="Arial"/>
          <w:sz w:val="18"/>
          <w:szCs w:val="18"/>
          <w:color w:val="auto"/>
        </w:rPr>
        <w:t>Wholesale units sold decreased 4,153, or 41.4%, from 10,020 for the three months ended June 30, 2021 to 5,867 for the three months ended June 30, 2022, primarily driven by a decrease in wholesale units purchased from consumers and a lower number of trade-in vehicles associated with the decrease in the number of ecommerce units sold.</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Wholesale revenue decreased $45.2 million, or 35.3%, from $128.1 million for the three months ended June 30, 2021 to $ 82.9 million for the three months ended June 30, 2022. The decrease was primarily attributable to the 4,153 decrease in wholesale units sold, which decreased wholesale revenue by $53.1 million, partially offset by a higher ASP per wholesale unit, which increased wholesale revenue by $7.9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 Profit</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Wholesale gross profit of $8.5 million for the three months ended June 30, 2021 decreased to gross loss of $1.9 million for the three months ended June 30, 2022. The decrease was primarily attributable to a $1,180 decrease in wholesale gross loss per unit, which decreased wholesale gross loss by $6.9 million, primarily driven by lower sales margins as well as the 4,153 decrease in wholesale units sold, which decreased wholesale gross loss by $3.5 million. In the second quarter of 2021 there was significant appreciation in the wholesale market, which positively impacted sales margins.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102"/>
              <w:spacing w:after="0"/>
              <w:rPr>
                <w:sz w:val="20"/>
                <w:szCs w:val="20"/>
                <w:color w:val="auto"/>
              </w:rPr>
            </w:pPr>
            <w:r>
              <w:rPr>
                <w:rFonts w:ascii="Arial" w:cs="Arial" w:eastAsia="Arial" w:hAnsi="Arial"/>
                <w:sz w:val="14"/>
                <w:szCs w:val="14"/>
                <w:b w:val="1"/>
                <w:bCs w:val="1"/>
                <w:color w:val="auto"/>
              </w:rPr>
              <w:t>(in</w:t>
            </w:r>
          </w:p>
        </w:tc>
        <w:tc>
          <w:tcPr>
            <w:tcW w:w="11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 revenue</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32,121</w:t>
            </w:r>
          </w:p>
        </w:tc>
        <w:tc>
          <w:tcPr>
            <w:tcW w:w="1180" w:type="dxa"/>
            <w:vAlign w:val="bottom"/>
            <w:gridSpan w:val="2"/>
          </w:tcPr>
          <w:p>
            <w:pPr>
              <w:jc w:val="center"/>
              <w:ind w:right="488"/>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32,121</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546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28,720</w:t>
            </w:r>
          </w:p>
        </w:tc>
        <w:tc>
          <w:tcPr>
            <w:tcW w:w="1180" w:type="dxa"/>
            <w:vAlign w:val="bottom"/>
            <w:gridSpan w:val="2"/>
          </w:tcPr>
          <w:p>
            <w:pPr>
              <w:jc w:val="center"/>
              <w:ind w:right="488"/>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28,720</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20" w:lineRule="exact"/>
        <w:rPr>
          <w:sz w:val="20"/>
          <w:szCs w:val="20"/>
          <w:color w:val="auto"/>
        </w:rPr>
      </w:pPr>
    </w:p>
    <w:p>
      <w:pPr>
        <w:ind w:right="480" w:firstLine="764"/>
        <w:spacing w:after="0" w:line="245" w:lineRule="auto"/>
        <w:rPr>
          <w:sz w:val="20"/>
          <w:szCs w:val="20"/>
          <w:color w:val="auto"/>
        </w:rPr>
      </w:pPr>
      <w:r>
        <w:rPr>
          <w:rFonts w:ascii="Arial" w:cs="Arial" w:eastAsia="Arial" w:hAnsi="Arial"/>
          <w:sz w:val="18"/>
          <w:szCs w:val="18"/>
          <w:color w:val="auto"/>
        </w:rPr>
        <w:t>Retail Financing revenue was $32.1 million for the three months ended June 30, 2022 and primarily included interest income of $27.3 million earned on finance receivables with third-party dealership customers and servicing income of $3.5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20" w:lineRule="exact"/>
        <w:rPr>
          <w:sz w:val="20"/>
          <w:szCs w:val="20"/>
          <w:color w:val="auto"/>
        </w:rPr>
      </w:pPr>
    </w:p>
    <w:p>
      <w:pPr>
        <w:ind w:right="240" w:firstLine="764"/>
        <w:spacing w:after="0" w:line="238" w:lineRule="auto"/>
        <w:rPr>
          <w:sz w:val="20"/>
          <w:szCs w:val="20"/>
          <w:color w:val="auto"/>
        </w:rPr>
      </w:pPr>
      <w:r>
        <w:rPr>
          <w:rFonts w:ascii="Arial" w:cs="Arial" w:eastAsia="Arial" w:hAnsi="Arial"/>
          <w:sz w:val="18"/>
          <w:szCs w:val="18"/>
          <w:color w:val="auto"/>
        </w:rPr>
        <w:t>Retail Financing gross profit was $28.7 million for the three months ended June 30, 2022 and primarily included interest income of $27.3 million earned on finance receivables with third-party dealership customers and servicing income of $ 3.5 million, partially offset by collection expenses of $1.7 million related to servicing finance receivables originated by UACC and interest expense of $1.1 million incurred on securitization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6"/>
                <w:szCs w:val="16"/>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68,891</w:t>
            </w:r>
          </w:p>
        </w:tc>
        <w:tc>
          <w:tcPr>
            <w:tcW w:w="7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51,811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17,080</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line="175" w:lineRule="exact"/>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8"/>
                <w:szCs w:val="18"/>
                <w:color w:val="auto"/>
              </w:rPr>
              <w:t>21,138</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8"/>
                <w:szCs w:val="18"/>
                <w:color w:val="auto"/>
              </w:rPr>
              <w:t>23,495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line="175" w:lineRule="exact"/>
              <w:rPr>
                <w:sz w:val="20"/>
                <w:szCs w:val="20"/>
                <w:color w:val="auto"/>
              </w:rPr>
            </w:pPr>
            <w:r>
              <w:rPr>
                <w:rFonts w:ascii="Arial" w:cs="Arial" w:eastAsia="Arial" w:hAnsi="Arial"/>
                <w:sz w:val="18"/>
                <w:szCs w:val="18"/>
                <w:color w:val="auto"/>
              </w:rPr>
              <w:t>(2,357 )</w:t>
            </w:r>
          </w:p>
        </w:tc>
        <w:tc>
          <w:tcPr>
            <w:tcW w:w="130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8,232</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(11,921 )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(59.2 )%</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5,721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4,042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6,827</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2,568</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11,306</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4,451</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64.9 %</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30,875</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13,283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17,592</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132.4 %</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152,990</w:t>
            </w:r>
          </w:p>
        </w:tc>
        <w:tc>
          <w:tcPr>
            <w:tcW w:w="260" w:type="dxa"/>
            <w:vAlign w:val="bottom"/>
          </w:tcPr>
          <w:p>
            <w:pPr>
              <w:spacing w:after="0"/>
              <w:rPr>
                <w:sz w:val="17"/>
                <w:szCs w:val="17"/>
                <w:color w:val="auto"/>
              </w:rPr>
            </w:pPr>
          </w:p>
        </w:tc>
        <w:tc>
          <w:tcPr>
            <w:tcW w:w="500" w:type="dxa"/>
            <w:vAlign w:val="bottom"/>
          </w:tcPr>
          <w:p>
            <w:pPr>
              <w:jc w:val="right"/>
              <w:ind w:right="29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123,898</w:t>
            </w:r>
          </w:p>
        </w:tc>
        <w:tc>
          <w:tcPr>
            <w:tcW w:w="240" w:type="dxa"/>
            <w:vAlign w:val="bottom"/>
          </w:tcPr>
          <w:p>
            <w:pPr>
              <w:spacing w:after="0"/>
              <w:rPr>
                <w:sz w:val="17"/>
                <w:szCs w:val="17"/>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29,092</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7132320" cy="1282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282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282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290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57"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 w:firstLine="764"/>
        <w:spacing w:after="0" w:line="245" w:lineRule="auto"/>
        <w:rPr>
          <w:sz w:val="20"/>
          <w:szCs w:val="20"/>
          <w:color w:val="auto"/>
        </w:rPr>
      </w:pPr>
      <w:r>
        <w:rPr>
          <w:rFonts w:ascii="Arial" w:cs="Arial" w:eastAsia="Arial" w:hAnsi="Arial"/>
          <w:sz w:val="18"/>
          <w:szCs w:val="18"/>
          <w:color w:val="auto"/>
        </w:rPr>
        <w:t>SG&amp;A expenses increased $29.1 million, or 23.5%, from $123.9 million for the three months ended June 30, 2021 to $153.0 million for the three months ended June 30, 2022. The increase was primarily due to:</w:t>
      </w:r>
    </w:p>
    <w:p>
      <w:pPr>
        <w:spacing w:after="0" w:line="184" w:lineRule="exact"/>
        <w:rPr>
          <w:sz w:val="20"/>
          <w:szCs w:val="20"/>
          <w:color w:val="auto"/>
        </w:rPr>
      </w:pPr>
    </w:p>
    <w:p>
      <w:pPr>
        <w:ind w:left="1140" w:right="60" w:hanging="371"/>
        <w:spacing w:after="0" w:line="23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$17.1 million increase in compensation and benefits, primarily as a result of an increase in salaries and $4.6 million in severance costs. Despite the workforce reduction as part of our Realignment Plan, overall headcount increased compared to the same period of the prior year. These increases were partially offset by a decrease in variable fees for third-party sales as a result of a decrease in units sold;</w:t>
      </w:r>
    </w:p>
    <w:p>
      <w:pPr>
        <w:spacing w:after="0" w:line="190" w:lineRule="exact"/>
        <w:rPr>
          <w:rFonts w:ascii="Arial" w:cs="Arial" w:eastAsia="Arial" w:hAnsi="Arial"/>
          <w:sz w:val="18"/>
          <w:szCs w:val="18"/>
          <w:color w:val="auto"/>
        </w:rPr>
      </w:pPr>
    </w:p>
    <w:p>
      <w:pPr>
        <w:ind w:left="1140" w:hanging="37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$4.5 million increase in software and IT costs primarily related to volume-based fees as a result of increased headcount;</w:t>
      </w:r>
    </w:p>
    <w:p>
      <w:pPr>
        <w:spacing w:after="0" w:line="197" w:lineRule="exact"/>
        <w:rPr>
          <w:rFonts w:ascii="Arial" w:cs="Arial" w:eastAsia="Arial" w:hAnsi="Arial"/>
          <w:sz w:val="18"/>
          <w:szCs w:val="18"/>
          <w:color w:val="auto"/>
        </w:rPr>
      </w:pPr>
    </w:p>
    <w:p>
      <w:pPr>
        <w:ind w:left="1140" w:right="400" w:hanging="371"/>
        <w:spacing w:after="0" w:line="245"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$2.6 million increase in professional fees primarily related to increased legal fees related to ongoing legal and regulatory matters; and</w:t>
      </w:r>
    </w:p>
    <w:p>
      <w:pPr>
        <w:spacing w:after="0" w:line="184" w:lineRule="exact"/>
        <w:rPr>
          <w:rFonts w:ascii="Arial" w:cs="Arial" w:eastAsia="Arial" w:hAnsi="Arial"/>
          <w:sz w:val="18"/>
          <w:szCs w:val="18"/>
          <w:color w:val="auto"/>
        </w:rPr>
      </w:pPr>
    </w:p>
    <w:p>
      <w:pPr>
        <w:ind w:left="1140" w:right="100" w:hanging="371"/>
        <w:spacing w:after="0" w:line="23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$17.6 million increase in other SG&amp;A expenses primarily due to operational challenges created by our rapid growth over the past two years which resulted in approximately $8.3 million of additional costs incurred, including legal settlements and rental car expenses. We regard these situational costs as non-recurring and expect them to decline significantly as we resolve the challenges that arose prior to the implementation of our digital title vault, continue to streamline and automate our titling and registration process, and implement other improvements to our transaction processing.</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above increases were partially offset by:</w:t>
      </w:r>
    </w:p>
    <w:p>
      <w:pPr>
        <w:spacing w:after="0" w:line="198" w:lineRule="exact"/>
        <w:rPr>
          <w:sz w:val="20"/>
          <w:szCs w:val="20"/>
          <w:color w:val="auto"/>
        </w:rPr>
      </w:pPr>
    </w:p>
    <w:p>
      <w:pPr>
        <w:ind w:left="114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$11.9 million decrease in outbound logistics costs attributable to the decrease in ecommerce units sold; and</w:t>
      </w:r>
    </w:p>
    <w:p>
      <w:pPr>
        <w:spacing w:after="0" w:line="197" w:lineRule="exact"/>
        <w:rPr>
          <w:rFonts w:ascii="Arial" w:cs="Arial" w:eastAsia="Arial" w:hAnsi="Arial"/>
          <w:sz w:val="18"/>
          <w:szCs w:val="18"/>
          <w:color w:val="auto"/>
        </w:rPr>
      </w:pPr>
    </w:p>
    <w:p>
      <w:pPr>
        <w:ind w:left="114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$2.4 million decrease in marketing expense as a result of our Realignment Plan</w:t>
      </w:r>
    </w:p>
    <w:p>
      <w:pPr>
        <w:spacing w:after="0" w:line="198"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SG&amp;A expenses sequentially decreased $ 35.0 million from $188.0 million in the first quarter of 2022 to $153.0 million in the second quarter of 2022, primarily related to an $18.5 million decrease in outbound logistics costs due to the decrease in ecommerce units sold, a $12.6 million decrease in marketing expenses, and a $5.6 million decrease in compensation and benefits as a result of our Realignment Plan. These decreases were partially offset by an increase in other SG&amp;A expenses primarily due to operational challenges created by our rapid growth over the past two years which resulted in approximately $8.3 million of additional costs incurred, including legal settlements and rental car expenses. We regard these situational costs as non-recurring and expect them to decline significantly as we resolve the challenges that arose prior to the implementation of our digital title vault, continue to streamline and automate our titling and registration process, and implement other improvements to our transaction processing.</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expect SG&amp;A expenses to decrease in the future driven by reductions in both fixed and variable cost components primarily as a result of our Realignment Plan. Specifically, we expect to reduce SG&amp;A expenses by reducing marketing expense by focusing on highest-ROI channels while aligning with volume trajectory, a workforce reduction, further regionalizing our business and operations, eliminating certain physical office locations and further improving and automating key aspects of sales operations. These cost reductions are expected to be partially offset by increases in SG&amp;A expenses as we continue to integrate and invest in UACC, invest in and improve our customer experience, and continue expanding our proprietary logistics and reconditioning hybrid networks.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Depreciation and amortization expenses increased $6.9 million, or 228.3%, from $3.1 million for the three months ended June 30, 2021 to $10.0 million for the three months ended June 30, 2022. The increase was primarily due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color w:val="auto"/>
        </w:rPr>
        <w:t>amortization expense of intangible assets acquired as part of the UACC Acquisition and depreciation of short-haul and line-haul vehicles acquired for our proprietary logistics network.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360" w:firstLine="761"/>
        <w:spacing w:after="0" w:line="245" w:lineRule="auto"/>
        <w:rPr>
          <w:sz w:val="20"/>
          <w:szCs w:val="20"/>
          <w:color w:val="auto"/>
        </w:rPr>
      </w:pPr>
      <w:r>
        <w:rPr>
          <w:rFonts w:ascii="Arial" w:cs="Arial" w:eastAsia="Arial" w:hAnsi="Arial"/>
          <w:sz w:val="18"/>
          <w:szCs w:val="18"/>
          <w:color w:val="auto"/>
        </w:rPr>
        <w:t>Impairment charges represent lease impairment charges of $3.4 million in the second quarter of 2022, related to closing physical office locations and Sell Us Your Car® centers as part of the Realignment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Interest expense increased $5.6 million, or 145.7%, from $3.9 million for the three months ended June 30, 2021 to $9.5 million for the three months ended June 30, 2022. The increase was primarily attributable to a higher outstanding balance of the 2020 Vehicle Floorplan Facility, which increased interest expense $2.6 million, interest expense incurred on the Notes, which increased interest expense $1.7 million, and interest expense incurred on the Warehouse Credit Facilities, which increased interest expense $1.3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200" w:firstLine="761"/>
        <w:spacing w:after="0"/>
        <w:rPr>
          <w:sz w:val="20"/>
          <w:szCs w:val="20"/>
          <w:color w:val="auto"/>
        </w:rPr>
      </w:pPr>
      <w:r>
        <w:rPr>
          <w:rFonts w:ascii="Arial" w:cs="Arial" w:eastAsia="Arial" w:hAnsi="Arial"/>
          <w:sz w:val="18"/>
          <w:szCs w:val="18"/>
          <w:color w:val="auto"/>
        </w:rPr>
        <w:t>Interest income increased $1.8 million, or 90.8%, from $2.1 million for the three months ended June 30, 2021 to $3.9 million for the three months ended June 30, 2022. The increase in interest income was primarily driven by higher interest credits earned by the Company related to the 2020 Vehicle Floorplan.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340" w:firstLine="764"/>
        <w:spacing w:after="0" w:line="245" w:lineRule="auto"/>
        <w:rPr>
          <w:sz w:val="20"/>
          <w:szCs w:val="20"/>
          <w:color w:val="auto"/>
        </w:rPr>
      </w:pPr>
      <w:r>
        <w:rPr>
          <w:rFonts w:ascii="Arial" w:cs="Arial" w:eastAsia="Arial" w:hAnsi="Arial"/>
          <w:sz w:val="18"/>
          <w:szCs w:val="18"/>
          <w:color w:val="auto"/>
        </w:rPr>
        <w:t>Other loss (income) increased to $ 9.2 million for the three months ended June 30, 2022. The increase in other loss (income) was primarily driven by an unrealized loss on the fair value of finance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40" w:type="dxa"/>
            <w:vAlign w:val="bottom"/>
            <w:vMerge w:val="restart"/>
          </w:tcPr>
          <w:p>
            <w:pPr>
              <w:spacing w:after="0"/>
              <w:rPr>
                <w:sz w:val="16"/>
                <w:szCs w:val="16"/>
                <w:color w:val="auto"/>
              </w:rPr>
            </w:pPr>
          </w:p>
        </w:tc>
        <w:tc>
          <w:tcPr>
            <w:tcW w:w="12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gridSpan w:val="4"/>
          </w:tcPr>
          <w:p>
            <w:pPr>
              <w:jc w:val="center"/>
              <w:ind w:right="232"/>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data and average days to sale)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Ecommerce units sold</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28,706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33,772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(5,066 )</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Ecommerce revenue: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Vehicle revenue</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960,747</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967,324</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(6,577 )</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3" w:lineRule="exact"/>
              <w:rPr>
                <w:sz w:val="20"/>
                <w:szCs w:val="20"/>
                <w:color w:val="auto"/>
              </w:rPr>
            </w:pPr>
            <w:r>
              <w:rPr>
                <w:rFonts w:ascii="Arial" w:cs="Arial" w:eastAsia="Arial" w:hAnsi="Arial"/>
                <w:sz w:val="18"/>
                <w:szCs w:val="18"/>
                <w:color w:val="auto"/>
              </w:rPr>
              <w:t>Product revenue</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36,248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34,647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1,601</w:t>
            </w:r>
          </w:p>
        </w:tc>
        <w:tc>
          <w:tcPr>
            <w:tcW w:w="240" w:type="dxa"/>
            <w:vAlign w:val="bottom"/>
          </w:tcPr>
          <w:p>
            <w:pPr>
              <w:spacing w:after="0"/>
              <w:rPr>
                <w:sz w:val="17"/>
                <w:szCs w:val="17"/>
                <w:color w:val="auto"/>
              </w:rPr>
            </w:pP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line="195" w:lineRule="exact"/>
              <w:rPr>
                <w:sz w:val="20"/>
                <w:szCs w:val="20"/>
                <w:color w:val="auto"/>
              </w:rPr>
            </w:pPr>
            <w:r>
              <w:rPr>
                <w:rFonts w:ascii="Arial" w:cs="Arial" w:eastAsia="Arial" w:hAnsi="Arial"/>
                <w:sz w:val="18"/>
                <w:szCs w:val="18"/>
                <w:color w:val="auto"/>
              </w:rPr>
              <w:t>Total ecommerce revenue</w:t>
            </w:r>
          </w:p>
        </w:tc>
        <w:tc>
          <w:tcPr>
            <w:tcW w:w="300" w:type="dxa"/>
            <w:vAlign w:val="bottom"/>
            <w:tcBorders>
              <w:top w:val="single" w:sz="8" w:color="auto"/>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996,995</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1,001,971</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(4,976</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(0.5</w:t>
            </w:r>
          </w:p>
        </w:tc>
        <w:tc>
          <w:tcPr>
            <w:tcW w:w="200" w:type="dxa"/>
            <w:vAlign w:val="bottom"/>
            <w:gridSpan w:val="2"/>
          </w:tcPr>
          <w:p>
            <w:pPr>
              <w:spacing w:after="0" w:line="195"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31,580</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46,828</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(15,248 )</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3" w:lineRule="exact"/>
              <w:rPr>
                <w:sz w:val="20"/>
                <w:szCs w:val="20"/>
                <w:color w:val="auto"/>
              </w:rPr>
            </w:pPr>
            <w:r>
              <w:rPr>
                <w:rFonts w:ascii="Arial" w:cs="Arial" w:eastAsia="Arial" w:hAnsi="Arial"/>
                <w:sz w:val="18"/>
                <w:szCs w:val="18"/>
                <w:color w:val="auto"/>
              </w:rPr>
              <w:t>Product gross profit</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36,248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34,647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1,601</w:t>
            </w:r>
          </w:p>
        </w:tc>
        <w:tc>
          <w:tcPr>
            <w:tcW w:w="240" w:type="dxa"/>
            <w:vAlign w:val="bottom"/>
          </w:tcPr>
          <w:p>
            <w:pPr>
              <w:spacing w:after="0"/>
              <w:rPr>
                <w:sz w:val="17"/>
                <w:szCs w:val="17"/>
                <w:color w:val="auto"/>
              </w:rPr>
            </w:pP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line="195" w:lineRule="exact"/>
              <w:rPr>
                <w:sz w:val="20"/>
                <w:szCs w:val="20"/>
                <w:color w:val="auto"/>
              </w:rPr>
            </w:pPr>
            <w:r>
              <w:rPr>
                <w:rFonts w:ascii="Arial" w:cs="Arial" w:eastAsia="Arial" w:hAnsi="Arial"/>
                <w:sz w:val="18"/>
                <w:szCs w:val="18"/>
                <w:color w:val="auto"/>
              </w:rPr>
              <w:t>Total ecommerce gross profit</w:t>
            </w:r>
          </w:p>
        </w:tc>
        <w:tc>
          <w:tcPr>
            <w:tcW w:w="300" w:type="dxa"/>
            <w:vAlign w:val="bottom"/>
            <w:tcBorders>
              <w:top w:val="single" w:sz="8" w:color="auto"/>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67,828</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81,475</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(13,647</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(16.7</w:t>
            </w:r>
          </w:p>
        </w:tc>
        <w:tc>
          <w:tcPr>
            <w:tcW w:w="200" w:type="dxa"/>
            <w:vAlign w:val="bottom"/>
            <w:gridSpan w:val="2"/>
          </w:tcPr>
          <w:p>
            <w:pPr>
              <w:spacing w:after="0" w:line="195"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vMerge w:val="continue"/>
          </w:tcPr>
          <w:p>
            <w:pPr>
              <w:spacing w:after="0"/>
              <w:rPr>
                <w:sz w:val="15"/>
                <w:szCs w:val="15"/>
                <w:color w:val="auto"/>
              </w:rPr>
            </w:pP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33,469</w:t>
            </w:r>
          </w:p>
        </w:tc>
        <w:tc>
          <w:tcPr>
            <w:tcW w:w="58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28,643</w:t>
            </w:r>
          </w:p>
        </w:tc>
        <w:tc>
          <w:tcPr>
            <w:tcW w:w="4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4,826</w:t>
            </w:r>
          </w:p>
        </w:tc>
        <w:tc>
          <w:tcPr>
            <w:tcW w:w="240" w:type="dxa"/>
            <w:vAlign w:val="bottom"/>
          </w:tcPr>
          <w:p>
            <w:pPr>
              <w:spacing w:after="0"/>
              <w:rPr>
                <w:sz w:val="15"/>
                <w:szCs w:val="15"/>
                <w:color w:val="auto"/>
              </w:rPr>
            </w:pPr>
          </w:p>
        </w:tc>
        <w:tc>
          <w:tcPr>
            <w:tcW w:w="140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2"/>
        </w:trPr>
        <w:tc>
          <w:tcPr>
            <w:tcW w:w="5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per ecommerce unit:</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60" w:type="dxa"/>
            <w:vAlign w:val="bottom"/>
          </w:tcPr>
          <w:p>
            <w:pPr>
              <w:ind w:left="20"/>
              <w:spacing w:after="0" w:line="201" w:lineRule="exact"/>
              <w:rPr>
                <w:sz w:val="20"/>
                <w:szCs w:val="20"/>
                <w:color w:val="auto"/>
              </w:rPr>
            </w:pPr>
            <w:r>
              <w:rPr>
                <w:rFonts w:ascii="Arial" w:cs="Arial" w:eastAsia="Arial" w:hAnsi="Arial"/>
                <w:sz w:val="18"/>
                <w:szCs w:val="18"/>
                <w:color w:val="auto"/>
              </w:rPr>
              <w:t>Vehicle gross profit per ecommerce unit</w:t>
            </w:r>
          </w:p>
        </w:tc>
        <w:tc>
          <w:tcPr>
            <w:tcW w:w="30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1,100</w:t>
            </w:r>
          </w:p>
        </w:tc>
        <w:tc>
          <w:tcPr>
            <w:tcW w:w="58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1,387</w:t>
            </w:r>
          </w:p>
        </w:tc>
        <w:tc>
          <w:tcPr>
            <w:tcW w:w="48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(287 )</w:t>
            </w:r>
          </w:p>
        </w:tc>
        <w:tc>
          <w:tcPr>
            <w:tcW w:w="14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3" w:lineRule="exact"/>
              <w:rPr>
                <w:sz w:val="20"/>
                <w:szCs w:val="20"/>
                <w:color w:val="auto"/>
              </w:rPr>
            </w:pPr>
            <w:r>
              <w:rPr>
                <w:rFonts w:ascii="Arial" w:cs="Arial" w:eastAsia="Arial" w:hAnsi="Arial"/>
                <w:sz w:val="18"/>
                <w:szCs w:val="18"/>
                <w:color w:val="auto"/>
              </w:rPr>
              <w:t>Product gross profit per ecommerce unit</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1,263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1,026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237</w:t>
            </w:r>
          </w:p>
        </w:tc>
        <w:tc>
          <w:tcPr>
            <w:tcW w:w="240" w:type="dxa"/>
            <w:vAlign w:val="bottom"/>
          </w:tcPr>
          <w:p>
            <w:pPr>
              <w:spacing w:after="0"/>
              <w:rPr>
                <w:sz w:val="17"/>
                <w:szCs w:val="17"/>
                <w:color w:val="auto"/>
              </w:rPr>
            </w:pP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30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2,363</w:t>
            </w:r>
          </w:p>
        </w:tc>
        <w:tc>
          <w:tcPr>
            <w:tcW w:w="260" w:type="dxa"/>
            <w:vAlign w:val="bottom"/>
          </w:tcPr>
          <w:p>
            <w:pPr>
              <w:spacing w:after="0"/>
              <w:rPr>
                <w:sz w:val="17"/>
                <w:szCs w:val="17"/>
                <w:color w:val="auto"/>
              </w:rPr>
            </w:pPr>
          </w:p>
        </w:tc>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2,413</w:t>
            </w:r>
          </w:p>
        </w:tc>
        <w:tc>
          <w:tcPr>
            <w:tcW w:w="220" w:type="dxa"/>
            <w:vAlign w:val="bottom"/>
          </w:tcPr>
          <w:p>
            <w:pPr>
              <w:spacing w:after="0"/>
              <w:rPr>
                <w:sz w:val="17"/>
                <w:szCs w:val="17"/>
                <w:color w:val="auto"/>
              </w:rPr>
            </w:pP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line="195" w:lineRule="exact"/>
              <w:rPr>
                <w:sz w:val="20"/>
                <w:szCs w:val="20"/>
                <w:color w:val="auto"/>
              </w:rPr>
            </w:pPr>
            <w:r>
              <w:rPr>
                <w:rFonts w:ascii="Arial" w:cs="Arial" w:eastAsia="Arial" w:hAnsi="Arial"/>
                <w:sz w:val="18"/>
                <w:szCs w:val="18"/>
                <w:color w:val="auto"/>
              </w:rPr>
              <w:t>(50 )</w:t>
            </w:r>
          </w:p>
        </w:tc>
        <w:tc>
          <w:tcPr>
            <w:tcW w:w="140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Ecommerce average days to sale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44.7</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4"/>
        </w:trPr>
        <w:tc>
          <w:tcPr>
            <w:tcW w:w="54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282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7132320" cy="1282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-1985645</wp:posOffset>
            </wp:positionV>
            <wp:extent cx="7132320" cy="410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410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2825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-898525</wp:posOffset>
            </wp:positionV>
            <wp:extent cx="7132320" cy="419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right="600" w:firstLine="761"/>
        <w:spacing w:after="0" w:line="274" w:lineRule="auto"/>
        <w:rPr>
          <w:sz w:val="20"/>
          <w:szCs w:val="20"/>
          <w:color w:val="auto"/>
        </w:rPr>
      </w:pPr>
      <w:r>
        <w:rPr>
          <w:rFonts w:ascii="Arial" w:cs="Arial" w:eastAsia="Arial" w:hAnsi="Arial"/>
          <w:sz w:val="17"/>
          <w:szCs w:val="17"/>
          <w:color w:val="auto"/>
        </w:rPr>
        <w:t>Ecommerce units sold decreased 5,066, or 15.0%, from 33,772 for the six months ended June 30, 2021 to 28,706 for the six months ended June 30, 2022. This decrease was driven by our strategic decision to prioritize unit economics over unit sales volume.</w:t>
      </w:r>
    </w:p>
    <w:p>
      <w:pPr>
        <w:spacing w:after="0" w:line="16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average days to sale increased from 76 days for the six months ended June 30, 2021 to 110 days for the six months ended June 30, 2022. We have undertaken various initiatives to address the operational challenges created by our rapid growth over the past two years. While these initiatives are designed to improve our transaction processing, enhance our customer experience, and reduce our regulatory risk, they resulted in an increase in the number of days between our acquisition of vehicles and the final delivery of such vehicles to customers. We expect Ecommerce average days to sale to improve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vehicle revenue decreased $6.6 million, or 0.7%, from $967.3 million for the six months ended June 30, 2021 to $960.7 million for the six months ended June 30, 2022. The decrease in ecommerce vehicle revenue was primarily attributable to the 5,066 decrease in ecommerce units sold, which decreased vehicle revenue by $145.1 million, partially offset by an increase in ASP per unit, which increased from $28,643 for the six months ended June 30, 2021 to $33,469 for the six months ended June 30, 2022 and increased vehicle revenue by $138.5 million.</w:t>
      </w:r>
    </w:p>
    <w:p>
      <w:pPr>
        <w:spacing w:after="0" w:line="192"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The increase in ASP per unit was primarily due to market appreciation. Although we expect ASP to fluctuate in the short-term, our long-term strategy is expected to move us toward lower-priced inventory, which would result in a lower ASP. Furthermore, the UACC Acquisition will begin to enable us to expand our automotive financing solutions across the credit spectrum, and we expect to increase our offering of lower-price-point vehicles to take advantage of those capabilities.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Ecommerce product revenue decreased $ 1.6 million, or 4.6%, from $34.6 million for six months ended June 30, 2021 to $36.2 million for the six months ended June 30, 2022 The increase in ecommerce product revenue was primarily attributable to a $237 increase in product revenue per unit, which increased product revenue by $ 6.8 million and was partially offset by the 5,066 increase in ecommerce units sold, which decreased product revenue by $5.2 million. Product revenue per unit increased from $1,026 for the six months ended June 30, 2021 to $1,263 for the six months ended June 30, 2022, primarily due to interest income earned on finance receivables from Vroom customers originated by UACC and higher attachment rates and an increase in the average loan size as a result of higher ASP. While in the long term we expect ecommerce product revenue will grow driven by the captive financing offered by UACC, the introduction of new value-added products and increased attachment rates, in the short term the growth will be partially impacted by our strategic decision to reduce ecommerce units sales as discussed above.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right="180" w:firstLine="761"/>
        <w:spacing w:after="0" w:line="236" w:lineRule="auto"/>
        <w:rPr>
          <w:sz w:val="20"/>
          <w:szCs w:val="20"/>
          <w:color w:val="auto"/>
        </w:rPr>
      </w:pPr>
      <w:r>
        <w:rPr>
          <w:rFonts w:ascii="Arial" w:cs="Arial" w:eastAsia="Arial" w:hAnsi="Arial"/>
          <w:sz w:val="18"/>
          <w:szCs w:val="18"/>
          <w:color w:val="auto"/>
        </w:rPr>
        <w:t>Ecommerce vehicle gross profit decreased $ 15.2 million, or 32.6%, from $46.8 million for the six months ended June 30, 2021 to $31.6 million for the six months ended June 30, 2022. The decrease in vehicle gross profit was primarily attributable to a $287 decrease in vehicle gross profit per unit, which decreased vehicle gross profit by $ 8.2 million and by the 5,066 decrease in ecommerce units sold, which decreased vehicle gross profit by $7.0 million. Vehicle gross profit per unit decreased from $1,387 for the six months ended June 30, 2021 to $1,100 for the six months ended June 30, 2022, primarily driven by lower sales margins as a result of higher depreciation on less fuel efficient vehicles and higher reconditioning costs related to an increased mix of higher mileage vehicles along with significant parts inflation, partially offset by a lower inventory reserve as a result of a decrease in inventory levels.</w:t>
      </w:r>
    </w:p>
    <w:p>
      <w:pPr>
        <w:spacing w:after="0" w:line="193"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As we continue to mature our infrastructure and increase and optimize our hybrid network of VRCs, we expect ecommerce vehicle gross profit per unit to increase in the future driven by reduced costs across acquisitions, logistics and reconditioning.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160" w:firstLine="761"/>
        <w:spacing w:after="0" w:line="236" w:lineRule="auto"/>
        <w:rPr>
          <w:sz w:val="20"/>
          <w:szCs w:val="20"/>
          <w:color w:val="auto"/>
        </w:rPr>
      </w:pPr>
      <w:r>
        <w:rPr>
          <w:rFonts w:ascii="Arial" w:cs="Arial" w:eastAsia="Arial" w:hAnsi="Arial"/>
          <w:sz w:val="18"/>
          <w:szCs w:val="18"/>
          <w:color w:val="auto"/>
        </w:rPr>
        <w:t>Ecommerce product gross increased $1.6 million, or 4.6%, from $34.6 million for six months ended June 30, 2021 to $36.2 million for the six months ended June 30, 2022. The increase in ecommerce product gross was primarily attributable to a $237 increase in product gross profit per unit, which increased product gross profit by $6.8 million and was partially offset by the 5,066 increase in ecommerce units sold, which decreased product gross profit by $5.2 million. Product gross profit per unit increased from $1,026 for the six months ended June 30, 2021 to $1,263 for the six months ended June 30, 2022, primarily due to interest income earned on finance receivables from Vroom customers originated by UACC and higher attachment rates and an increase in the average loan size as a result of higher ASP. While in the long term we expect ecommerce product gross profit will grow driven by the captive financing offered by UACC, the introduction of new value-added products and increased attachment rates, in the short term the growth will be partially impacted by our strategic decision to reduce ecommerce units sales as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240" w:type="dxa"/>
            <w:vAlign w:val="bottom"/>
            <w:vMerge w:val="restart"/>
          </w:tcPr>
          <w:p>
            <w:pPr>
              <w:spacing w:after="0"/>
              <w:rPr>
                <w:sz w:val="16"/>
                <w:szCs w:val="16"/>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except unit data)</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Wholesale units sold</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15,980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18,661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(2,681 )</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Wholesale 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222,885</w:t>
            </w:r>
          </w:p>
        </w:tc>
        <w:tc>
          <w:tcPr>
            <w:tcW w:w="2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246,132</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(23,247 )</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Wholesale gross (loss) profit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(4,686 )</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8,234</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(12,920 )</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(156.9 )%</w:t>
            </w: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Average selling price per unit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13,948</w:t>
            </w:r>
          </w:p>
        </w:tc>
        <w:tc>
          <w:tcPr>
            <w:tcW w:w="2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13,190</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758</w:t>
            </w:r>
          </w:p>
        </w:tc>
        <w:tc>
          <w:tcPr>
            <w:tcW w:w="2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3" w:lineRule="exact"/>
              <w:rPr>
                <w:sz w:val="20"/>
                <w:szCs w:val="20"/>
                <w:color w:val="auto"/>
              </w:rPr>
            </w:pPr>
            <w:r>
              <w:rPr>
                <w:rFonts w:ascii="Arial" w:cs="Arial" w:eastAsia="Arial" w:hAnsi="Arial"/>
                <w:sz w:val="18"/>
                <w:szCs w:val="18"/>
                <w:color w:val="auto"/>
              </w:rPr>
              <w:t>Wholesale gross (loss) profit per unit</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(293 )</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441</w:t>
            </w:r>
          </w:p>
        </w:tc>
        <w:tc>
          <w:tcPr>
            <w:tcW w:w="5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(734 )</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1282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282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2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0" w:lineRule="exact"/>
        <w:rPr>
          <w:sz w:val="20"/>
          <w:szCs w:val="20"/>
          <w:color w:val="auto"/>
        </w:rPr>
      </w:pPr>
    </w:p>
    <w:p>
      <w:pPr>
        <w:jc w:val="both"/>
        <w:ind w:right="180" w:firstLine="761"/>
        <w:spacing w:after="0"/>
        <w:rPr>
          <w:sz w:val="20"/>
          <w:szCs w:val="20"/>
          <w:color w:val="auto"/>
        </w:rPr>
      </w:pPr>
      <w:r>
        <w:rPr>
          <w:rFonts w:ascii="Arial" w:cs="Arial" w:eastAsia="Arial" w:hAnsi="Arial"/>
          <w:sz w:val="18"/>
          <w:szCs w:val="18"/>
          <w:color w:val="auto"/>
        </w:rPr>
        <w:t>Wholesale units sold decreased 2,681, or 14.4%, from 18,661 for the six months ended June 30, 2021 to 15,980 for the six months ended June 30, 2022, primarily driven by a decrease in wholesale units purchased from consumers and a lower number of trade-in vehicles associated with the decrease in the number of ecommerce units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Wholesale revenue decreased $23.2 million, or 9.4%, from $246.1 million for the six months ended June 30, 2021 to $222.9 million for the six months ended June 30, 2022. The decrease was primarily attributable to the 2,681 decrease in wholesale units sold, which decreased wholesale revenue by $35.4 million, partially offset by a slightly higher ASP per wholesale unit, which increased wholesale revenue by $12.2 million.</w:t>
      </w: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 Profit</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Wholesale gross profit of $8.2 million for the six months ended June 30, 2021 decreased to a gross loss of $4.7 million for the six months ended June 30, 2022. The decrease was primarily attributable to a $734 decrease in wholesale gross loss per unit primarily driven by lower sales margins. In the first half of 2021 there was significant appreciation in the wholesale market, which positively impacted sales margins.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left="342"/>
              <w:spacing w:after="0"/>
              <w:rPr>
                <w:sz w:val="20"/>
                <w:szCs w:val="20"/>
                <w:color w:val="auto"/>
              </w:rPr>
            </w:pPr>
            <w:r>
              <w:rPr>
                <w:rFonts w:ascii="Arial" w:cs="Arial" w:eastAsia="Arial" w:hAnsi="Arial"/>
                <w:sz w:val="14"/>
                <w:szCs w:val="14"/>
                <w:b w:val="1"/>
                <w:bCs w:val="1"/>
                <w:color w:val="auto"/>
              </w:rPr>
              <w:t>(in</w:t>
            </w:r>
          </w:p>
        </w:tc>
        <w:tc>
          <w:tcPr>
            <w:tcW w:w="118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w w:val="82"/>
              </w:rPr>
              <w:t>thousands)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 revenue</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center"/>
              <w:ind w:left="302"/>
              <w:spacing w:after="0" w:line="202" w:lineRule="exact"/>
              <w:rPr>
                <w:sz w:val="20"/>
                <w:szCs w:val="20"/>
                <w:color w:val="auto"/>
              </w:rPr>
            </w:pPr>
            <w:r>
              <w:rPr>
                <w:rFonts w:ascii="Arial" w:cs="Arial" w:eastAsia="Arial" w:hAnsi="Arial"/>
                <w:sz w:val="18"/>
                <w:szCs w:val="18"/>
                <w:color w:val="auto"/>
                <w:w w:val="98"/>
              </w:rPr>
              <w:t>79,808</w:t>
            </w:r>
          </w:p>
        </w:tc>
        <w:tc>
          <w:tcPr>
            <w:tcW w:w="1180" w:type="dxa"/>
            <w:vAlign w:val="bottom"/>
            <w:gridSpan w:val="2"/>
          </w:tcPr>
          <w:p>
            <w:pPr>
              <w:jc w:val="center"/>
              <w:ind w:right="488"/>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79,808</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546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302"/>
              <w:spacing w:after="0"/>
              <w:rPr>
                <w:sz w:val="20"/>
                <w:szCs w:val="20"/>
                <w:color w:val="auto"/>
              </w:rPr>
            </w:pPr>
            <w:r>
              <w:rPr>
                <w:rFonts w:ascii="Arial" w:cs="Arial" w:eastAsia="Arial" w:hAnsi="Arial"/>
                <w:sz w:val="18"/>
                <w:szCs w:val="18"/>
                <w:color w:val="auto"/>
                <w:w w:val="98"/>
              </w:rPr>
              <w:t>73,682</w:t>
            </w:r>
          </w:p>
        </w:tc>
        <w:tc>
          <w:tcPr>
            <w:tcW w:w="1180" w:type="dxa"/>
            <w:vAlign w:val="bottom"/>
            <w:gridSpan w:val="2"/>
          </w:tcPr>
          <w:p>
            <w:pPr>
              <w:jc w:val="center"/>
              <w:ind w:right="488"/>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73,682</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282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20" w:lineRule="exact"/>
        <w:rPr>
          <w:sz w:val="20"/>
          <w:szCs w:val="20"/>
          <w:color w:val="auto"/>
        </w:rPr>
      </w:pPr>
    </w:p>
    <w:p>
      <w:pPr>
        <w:ind w:right="340" w:firstLine="764"/>
        <w:spacing w:after="0"/>
        <w:rPr>
          <w:sz w:val="20"/>
          <w:szCs w:val="20"/>
          <w:color w:val="auto"/>
        </w:rPr>
      </w:pPr>
      <w:r>
        <w:rPr>
          <w:rFonts w:ascii="Arial" w:cs="Arial" w:eastAsia="Arial" w:hAnsi="Arial"/>
          <w:sz w:val="18"/>
          <w:szCs w:val="18"/>
          <w:color w:val="auto"/>
        </w:rPr>
        <w:t>Retail Financing revenue was $79.8 million for the three months ended June 30, 2022 and primarily included interest income of $42.2 million earned on finance receivables with third-party dealership customers, a gain on sale of $29.6 million on the United Auto Credit 2022-1 securitization transaction and servicing income of $5.8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20" w:lineRule="exact"/>
        <w:rPr>
          <w:sz w:val="20"/>
          <w:szCs w:val="20"/>
          <w:color w:val="auto"/>
        </w:rPr>
      </w:pPr>
    </w:p>
    <w:p>
      <w:pPr>
        <w:ind w:right="240" w:firstLine="764"/>
        <w:spacing w:after="0" w:line="238" w:lineRule="auto"/>
        <w:rPr>
          <w:sz w:val="20"/>
          <w:szCs w:val="20"/>
          <w:color w:val="auto"/>
        </w:rPr>
      </w:pPr>
      <w:r>
        <w:rPr>
          <w:rFonts w:ascii="Arial" w:cs="Arial" w:eastAsia="Arial" w:hAnsi="Arial"/>
          <w:sz w:val="18"/>
          <w:szCs w:val="18"/>
          <w:color w:val="auto"/>
        </w:rPr>
        <w:t>Retail Financing gross profit was $73.7 million for the three months ended June 30, 2022 and primarily included interest income of $42.2 million earned on finance receivables with third-party dealership customers, a gain on sale of $29.6 million on the United Auto Credit 2022-1 securitization transaction and servicing income of $5.8 million, partially offset by collection expenses of $ 3.1 million related to servicing finance receivables originated by UACC and interest expense of $2.0 million incurred on securitization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6"/>
                <w:szCs w:val="16"/>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143,416</w:t>
            </w:r>
          </w:p>
        </w:tc>
        <w:tc>
          <w:tcPr>
            <w:tcW w:w="7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91,681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51,735</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56.4 %</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line="175" w:lineRule="exact"/>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8"/>
                <w:szCs w:val="18"/>
                <w:color w:val="auto"/>
              </w:rPr>
              <w:t>54,874</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8"/>
                <w:szCs w:val="18"/>
                <w:color w:val="auto"/>
              </w:rPr>
              <w:t>53,053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Arial" w:cs="Arial" w:eastAsia="Arial" w:hAnsi="Arial"/>
                <w:sz w:val="18"/>
                <w:szCs w:val="18"/>
                <w:color w:val="auto"/>
              </w:rPr>
              <w:t>1,821</w:t>
            </w:r>
          </w:p>
        </w:tc>
        <w:tc>
          <w:tcPr>
            <w:tcW w:w="220" w:type="dxa"/>
            <w:vAlign w:val="bottom"/>
          </w:tcPr>
          <w:p>
            <w:pPr>
              <w:spacing w:after="0"/>
              <w:rPr>
                <w:sz w:val="15"/>
                <w:szCs w:val="15"/>
                <w:color w:val="auto"/>
              </w:rPr>
            </w:pPr>
          </w:p>
        </w:tc>
        <w:tc>
          <w:tcPr>
            <w:tcW w:w="1300" w:type="dxa"/>
            <w:vAlign w:val="bottom"/>
            <w:gridSpan w:val="2"/>
          </w:tcPr>
          <w:p>
            <w:pPr>
              <w:jc w:val="right"/>
              <w:ind w:right="40"/>
              <w:spacing w:after="0" w:line="175"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34,980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(291 )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11,367</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3,403</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20,126</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11,869</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143.7 %</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22,129</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12,135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9,994</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82.4 %</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54,092</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24,403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29,689</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121.7 %</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3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340,984</w:t>
            </w:r>
          </w:p>
        </w:tc>
        <w:tc>
          <w:tcPr>
            <w:tcW w:w="260" w:type="dxa"/>
            <w:vAlign w:val="bottom"/>
          </w:tcPr>
          <w:p>
            <w:pPr>
              <w:spacing w:after="0"/>
              <w:rPr>
                <w:sz w:val="17"/>
                <w:szCs w:val="17"/>
                <w:color w:val="auto"/>
              </w:rPr>
            </w:pPr>
          </w:p>
        </w:tc>
        <w:tc>
          <w:tcPr>
            <w:tcW w:w="500" w:type="dxa"/>
            <w:vAlign w:val="bottom"/>
          </w:tcPr>
          <w:p>
            <w:pPr>
              <w:jc w:val="right"/>
              <w:ind w:right="29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232,764</w:t>
            </w:r>
          </w:p>
        </w:tc>
        <w:tc>
          <w:tcPr>
            <w:tcW w:w="240" w:type="dxa"/>
            <w:vAlign w:val="bottom"/>
          </w:tcPr>
          <w:p>
            <w:pPr>
              <w:spacing w:after="0"/>
              <w:rPr>
                <w:sz w:val="17"/>
                <w:szCs w:val="17"/>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108,220</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7132320" cy="1282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282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282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57"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75" w:lineRule="exact"/>
        <w:rPr>
          <w:sz w:val="20"/>
          <w:szCs w:val="20"/>
          <w:color w:val="auto"/>
        </w:rPr>
      </w:pPr>
    </w:p>
    <w:p>
      <w:pPr>
        <w:ind w:right="260" w:firstLine="764"/>
        <w:spacing w:after="0" w:line="245" w:lineRule="auto"/>
        <w:rPr>
          <w:sz w:val="20"/>
          <w:szCs w:val="20"/>
          <w:color w:val="auto"/>
        </w:rPr>
      </w:pPr>
      <w:r>
        <w:rPr>
          <w:rFonts w:ascii="Arial" w:cs="Arial" w:eastAsia="Arial" w:hAnsi="Arial"/>
          <w:sz w:val="18"/>
          <w:szCs w:val="18"/>
          <w:color w:val="auto"/>
        </w:rPr>
        <w:t>SG&amp;A expenses increased $108.2 million, or 46.5%, from $232.8 million for the six months ended June 30, 2021 to $341.0 million for the six months ended June 30, 2022. The increase was primarily due to:</w:t>
      </w:r>
    </w:p>
    <w:p>
      <w:pPr>
        <w:spacing w:after="0" w:line="184" w:lineRule="exact"/>
        <w:rPr>
          <w:sz w:val="20"/>
          <w:szCs w:val="20"/>
          <w:color w:val="auto"/>
        </w:rPr>
      </w:pPr>
    </w:p>
    <w:p>
      <w:pPr>
        <w:ind w:left="1140" w:right="30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$51.7 million increase in compensation and benefits primarily as a result of an increase in salaries and $4.6 million in severance costs. Despite the workforce reduction as part of our Realignment Plan, overall headcount increased compared to the same period of the prior year;</w:t>
      </w:r>
    </w:p>
    <w:p>
      <w:pPr>
        <w:spacing w:after="0" w:line="188" w:lineRule="exact"/>
        <w:rPr>
          <w:rFonts w:ascii="Arial" w:cs="Arial" w:eastAsia="Arial" w:hAnsi="Arial"/>
          <w:sz w:val="18"/>
          <w:szCs w:val="18"/>
          <w:color w:val="auto"/>
        </w:rPr>
      </w:pPr>
    </w:p>
    <w:p>
      <w:pPr>
        <w:ind w:left="1140" w:right="160" w:hanging="371"/>
        <w:spacing w:after="0" w:line="245"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$11.9 million increase in professional fees primarily related to costs incurred in connection with the UACC Acquisition as well as increased legal fees related to ongoing legal and regulatory matters;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9" w:lineRule="exact"/>
        <w:rPr>
          <w:sz w:val="20"/>
          <w:szCs w:val="20"/>
          <w:color w:val="auto"/>
        </w:rPr>
      </w:pPr>
    </w:p>
    <w:p>
      <w:pPr>
        <w:ind w:left="1140" w:hanging="37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$10.0 million increase in software and IT costs primarily related to volume-based fees as a result of increased headcount;</w:t>
      </w:r>
    </w:p>
    <w:p>
      <w:pPr>
        <w:spacing w:after="0" w:line="197" w:lineRule="exact"/>
        <w:rPr>
          <w:rFonts w:ascii="Arial" w:cs="Arial" w:eastAsia="Arial" w:hAnsi="Arial"/>
          <w:sz w:val="18"/>
          <w:szCs w:val="18"/>
          <w:color w:val="auto"/>
        </w:rPr>
      </w:pPr>
    </w:p>
    <w:p>
      <w:pPr>
        <w:ind w:left="1140" w:right="20" w:hanging="371"/>
        <w:spacing w:after="0" w:line="245"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$3.4 million increase in occupancy and related costs primarily a result of rent expense related to additional hubs added in the latter half of 2021 and rent expense for UACC offices; and</w:t>
      </w:r>
    </w:p>
    <w:p>
      <w:pPr>
        <w:spacing w:after="0" w:line="184" w:lineRule="exact"/>
        <w:rPr>
          <w:rFonts w:ascii="Arial" w:cs="Arial" w:eastAsia="Arial" w:hAnsi="Arial"/>
          <w:sz w:val="18"/>
          <w:szCs w:val="18"/>
          <w:color w:val="auto"/>
        </w:rPr>
      </w:pPr>
    </w:p>
    <w:p>
      <w:pPr>
        <w:ind w:left="1140" w:right="100" w:hanging="371"/>
        <w:spacing w:after="0" w:line="23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$29.7 million increase in other SG&amp;A expenses primarily due to operational challenges created by our rapid growth over the past two years which resulted in approximately $8.3 million of additional costs incurred, including legal settlements and rental car expenses. We regard these situational costs as non-recurring and expect them to decline significantly as we resolve the challenges that arose prior to the implementation of our digital title vault, continue to streamline and automate our titling and registration process, and implement other improvements to our transaction processing.</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expect SG&amp;A expenses to decrease in the future driven by reductions in both fixed and variable cost components primarily as a result of our Realignment Plan. Specifically, we expect to reduce SG&amp;A expenses by reducing marketing expense by focusing on highest-ROI channels while aligning with volume trajectory, a workforce reduction, further regionalizing our business and operations, eliminating certain physical office locations and further improving and automating key aspects of sales operations. These cost reductions are expected to be partially offset by increases in SG&amp;A expenses as we continue to integrate and invest in UACC, invest in and improve our customer experience, and continue expanding our proprietary logistics and reconditioning hybrid networks.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right="100" w:firstLine="761"/>
        <w:spacing w:after="0" w:line="261" w:lineRule="auto"/>
        <w:rPr>
          <w:sz w:val="20"/>
          <w:szCs w:val="20"/>
          <w:color w:val="auto"/>
        </w:rPr>
      </w:pPr>
      <w:r>
        <w:rPr>
          <w:rFonts w:ascii="Arial" w:cs="Arial" w:eastAsia="Arial" w:hAnsi="Arial"/>
          <w:sz w:val="17"/>
          <w:szCs w:val="17"/>
          <w:color w:val="auto"/>
        </w:rPr>
        <w:t>Depreciation and amortization expenses increased $ 12.0 million, or 203.3%, from $5.9 million for the six months ended June 30, 2021 to $17.9 million for the six months ended June 30, 2022. The increase was primarily due to amortization expense of intangible assets acquired as part of the UACC Acquisition and depreciation of short-haul and line-haul vehicles acquired for our proprietary logistics network.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Impairment charges represent an impairment charge in the first quarter of 2022 of $201.7 million to write down the carrying amount of the goodwill to fair value and lease impairment charges of $3.4 million in the second quarter of 2022, related to closing physical office locations and Sell Us Your Car® centers as part of the Realignment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Interest expense increased $11.2 million, or 145.9%, from $7.7 million for the six months ended June 30, 2021 to $18.9 million for the six months ended June 30, 2022. The increase was primarily attributable to a higher outstanding balance of the 2020 Vehicle Floorplan Facility, which increased interest expense $5.6 million, interest expense incurred on the Notes, which increased interest expense $3.7 million, and interest expense incurred on the Warehouse Credit Facilities, which increased interest expense $1.5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Interest income increased $3.5 million, or 81.0%, from $4.4 million for the six months ended June 30, 2021 to $7.9 million for the six months ended June 30, 2022. The increase in interest income was primarily driven by higher interest credits earned by the Company related to the 2020 Vehicle Floorplan.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420" w:firstLine="764"/>
        <w:spacing w:after="0" w:line="245" w:lineRule="auto"/>
        <w:rPr>
          <w:sz w:val="20"/>
          <w:szCs w:val="20"/>
          <w:color w:val="auto"/>
        </w:rPr>
      </w:pPr>
      <w:r>
        <w:rPr>
          <w:rFonts w:ascii="Arial" w:cs="Arial" w:eastAsia="Arial" w:hAnsi="Arial"/>
          <w:sz w:val="18"/>
          <w:szCs w:val="18"/>
          <w:color w:val="auto"/>
        </w:rPr>
        <w:t>Other loss (income) increased to $ 21.5 million for the six months ended June 30, 2022. The increase in other loss (income) was primarily driven by an unrealized loss on the fair value of finance receivables.</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Quarterly Results of Operations Supplemental data</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set forth our quarterly financial information for the first and second quarter of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40" w:type="dxa"/>
            <w:vAlign w:val="bottom"/>
            <w:gridSpan w:val="6"/>
          </w:tcPr>
          <w:p>
            <w:pPr>
              <w:jc w:val="center"/>
              <w:ind w:right="21"/>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401"/>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w w:val="91"/>
              </w:rPr>
              <w:t>except unit data)</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Total revenues</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475,437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923,775</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(448,338 )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Total gross profit</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66,357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81,640</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(15,283 )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Ecommerce units sold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9,233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19,473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(10,240 )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(52.6 )%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Ecommerce revenue</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321,632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675,364</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(353,732 )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Ecommerce gross profit</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33,509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34,320</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(811 )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ecommerce unit</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595</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1,571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264.0 %</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Product gross profit per ecommerce unit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1,463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1,168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295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3,629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1,763</w:t>
            </w:r>
          </w:p>
        </w:tc>
        <w:tc>
          <w:tcPr>
            <w:tcW w:w="10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1,866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 xml:space="preserve">105.8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Wholesale units sold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5,867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10,113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(4,246 )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Wholesale revenue</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82,901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139,984</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(57,083 )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Wholesale gross loss</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(1,934 )</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(2,753 )</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Wholesale gross loss per unit</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(330 )</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(272 )</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 revenue</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32,121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47,687</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(15,566 )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 gross profit</w:t>
            </w:r>
          </w:p>
        </w:tc>
        <w:tc>
          <w:tcPr>
            <w:tcW w:w="3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28,720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44,963</w:t>
            </w:r>
          </w:p>
        </w:tc>
        <w:tc>
          <w:tcPr>
            <w:tcW w:w="10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(16,243 )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Total selling, general, and administrative expenses</w:t>
            </w:r>
          </w:p>
        </w:tc>
        <w:tc>
          <w:tcPr>
            <w:tcW w:w="360" w:type="dxa"/>
            <w:vAlign w:val="bottom"/>
            <w:gridSpan w:val="3"/>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152,990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187,994</w:t>
            </w:r>
          </w:p>
        </w:tc>
        <w:tc>
          <w:tcPr>
            <w:tcW w:w="100" w:type="dxa"/>
            <w:vAlign w:val="bottom"/>
          </w:tcPr>
          <w:p>
            <w:pPr>
              <w:spacing w:after="0"/>
              <w:rPr>
                <w:sz w:val="17"/>
                <w:szCs w:val="17"/>
                <w:color w:val="auto"/>
              </w:rPr>
            </w:pPr>
          </w:p>
        </w:tc>
        <w:tc>
          <w:tcPr>
            <w:tcW w:w="3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(35,004 )</w:t>
            </w:r>
          </w:p>
        </w:tc>
        <w:tc>
          <w:tcPr>
            <w:tcW w:w="40" w:type="dxa"/>
            <w:vAlign w:val="bottom"/>
          </w:tcPr>
          <w:p>
            <w:pPr>
              <w:spacing w:after="0"/>
              <w:rPr>
                <w:sz w:val="17"/>
                <w:szCs w:val="17"/>
                <w:color w:val="auto"/>
              </w:rPr>
            </w:pPr>
          </w:p>
        </w:tc>
        <w:tc>
          <w:tcPr>
            <w:tcW w:w="14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337"/>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181"/>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161"/>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2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jc w:val="right"/>
              <w:ind w:right="11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(115,089 )</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(310,459 )</w:t>
            </w:r>
          </w:p>
        </w:tc>
        <w:tc>
          <w:tcPr>
            <w:tcW w:w="100" w:type="dxa"/>
            <w:vAlign w:val="bottom"/>
          </w:tcPr>
          <w:p>
            <w:pPr>
              <w:spacing w:after="0"/>
              <w:rPr>
                <w:sz w:val="17"/>
                <w:szCs w:val="17"/>
                <w:color w:val="auto"/>
              </w:rPr>
            </w:pPr>
          </w:p>
        </w:tc>
        <w:tc>
          <w:tcPr>
            <w:tcW w:w="30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195,370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9,380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(3,935 )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(3,952 )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(23,240 )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23,496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101.1 %</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10,115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7,895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2,220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EBITDA</w:t>
            </w:r>
          </w:p>
        </w:tc>
        <w:tc>
          <w:tcPr>
            <w:tcW w:w="20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(99,120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(320,376</w:t>
            </w:r>
          </w:p>
        </w:tc>
        <w:tc>
          <w:tcPr>
            <w:tcW w:w="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221,256</w:t>
            </w:r>
          </w:p>
        </w:tc>
        <w:tc>
          <w:tcPr>
            <w:tcW w:w="2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69.1</w:t>
            </w:r>
          </w:p>
        </w:tc>
        <w:tc>
          <w:tcPr>
            <w:tcW w:w="2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Realignment costs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vMerge w:val="continue"/>
          </w:tcPr>
          <w:p>
            <w:pPr>
              <w:spacing w:after="0"/>
              <w:rPr>
                <w:sz w:val="15"/>
                <w:szCs w:val="15"/>
                <w:color w:val="auto"/>
              </w:rPr>
            </w:pPr>
          </w:p>
        </w:tc>
        <w:tc>
          <w:tcPr>
            <w:tcW w:w="3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9,529</w:t>
            </w:r>
          </w:p>
        </w:tc>
        <w:tc>
          <w:tcPr>
            <w:tcW w:w="80" w:type="dxa"/>
            <w:vAlign w:val="bottom"/>
          </w:tcPr>
          <w:p>
            <w:pPr>
              <w:spacing w:after="0"/>
              <w:rPr>
                <w:sz w:val="15"/>
                <w:szCs w:val="15"/>
                <w:color w:val="auto"/>
              </w:rPr>
            </w:pP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9,529</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Acquisition related costs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(5,653 )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finance receivables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(3,775 )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201,703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(201,703 )</w:t>
            </w:r>
          </w:p>
        </w:tc>
        <w:tc>
          <w:tcPr>
            <w:tcW w:w="40" w:type="dxa"/>
            <w:vAlign w:val="bottom"/>
          </w:tcPr>
          <w:p>
            <w:pPr>
              <w:spacing w:after="0"/>
              <w:rPr>
                <w:sz w:val="17"/>
                <w:szCs w:val="17"/>
                <w:color w:val="auto"/>
              </w:rPr>
            </w:pP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2,127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2,127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Adjusted EBITDA</w:t>
            </w:r>
          </w:p>
        </w:tc>
        <w:tc>
          <w:tcPr>
            <w:tcW w:w="20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(85,618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(107,399</w:t>
            </w:r>
          </w:p>
        </w:tc>
        <w:tc>
          <w:tcPr>
            <w:tcW w:w="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21,781</w:t>
            </w:r>
          </w:p>
        </w:tc>
        <w:tc>
          <w:tcPr>
            <w:tcW w:w="2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20.3</w:t>
            </w:r>
          </w:p>
        </w:tc>
        <w:tc>
          <w:tcPr>
            <w:tcW w:w="2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Securitization gain</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21"/>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(29,617 )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29,617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Adjusted EBITDA excluding securitization gain</w:t>
            </w:r>
          </w:p>
        </w:tc>
        <w:tc>
          <w:tcPr>
            <w:tcW w:w="20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(85,618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(137,016</w:t>
            </w:r>
          </w:p>
        </w:tc>
        <w:tc>
          <w:tcPr>
            <w:tcW w:w="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51,398</w:t>
            </w:r>
          </w:p>
        </w:tc>
        <w:tc>
          <w:tcPr>
            <w:tcW w:w="2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37.5</w:t>
            </w:r>
          </w:p>
        </w:tc>
        <w:tc>
          <w:tcPr>
            <w:tcW w:w="2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w w:val="99"/>
              </w:rPr>
              <w:t>68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-5136515</wp:posOffset>
            </wp:positionV>
            <wp:extent cx="7132320" cy="1282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-4879975</wp:posOffset>
            </wp:positionV>
            <wp:extent cx="7132320" cy="1282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-4622800</wp:posOffset>
            </wp:positionV>
            <wp:extent cx="7132320" cy="1282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-4366260</wp:posOffset>
            </wp:positionV>
            <wp:extent cx="7132320" cy="393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93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-3843655</wp:posOffset>
            </wp:positionV>
            <wp:extent cx="7132320" cy="1282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-3587115</wp:posOffset>
            </wp:positionV>
            <wp:extent cx="7132320" cy="1282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-3329940</wp:posOffset>
            </wp:positionV>
            <wp:extent cx="7132320" cy="1282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282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7132320" cy="1282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282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282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-1189355</wp:posOffset>
            </wp:positionV>
            <wp:extent cx="7132320" cy="1282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As of June 30, 2022, we had cash and cash equivalents of $532.6 million and restricted cash of $153.7 million. Restricted cash primarily includes cash deposits required under our 2020 Vehicle Floorplan Facility of $42.2 million, cash deposits of $77.0 million required under cash collateral agreements with certain of our lenders and restricted cash for UACC under the securitizations and warehouse credit facilities of $33.5 million. Our primary source of liquidity is cash generated through financing activities. On February 1, 2022, we completed the UACC Acquisition for a cash purchase price of approximately $315.4 million.</w:t>
      </w:r>
    </w:p>
    <w:p>
      <w:pPr>
        <w:spacing w:after="0" w:line="192" w:lineRule="exact"/>
        <w:rPr>
          <w:sz w:val="20"/>
          <w:szCs w:val="20"/>
          <w:color w:val="auto"/>
        </w:rPr>
      </w:pPr>
    </w:p>
    <w:p>
      <w:pPr>
        <w:ind w:firstLine="761"/>
        <w:spacing w:after="0" w:line="274" w:lineRule="auto"/>
        <w:rPr>
          <w:sz w:val="20"/>
          <w:szCs w:val="20"/>
          <w:color w:val="auto"/>
        </w:rPr>
      </w:pPr>
      <w:r>
        <w:rPr>
          <w:rFonts w:ascii="Arial" w:cs="Arial" w:eastAsia="Arial" w:hAnsi="Arial"/>
          <w:sz w:val="17"/>
          <w:szCs w:val="17"/>
          <w:color w:val="auto"/>
        </w:rPr>
        <w:t>We anticipate that our existing cash and cash equivalents and the 2020 Vehicle Floorplan Facility will be sufficient to support our working capital and capital expenditure requirements for at least the next twelve months from the date of this Quarterly Report on Form 10-Q.</w:t>
      </w:r>
    </w:p>
    <w:p>
      <w:pPr>
        <w:spacing w:after="0" w:line="160"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We have experienced a continued increase in our cash usage as we scaled our business. Our Realignment Plan is designed to reduce our use of cash and position us for long-term profitable growth by prioritizing unit economics, reducing operating expenses and maximizing liquidity. Once the Realignment Plan is fully executed, we expect to achieve approximately $135.0 to $165.0 million of cost reductions and operating improvements across our operations for the remainder of 2022, when compared to the first quarter annualized.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91"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Our future capital requirements will depend on many factors, including our rate of revenue growth, our efforts to reduce fixed and variable expenses, integration and investment costs for the UACC Acquisition, investment in our inventory, sales and marketing activities, and investment in our reconditioning, logistics and customer experience operations. To finance our long term growth and capital expenditures, we expect to use our cash and cash equivalents, borrowings under our 2020 Vehicle Floorplan Facility and debt and equity financing. Currently, we finance approximately 18% of our retail inventory with our cash and cash equivalents. We have no significant debt maturities due until 2026 and the payments on our securitization debt is funded by cashflows on the finance receivables within the securitization trusts.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generate sufficient revenues,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98"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and six months ended June 30, 2022, the conditions allowing holders of the Notes to convert were not met. Refer to Note 12 — Long Term Debt to our condensed consolidated financial statements included elsewhere in this Quarterly Report on Form 10-Q,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As of June 30, 2022, we finance our inventory primarily through the 2020 Vehicle Floorplan Facility with Ally Bank and Ally Financial (together, "Ally"), which provides a committed credit line of up to $700.0 million.</w:t>
      </w:r>
    </w:p>
    <w:p>
      <w:pPr>
        <w:spacing w:after="0" w:line="184" w:lineRule="exact"/>
        <w:rPr>
          <w:sz w:val="20"/>
          <w:szCs w:val="20"/>
          <w:color w:val="auto"/>
        </w:rPr>
      </w:pPr>
    </w:p>
    <w:p>
      <w:pPr>
        <w:ind w:right="700" w:firstLine="761"/>
        <w:spacing w:after="0" w:line="245"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immediately preceding months. Approximately $277.5 million was available under this facility as of June 30, 2022. In February 2022, we amended the 2020 Vehicle Floorplan Facility to extend the maturity date to March 31, 2023. We are required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daily floorplan principal balance outstanding on deposit with Ally Bank. We were required to pay an upfront commitment fee upon execution of the amendment.</w:t>
      </w:r>
    </w:p>
    <w:p>
      <w:pPr>
        <w:spacing w:after="0" w:line="189"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Outstanding borrowings are due as the vehicles financed are sold, or in any event, on the maturity date. The amended 2020 Vehicle Floorplan Facility bears interest at a rate equal to the Prime Rate, announced per annum by Ally Bank, plus 105 basis points. We are party to a Credit Balance Agreement that permits us to deposit cash with Ally for the purpose of reducing the amount of interest payable for borrowings under the 2020 Vehicle Floorplan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160" w:firstLine="764"/>
        <w:spacing w:after="0" w:line="253" w:lineRule="auto"/>
        <w:rPr>
          <w:sz w:val="20"/>
          <w:szCs w:val="20"/>
          <w:color w:val="auto"/>
        </w:rPr>
      </w:pPr>
      <w:r>
        <w:rPr>
          <w:rFonts w:ascii="Arial" w:cs="Arial" w:eastAsia="Arial" w:hAnsi="Arial"/>
          <w:sz w:val="17"/>
          <w:szCs w:val="17"/>
          <w:color w:val="auto"/>
        </w:rPr>
        <w:t>We are planning to sell finance receivables originated by UACC through asset-backed securitization transactions and forward flow arrangements. In February 2022, UACC sold $281.4 million of rated asset-backed securities and $32.3 million of residual certificates in an auto loan securitization offering from a securitization trust, established and sponsored by UACC, for proceeds of $317.3 million. The trust is collateralized by finance receivables with an aggregate principal balance of $318.5 million and has a carrying value of $287.7 million at the time of sale. These finance receivables are serviced by UACC. UACC retained 5% of the notes and residual certificates sold. Depending on market conditions, we intend to structure future securitization transactions similar to the 2022-1 transaction and account for them as sales.</w:t>
      </w:r>
    </w:p>
    <w:p>
      <w:pPr>
        <w:spacing w:after="0" w:line="179" w:lineRule="exact"/>
        <w:rPr>
          <w:sz w:val="20"/>
          <w:szCs w:val="20"/>
          <w:color w:val="auto"/>
        </w:rPr>
      </w:pPr>
    </w:p>
    <w:p>
      <w:pPr>
        <w:ind w:right="100" w:firstLine="764"/>
        <w:spacing w:after="0" w:line="253" w:lineRule="auto"/>
        <w:rPr>
          <w:sz w:val="20"/>
          <w:szCs w:val="20"/>
          <w:color w:val="auto"/>
        </w:rPr>
      </w:pPr>
      <w:r>
        <w:rPr>
          <w:rFonts w:ascii="Arial" w:cs="Arial" w:eastAsia="Arial" w:hAnsi="Arial"/>
          <w:sz w:val="17"/>
          <w:szCs w:val="17"/>
          <w:color w:val="1D1C1D"/>
        </w:rPr>
        <w:t>In July 2022, UACC completed a securitization transaction in which it sold approximately $242.3 million of rated asset-backed securities and $17.3 million of residual certificates in an auto loan securitization offering from a securitization trust, established and sponsored by UACC. The trust is collateralized by finance receivables with an aggregate principal balance of $285.0 million and had a carrying value of $ 246.9 million at the time of sale. UACC received proceeds of $265.6 million in connection with the transaction and recognized a gain on the sale upon transfer in an amount equal to the fair value of the net proceeds received less the carrying amount of the finance receivables sold. These finance receivables are serviced by UACC. UACC retained 5% of the notes and residual certificates sold.</w:t>
      </w:r>
    </w:p>
    <w:p>
      <w:pPr>
        <w:spacing w:after="0" w:line="179" w:lineRule="exact"/>
        <w:rPr>
          <w:sz w:val="20"/>
          <w:szCs w:val="20"/>
          <w:color w:val="auto"/>
        </w:rPr>
      </w:pPr>
    </w:p>
    <w:p>
      <w:pPr>
        <w:ind w:right="500" w:firstLine="764"/>
        <w:spacing w:after="0"/>
        <w:rPr>
          <w:sz w:val="20"/>
          <w:szCs w:val="20"/>
          <w:color w:val="auto"/>
        </w:rPr>
      </w:pPr>
      <w:r>
        <w:rPr>
          <w:rFonts w:ascii="Arial" w:cs="Arial" w:eastAsia="Arial" w:hAnsi="Arial"/>
          <w:sz w:val="18"/>
          <w:szCs w:val="18"/>
          <w:color w:val="auto"/>
        </w:rPr>
        <w:t>Refer to Note 4 — Variable Interest Entities and Securitizations to our condensed consolidated financial statements included elsewhere in this Quarterly Report on Form 10-Q, for further discussion regarding our transactions with unconsolidated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0" w:lineRule="exact"/>
        <w:rPr>
          <w:sz w:val="20"/>
          <w:szCs w:val="20"/>
          <w:color w:val="auto"/>
        </w:rPr>
      </w:pPr>
    </w:p>
    <w:p>
      <w:pPr>
        <w:ind w:right="120" w:firstLine="764"/>
        <w:spacing w:after="0" w:line="237" w:lineRule="auto"/>
        <w:rPr>
          <w:sz w:val="20"/>
          <w:szCs w:val="20"/>
          <w:color w:val="auto"/>
        </w:rPr>
      </w:pPr>
      <w:r>
        <w:rPr>
          <w:rFonts w:ascii="Arial" w:cs="Arial" w:eastAsia="Arial" w:hAnsi="Arial"/>
          <w:sz w:val="18"/>
          <w:szCs w:val="18"/>
          <w:color w:val="auto"/>
        </w:rPr>
        <w:t>UACC has three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$400.0 million with maturities between May 2023 and May 2024. As of June 30, 2022, outstanding borrowings related to the Warehouse Credit Facilities were $210.6 million and we were in compliance with all covenants related to the warehouse credit facilities. Refer to Note 11 — Warehouse Credit Facilities of Consolidated VIEs to our condensed consolidated financial statements included elsewhere in this Quarterly Report on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six months ended June 30, 2022 and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4"/>
                <w:szCs w:val="14"/>
                <w:color w:val="auto"/>
              </w:rPr>
            </w:pPr>
          </w:p>
        </w:tc>
      </w:tr>
      <w:tr>
        <w:trPr>
          <w:trHeight w:val="189"/>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09"/>
        </w:trPr>
        <w:tc>
          <w:tcPr>
            <w:tcW w:w="7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2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r>
      <w:tr>
        <w:trPr>
          <w:trHeight w:val="202"/>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(137,519 )</w:t>
            </w:r>
          </w:p>
        </w:tc>
        <w:tc>
          <w:tcPr>
            <w:tcW w:w="800" w:type="dxa"/>
            <w:vAlign w:val="bottom"/>
            <w:gridSpan w:val="2"/>
            <w:shd w:val="clear" w:color="auto" w:fill="CFF0FC"/>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(151,851 )</w:t>
            </w:r>
          </w:p>
        </w:tc>
      </w:tr>
      <w:tr>
        <w:trPr>
          <w:trHeight w:val="202"/>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(226,573 )</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(85,088 )</w:t>
            </w:r>
          </w:p>
        </w:tc>
      </w:tr>
      <w:tr>
        <w:trPr>
          <w:trHeight w:val="202"/>
        </w:trPr>
        <w:tc>
          <w:tcPr>
            <w:tcW w:w="7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4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(164,300 )</w:t>
            </w: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647,589</w:t>
            </w:r>
          </w:p>
        </w:tc>
      </w:tr>
      <w:tr>
        <w:trPr>
          <w:trHeight w:val="196"/>
        </w:trPr>
        <w:tc>
          <w:tcPr>
            <w:tcW w:w="7540" w:type="dxa"/>
            <w:vAlign w:val="bottom"/>
          </w:tcPr>
          <w:p>
            <w:pPr>
              <w:ind w:left="20"/>
              <w:spacing w:after="0" w:line="195" w:lineRule="exact"/>
              <w:rPr>
                <w:sz w:val="20"/>
                <w:szCs w:val="20"/>
                <w:color w:val="auto"/>
              </w:rPr>
            </w:pPr>
            <w:r>
              <w:rPr>
                <w:rFonts w:ascii="Arial" w:cs="Arial" w:eastAsia="Arial" w:hAnsi="Arial"/>
                <w:sz w:val="18"/>
                <w:szCs w:val="18"/>
                <w:color w:val="auto"/>
              </w:rPr>
              <w:t>Net (decrease) increase in cash, cash equivalents and restricted cash</w:t>
            </w:r>
          </w:p>
        </w:tc>
        <w:tc>
          <w:tcPr>
            <w:tcW w:w="440" w:type="dxa"/>
            <w:vAlign w:val="bottom"/>
          </w:tcPr>
          <w:p>
            <w:pPr>
              <w:spacing w:after="0"/>
              <w:rPr>
                <w:sz w:val="17"/>
                <w:szCs w:val="17"/>
                <w:color w:val="auto"/>
              </w:rPr>
            </w:pP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(528,392 )</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jc w:val="right"/>
              <w:ind w:right="33"/>
              <w:spacing w:after="0" w:line="195" w:lineRule="exact"/>
              <w:rPr>
                <w:sz w:val="20"/>
                <w:szCs w:val="20"/>
                <w:color w:val="auto"/>
              </w:rPr>
            </w:pPr>
            <w:r>
              <w:rPr>
                <w:rFonts w:ascii="Arial" w:cs="Arial" w:eastAsia="Arial" w:hAnsi="Arial"/>
                <w:sz w:val="18"/>
                <w:szCs w:val="18"/>
                <w:color w:val="auto"/>
              </w:rPr>
              <w:t>410,650</w:t>
            </w:r>
          </w:p>
        </w:tc>
      </w:tr>
      <w:tr>
        <w:trPr>
          <w:trHeight w:val="202"/>
        </w:trPr>
        <w:tc>
          <w:tcPr>
            <w:tcW w:w="7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and restricted cash at beginning of period</w:t>
            </w:r>
          </w:p>
        </w:tc>
        <w:tc>
          <w:tcPr>
            <w:tcW w:w="4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1,214,775</w:t>
            </w: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1,090,039</w:t>
            </w:r>
          </w:p>
        </w:tc>
      </w:tr>
      <w:tr>
        <w:trPr>
          <w:trHeight w:val="196"/>
        </w:trPr>
        <w:tc>
          <w:tcPr>
            <w:tcW w:w="7540" w:type="dxa"/>
            <w:vAlign w:val="bottom"/>
          </w:tcPr>
          <w:p>
            <w:pPr>
              <w:ind w:left="20"/>
              <w:spacing w:after="0" w:line="195" w:lineRule="exact"/>
              <w:rPr>
                <w:sz w:val="20"/>
                <w:szCs w:val="20"/>
                <w:color w:val="auto"/>
              </w:rPr>
            </w:pPr>
            <w:r>
              <w:rPr>
                <w:rFonts w:ascii="Arial" w:cs="Arial" w:eastAsia="Arial" w:hAnsi="Arial"/>
                <w:sz w:val="18"/>
                <w:szCs w:val="18"/>
                <w:color w:val="auto"/>
              </w:rPr>
              <w:t>Cash and cash equivalents and restricted cash at end of period</w:t>
            </w:r>
          </w:p>
        </w:tc>
        <w:tc>
          <w:tcPr>
            <w:tcW w:w="44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7"/>
              <w:spacing w:after="0" w:line="195" w:lineRule="exact"/>
              <w:rPr>
                <w:sz w:val="20"/>
                <w:szCs w:val="20"/>
                <w:color w:val="auto"/>
              </w:rPr>
            </w:pPr>
            <w:r>
              <w:rPr>
                <w:rFonts w:ascii="Arial" w:cs="Arial" w:eastAsia="Arial" w:hAnsi="Arial"/>
                <w:sz w:val="18"/>
                <w:szCs w:val="18"/>
                <w:color w:val="auto"/>
              </w:rPr>
              <w:t>686,383</w:t>
            </w:r>
          </w:p>
        </w:tc>
        <w:tc>
          <w:tcPr>
            <w:tcW w:w="80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195" w:lineRule="exact"/>
              <w:rPr>
                <w:sz w:val="20"/>
                <w:szCs w:val="20"/>
                <w:color w:val="auto"/>
              </w:rPr>
            </w:pPr>
            <w:r>
              <w:rPr>
                <w:rFonts w:ascii="Arial" w:cs="Arial" w:eastAsia="Arial" w:hAnsi="Arial"/>
                <w:sz w:val="18"/>
                <w:szCs w:val="18"/>
                <w:color w:val="auto"/>
              </w:rPr>
              <w:t>1,500,689</w:t>
            </w:r>
          </w:p>
        </w:tc>
      </w:tr>
      <w:tr>
        <w:trPr>
          <w:trHeight w:val="20"/>
        </w:trPr>
        <w:tc>
          <w:tcPr>
            <w:tcW w:w="7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-424815</wp:posOffset>
            </wp:positionV>
            <wp:extent cx="111125" cy="133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13398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-159385</wp:posOffset>
            </wp:positionV>
            <wp:extent cx="111125" cy="1600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1600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Net cash flows used in operating activities decreased by $14.4 million, from $151.9 million for the six months ended June 30, 2021 to $137.5 million for the six months ended June 30, 2022. The decrease is primarily attributable to proceeds from the sale of finance receivables held for sale for the 2022-1 securitization transaction of $ 271.8 million, a decrease in working capital of $137.6 million, primarily related to lower inventory levels, and principal payments received on finance receivables held for sale of $23.2 million, partially offset by originations of finance receivables held for sale of $319.3 million and $94.9 million in incremental net loss after reconciling adjustments for the six months ended June 30, 2022 as compared to the six months ended June 30, 2021.</w:t>
      </w:r>
    </w:p>
    <w:p>
      <w:pPr>
        <w:spacing w:after="0" w:line="189" w:lineRule="exact"/>
        <w:rPr>
          <w:sz w:val="20"/>
          <w:szCs w:val="20"/>
          <w:color w:val="auto"/>
        </w:rPr>
      </w:pPr>
    </w:p>
    <w:p>
      <w:pPr>
        <w:ind w:right="280" w:firstLine="761"/>
        <w:spacing w:after="0" w:line="274" w:lineRule="auto"/>
        <w:rPr>
          <w:sz w:val="20"/>
          <w:szCs w:val="20"/>
          <w:color w:val="auto"/>
        </w:rPr>
      </w:pPr>
      <w:r>
        <w:rPr>
          <w:rFonts w:ascii="Arial" w:cs="Arial" w:eastAsia="Arial" w:hAnsi="Arial"/>
          <w:sz w:val="17"/>
          <w:szCs w:val="17"/>
          <w:color w:val="auto"/>
        </w:rPr>
        <w:t>We finance a majority of our inventory with the 2020 Vehicle Floorplan Facility. In accordance with U.S. GAAP, we report all cash flows arising in connection with the 2020 Vehicle Floorplan Facility, as a financing activity in our consolidated statement of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flows used in investing activities increased $141.5 million, from $85.1 million for the six months ended June 30, 2021 to</w:t>
      </w:r>
    </w:p>
    <w:p>
      <w:pPr>
        <w:spacing w:after="0" w:line="234" w:lineRule="auto"/>
        <w:rPr>
          <w:sz w:val="20"/>
          <w:szCs w:val="20"/>
          <w:color w:val="auto"/>
        </w:rPr>
      </w:pPr>
      <w:r>
        <w:rPr>
          <w:rFonts w:ascii="Arial" w:cs="Arial" w:eastAsia="Arial" w:hAnsi="Arial"/>
          <w:sz w:val="18"/>
          <w:szCs w:val="18"/>
          <w:color w:val="auto"/>
        </w:rPr>
        <w:t>$226.6 million for the six months ended June 30, 2022, primarily as a result of the UACC Acquisition in February 2022 which resulted in cash</w:t>
      </w:r>
    </w:p>
    <w:p>
      <w:pPr>
        <w:spacing w:after="0" w:line="235" w:lineRule="auto"/>
        <w:rPr>
          <w:sz w:val="20"/>
          <w:szCs w:val="20"/>
          <w:color w:val="auto"/>
        </w:rPr>
      </w:pPr>
      <w:r>
        <w:rPr>
          <w:rFonts w:ascii="Arial" w:cs="Arial" w:eastAsia="Arial" w:hAnsi="Arial"/>
          <w:sz w:val="18"/>
          <w:szCs w:val="18"/>
          <w:color w:val="auto"/>
        </w:rPr>
        <w:t>outflow of $267.5 million and originations of finance receivables recorded at fair value of $49.5 million, partially offset by principal payments</w:t>
      </w:r>
    </w:p>
    <w:p>
      <w:pPr>
        <w:spacing w:after="0" w:line="234" w:lineRule="auto"/>
        <w:rPr>
          <w:sz w:val="20"/>
          <w:szCs w:val="20"/>
          <w:color w:val="auto"/>
        </w:rPr>
      </w:pPr>
      <w:r>
        <w:rPr>
          <w:rFonts w:ascii="Arial" w:cs="Arial" w:eastAsia="Arial" w:hAnsi="Arial"/>
          <w:sz w:val="18"/>
          <w:szCs w:val="18"/>
          <w:color w:val="auto"/>
        </w:rPr>
        <w:t>received on finance receivables held in consolidated VIEs of $74.7 million, proceeds from the sale of finance receivables of $29.0 million and</w:t>
      </w:r>
    </w:p>
    <w:p>
      <w:pPr>
        <w:spacing w:after="0"/>
        <w:rPr>
          <w:sz w:val="20"/>
          <w:szCs w:val="20"/>
          <w:color w:val="auto"/>
        </w:rPr>
      </w:pPr>
      <w:r>
        <w:rPr>
          <w:rFonts w:ascii="Arial" w:cs="Arial" w:eastAsia="Arial" w:hAnsi="Arial"/>
          <w:sz w:val="18"/>
          <w:szCs w:val="18"/>
          <w:color w:val="auto"/>
        </w:rPr>
        <w:t>the $76.1 million cash outflow for the six months ended June 30, 2021 for the acquisition of the CarStory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Net cash flows from financing activities changed $811.9 million from net cash provided by financing activities of $647.6 million for the six months ended June 30, 2021 to net cash used in financing activities of $164.3 million for the six months ended June 30, 2022. The decrease was primarily related to net proceeds of $608.8 million received upon issuance of the unsecured 0.75% Convertible Senior Notes due 2026 under our Indenture (the "Notes"), net repayments of $124.7 million related to our Vehicle Floorplan in 2021, and net repayments of $105.6 million related to our secured financing agreements, partially offset by net proceeds of $33.0 million related to our Warehouse Credit Facilities.</w:t>
      </w:r>
    </w:p>
    <w:p>
      <w:pPr>
        <w:spacing w:after="0" w:line="16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40" w:firstLine="637"/>
        <w:spacing w:after="0" w:line="237"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80" w:firstLine="637"/>
        <w:spacing w:after="0" w:line="257" w:lineRule="auto"/>
        <w:rPr>
          <w:sz w:val="20"/>
          <w:szCs w:val="20"/>
          <w:color w:val="auto"/>
        </w:rPr>
      </w:pPr>
      <w:r>
        <w:rPr>
          <w:rFonts w:ascii="Arial" w:cs="Arial" w:eastAsia="Arial" w:hAnsi="Arial"/>
          <w:sz w:val="17"/>
          <w:szCs w:val="17"/>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 and Note 2— Summary of Significant Accounting Policies to our consolidated financial statements included in our Annual Report on Form 10-K.</w:t>
      </w:r>
    </w:p>
    <w:p>
      <w:pPr>
        <w:spacing w:after="0" w:line="174"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Except as described below, there have been no material changes to our critical accounting policies and estimates as compared to the critical accounting policies and estimates disclosed in our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0" w:lineRule="exact"/>
        <w:rPr>
          <w:sz w:val="20"/>
          <w:szCs w:val="20"/>
          <w:color w:val="auto"/>
        </w:rPr>
      </w:pPr>
    </w:p>
    <w:p>
      <w:pPr>
        <w:ind w:right="80" w:firstLine="637"/>
        <w:spacing w:after="0" w:line="235" w:lineRule="auto"/>
        <w:rPr>
          <w:sz w:val="20"/>
          <w:szCs w:val="20"/>
          <w:color w:val="auto"/>
        </w:rPr>
      </w:pPr>
      <w:r>
        <w:rPr>
          <w:rFonts w:ascii="Arial" w:cs="Arial" w:eastAsia="Arial" w:hAnsi="Arial"/>
          <w:sz w:val="18"/>
          <w:szCs w:val="18"/>
          <w:color w:val="auto"/>
        </w:rPr>
        <w:t>We account for business combinations using the acquisition method of accounting, which requires all assets acquired and liabilities assumed to be recorded at their respective fair values at the date of acquisition. Any excess consideration over the fair value of assets acquired and liabilities assumed is recognized as goodwill. The determination of the acquisition date fair value of the assets acquired and liabilities assumed requires significant estimates and assumptions, such as, if applicable, forecasted revenue growth rates and operating cash flows, royalty rates, customer attrition rates, obsolescence rates of developed technology, and discount rates. These estimates are inherently uncertain and subject to refinement. We use a discounted cash flow ("DCF") method under the income approach to measure the fair value of these intangible assets. Under this approach, the Company estimates future cash flows and discounts these cash flows at a rate of return that reflects the Company’s relative risk. When estimating the significant assumptions to be used in the valuation we include consideration of current industry information, market and economic trends, historical results of the acquired business and other relevant factors. These significant assumptions are forward-looking and could be affected by future economic and market conditions. We engage the assistance of valuation specialists in connection with determining fair values of assets acquired and liabilities assumed in a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280" w:firstLine="637"/>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8"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We have four reporting units: Ecommerce, Wholesale, TDA and Retail Financing. In performing our annual goodwill impairment test, we first review qualitative factors to determine whether it is more likely than not that the fair value of a reporting unit is less than its carrying amount. If, after assessing qualitative factors, we determine that it is more likely than not that the fair value of a reporting unit is more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93" w:lineRule="exact"/>
        <w:rPr>
          <w:sz w:val="20"/>
          <w:szCs w:val="20"/>
          <w:color w:val="auto"/>
        </w:rPr>
      </w:pPr>
    </w:p>
    <w:p>
      <w:pPr>
        <w:ind w:right="20" w:firstLine="637"/>
        <w:spacing w:after="0" w:line="235"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an individual reporting unit is influenced by a number of factors, inclusive of the carrying value of the reporting unit’s goodwill, the significance of the excess of the reporting unit’s estimated fair value over carrying value at the last quantitative assessment date, and the amount of time in between quantitative fair value assessments and the date of acquisition. If we perform a quantitative assessment of an individual reporting unit’s goodwill, our impairment calculations contain uncertainties because they require management to make assumptions and to apply judgment when estimating future cash flows and asset fair values. The quantitative goodwill impairment test requires a determination of whether the estimated fair value of a reporting unit is less than its carrying value. We estimate the fair value of our reporting units using an income approach. The income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We base our estimates and assumptions on our knowledge of the automotive and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ecommerce industries, our recent performance, our expectations of future performance and other assumptions we believe to be reasonable. Actual future results may differ from those estimates. A material change in the underlying assumptions could result in an impairment of goodwill. We also make certain judgments and assumptions in allocating shared assets and liabilities to determine the carrying values for each of our reporting units.</w:t>
      </w:r>
    </w:p>
    <w:p>
      <w:pPr>
        <w:spacing w:after="0" w:line="190" w:lineRule="exact"/>
        <w:rPr>
          <w:sz w:val="20"/>
          <w:szCs w:val="20"/>
          <w:color w:val="auto"/>
        </w:rPr>
      </w:pPr>
    </w:p>
    <w:p>
      <w:pPr>
        <w:ind w:firstLine="761"/>
        <w:spacing w:after="0" w:line="254"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 The Company determined that the estimated fair value of the Ecommerce, Wholesale, and TDA reporting units was less than their carrying amounts. The Company recorded a goodwill impairment charge of $201.7 million in the condensed consolidated statements of operations for the six months ended June 30, 2022. No goodwill impairment charges were recorded for the three and six months ended June 30, 2021.</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0"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12" w:lineRule="exact"/>
        <w:rPr>
          <w:sz w:val="20"/>
          <w:szCs w:val="20"/>
          <w:color w:val="auto"/>
        </w:rPr>
      </w:pPr>
    </w:p>
    <w:p>
      <w:pPr>
        <w:ind w:right="40" w:firstLine="761"/>
        <w:spacing w:after="0" w:line="235"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2" w:lineRule="exact"/>
        <w:rPr>
          <w:sz w:val="20"/>
          <w:szCs w:val="20"/>
          <w:color w:val="auto"/>
        </w:rPr>
      </w:pPr>
    </w:p>
    <w:p>
      <w:pPr>
        <w:ind w:firstLine="761"/>
        <w:spacing w:after="0" w:line="224" w:lineRule="auto"/>
        <w:rPr>
          <w:sz w:val="20"/>
          <w:szCs w:val="20"/>
          <w:color w:val="auto"/>
        </w:rPr>
      </w:pPr>
      <w:r>
        <w:rPr>
          <w:rFonts w:ascii="Arial" w:cs="Arial" w:eastAsia="Arial" w:hAnsi="Arial"/>
          <w:sz w:val="18"/>
          <w:szCs w:val="18"/>
          <w:color w:val="auto"/>
        </w:rPr>
        <w:t>As of June 30, 2022, we had an outstanding balance under the 2020 Vehicle Floorplan Facility of $422.5 million and an outstanding balance under our Warehouse Credit Facilities of $210.6 million. The 2020 Vehicle Floorplan Facility bears interest at a rate equal to the Prime Rate, announced per annum by Ally Bank, plus 105 basis points. The Warehouse Credit Facilities bear interest at a rate equal to LIBOR or SOFR plus a fixed percentage based on the agreement with the banking institution. A hypothetical 10% change in interest rates during the three and six months ended June 30, 2022 would result in a change to interest expense of $0.7 million and $1.3 million, respectively.</w:t>
      </w:r>
    </w:p>
    <w:p>
      <w:pPr>
        <w:spacing w:after="0" w:line="284" w:lineRule="exact"/>
        <w:rPr>
          <w:sz w:val="20"/>
          <w:szCs w:val="20"/>
          <w:color w:val="auto"/>
        </w:rPr>
      </w:pPr>
    </w:p>
    <w:p>
      <w:pPr>
        <w:ind w:right="340" w:firstLine="761"/>
        <w:spacing w:after="0" w:line="235" w:lineRule="auto"/>
        <w:rPr>
          <w:sz w:val="20"/>
          <w:szCs w:val="20"/>
          <w:color w:val="auto"/>
        </w:rPr>
      </w:pPr>
      <w:r>
        <w:rPr>
          <w:rFonts w:ascii="Arial" w:cs="Arial" w:eastAsia="Arial" w:hAnsi="Arial"/>
          <w:sz w:val="18"/>
          <w:szCs w:val="18"/>
          <w:color w:val="auto"/>
        </w:rPr>
        <w:t>As of June 30, 2022, we had $789.7 million of long-term debt including the current portion of securitization debt of consolidated VIEs of $115.3 million. As the interest rate on the long term debt is fixed, we do not have exposure to interest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June 30, 2022.</w:t>
      </w:r>
    </w:p>
    <w:p>
      <w:pPr>
        <w:spacing w:after="0" w:line="188" w:lineRule="exact"/>
        <w:rPr>
          <w:sz w:val="20"/>
          <w:szCs w:val="20"/>
          <w:color w:val="auto"/>
        </w:rPr>
      </w:pPr>
    </w:p>
    <w:p>
      <w:pPr>
        <w:ind w:right="100" w:firstLine="761"/>
        <w:spacing w:after="0" w:line="245"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June 30, 2022,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ind w:right="740" w:firstLine="761"/>
        <w:spacing w:after="0"/>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5"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August 2021, November 2021, January 2022, and February 2022, one of the Company’s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92"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This lawsuit remains in preliminary stages and there have been no substantive developments.</w:t>
      </w:r>
    </w:p>
    <w:p>
      <w:pPr>
        <w:spacing w:after="0" w:line="192"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and the parties have agreed to stay discovery in the interim.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7"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In July 2021 and August 2022, respectively, certain plaintiffs filed two putative class action lawsuits in the District Court of Cleveland County, Oklahoma and the New York State Supreme Court, respectively, against Vroom, Inc.,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Vroom Automotive LLC as defendants, alleging, among other things, deficiencies in Vroom’s titling and registration of sold vehicles: </w:t>
      </w:r>
      <w:r>
        <w:rPr>
          <w:rFonts w:ascii="Arial" w:cs="Arial" w:eastAsia="Arial" w:hAnsi="Arial"/>
          <w:sz w:val="18"/>
          <w:szCs w:val="18"/>
          <w:i w:val="1"/>
          <w:iCs w:val="1"/>
          <w:color w:val="auto"/>
        </w:rPr>
        <w:t>Blake</w:t>
      </w:r>
      <w:r>
        <w:rPr>
          <w:rFonts w:ascii="Arial" w:cs="Arial" w:eastAsia="Arial" w:hAnsi="Arial"/>
          <w:sz w:val="18"/>
          <w:szCs w:val="18"/>
          <w:color w:val="auto"/>
        </w:rPr>
        <w:t xml:space="preserve"> </w:t>
      </w:r>
      <w:r>
        <w:rPr>
          <w:rFonts w:ascii="Arial" w:cs="Arial" w:eastAsia="Arial" w:hAnsi="Arial"/>
          <w:sz w:val="18"/>
          <w:szCs w:val="18"/>
          <w:i w:val="1"/>
          <w:iCs w:val="1"/>
          <w:color w:val="auto"/>
        </w:rPr>
        <w:t>Sonne, individually and on behalf of all others similar situated, v. Vroom Automotive, LLC and Vroom, Inc</w:t>
      </w:r>
      <w:r>
        <w:rPr>
          <w:rFonts w:ascii="Arial" w:cs="Arial" w:eastAsia="Arial" w:hAnsi="Arial"/>
          <w:sz w:val="18"/>
          <w:szCs w:val="18"/>
          <w:color w:val="auto"/>
        </w:rPr>
        <w:t>., CJ-2022-822 and</w:t>
      </w:r>
      <w:r>
        <w:rPr>
          <w:rFonts w:ascii="Arial" w:cs="Arial" w:eastAsia="Arial" w:hAnsi="Arial"/>
          <w:sz w:val="18"/>
          <w:szCs w:val="18"/>
          <w:i w:val="1"/>
          <w:iCs w:val="1"/>
          <w:color w:val="auto"/>
        </w:rPr>
        <w:t xml:space="preserve"> Emely Reyes Martinez, on behalf of all others similarly situated, v. Vroom Automotive, LLC and Vroom Inc.</w:t>
      </w:r>
      <w:r>
        <w:rPr>
          <w:rFonts w:ascii="Arial" w:cs="Arial" w:eastAsia="Arial" w:hAnsi="Arial"/>
          <w:sz w:val="18"/>
          <w:szCs w:val="18"/>
          <w:color w:val="auto"/>
        </w:rPr>
        <w:t>,. Because these cases are at early stages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Quarterly Report on Form 10-Q, including the section titled “Management’s Discussion and Analysis of Financial Condition and Results of Operations”, our condensed consolidated financial statements and the accompanying notes and the information included elsewhere in this Quarterly Report on Form 10-Q, in our Annual Report on Form 10-K for the year ended December 31, 2021, in our Quarterly Report on Form 10-Q for the three months ended March 31, 2022 and our other public filings, before you decide to purchase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Realignment Plan</w:t>
      </w:r>
    </w:p>
    <w:p>
      <w:pPr>
        <w:spacing w:after="0" w:line="198"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previously announced Business Realignment Plan and other cost saving measures we may take in the future, and our efforts may result in further actions and may adversely affect our business, financial condition and results of operations.</w:t>
      </w:r>
    </w:p>
    <w:p>
      <w:pPr>
        <w:spacing w:after="0" w:line="139"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On May 5, 2022, our board of directors approved a Business Realignment Plan (the “Realignment Plan”) designed to position the Company for long-term profitable growth by prioritizing unit economics, reducing operating expenses and maximizing liquidity. The plan includes reducing our rate of unit sales; reducing marketing expense by focusing on highest-ROI channels while aligning with volume trajectory; reducing our headcount by approximately 270 positions, or 14% of our workforce; further developing our regional operating model to reduce costs and increase gross profit per unit; eliminating physical office locations in New York City and Detroit and closing several Sell Us Your Car® centers in Texas; further improving and automating key aspects of our sales operations; and streamlining our operations at TDA. Since announcement of our Realignment Plan, we continued our strategic analysis of the operations at the TDA store location and ceased operations in our TDA service center. The service center is being repurposed to replace our Stafford reconditioning facility, enabling us to align our proprietary reconditioning operations in the Houston market with our reduced unit sales volume, reduce our lease expenses and provide an improved work environment for our employees. Relatedly, we took further action to right-size the staffing of those operations, resulting in a further reduction in headcount.</w:t>
      </w:r>
    </w:p>
    <w:p>
      <w:pPr>
        <w:spacing w:after="0" w:line="188" w:lineRule="exact"/>
        <w:rPr>
          <w:sz w:val="20"/>
          <w:szCs w:val="20"/>
          <w:color w:val="auto"/>
        </w:rPr>
      </w:pPr>
    </w:p>
    <w:p>
      <w:pPr>
        <w:ind w:right="140" w:firstLine="749"/>
        <w:spacing w:after="0" w:line="236" w:lineRule="auto"/>
        <w:rPr>
          <w:sz w:val="20"/>
          <w:szCs w:val="20"/>
          <w:color w:val="auto"/>
        </w:rPr>
      </w:pPr>
      <w:r>
        <w:rPr>
          <w:rFonts w:ascii="Arial" w:cs="Arial" w:eastAsia="Arial" w:hAnsi="Arial"/>
          <w:sz w:val="18"/>
          <w:szCs w:val="18"/>
          <w:color w:val="auto"/>
        </w:rPr>
        <w:t>The Realignment Plan is based on our current estimates, assumptions and forecasts, which are subject to known and unknown risks and uncertainties, including assumptions regarding cost savings, cash burn rate, access to restricted cash, gross profit improvements, and effectiveness of our reduced marketing spend. Accordingly, we may not be able to fully realize the cost savings, enhanced liquidity and other benefits anticipated from the Realignment Plan. Additionally, implementation of the Realignment Plan and any other cost-saving initiatives may be costly and disruptive to our business, the expected costs and charges may be greater than we have forecasted, and the estimated cost savings may be lower than we have forecasted. In addition, our initiatives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 Unfavorable publicity about us or our Realignment Plan could result in reputational harm and could diminish confidence in our brand and business model. The Realignment Plan has required, and may continue to require, a significant amount of management’s and other employees’ time and focus, which may divert attention from effectively operating our business.</w:t>
      </w:r>
    </w:p>
    <w:p>
      <w:pPr>
        <w:spacing w:after="0" w:line="166" w:lineRule="exact"/>
        <w:rPr>
          <w:sz w:val="20"/>
          <w:szCs w:val="20"/>
          <w:color w:val="auto"/>
        </w:rPr>
      </w:pPr>
    </w:p>
    <w:p>
      <w:pPr>
        <w:jc w:val="both"/>
        <w:ind w:right="320"/>
        <w:spacing w:after="0" w:line="291" w:lineRule="auto"/>
        <w:rPr>
          <w:sz w:val="20"/>
          <w:szCs w:val="20"/>
          <w:color w:val="auto"/>
        </w:rPr>
      </w:pPr>
      <w:r>
        <w:rPr>
          <w:rFonts w:ascii="Arial" w:cs="Arial" w:eastAsia="Arial" w:hAnsi="Arial"/>
          <w:sz w:val="17"/>
          <w:szCs w:val="17"/>
          <w:b w:val="1"/>
          <w:bCs w:val="1"/>
          <w:i w:val="1"/>
          <w:iCs w:val="1"/>
          <w:color w:val="auto"/>
        </w:rPr>
        <w:t>Despite the cost saving measures, reduced growth rates and increased focus on liquidity and profitability contemplated by the Realignment Plan, we may need to raise additional capital through debt or equity financings to achieve our business objectives and there can be no assurance that such financings will be available in amounts or on terms acceptable to us, if at all.</w:t>
      </w:r>
    </w:p>
    <w:p>
      <w:pPr>
        <w:spacing w:after="0" w:line="174" w:lineRule="exact"/>
        <w:rPr>
          <w:sz w:val="20"/>
          <w:szCs w:val="20"/>
          <w:color w:val="auto"/>
        </w:rPr>
      </w:pPr>
    </w:p>
    <w:p>
      <w:pPr>
        <w:ind w:right="40" w:firstLine="599"/>
        <w:spacing w:after="0" w:line="237" w:lineRule="auto"/>
        <w:rPr>
          <w:sz w:val="20"/>
          <w:szCs w:val="20"/>
          <w:color w:val="auto"/>
        </w:rPr>
      </w:pPr>
      <w:r>
        <w:rPr>
          <w:rFonts w:ascii="Arial" w:cs="Arial" w:eastAsia="Arial" w:hAnsi="Arial"/>
          <w:sz w:val="18"/>
          <w:szCs w:val="18"/>
          <w:color w:val="auto"/>
        </w:rPr>
        <w:t>As of June 30, 2022, we had cash and cash equivalents of $532.6 million. Our Realignment Plan is designed to reduce our use of cash and position us for long-term profitable growth by prioritizing unit economics, reducing operating expenses and maximizing liquidity. Nevertheless, our future capital requirements will depend on many factors, including our revenues, our efforts to reduce operating expenses, costs associated with the integration of UACC and its development into a captive financing operation, investments in our reconditioning, logistics and customer experience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operations, UACC’s ability to complete additional securitization transactions, and our ability to free up restricted cash.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reduce our cash burn rate, free up restricted cash, generate sufficient revenues, reduce operating costs and/or raise additional capital through debt or equity financings, could have a material adverse effect on our ability to meet our short and long-term liquidity needs and achieve our intended long-term business objectives. See “</w:t>
      </w:r>
      <w:r>
        <w:rPr>
          <w:rFonts w:ascii="Arial" w:cs="Arial" w:eastAsia="Arial" w:hAnsi="Arial"/>
          <w:sz w:val="18"/>
          <w:szCs w:val="18"/>
          <w:i w:val="1"/>
          <w:iCs w:val="1"/>
          <w:color w:val="auto"/>
        </w:rPr>
        <w:t>We may require additional capital to pursue our business objectives and respond to business opportunities,</w:t>
      </w:r>
      <w:r>
        <w:rPr>
          <w:rFonts w:ascii="Arial" w:cs="Arial" w:eastAsia="Arial" w:hAnsi="Arial"/>
          <w:sz w:val="18"/>
          <w:szCs w:val="18"/>
          <w:color w:val="auto"/>
        </w:rPr>
        <w:t xml:space="preserve"> </w:t>
      </w:r>
      <w:r>
        <w:rPr>
          <w:rFonts w:ascii="Arial" w:cs="Arial" w:eastAsia="Arial" w:hAnsi="Arial"/>
          <w:sz w:val="18"/>
          <w:szCs w:val="18"/>
          <w:i w:val="1"/>
          <w:iCs w:val="1"/>
          <w:color w:val="auto"/>
        </w:rPr>
        <w:t>challenges or unforeseen circumstances. If such capital is not available to us, our business, financial condition and results of operations may be materially and adversely affected.”</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The full extent of the future impact of the COVID-19 pandemic is uncertain and may have an adverse effect on our business, financial condition and results of operations.</w:t>
      </w:r>
    </w:p>
    <w:p>
      <w:pPr>
        <w:spacing w:after="0" w:line="161" w:lineRule="exact"/>
        <w:rPr>
          <w:sz w:val="20"/>
          <w:szCs w:val="20"/>
          <w:color w:val="auto"/>
        </w:rPr>
      </w:pPr>
    </w:p>
    <w:p>
      <w:pPr>
        <w:ind w:right="440" w:firstLine="749"/>
        <w:spacing w:after="0" w:line="238"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This recovery has been bolstered by the introduction of COVID-19 vaccines nationwide.</w:t>
      </w:r>
    </w:p>
    <w:p>
      <w:pPr>
        <w:spacing w:after="0" w:line="190"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implemented a number of measures designed to protect the health and safety of our workforce in response to the COVID-19 disruptions, including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continued enhanced cleaning measures, social distancing guidelines, encouraging employees to wear masks, minimizing non-essential vendor / guest visitation, and requiring health attestations, including common symptoms and temperature verification prior to entering facilities, in each case subject to local requirements. Where feasible, we operate on a rotating team schedule to reduce exposure and also require any diagnosed or exposed employees to self-isolate before returning to work. However, the nature of work has been greatly altered by COVID-19 and related protocols which have, in turn, broadly shifted employee sentiment regarding in-person work, compensation, and flexibility. While all of our offices remained open and available through most of 2021, we generally discouraged in-person work for any roles where an in-person presence was not critical in an effort to maximize space and prioritize safety for those who did require a physical presence and, as part of our Realignment Plan, we eliminated certain physical office locations in New York and Detroit, where in-person work was not required. All future actions related to COVID-19 will be taken in accordance with updated state and local health and safety guidance and requirements for in-office work. The various workforce health and safety measures we have taken have led to increased operating expenses and future health and safety measures may lead to further increases.</w:t>
      </w:r>
    </w:p>
    <w:p>
      <w:pPr>
        <w:spacing w:after="0" w:line="197"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In addition, since early March 2020, UACC has worked, and continues to work, with borrowers impacted by COVID-19 on an individual basis to provide deferments, due date changes and other assistance programs. Certain governmental authorities, including United States federal, state or local governments, could also enact laws, regulations, executive orders or other guidance that may preclude creditors from exercising certain rights or taking certain actions with respect to motor vehicle contracts, including repossession or liquidation of vehicles. UACC’s assistance programs and any such governmental programs, if enacted, expanded or continued, could materially and adversely impact our business, financial condition and results of operations.</w:t>
      </w:r>
    </w:p>
    <w:p>
      <w:pPr>
        <w:spacing w:after="0" w:line="189"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pandemic and the effectiveness of actions taken to contain the spread of COVID-19 or treat its impact, such as the efficacy of vaccines and other treatments for COVID-19, the success of vaccination efforts, the severity and transmissibility of new variants of the virus and the resistance of new variants of the virus to vaccines, among others. The ultimate consequences of the COVID-19 pandemic cannot be predicted with certainty, but it could have a material effect on our business, operating results, financial condition and prospects.</w:t>
      </w:r>
    </w:p>
    <w:p>
      <w:pPr>
        <w:spacing w:after="0" w:line="179"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addition to the COVID-19 disruptions described above, the pandemic may also have the effect of heightening many of the other risks described herein, including risks relating to changes in consumer demand; our limited operating history; our ability to generate sufficient revenue to generate positive cash flow; our relationships with third party customer experience teams; the availability of third-party providers to deliver our vehicles to customers nationwide; the operation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149" w:lineRule="exact"/>
        <w:rPr>
          <w:sz w:val="20"/>
          <w:szCs w:val="20"/>
          <w:color w:val="auto"/>
        </w:rPr>
      </w:pPr>
    </w:p>
    <w:p>
      <w:pPr>
        <w:ind w:right="2720" w:firstLine="2730"/>
        <w:spacing w:after="0" w:line="510" w:lineRule="auto"/>
        <w:rPr>
          <w:sz w:val="20"/>
          <w:szCs w:val="20"/>
          <w:color w:val="auto"/>
        </w:rPr>
      </w:pPr>
      <w:r>
        <w:rPr>
          <w:rFonts w:ascii="Arial" w:cs="Arial" w:eastAsia="Arial" w:hAnsi="Arial"/>
          <w:sz w:val="17"/>
          <w:szCs w:val="17"/>
          <w:b w:val="1"/>
          <w:bCs w:val="1"/>
          <w:color w:val="auto"/>
        </w:rPr>
        <w:t xml:space="preserve">Risks Related to Our Financial Condition and Results of Operations </w:t>
      </w:r>
      <w:r>
        <w:rPr>
          <w:rFonts w:ascii="Arial" w:cs="Arial" w:eastAsia="Arial" w:hAnsi="Arial"/>
          <w:sz w:val="17"/>
          <w:szCs w:val="17"/>
          <w:b w:val="1"/>
          <w:bCs w:val="1"/>
          <w:i w:val="1"/>
          <w:iCs w:val="1"/>
          <w:color w:val="auto"/>
        </w:rPr>
        <w:t>We have a history of losses and we may not achieve or maintain profitability in the future.</w:t>
      </w:r>
    </w:p>
    <w:p>
      <w:pPr>
        <w:ind w:firstLine="749"/>
        <w:spacing w:after="0" w:line="236"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$ 1,574.3 million as of June 30, 2022. We incurred net losses of $115.1 million and $65.8 million for the three months ended June 30, 2022 and 2021, respectively and $425,5 million and $143.0 million for the six months ended June 30, 2022 and 2021, respectively. We may incur significant losses in the future for a number of reasons, including our inability to reduce costs and increase per unit profitability as contemplated under our Realignment Plan, acquire and appropriately price vehicle inventory, provide the exceptional customer experience needed to attract customers, or identify and respond to emerging trends in the used car industry; a slowdown in demand for used vehicles and our related value-added products; weakness in the automotive retail industry generally; general economic conditions; global pandemics; and increasing competition, as well as other risks described in this Quarterly Report on Form 10-Q, and we may encounter unforeseen expenses, difficulties, complications and delays in achieving profitability.</w:t>
      </w:r>
    </w:p>
    <w:p>
      <w:pPr>
        <w:spacing w:after="0" w:line="19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While we intend to reduce fixed and variable operating expenses under our Realignment Plan, we expect to continue incurring significant operating expenses as we invest in the UACC business and develop it into a captive finance operation, invest in our proprietary logistics operations, continue certain advertising and marketing efforts to attract customers to our platform and build our brand, continue to invest in technology development and automating key portions of our sales operations and further regionalize our operating infrastructure. In addition, we anticipate an increase in legal and regulatory costs associated with our operational challenges, as well as continued legal, accounting, compliance and other expenses as a public company. As a result of these expenditures, we will have to generate and sustain revenue sufficient to offset our operating expenses and achieve and maintain profitability. In addition, if we reduce variable costs to respond to losses, this may limit our ability to grow our sales volume and revenues. Our ecommerce gross profit per unit increased by $911, or 33.5%, from the three months ended June 30, 2021 to June 30, 2022 and decreased by $50, or 2.1%, from the six months ended June 30, 2021 to June 30, 2022. To reduce our losses, we will need to increase our gross profit per unit by lowering our costs per unit by, among other things, focusing on our regional operating model and increasing efficiencies in reconditioning and logistics, which we may be unable to do. Accordingly, we may not achieve or maintain profitability and we may continue to incur significant losses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w:t>
      </w:r>
    </w:p>
    <w:p>
      <w:pPr>
        <w:spacing w:after="0" w:line="220"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operations and executing our Realignment Plan. In line with the reduced unit sales contemplated by our Realignment Plan, our revenue has declined from $761.9 million for the three months ended June 30, 2021 to $475.4 million for the three months ended June 30, 2022 and increased slightly from $1,353.0 million for the six months ended June 30, 2021 to $1,399.2 million for the six months ended June 30, 2022. Our revenue growth also may be adversely affected by our inability to acquire and appropriately price vehicle inventory, provide the exceptional customer experience needed to attract customers, or execute effective marketing campaigns to increase traffic to our platform; a slowdown in demand for used vehicles and our related value-added products; weakness in the automotive retail industry generally; general economic conditions, including rising interest rates; and increasing competition. We expect our revenue to decline in 2022 compared to 2021. You should not consider our historical revenue growth as indicative of our future performance. If our revenue declines beyond what is contemplated, including as a result of the impact of our Realignment Plan, our business, financial condition and results of operations will be materially and adversely affected.</w:t>
      </w:r>
    </w:p>
    <w:p>
      <w:pPr>
        <w:spacing w:after="0" w:line="188"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Further, going forward we expect to continue making significant investments to further develop our business, and these investments may not result in increased revenue or growth on a timely basis or at all. For example, we expect to continue to expend substantial financial and other resources on developing our captive finance operation, continuing certain marketing and other efforts to acquire and retain customers and build our brand, improving our customer experience operations, developing our technology and data analytics capabilities, adding new features and functionality to our website and mobile applications and expanding of our proprietary reconditioning and logistics operations. These investments may not result in increased revenue or growth in our business. If we cannot successfully earn revenue at a rate that exceeds the costs associated with our business, we will not be able to generate positive cash flow on a sustained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basis and our revenue may decline beyond what is contemplated by the Realignment Plan. Additionally, we base our expenses and investment plans on our estimates of revenue and gross profit. If our assumptions prove to be wrong, we may spend more than we anticipate or may generate less revenue than anticipated. If we fail to realize the anticipated benefits of our investments, our business, financial condition and results of operations could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recognized an impairment charge related to goodwill.</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As of March 31, 2022, a quantitative interim goodwill impairment assessment was performed over the Company's reporting units, due to the decline in the Company's and comparable companies' stock prices. The Company determined that the estimated fair value of the Ecommerce, Wholesale, and TDA reporting units was less than their carrying amounts. The Company recorded a goodwill impairment charge of $201.7 million in the condensed consolidated statements of operations for the three months ended March 31, 2022. See Note 8 to the Company’s Consolidated Financial Statements.</w:t>
      </w:r>
    </w:p>
    <w:p>
      <w:pPr>
        <w:spacing w:after="0" w:line="171"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38"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As of June 30, 2022, we had outstanding $422.5 million aggregate principal amount of borrowings under our 2020 Vehicle Floorplan Facility and $625.0 million aggregate principal amount of our 0.75% Convertible Senior Notes due 2026 (the "Notes"). Our interest expense was $6.3 million and $13.3 million for the three and six months ended June 30, 2022, respectively, related to the 2020 Vehicle Floorplan Facility. In addition, UACC has $167.1 million of securitization indebtedness as well as three senior secured warehouse facility agreements the (“Warehouse Credit Facilities”) with banking institutions, with an aggregate borrowing limit of $400.0 million. As of June 30, 2022, there was $210.6 million in outstanding borrowings related to the Warehouse Credit Facilities.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188"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In addition, our indebtedness under our 2020 Vehicle Floorplan Facility bears interest at variable rates. Because we have variable rate debt, fluctuations in interest rates may affect our cash flows or business, financial condition and results of operations. In light of the Federal Reserve's recent increase to the federal funds rate in June 2022 and expectations of future rate increases, we expect to pay higher interest under our 2020 Vehicle Floorplan Facility and incur higher interest expense in 2022 compared to 2021. We may attempt to minimize interest rate risk and lower our overall borrowing costs through the utilization of derivative financial instruments, primarily interest rate swaps.</w:t>
      </w:r>
    </w:p>
    <w:p>
      <w:pPr>
        <w:spacing w:after="0" w:line="157"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38" w:lineRule="exact"/>
        <w:rPr>
          <w:sz w:val="20"/>
          <w:szCs w:val="20"/>
          <w:color w:val="auto"/>
        </w:rPr>
      </w:pPr>
    </w:p>
    <w:p>
      <w:pPr>
        <w:ind w:right="520" w:firstLine="749"/>
        <w:spacing w:after="0"/>
        <w:rPr>
          <w:sz w:val="20"/>
          <w:szCs w:val="20"/>
          <w:color w:val="auto"/>
        </w:rPr>
      </w:pPr>
      <w:r>
        <w:rPr>
          <w:rFonts w:ascii="Arial" w:cs="Arial" w:eastAsia="Arial" w:hAnsi="Arial"/>
          <w:sz w:val="18"/>
          <w:szCs w:val="18"/>
          <w:color w:val="auto"/>
        </w:rPr>
        <w:t>As of June 30, 2022, we, including our subsidiaries, had approximately $1,422.7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204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03" w:lineRule="exact"/>
        <w:rPr>
          <w:rFonts w:ascii="Arial" w:cs="Arial" w:eastAsia="Arial" w:hAnsi="Arial"/>
          <w:sz w:val="18"/>
          <w:szCs w:val="18"/>
          <w:color w:val="auto"/>
        </w:rPr>
      </w:pPr>
    </w:p>
    <w:p>
      <w:pPr>
        <w:ind w:left="204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03" w:lineRule="exact"/>
        <w:rPr>
          <w:rFonts w:ascii="Arial" w:cs="Arial" w:eastAsia="Arial" w:hAnsi="Arial"/>
          <w:sz w:val="18"/>
          <w:szCs w:val="18"/>
          <w:color w:val="auto"/>
        </w:rPr>
      </w:pPr>
    </w:p>
    <w:p>
      <w:pPr>
        <w:jc w:val="both"/>
        <w:ind w:left="2040" w:right="6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Realignment Plan;</w:t>
      </w:r>
    </w:p>
    <w:p>
      <w:pPr>
        <w:spacing w:after="0" w:line="93" w:lineRule="exact"/>
        <w:rPr>
          <w:rFonts w:ascii="Arial" w:cs="Arial" w:eastAsia="Arial" w:hAnsi="Arial"/>
          <w:sz w:val="18"/>
          <w:szCs w:val="18"/>
          <w:color w:val="auto"/>
        </w:rPr>
      </w:pPr>
    </w:p>
    <w:p>
      <w:pPr>
        <w:ind w:left="204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03" w:lineRule="exact"/>
        <w:rPr>
          <w:rFonts w:ascii="Arial" w:cs="Arial" w:eastAsia="Arial" w:hAnsi="Arial"/>
          <w:sz w:val="18"/>
          <w:szCs w:val="18"/>
          <w:color w:val="auto"/>
        </w:rPr>
      </w:pPr>
    </w:p>
    <w:p>
      <w:pPr>
        <w:ind w:left="2040" w:hanging="505"/>
        <w:spacing w:after="0" w:line="245" w:lineRule="auto"/>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Notes due 2026; and</w:t>
      </w:r>
    </w:p>
    <w:p>
      <w:pPr>
        <w:spacing w:after="0" w:line="89" w:lineRule="exact"/>
        <w:rPr>
          <w:rFonts w:ascii="Arial" w:cs="Arial" w:eastAsia="Arial" w:hAnsi="Arial"/>
          <w:sz w:val="18"/>
          <w:szCs w:val="18"/>
          <w:color w:val="auto"/>
        </w:rPr>
      </w:pPr>
    </w:p>
    <w:p>
      <w:pPr>
        <w:ind w:left="2040" w:right="240" w:hanging="505"/>
        <w:spacing w:after="0" w:line="245" w:lineRule="auto"/>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84" w:lineRule="exact"/>
        <w:rPr>
          <w:sz w:val="20"/>
          <w:szCs w:val="20"/>
          <w:color w:val="auto"/>
        </w:rPr>
      </w:pPr>
    </w:p>
    <w:p>
      <w:pPr>
        <w:ind w:right="140" w:firstLine="749"/>
        <w:spacing w:after="0" w:line="236"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For example, the delisting of our common stock from the Nasdaq Global Select Market would constitute a fundamental change under the terms of our Indenture and make our Notes redeemable at par upon delisting.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179"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may require additional capital to pursue our business objectives and respond to business opportunities, challenges or unforeseen circumstances, including to successfully execute our Realignment Plan, make certain marketing expenditures to improve our brand awareness, build and maintain our inventory of used vehicles, develop our captive finance operation, improve our customer experience operations, develop new products or services or further improve existing products and services, expand and enhance our operating and proprietary logistics and reconditioning infrastructure and acquire complementary businesses and technologies. Accordingly, we may need to engage in additional equity or debt financings at the Vroom or UACC level to secure additional funds to satisfy our short or long term liquidity needs.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including to successfully execute our Realignment Plan, and to respond to business opportunities, challenges or unforeseen circumstances, could be significantly limited, and our business, financial condition and results of operations could be materially and adversely affected.</w:t>
      </w:r>
    </w:p>
    <w:p>
      <w:pPr>
        <w:spacing w:after="0" w:line="17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185" w:lineRule="exact"/>
        <w:rPr>
          <w:sz w:val="20"/>
          <w:szCs w:val="20"/>
          <w:color w:val="auto"/>
        </w:rPr>
      </w:pPr>
    </w:p>
    <w:p>
      <w:pPr>
        <w:ind w:right="140" w:firstLine="749"/>
        <w:spacing w:after="0" w:line="236" w:lineRule="auto"/>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March 2023,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166"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6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historically have exhibited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 Given the current strong market demand for used vehicles and our rapid growth, our results of operations have not reflected these historical macro trends in the most recent historical periods.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03"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operational changes and initiatives that we plan to undertake under in accordance with our Realignment Plan;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to develop our captive finance operation;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 and inflation;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claims against us and increased legal and regulatory expenses.</w:t>
      </w:r>
    </w:p>
    <w:p>
      <w:pPr>
        <w:spacing w:after="0" w:line="19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Growth and Strategy</w:t>
      </w:r>
    </w:p>
    <w:p>
      <w:pPr>
        <w:spacing w:after="0" w:line="19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recent, rapid growth is not indicative of our short-term strategy under our Realignment Plan and, when we return to rapid growth, we may not be able to manage our growth effectively.</w:t>
      </w:r>
    </w:p>
    <w:p>
      <w:pPr>
        <w:spacing w:after="0" w:line="16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revenue declined from $761.9 million for the three months ended June 30, 2021 to $475.4 million for the three months ended June 30, 2022 and increased from $1,353.0 million for the six months ended June 30, 2021 to $1,399.2 million for the six months ended June 30, 2022. Under our Realignment Plan, we are reducing the rate of unit sales to focus on profitability, by among other things, lowering our operating expenses and increasing our gross profit per unit. In addition, we are investing in further improving and automating key aspects of our sales operations and addressing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operational challenges that have arisen from our rapid growth over the past two years. There can be no assurance that our strategy under the Realignment Plan of reducing the rate of unit sales and focusing on profitability will be successful.</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expect that, in the future, we will pursue profitable growth, but we will not be successful in pursing profitable growth if we do not:</w:t>
      </w:r>
    </w:p>
    <w:p>
      <w:pPr>
        <w:spacing w:after="0" w:line="103"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gross profit per unit and reduce our operating expenses;</w:t>
      </w:r>
    </w:p>
    <w:p>
      <w:pPr>
        <w:spacing w:after="0" w:line="103"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89" w:lineRule="exact"/>
        <w:rPr>
          <w:rFonts w:ascii="Arial" w:cs="Arial" w:eastAsia="Arial" w:hAnsi="Arial"/>
          <w:sz w:val="18"/>
          <w:szCs w:val="18"/>
          <w:color w:val="auto"/>
        </w:rPr>
      </w:pPr>
    </w:p>
    <w:p>
      <w:pPr>
        <w:ind w:left="1020" w:right="48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invest in and develop our captive financing capabilities;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w:t>
      </w:r>
    </w:p>
    <w:p>
      <w:pPr>
        <w:spacing w:after="0" w:line="103" w:lineRule="exact"/>
        <w:rPr>
          <w:rFonts w:ascii="Arial" w:cs="Arial" w:eastAsia="Arial" w:hAnsi="Arial"/>
          <w:sz w:val="18"/>
          <w:szCs w:val="18"/>
          <w:color w:val="auto"/>
        </w:rPr>
      </w:pPr>
    </w:p>
    <w:p>
      <w:pPr>
        <w:ind w:left="1020" w:right="10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invest in and enhance the quality of our customer experience and logistics operations, including by transitioning to increasingly automated sales and customer experience operations and improving our customer delivery experience through our proprietary last mile hub and long haul operations;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 our vehicle reconditioning capacity to satisfy increasing unit sales, including by opening additional proprietary VRCs; and</w:t>
      </w:r>
    </w:p>
    <w:p>
      <w:pPr>
        <w:spacing w:after="0" w:line="114"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the functionality of our website and mobile applications to facilitate fully digital transactions.</w:t>
      </w:r>
    </w:p>
    <w:p>
      <w:pPr>
        <w:spacing w:after="0" w:line="198"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During periods of rapid growth we have encountered, and in the future may continue to encounter, risks and difficulties frequently experienced by growing companies in rapidly changing industries, including difficulties in our ability to achieve market acceptance of our platform and attract customers, as well as increasing competition, operational challenges and significant expenses as we grow our business. As we continue to develop our business, and particularly in light of the workforce and operating expense reductions that we announced as part of our Realignment Plan, we may find it difficult to adapt to meet these challenges. We also expect that our business will evolve in ways that may be difficult to predict. For example, over time our investments that are intended to drive new customer traffic to our website may be less productive than expected, our investments in developing proprietary logistics and reconditioning operations and automating our sales operations may not successfully address our existing operational challenges and we may not successfully develop our captive financing capabilities. In the event of these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197"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Our recent, rapid growth placed, and in the future may continue to place, significant demands on our management and our operational and financial resources. In addition to our significant growth in sales and revenues, we experienced significant growth in the number of customers on our platform as well as the amount of data that we analyze. Although we hired additional personnel, our operations did not keep pace with our top-line growth, which has resulted in backlogs in our operations that have adversely affected our customer experience. In addition, our organizational structure is becoming more complex as we refine our business focus, including as we execute our Realignment Plan,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or failing to meet the financial goals of our Realignment Plan.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220" w:lineRule="exact"/>
        <w:rPr>
          <w:sz w:val="20"/>
          <w:szCs w:val="20"/>
          <w:color w:val="auto"/>
        </w:rPr>
      </w:pPr>
    </w:p>
    <w:p>
      <w:pPr>
        <w:jc w:val="both"/>
        <w:ind w:right="60" w:firstLine="749"/>
        <w:spacing w:after="0" w:line="238"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several years, we brought in a new senior leadership team that has refocused our strategy, accelerated our growth and committed us to pursue a path to profitability. To execute this strategy, during periods of rapid growth we have had to manage costs while making investments in enhancing our foundational systems as we scaled our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business, including design and expansion of website functionality and features, mobile application development, advancement and deployment of sophisticated data analytics, lean manufacturing technology, logistics network management, and automation of our transaction processes, and work on all such foundational systems is ongoing. Fundamental to our path to long-term profitability and future growth is the further development of the functionality of our website and mobile applications to facilitate fully digital transactions and reduce the need for continued investments in staffing for the sales and sales support functions and our customer experience operations.</w:t>
      </w:r>
    </w:p>
    <w:p>
      <w:pPr>
        <w:spacing w:after="0" w:line="19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These types of activities and investments subject us to various costs and risks, including significant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79" w:lineRule="exact"/>
        <w:rPr>
          <w:sz w:val="20"/>
          <w:szCs w:val="20"/>
          <w:color w:val="auto"/>
        </w:rPr>
      </w:pPr>
    </w:p>
    <w:p>
      <w:pPr>
        <w:jc w:val="both"/>
        <w:ind w:right="60" w:firstLine="749"/>
        <w:spacing w:after="0"/>
        <w:rPr>
          <w:sz w:val="20"/>
          <w:szCs w:val="20"/>
          <w:color w:val="auto"/>
        </w:rPr>
      </w:pPr>
      <w:r>
        <w:rPr>
          <w:rFonts w:ascii="Arial" w:cs="Arial" w:eastAsia="Arial" w:hAnsi="Arial"/>
          <w:sz w:val="18"/>
          <w:szCs w:val="18"/>
          <w:color w:val="auto"/>
        </w:rPr>
        <w:t>We experienced disruptions across our logistics network at the outset of the COVID-19 pandemic, with a reduced number of third-party providers available to deliver our vehicles, which resulted in a slowdown of inventory being picked up and delivered to our VRCs and in sold units being delivered to customers. In addition, our transportation costs increased as the remaining carriers increased prices.</w:t>
      </w:r>
    </w:p>
    <w:p>
      <w:pPr>
        <w:spacing w:after="0" w:line="188" w:lineRule="exact"/>
        <w:rPr>
          <w:sz w:val="20"/>
          <w:szCs w:val="20"/>
          <w:color w:val="auto"/>
        </w:rPr>
      </w:pPr>
    </w:p>
    <w:p>
      <w:pPr>
        <w:ind w:right="80" w:firstLine="749"/>
        <w:spacing w:after="0" w:line="235" w:lineRule="auto"/>
        <w:rPr>
          <w:sz w:val="20"/>
          <w:szCs w:val="20"/>
          <w:color w:val="auto"/>
        </w:rPr>
      </w:pPr>
      <w:r>
        <w:rPr>
          <w:rFonts w:ascii="Arial" w:cs="Arial" w:eastAsia="Arial" w:hAnsi="Arial"/>
          <w:sz w:val="18"/>
          <w:szCs w:val="18"/>
          <w:color w:val="auto"/>
        </w:rPr>
        <w:t>In response to these disruptions, and to further enhance the quality of our logistics operations and our customer experience, we have been developing our proprietary logistics operations, including expanding our owned vehicle fleet. Additionally, we are utilizing last mile hubs around the country, through which we coordinate directly with our customers to schedule deliveries in an effort to further strengthen our customer experience. Initially, we prioritized investment in our last mile hub delivery operations and, more recently, have been investing in short-haul trucks to make regional deliveries from our last mile hubs, and line-haul vehicles for hub-to-hub shipments on high-volume routes. As part of our Realignment Plan, we intend to increase our proprietary last mile hub and line-haul fleet over time as we build out our regional operating model. These investments will require significant capital expenditures and operating expenses, increase our current risks and expose us to new risks. These risks include local and federal regulations, vehicular crashes, injury, insufficient internal capacity, taxes, license and registration fees, insurance premiums, self-insurance levels, difficulty in recruiting and retaining qualified drivers, maintaining the truck fleet,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161" w:lineRule="exact"/>
        <w:rPr>
          <w:sz w:val="20"/>
          <w:szCs w:val="20"/>
          <w:color w:val="auto"/>
        </w:rPr>
      </w:pPr>
    </w:p>
    <w:p>
      <w:pPr>
        <w:ind w:right="60" w:firstLine="749"/>
        <w:spacing w:after="0" w:line="250" w:lineRule="auto"/>
        <w:rPr>
          <w:sz w:val="20"/>
          <w:szCs w:val="20"/>
          <w:color w:val="auto"/>
        </w:rPr>
      </w:pPr>
      <w:r>
        <w:rPr>
          <w:rFonts w:ascii="Arial" w:cs="Arial" w:eastAsia="Arial" w:hAnsi="Arial"/>
          <w:sz w:val="17"/>
          <w:szCs w:val="17"/>
          <w:color w:val="auto"/>
        </w:rPr>
        <w:t>Currently, our third-party value-added products consist of finance and protection products, which includes third-party financing of customers’ vehicle purchases, as well as other value-added products, such as vehicle service contracts, GAP protection and tire and wheel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for key components of our business, which exposes us to increased risks.</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line with our hybrid asset-light business strategy, many components of our business, including our reconditioning facilities, our logistics operations, our customer financing and our customer experience teams primarily have been provided by third parties. We carefully select our third-party vendors, but we cannot control their actions. If our vendors terminate their relationships with us or fail to perform as we expect, our operations and reputation could suffer if the failure harms the vendors’ ability to serve us and our customers. One or more of these third-party vendors could choose not to do business with us, or could experience financial distress, staffing shortages or liquidity challenges, file for bankruptcy protection, go out of business, undergo a change of control, or suffer disruptions in their business due to the COVID-19 pandemic. The use of third-party vendors represents an inherent risk to our Company that could have a material adverse effect on our business, financial condition and results of operations.</w:t>
      </w:r>
    </w:p>
    <w:p>
      <w:pPr>
        <w:spacing w:after="0" w:line="17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Our future profitability and growth relies heavily on the effectiveness and efficiency of our marketing and branding efforts, and these efforts may not be successful.</w:t>
      </w:r>
    </w:p>
    <w:p>
      <w:pPr>
        <w:spacing w:after="0" w:line="16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While we are reducing marketing expenses as part of our Realignment Plan,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profitability and growth will depend in part on:</w:t>
      </w:r>
    </w:p>
    <w:p>
      <w:pPr>
        <w:spacing w:after="0" w:line="297" w:lineRule="exact"/>
        <w:rPr>
          <w:sz w:val="20"/>
          <w:szCs w:val="20"/>
          <w:color w:val="auto"/>
        </w:rPr>
      </w:pPr>
    </w:p>
    <w:p>
      <w:pPr>
        <w:ind w:left="1020" w:right="24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design our near-term marketing strategy to support the goals of the Realignment Plan on a substantially reduced marketing budget;</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design our marketing programs to support our regional operating model;</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television advertising campaigns;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03" w:lineRule="exact"/>
        <w:rPr>
          <w:rFonts w:ascii="Arial" w:cs="Arial" w:eastAsia="Arial" w:hAnsi="Arial"/>
          <w:sz w:val="18"/>
          <w:szCs w:val="18"/>
          <w:color w:val="auto"/>
        </w:rPr>
      </w:pPr>
    </w:p>
    <w:p>
      <w:pPr>
        <w:ind w:left="1020" w:right="6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89"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89" w:lineRule="exact"/>
        <w:rPr>
          <w:rFonts w:ascii="Arial" w:cs="Arial" w:eastAsia="Arial" w:hAnsi="Arial"/>
          <w:sz w:val="18"/>
          <w:szCs w:val="18"/>
          <w:color w:val="auto"/>
        </w:rPr>
      </w:pPr>
    </w:p>
    <w:p>
      <w:pPr>
        <w:ind w:left="1020" w:right="18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238"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currently includes national television campaigns, and performance marketing through digital platforms, including both auto-centric lead generation platforms and broader consumer-facing platforms. As such, a significant component of our marketing spend involves the use of various marketing techniques, including programmatic ad-buying, interest targeting, retargeting and email nurturing. As part of our Realignment Plan, we are decreasing our marketing expense by focusing on highest-ROI channels while aligning with volume trajectory. Our future profitability and growth will depend in part on the successful reduction in marketing expense contemplated by our Realignment Plan and increased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191"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Additionally, our business model relies on our ability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successful or are terminated, our business, financial condition and results of operations could be materially and adversely affected.</w:t>
      </w:r>
    </w:p>
    <w:p>
      <w:pPr>
        <w:spacing w:after="0" w:line="17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61"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Our success will depend, in part, on our ability to develop and evolve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such as our recent UACC Acquisition, and our earlier acquisition of the CarStory business. The identification of suitable acquisition candidates can be difficult, time-consuming and costly, and we may not be able to successfully complete identified acquisitions. The risks we face in connection with acquisitions include:</w:t>
      </w:r>
    </w:p>
    <w:p>
      <w:pPr>
        <w:spacing w:after="0" w:line="95"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14" w:lineRule="exact"/>
        <w:rPr>
          <w:rFonts w:ascii="Arial" w:cs="Arial" w:eastAsia="Arial" w:hAnsi="Arial"/>
          <w:sz w:val="17"/>
          <w:szCs w:val="17"/>
          <w:color w:val="auto"/>
        </w:rPr>
      </w:pPr>
    </w:p>
    <w:p>
      <w:pPr>
        <w:ind w:left="1020" w:right="10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89"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89" w:lineRule="exact"/>
        <w:rPr>
          <w:rFonts w:ascii="Arial" w:cs="Arial" w:eastAsia="Arial" w:hAnsi="Arial"/>
          <w:sz w:val="18"/>
          <w:szCs w:val="18"/>
          <w:color w:val="auto"/>
        </w:rPr>
      </w:pPr>
    </w:p>
    <w:p>
      <w:pPr>
        <w:ind w:left="1020" w:right="68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89" w:lineRule="exact"/>
        <w:rPr>
          <w:rFonts w:ascii="Arial" w:cs="Arial" w:eastAsia="Arial" w:hAnsi="Arial"/>
          <w:sz w:val="18"/>
          <w:szCs w:val="18"/>
          <w:color w:val="auto"/>
        </w:rPr>
      </w:pPr>
    </w:p>
    <w:p>
      <w:pPr>
        <w:ind w:left="1020" w:right="46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84"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16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Risks Related to Our Operations</w:t>
      </w:r>
    </w:p>
    <w:p>
      <w:pPr>
        <w:spacing w:after="0" w:line="198"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161"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providers, increase our supply from existing providers, or replace such service providers with a proprietary VRC (which may require significant time and investment), we could experience a decrease in the finished goods output sufficient to scale the business, a decline in quality of our reconditioning services, delays in listing our inventory, additional expenses, delivery delays and loss of potential and existing customers and related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revenues, which may materially and adversely affect our business, financial condition and results of operations. These risks are exacerbated by the fact that our third-party VRCs are primarily operated by one third-party provider.</w:t>
      </w:r>
    </w:p>
    <w:p>
      <w:pPr>
        <w:spacing w:after="0" w:line="184"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Moreover, our future profitability and growth depends in part on developing our proprietary reconditioning and last-mile delivery operations and regionalizing the geographic reach of those operations in accordance with our Realignment Plan in order to reduce shipping costs. We have expanded our reconditioning capacity primarily through third-party VRC locations and, as we continue to develop our business, we intend to add additional proprietary VRCs to our integrated hybrid network to ensure adequate capacity. We have right sized our proprietary reconditioning operations in the Houston market and currently intend to add additional proprietary VRCs into our integrated network over time. However, there can be no guarantee that we will be able to add additional proprietary VRCs quickly enough and in optimal locations to facilitate development of our regional operating model and to address our capacity needs.</w:t>
      </w:r>
    </w:p>
    <w:p>
      <w:pPr>
        <w:spacing w:after="0" w:line="193"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One of our third party VRC providers, Adesa U.S., which also hosted a number of our last-mile hubs, recently was acquired by a competitor of Vroom. Adesa discontinued its third-party reconditioning services, which required us to replace Adesa’s capacity with increased capacity at our other existing providers, new providers, or additional proprietary VRCs, and relocate the affected last-mile hubs. If for any reason we are unable to replace such reconditioning capacity and expand our reconditioning operations as planned, we could experience operational delays and a decrease in planned inventory. A failure to relocate the affected last-mile hubs could delay our continued expansion of our last-mile operations and hurt our customer experience. A failure to successfully manage the transition away from Adesa or to otherwise manage the risks associated with the operation of our VRCs by us and our third-party service providers could have a material adverse effect on our business, financial condition and results of operations.</w:t>
      </w:r>
    </w:p>
    <w:p>
      <w:pPr>
        <w:spacing w:after="0" w:line="19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There could be delays in obtaining the requisite approvals, permits, financing and licenses to operate our VRCs or we may not be able to obtain them at all. If we or our vendors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17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b w:val="1"/>
          <w:bCs w:val="1"/>
          <w:i w:val="1"/>
          <w:iCs w:val="1"/>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9"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Although we are optimizing our proprietary logistics network, including as part of our increased focus on developing our regional operating model under our Realignment Plan, we still heavily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16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availability, quality or fulfillment of these products.</w:t>
      </w:r>
    </w:p>
    <w:p>
      <w:pPr>
        <w:spacing w:after="0" w:line="161"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have historically relied on third-party lenders to finance all of our customers’ vehicle purchases. We will continue to rely on third-party lenders as we continue to integrate and develop UACC into a full captive lending operation. We also offer value-added products to our customers through a third-party service provider, such as vehicle service contracts, GAP protection and tire and wheel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 Currently, the majority of customers who purchase vehicles finance their purchases through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third-party lenders. If we are unable to maintain our relationships with our third-party lenders, there is no guarantee that UACC would be able to service the additional transaction volume and expanded credit profiles, or that we would be able to find replacement lenders who will provide our customers with financing, in which case our ability to sell our vehicles would be adversely affected; accordingly, the loss of such relationships could have a material adverse effect on our business, financial condition, and results of operations.</w:t>
      </w:r>
    </w:p>
    <w:p>
      <w:pPr>
        <w:spacing w:after="0" w:line="190" w:lineRule="exact"/>
        <w:rPr>
          <w:sz w:val="20"/>
          <w:szCs w:val="20"/>
          <w:color w:val="auto"/>
        </w:rPr>
      </w:pPr>
    </w:p>
    <w:p>
      <w:pPr>
        <w:ind w:right="260" w:firstLine="749"/>
        <w:spacing w:after="0" w:line="253"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79" w:lineRule="exact"/>
        <w:rPr>
          <w:sz w:val="20"/>
          <w:szCs w:val="20"/>
          <w:color w:val="auto"/>
        </w:rPr>
      </w:pPr>
    </w:p>
    <w:p>
      <w:pPr>
        <w:ind w:right="240" w:firstLine="749"/>
        <w:spacing w:after="0" w:line="261" w:lineRule="auto"/>
        <w:rPr>
          <w:sz w:val="20"/>
          <w:szCs w:val="20"/>
          <w:color w:val="auto"/>
        </w:rPr>
      </w:pPr>
      <w:r>
        <w:rPr>
          <w:rFonts w:ascii="Arial" w:cs="Arial" w:eastAsia="Arial" w:hAnsi="Arial"/>
          <w:sz w:val="17"/>
          <w:szCs w:val="17"/>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49"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17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10% of our inventory. In addition, our third-party reconditioning services are primarily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 In addition, any such unforeseen events or circumstances, changes in demographics and population or severe weather conditions or other catastrophic events in any of the states where UACC has a high concentration of borrowers could result in payment delays and increased risk of losses and could materially and adversely affect our revenues and results of operations.</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and attract qualified personnel, our ability to develop and successfully grow our business could be harmed.</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 future vision, and strategic direction. In May 2022, Thomas H. Shortt was appointed as our Chief Executive Officer, succeeding Paul J. Hennessy. Additionally, Robert J. Mylod, Jr. was appointed as the Independent Executive Chair of the Board in order to support the leadership change in the Chief Executive Officer position. Our future performance will depend, in part, on the successful transition of the Chief Executive Officer position. If we do not successfully manage the transition, it could be viewed negatively by our customers, employees, investors, suppliers and other third-party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our business, including with respect to strategic initiatives such as our Realignment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In addition, we issue equity awards to certain of our employees as part our hiring and retention efforts, and job candidates and existing employees often consider the value of the equity awards they receive in connection with their employment. Our employees’ ability to sell their shares in the public market at times and/or at prices desired may lead to a larger than normal turnover rate. If the actual or perceived value of our common stock declines, it may adversely affect our ability to hire or retain employees. In addition, we may periodically change our equity compensation practices, which may include reducing the number of employees eligible for equity awards or reducing the size of equity awards granted per employee or undertaking other efforts that may prove an unsuccessful retention mechanism. If we are unable to attract, integrate, or retain the qualified and highly skilled personnel required to fulfill our current or future needs, our business and future growth prospects could be harmed.</w:t>
      </w:r>
    </w:p>
    <w:p>
      <w:pPr>
        <w:spacing w:after="0" w:line="19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Furthermore, in light of our announced reduction in headcount as part of our Realignment Plan,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Customer Experience</w:t>
      </w:r>
    </w:p>
    <w:p>
      <w:pPr>
        <w:spacing w:after="0" w:line="198"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b w:val="1"/>
          <w:bCs w:val="1"/>
          <w:i w:val="1"/>
          <w:iCs w:val="1"/>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138"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We have entered into several outsourcing arrangements with third parties related to our customer experience teams, including with respect to our customer inquiries, sales, purchases, financing, document support, customer service and other customer experience operations.</w:t>
      </w:r>
    </w:p>
    <w:p>
      <w:pPr>
        <w:spacing w:after="0" w:line="188"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While we intend to automate key portions of our sales operations as part of our Realignment Plan, currently a substantial portion of inquiries, sales, purchases and financings of our vehicles in our ecommerce business are conducted by phone through a third-party customer experience center located in Detroit, Michigan. While we have also engaged an internal sales team and an additional third-party team to conduct our sales operations, the customer experience center remains fundamental to the success of our business. As a result, the success of our business and our customer experience is partially dependent on a third party over which we have limited control. If the third party’s systems and operations fail or if the third party is otherwise unwilling or unable to perform its sales function, we would be limited in our ability to complete customer transactions, which would make it more difficult to sell vehicles and value-added products through our platform.</w:t>
      </w:r>
    </w:p>
    <w:p>
      <w:pPr>
        <w:spacing w:after="0" w:line="18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also rely on other third parties to provide customer service, document support and other important customer experience operations and face challenges in maintaining the quality of our customer experience. If the customer experience center or any of these third parties are unable to perform to our standards or to provide the level of service required or expected by our customers, or we are unable to renegotiate our agreements with them on attractive terms or at all, or if we are unable to contract with alternative third-party providers,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sales and results of operations are materially affected by our customer experience, our reputation and our brand.</w:t>
      </w:r>
    </w:p>
    <w:p>
      <w:pPr>
        <w:spacing w:after="0" w:line="220" w:lineRule="exact"/>
        <w:rPr>
          <w:sz w:val="20"/>
          <w:szCs w:val="20"/>
          <w:color w:val="auto"/>
        </w:rPr>
      </w:pPr>
    </w:p>
    <w:p>
      <w:pPr>
        <w:ind w:right="200" w:firstLine="749"/>
        <w:spacing w:after="0" w:line="236"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historical growth makes maintaining the quality of our customer experience more difficult, and we have encountered operational challenges in keeping up with our rapid growth over the past two years. Backlogs in our business developed as there was more sales volume than we had the capacity to manage, resulting in delays in processing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transactions, including delays in titling and registering vehicles purchased by our customers, which have adversely affected our customer experience and have led in recent months to increased calls to our customer service teams, who have had difficulty keeping up with the increased call volume. If we cannot adequately address these challenges and deliver a positive customer experience through completion of the transaction, including if we cannot successfully automate key portions of our sales operations as contemplated by our Realignment Plan, our brand and our business will suffer.</w:t>
      </w:r>
    </w:p>
    <w:p>
      <w:pPr>
        <w:spacing w:after="0" w:line="192" w:lineRule="exact"/>
        <w:rPr>
          <w:sz w:val="20"/>
          <w:szCs w:val="20"/>
          <w:color w:val="auto"/>
        </w:rPr>
      </w:pPr>
    </w:p>
    <w:p>
      <w:pPr>
        <w:ind w:right="340" w:firstLine="749"/>
        <w:spacing w:after="0" w:line="236"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The growing use of social media increases the speed with which information and opinions can be shared and thus the speed with which our reputation can be damaged. If we fail to deliver the desired customer experience, or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UACC Business</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integrate the UACC business into Vroom’s business and develop UACC into a captive lending operation for Vroom.</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On February 1, 2022, we completed the UACC Acquisition. Vroom and UACC will need to successfully integrate their operations and ultimately develop UACC into a captive lending operation for Vroom. The integration will require significant efforts from each company, additional investments in technology and operations to scale the combined operations and the development of full credit spectrum lending capabilities at UACC. The integration of UACC may also divert management’s time and resources from our core business, which could impair our relationships with our current employees, customers and strategic partners and disrupt our operations. The failure to successfully achieve such integration would undermine our ability to realize the benefits we expect to receive from the transaction and successfully execute our Realignment Plan, and our business and financial condition may be harmed as a result.</w:t>
      </w:r>
    </w:p>
    <w:p>
      <w:pPr>
        <w:spacing w:after="0" w:line="171"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We may not realize the anticipated benefits of the UACC Acquisition or realization of those benefits could take longer than anticipated.</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 with our Realignment Plan. Achieving these benefits will require the successful integration, development and operation of the combined businesses and it is not certain that we will succeed in those efforts. See “—We may not successfully execute or achieve the expected benefits of our previously announced Realignment Plan and other cost saving measures we may take in the future, and our efforts may result in further actions and may adversely affect our business, financial condition and results of operations.” If we fail to successfully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loan origination practices and debt collection practices.</w:t>
      </w:r>
    </w:p>
    <w:p>
      <w:pPr>
        <w:spacing w:after="0" w:line="197" w:lineRule="exact"/>
        <w:rPr>
          <w:sz w:val="20"/>
          <w:szCs w:val="20"/>
          <w:color w:val="auto"/>
        </w:rPr>
      </w:pPr>
    </w:p>
    <w:p>
      <w:pPr>
        <w:ind w:right="220" w:firstLine="749"/>
        <w:spacing w:after="0" w:line="237" w:lineRule="auto"/>
        <w:rPr>
          <w:sz w:val="20"/>
          <w:szCs w:val="20"/>
          <w:color w:val="auto"/>
        </w:rPr>
      </w:pPr>
      <w:r>
        <w:rPr>
          <w:rFonts w:ascii="Arial" w:cs="Arial" w:eastAsia="Arial" w:hAnsi="Arial"/>
          <w:sz w:val="18"/>
          <w:szCs w:val="18"/>
          <w:color w:val="auto"/>
        </w:rPr>
        <w:t>In addition, with regard to UACC’s financing, we intend to maintain an asset-light funding approach through the use of off-balance sheet securitization transactions and forward flow arrangements. Achievement of off-balance sheet accounting treatment requires the Company to sell all of the rated notes and residual certificates in the securitization, subject to holding 5% risk retention. Execution of securitization transactions, including achievement of off-balance sheet accounting treatment for those transactions, is subject to market conditions. Even if UACC is able to complete its securitizations, those securitizations may not qualify for off-balance sheet accounting treatment, resulting in retention of the underlying loans on our consolidated balance sheet.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UACC provides indirect financing to customers and typically sells the receivables related to the financing contract. For example, UACC has entered into various arrangements to sell automotive finance receivables that it originates, including through securitizations, and expects to enter into additional securitizations, loan sales to financing partners and other new arrangements in the future. If UACC is not able to sell receivables under these current or future arrangements for a variety of reasons, including because it has reached its capacity under the arrangements, its financing partners exercise constructive or other termination rights before it reaches capacity, market disruption or it reaches the scheduled expiration date of the commitment, and it is not able to enter into new arrangements on similar terms, it may not have adequate liquidity and our business, financial condition and results of operations may be adversely affected. Furthermore, if its financing partners do not purchase these receivables, we could be subject to the risk that some of these receivables are not paid when due and be forced to incur unexpected asset write-offs and bad-debt expense.</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6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92" w:lineRule="exact"/>
        <w:rPr>
          <w:sz w:val="20"/>
          <w:szCs w:val="20"/>
          <w:color w:val="auto"/>
        </w:rPr>
      </w:pPr>
    </w:p>
    <w:p>
      <w:pPr>
        <w:ind w:right="220" w:firstLine="749"/>
        <w:spacing w:after="0" w:line="236" w:lineRule="auto"/>
        <w:rPr>
          <w:sz w:val="20"/>
          <w:szCs w:val="20"/>
          <w:color w:val="auto"/>
        </w:rPr>
      </w:pPr>
      <w:r>
        <w:rPr>
          <w:rFonts w:ascii="Arial" w:cs="Arial" w:eastAsia="Arial" w:hAnsi="Arial"/>
          <w:sz w:val="18"/>
          <w:szCs w:val="18"/>
          <w:color w:val="auto"/>
        </w:rPr>
        <w:t>Although UACC successfully completed a securitization in each of 2020, 2021, February 2022 and July 2022, there can be no assurance that UACC will be able to complete additional securitizations, particularly if the securitization markets become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Furthermore, although our intent is to sell loans originated by UACC using off-balance sheet securitization transactions, even if UACC is able to complete its securitizations, those securitizations may not qualify for sales accounting if market conditions do not allow for the sale of residual certificates.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6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UACC may experience greater credit losses or prepayments in any interests it holds in automotive finance receivables than it anticipates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85"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Until UACC sells automotive finance receivables, and to the extent it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Credit losses are inherent in the automotive finance receivables business and could have a material adverse effect on our results of operations.</w:t>
      </w:r>
    </w:p>
    <w:p>
      <w:pPr>
        <w:spacing w:after="0" w:line="19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For example, if economic conditions were to deteriorate unexpectedly, additional loan losses not incorporated in the existing valuation may occur. Several variables have affected UACC’s recent loss and delinquency rates, including general economic conditions and market interest rates, and are likely to differ in the future. In particular, given the impact the COVID-19 pandemic has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global outbreak of COVID-19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 financing partners or other arrangements, and to the extent those receivables fail to perform during its holding period, they may become ineligible for sale. As a result, our business, results of operations, and financial condition may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61"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collect, store, process, and use personal information and other customer data, and rely in part on third parties that are not directly under our control, including our third-party customer experience teams, to manage certain areas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Any failure or perceived failure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w:t>
      </w:r>
    </w:p>
    <w:p>
      <w:pPr>
        <w:spacing w:after="0" w:line="192"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and regulations regarding privacy, cybersecurity and the collection, use and disclosure of personal information and other data. The scope and interpretation of these laws continue to evolve and may be inconsistent across jurisdictions. New laws also may be enacted.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 We carry out ongoing efforts to implement a number of security controls to mitigate these risks.</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Threat actors are increasingly sophisticated and can operate large-scale complex automated attacks. Similar to most IT systems and companies, there is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 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170" w:lineRule="exact"/>
        <w:rPr>
          <w:sz w:val="20"/>
          <w:szCs w:val="20"/>
          <w:color w:val="auto"/>
        </w:rPr>
      </w:pPr>
    </w:p>
    <w:p>
      <w:pPr>
        <w:ind w:right="2860" w:firstLine="2860"/>
        <w:spacing w:after="0" w:line="481" w:lineRule="auto"/>
        <w:rPr>
          <w:sz w:val="20"/>
          <w:szCs w:val="20"/>
          <w:color w:val="auto"/>
        </w:rPr>
      </w:pPr>
      <w:r>
        <w:rPr>
          <w:rFonts w:ascii="Arial" w:cs="Arial" w:eastAsia="Arial" w:hAnsi="Arial"/>
          <w:sz w:val="18"/>
          <w:szCs w:val="18"/>
          <w:b w:val="1"/>
          <w:bCs w:val="1"/>
          <w:color w:val="auto"/>
        </w:rPr>
        <w:t xml:space="preserve">Risks Related to Our Industry and General Economic Conditions </w:t>
      </w:r>
      <w:r>
        <w:rPr>
          <w:rFonts w:ascii="Arial" w:cs="Arial" w:eastAsia="Arial" w:hAnsi="Arial"/>
          <w:sz w:val="18"/>
          <w:szCs w:val="18"/>
          <w:b w:val="1"/>
          <w:bCs w:val="1"/>
          <w:i w:val="1"/>
          <w:iCs w:val="1"/>
          <w:color w:val="auto"/>
        </w:rPr>
        <w:t>Our business is sensitive to changes in the prices of new and used vehicles.</w:t>
      </w:r>
    </w:p>
    <w:p>
      <w:pPr>
        <w:spacing w:after="0" w:line="1"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 During the COVID-19 pandemic, we have experienced unprecedented market conditions, caused in part by supply chain dislocations, a shortage of microchips and associated delays in new car manufacturing, which increased demand for used vehicles, putting downward pressure on supply and upward pressure on used vehicle pricing. This volatility creates risks around our ability to appropriately price our vehicles and maintain our sales margins. There can be no assurance for how long these market conditions will continue.</w:t>
      </w:r>
    </w:p>
    <w:p>
      <w:pPr>
        <w:spacing w:after="0" w:line="19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170" w:lineRule="exact"/>
        <w:rPr>
          <w:sz w:val="20"/>
          <w:szCs w:val="20"/>
          <w:color w:val="auto"/>
        </w:rPr>
      </w:pPr>
    </w:p>
    <w:p>
      <w:pPr>
        <w:jc w:val="both"/>
        <w:ind w:right="620"/>
        <w:spacing w:after="0" w:line="252"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17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acquire vehicles for sale from consumers, auctions, rental car companies, OEMs and dealers. There can be no assurance that the supply of desirable used vehicles will be sufficient to meet our needs. We purchased approximately 76% of our retail inventory sold from consumers in the three and six months ended June 30, 2022. If our brand is damaged, or consumers otherwise are unwilling to transact with us, we may not be able to source sufficient inventory, or may have to source inventory from lower margin channels. In addition, we purchase a significant amount of our inventory from certain third-party auction sources. If these third parties are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19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list and sell inventory. Failure to expeditiously list and sell our inventory could have a material adverse effect on our business, financial condition and results of operations.</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have undertaken various initiatives to address the operational challenges created by our rapid growth over the past two years, including delays in titling and registering vehicles purchased by our customers. These initiatives include increased digitization and electronic transmission of transaction documents and implementation of our digital title vault to ensure that titles are quality checked and vaulted prior to listing. While these initiatives are designed to improve our transaction processing, enhance our customer experience, reduce our regulatory risk and increase efficiency in transaction processing, they can result in delays in listing our inventory for sale. Since vehicles depreciate rapidly, a failure to expeditiously list our inventory for sale could hurt our sales margins and gross profit per unit, and could materially and adversely affect our business, financial condition and results of operations.</w:t>
      </w:r>
    </w:p>
    <w:p>
      <w:pPr>
        <w:spacing w:after="0" w:line="193"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sales margins and gross profit per unit and could materially and adversely affect our business, financial condition and results of operations. The rate at which customers return vehicles increased in recent periods and there can be no assurance that return rates will remain similar to our historical levels. Vehicles returned continue to depreciate in value and if return rates continue to increase, our revenue, business, financial condition and results of operations could be materially and adversely affected.</w:t>
      </w:r>
    </w:p>
    <w:p>
      <w:pPr>
        <w:spacing w:after="0" w:line="192"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competitors may include:</w:t>
      </w:r>
    </w:p>
    <w:p>
      <w:pPr>
        <w:spacing w:after="0" w:line="103"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03"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03"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Motors’ recently launched platform, CarBravo, a new online used-vehicle marketplace for GM-branded vehicles aimed at competing with online dealerships;</w:t>
      </w:r>
    </w:p>
    <w:p>
      <w:pPr>
        <w:spacing w:after="0" w:line="89" w:lineRule="exact"/>
        <w:rPr>
          <w:rFonts w:ascii="Arial" w:cs="Arial" w:eastAsia="Arial" w:hAnsi="Arial"/>
          <w:sz w:val="18"/>
          <w:szCs w:val="18"/>
          <w:color w:val="auto"/>
        </w:rPr>
      </w:pPr>
    </w:p>
    <w:p>
      <w:pPr>
        <w:ind w:left="1020" w:right="580" w:hanging="504"/>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automotive finance companies launching online ecommerce businesses, such as Chase Auto Preferred, CapitalOne Auto Navigator and Rocket Auto;</w:t>
      </w:r>
    </w:p>
    <w:p>
      <w:pPr>
        <w:spacing w:after="0" w:line="75" w:lineRule="exact"/>
        <w:rPr>
          <w:rFonts w:ascii="Arial" w:cs="Arial" w:eastAsia="Arial" w:hAnsi="Arial"/>
          <w:sz w:val="18"/>
          <w:szCs w:val="18"/>
          <w:color w:val="auto"/>
        </w:rPr>
      </w:pPr>
    </w:p>
    <w:p>
      <w:pPr>
        <w:ind w:left="1020" w:right="44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89" w:lineRule="exact"/>
        <w:rPr>
          <w:rFonts w:ascii="Arial" w:cs="Arial" w:eastAsia="Arial" w:hAnsi="Arial"/>
          <w:sz w:val="18"/>
          <w:szCs w:val="18"/>
          <w:color w:val="auto"/>
        </w:rPr>
      </w:pPr>
    </w:p>
    <w:p>
      <w:pPr>
        <w:ind w:left="1020" w:right="44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84"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Ford and Volkswagen could change their sales models in a fashion similar to General Motors or otherwise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9"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88"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190"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89" w:lineRule="exact"/>
        <w:rPr>
          <w:sz w:val="20"/>
          <w:szCs w:val="20"/>
          <w:color w:val="auto"/>
        </w:rPr>
      </w:pPr>
    </w:p>
    <w:p>
      <w:pPr>
        <w:ind w:right="160" w:firstLine="749"/>
        <w:spacing w:after="0" w:line="23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The increase in remote work and virtual workplaces, particularly since the start of the COVID-19 pandemic, reduces commuting by consumers and could lead to reductions in demand for vehicles.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220"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297" w:lineRule="exact"/>
        <w:rPr>
          <w:sz w:val="20"/>
          <w:szCs w:val="20"/>
          <w:color w:val="auto"/>
        </w:rPr>
      </w:pPr>
    </w:p>
    <w:p>
      <w:pPr>
        <w:ind w:left="1020" w:right="18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temporary tags or title and registration;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198" w:lineRule="exact"/>
        <w:rPr>
          <w:sz w:val="20"/>
          <w:szCs w:val="20"/>
          <w:color w:val="auto"/>
        </w:rPr>
      </w:pPr>
    </w:p>
    <w:p>
      <w:pPr>
        <w:ind w:right="540" w:firstLine="749"/>
        <w:spacing w:after="0" w:line="245"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 In addition, such periods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w:t>
      </w:r>
    </w:p>
    <w:p>
      <w:pPr>
        <w:spacing w:after="0" w:line="193"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rising interest rates, the cost of energy and gasoline, the availability and cost of consumer credit, reductions in consumer confidence and fears of recession, stock market volatility, increased regulation and increased unemployment.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spacing w:after="0" w:line="192"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Changing trends in consumer tastes, negative business and economic conditions and market volatility may also make it difficult for us to accurately forecast vehicle demand trends, which could cause us to increase our inventory carrying costs and could materially and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220" w:lineRule="exact"/>
        <w:rPr>
          <w:sz w:val="20"/>
          <w:szCs w:val="20"/>
          <w:color w:val="auto"/>
        </w:rPr>
      </w:pPr>
    </w:p>
    <w:p>
      <w:pPr>
        <w:ind w:right="80" w:firstLine="749"/>
        <w:spacing w:after="0" w:line="248" w:lineRule="auto"/>
        <w:rPr>
          <w:sz w:val="20"/>
          <w:szCs w:val="20"/>
          <w:color w:val="auto"/>
        </w:rPr>
      </w:pPr>
      <w:r>
        <w:rPr>
          <w:rFonts w:ascii="Arial" w:cs="Arial" w:eastAsia="Arial" w:hAnsi="Arial"/>
          <w:sz w:val="17"/>
          <w:szCs w:val="17"/>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2" w:lineRule="exact"/>
        <w:rPr>
          <w:sz w:val="20"/>
          <w:szCs w:val="20"/>
          <w:color w:val="auto"/>
        </w:rPr>
      </w:pPr>
    </w:p>
    <w:p>
      <w:pPr>
        <w:ind w:right="140" w:firstLine="8"/>
        <w:spacing w:after="0" w:line="245" w:lineRule="auto"/>
        <w:tabs>
          <w:tab w:leader="none" w:pos="2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4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Regulations governing the used vehicle industry generally do not contemplate our ecommerce business model.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the U.S. Department of Transportation (“DOT”), the U.S. Occupational Health and Safety Administration, the U.S. Department of Justice and the U.S. Federal Communications Commission ("FCC"). Additionally, we are subject to regulation by individual state dealer licensing authorities, state consumer protection agencies and state financial regulatory agencies.</w:t>
      </w:r>
    </w:p>
    <w:p>
      <w:pPr>
        <w:spacing w:after="0" w:line="188"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From time to time, we have been subject to audits, requests for information, investigations and other inquiries from our regulators related to customer complaints. As we have encountered operational challenges in keeping up with our rapid growth, during the past several months there has been an increase in customer complaints, leading to an increase in such regulatory inquiries. We endeavor to promptly respond to any such inquiries and cooperate with our regulators. Failure to satisfy regulators in response to such inquiries could lead to revocation of licenses, financial penalties and restrictions on our operations. Such an outcome could have a material adverse effect on our business, financial condition and results of operations. We have incurred fines in certain states and on April 19, 2022, the State of Texas filed a lawsuit in the District Court of Travis County, Texas, against the Company and one of its subsidiaries, alleging violations of the Texas Deceptive Trade Practices Consumer Protection Act. See Part II, Item 1 – “Legal Proceedings.”</w:t>
      </w:r>
    </w:p>
    <w:p>
      <w:pPr>
        <w:spacing w:after="0" w:line="192"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currently licensed as a dealer in the States of Texas, Florida and Arizona and all of our vehicle transactions are conducted under our Texas, Florida and Arizona licenses. We believe that our activities in other states are not subject to their vehicle dealer licensing laws; however, regulators in such states could seek to require us to maintain a used vehicle dealer license in order to engage in activities in that state.</w:t>
      </w:r>
    </w:p>
    <w:p>
      <w:pPr>
        <w:spacing w:after="0" w:line="189"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 retail installment seller license in Florida in connection with our Florida dealer license, and filed the required notice in Arizona in connection with our Arizona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have obtained a Pennsylvania installment seller license and expect to resume offering financing to Pennsylvania customers in the future.</w:t>
      </w:r>
    </w:p>
    <w:p>
      <w:pPr>
        <w:spacing w:after="0" w:line="191"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Any failure to renew or maintain or any revocation of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Our proprietary logistics operations are subject to regulation by the DOT and by the states through which our vehicles travel. Transport vehicle dimensions, transport vehicle conditions, driver motor vehicle record history, driver alcohol and drug testing, and driver hours of service are also subject to both federal and state regulation. More restrictive limitations on vehicle weight and size, condition, trailer length and configuration, methods of measurement, driver qualifications, or driver hours of service would increase our operating expenses and may adversely affect our financial condition, operating results, and cash flows. If we fail to comply with the DOT regulations or if those regulations become more stringent, we could be subject to increased inspections, audits, or compliance burdens. Regulatory authorities could take remedial action including imposing fines, suspending, or shutting down our transportation operations. If any of these events occur, our business, financial condition and results of operations would be adversely affected.</w:t>
      </w:r>
    </w:p>
    <w:p>
      <w:pPr>
        <w:spacing w:after="0" w:line="19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UACC's financing operations are subject to U.S. federal, state, and local laws and regulations regarding loan origination, acquiring motor vehicle installment sales contracts from retail sellers, credit bureau reporting, servicing, debt collection practices, and securitization transactions. Certain states require UACC to have a sales finance license, consumer credit license, or similar applicable license. UACC has obtained licenses in all states as required. In addition, UACC is subject to enforcement by the CFPB and state consumer protection agencies, including state attorney general offices and state financial regulatory agencies. As a result of the acquisition of UACC, we may be considered a “related person” to UACC for the purposes of CFPB jurisdiction.</w:t>
      </w:r>
    </w:p>
    <w:p>
      <w:pPr>
        <w:spacing w:after="0" w:line="189" w:lineRule="exact"/>
        <w:rPr>
          <w:sz w:val="20"/>
          <w:szCs w:val="20"/>
          <w:color w:val="auto"/>
        </w:rPr>
      </w:pPr>
    </w:p>
    <w:p>
      <w:pPr>
        <w:ind w:right="100" w:firstLine="749"/>
        <w:spacing w:after="0" w:line="254" w:lineRule="auto"/>
        <w:rPr>
          <w:sz w:val="20"/>
          <w:szCs w:val="20"/>
          <w:color w:val="auto"/>
        </w:rPr>
      </w:pPr>
      <w:r>
        <w:rPr>
          <w:rFonts w:ascii="Arial" w:cs="Arial" w:eastAsia="Arial" w:hAnsi="Arial"/>
          <w:sz w:val="17"/>
          <w:szCs w:val="17"/>
          <w:color w:val="auto"/>
        </w:rPr>
        <w:t>In addition to these laws and regulations that apply specifically to the sale and financing of used vehicles and logistics,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79"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 -desist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192" w:lineRule="exact"/>
        <w:rPr>
          <w:sz w:val="20"/>
          <w:szCs w:val="20"/>
          <w:color w:val="auto"/>
        </w:rPr>
      </w:pPr>
    </w:p>
    <w:p>
      <w:pPr>
        <w:ind w:right="160" w:firstLine="749"/>
        <w:spacing w:after="0" w:line="245" w:lineRule="auto"/>
        <w:rPr>
          <w:sz w:val="20"/>
          <w:szCs w:val="20"/>
          <w:color w:val="auto"/>
        </w:rPr>
      </w:pPr>
      <w:r>
        <w:rPr>
          <w:rFonts w:ascii="Arial" w:cs="Arial" w:eastAsia="Arial" w:hAnsi="Arial"/>
          <w:sz w:val="18"/>
          <w:szCs w:val="18"/>
          <w:color w:val="auto"/>
        </w:rPr>
        <w:t>Additionally, we are subject to federal, state and local laws and regulations and other government actions related to the COVID-19 pandemic.</w:t>
      </w:r>
    </w:p>
    <w:p>
      <w:pPr>
        <w:spacing w:after="0" w:line="184" w:lineRule="exact"/>
        <w:rPr>
          <w:sz w:val="20"/>
          <w:szCs w:val="20"/>
          <w:color w:val="auto"/>
        </w:rPr>
      </w:pPr>
    </w:p>
    <w:p>
      <w:pPr>
        <w:ind w:right="280" w:firstLine="749"/>
        <w:spacing w:after="0" w:line="237"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7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85" w:lineRule="exact"/>
        <w:rPr>
          <w:sz w:val="20"/>
          <w:szCs w:val="20"/>
          <w:color w:val="auto"/>
        </w:rPr>
      </w:pPr>
    </w:p>
    <w:p>
      <w:pPr>
        <w:ind w:right="200" w:firstLine="749"/>
        <w:spacing w:after="0" w:line="235"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192" w:lineRule="exact"/>
        <w:rPr>
          <w:sz w:val="20"/>
          <w:szCs w:val="20"/>
          <w:color w:val="auto"/>
        </w:rPr>
      </w:pPr>
    </w:p>
    <w:p>
      <w:pPr>
        <w:jc w:val="both"/>
        <w:ind w:right="140" w:firstLine="749"/>
        <w:spacing w:after="0" w:line="248" w:lineRule="auto"/>
        <w:rPr>
          <w:sz w:val="20"/>
          <w:szCs w:val="20"/>
          <w:color w:val="auto"/>
        </w:rPr>
      </w:pPr>
      <w:r>
        <w:rPr>
          <w:rFonts w:ascii="Arial" w:cs="Arial" w:eastAsia="Arial" w:hAnsi="Arial"/>
          <w:sz w:val="17"/>
          <w:szCs w:val="17"/>
          <w:color w:val="auto"/>
        </w:rPr>
        <w:t>We expect that industry standards, laws and regulations will continue to develop regarding privacy, data protection and information security in many jurisdictions. Complying with these evolving obligations is costly. For instance, expanding definitions and interpretations of what constitutes “personal data” (or the equivalent) within the United States may increase our compliance costs and legal liability.</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Additionally, California has created a new data protection agency, and other states may do the same, specifically tasked to enforce California privacy laws, which would likely result in increased regulatory scrutiny in the areas of data protection and security.</w:t>
      </w:r>
    </w:p>
    <w:p>
      <w:pPr>
        <w:spacing w:after="0" w:line="184" w:lineRule="exact"/>
        <w:rPr>
          <w:sz w:val="20"/>
          <w:szCs w:val="20"/>
          <w:color w:val="auto"/>
        </w:rPr>
      </w:pPr>
    </w:p>
    <w:p>
      <w:pPr>
        <w:ind w:right="260" w:firstLine="749"/>
        <w:spacing w:after="0" w:line="236"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71"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161"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We utilize telephone calls as a means of responding to and communicating with customers interested in purchasing, trading in and/or selling vehicles and value-added products. Potential customers can submit their contact information, including phone number, via our website or third-party listing sites to express their interest in purchasing a vehicle, selling a vehicle, or obtaining financing terms. We currently engage third-party customer experience centers to respond to these inquiries and further communicate with potential customers concerning sales, purchases and financings of our vehicles through our platform. We send text messages to customers concerning the status of their order, and we intend to expand our use of texting as a means of communicating with our customers.</w:t>
      </w:r>
    </w:p>
    <w:p>
      <w:pPr>
        <w:spacing w:after="0" w:line="189"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The Telephone Consumer Protection Act (the “TCPA”), as interpreted and implemented by the FCC and U.S. courts, imposes significant restrictions on the use of autodialed telephone calls, pre-recorded messages, and text messages to residential and mobile telephone numbers as a means of communication when prior consent of the person being contacted has not been obtained. Violations of the TCPA may be enforced by the FCC or by individuals through litigation, including class actions. Statutory penalties for TCPA violations range from $500 to $1,500 per violation, which has been interpreted to mean per phone call or text message.</w:t>
      </w:r>
    </w:p>
    <w:p>
      <w:pPr>
        <w:spacing w:after="0" w:line="19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While we have implemented processes and procedures to comply with the TCPA, if we or the third parties on which we rely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61" w:lineRule="exact"/>
        <w:rPr>
          <w:sz w:val="20"/>
          <w:szCs w:val="20"/>
          <w:color w:val="auto"/>
        </w:rPr>
      </w:pPr>
    </w:p>
    <w:p>
      <w:pPr>
        <w:ind w:right="320" w:firstLine="749"/>
        <w:spacing w:after="0" w:line="237"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 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9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are dependent on our ability to correctly appraise and price vehicles we buy and sell.</w:t>
      </w:r>
    </w:p>
    <w:p>
      <w:pPr>
        <w:spacing w:after="0" w:line="220"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220"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97"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color w:val="auto"/>
        </w:rPr>
        <w:t>credit card transactions. If we are unable to detect or control credit card or other fraud, our liability for these transactions could harm our business, financial condition and results of operations.</w:t>
      </w:r>
    </w:p>
    <w:p>
      <w:pPr>
        <w:spacing w:after="0" w:line="16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161"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including automation of key portions of our sales operations in accordance with our Realignment Plan, to shop for used vehicles and increase the number of transactions with us that are completed by those users. The shift to mobile technology by our users may harm our business in the following ways:</w:t>
      </w:r>
    </w:p>
    <w:p>
      <w:pPr>
        <w:spacing w:after="0" w:line="297" w:lineRule="exact"/>
        <w:rPr>
          <w:sz w:val="20"/>
          <w:szCs w:val="20"/>
          <w:color w:val="auto"/>
        </w:rPr>
      </w:pPr>
    </w:p>
    <w:p>
      <w:pPr>
        <w:ind w:left="1020" w:right="240" w:hanging="504"/>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89"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89" w:lineRule="exact"/>
        <w:rPr>
          <w:rFonts w:ascii="Arial" w:cs="Arial" w:eastAsia="Arial" w:hAnsi="Arial"/>
          <w:sz w:val="18"/>
          <w:szCs w:val="18"/>
          <w:color w:val="auto"/>
        </w:rPr>
      </w:pPr>
    </w:p>
    <w:p>
      <w:pPr>
        <w:ind w:left="1020" w:right="40" w:hanging="504"/>
        <w:spacing w:after="0" w:line="23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related to consumer protection, such as the Federal Trade Commission Act and similar state regulations, and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190" w:lineRule="exact"/>
        <w:rPr>
          <w:sz w:val="20"/>
          <w:szCs w:val="20"/>
          <w:color w:val="auto"/>
        </w:rPr>
      </w:pPr>
    </w:p>
    <w:p>
      <w:pPr>
        <w:ind w:right="740" w:firstLine="749"/>
        <w:spacing w:after="0" w:line="245"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use our mobile apps, our business, financial condition and results of operations could be harmed.</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179" w:lineRule="exact"/>
        <w:rPr>
          <w:sz w:val="20"/>
          <w:szCs w:val="20"/>
          <w:color w:val="auto"/>
        </w:rPr>
      </w:pPr>
    </w:p>
    <w:p>
      <w:pPr>
        <w:ind w:right="80" w:firstLine="749"/>
        <w:spacing w:after="0" w:line="250" w:lineRule="auto"/>
        <w:rPr>
          <w:sz w:val="20"/>
          <w:szCs w:val="20"/>
          <w:color w:val="auto"/>
        </w:rPr>
      </w:pPr>
      <w:r>
        <w:rPr>
          <w:rFonts w:ascii="Arial" w:cs="Arial" w:eastAsia="Arial" w:hAnsi="Arial"/>
          <w:sz w:val="17"/>
          <w:szCs w:val="17"/>
          <w:color w:val="auto"/>
        </w:rPr>
        <w:t>We depend in part on internet search engines, such as Google, Bing and Yahoo!, vehicle listing sites and social networking sites such as Facebook and Instagram to drive traffic to our platform.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16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179" w:lineRule="exact"/>
        <w:rPr>
          <w:sz w:val="20"/>
          <w:szCs w:val="20"/>
          <w:color w:val="auto"/>
        </w:rPr>
      </w:pPr>
    </w:p>
    <w:p>
      <w:pPr>
        <w:ind w:right="320" w:firstLine="749"/>
        <w:spacing w:after="0" w:line="237"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customers, or if customers decline to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open our emails or other messages, our revenues could be materially and adversely affected. Any changes in how webmail applications organize and prioritize email may reduce the number of customers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customers and may reduce the likelihood of that customer opening our emails.</w:t>
      </w:r>
    </w:p>
    <w:p>
      <w:pPr>
        <w:spacing w:after="0" w:line="19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calculate state taxes and fees associated with our vehicle sales and acquisitions,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ransomware, denial-of-service attacks, acts of terrorism, human error, vandalism or sabotage, financial insolvency, bankruptcy and similar events. The failure of these systems to perform as designed, the failure to maintain or update these systems as necessary, the vulnerability of these systems to ransomware, other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166"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61"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9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640"/>
        <w:spacing w:after="0" w:line="245" w:lineRule="auto"/>
        <w:rPr>
          <w:sz w:val="20"/>
          <w:szCs w:val="20"/>
          <w:color w:val="auto"/>
        </w:rPr>
      </w:pPr>
      <w:r>
        <w:rPr>
          <w:rFonts w:ascii="Arial" w:cs="Arial" w:eastAsia="Arial" w:hAnsi="Arial"/>
          <w:sz w:val="18"/>
          <w:szCs w:val="18"/>
          <w:color w:val="auto"/>
        </w:rPr>
        <w:t>associated with usage of open-source software cannot be eliminated and could materially and adversely affect our business, financial condition and results of operations.</w:t>
      </w:r>
    </w:p>
    <w:p>
      <w:pPr>
        <w:spacing w:after="0" w:line="16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6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192"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Vroom operates a data center at a colocation facility in Houston, Texas, which connects all of Vroom’s offices and our Vroom VRC. UACC operates separate data centers at a colocation facility in California and in Texas to support its operations. Our data centers are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Vroom offices inoperable or results of operations could be harmed. 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97"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97"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90"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9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we have certain trademarks that are important to our business, such as the Vroom®, Sell Us Your Car®, CarStory®, Vroom Financial Services™ and Vast®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(including Canada and Europe),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193"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193" w:lineRule="exact"/>
        <w:rPr>
          <w:sz w:val="20"/>
          <w:szCs w:val="20"/>
          <w:color w:val="auto"/>
        </w:rPr>
      </w:pPr>
    </w:p>
    <w:p>
      <w:pPr>
        <w:ind w:right="240" w:firstLine="749"/>
        <w:spacing w:after="0" w:line="237" w:lineRule="auto"/>
        <w:rPr>
          <w:sz w:val="20"/>
          <w:szCs w:val="20"/>
          <w:color w:val="auto"/>
        </w:rPr>
      </w:pPr>
      <w:r>
        <w:rPr>
          <w:rFonts w:ascii="Arial" w:cs="Arial" w:eastAsia="Arial" w:hAnsi="Arial"/>
          <w:sz w:val="18"/>
          <w:szCs w:val="18"/>
          <w:color w:val="auto"/>
        </w:rPr>
        <w:t>Our CarStory business has a number of patents and Vroom may obtain patents in the future. Effective protection of patents is expensive and difficult to maintain, both in terms of application and registration costs as well as the costs of defending and enforcing those rights.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67"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9" w:lineRule="exact"/>
        <w:rPr>
          <w:sz w:val="20"/>
          <w:szCs w:val="20"/>
          <w:color w:val="auto"/>
        </w:rPr>
      </w:pPr>
    </w:p>
    <w:p>
      <w:pPr>
        <w:ind w:right="220" w:firstLine="749"/>
        <w:spacing w:after="0" w:line="237"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 -how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9" w:lineRule="exact"/>
        <w:rPr>
          <w:sz w:val="20"/>
          <w:szCs w:val="20"/>
          <w:color w:val="auto"/>
        </w:rPr>
      </w:pPr>
    </w:p>
    <w:p>
      <w:pPr>
        <w:ind w:right="280" w:firstLine="749"/>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79"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84" w:lineRule="exact"/>
        <w:rPr>
          <w:sz w:val="20"/>
          <w:szCs w:val="20"/>
          <w:color w:val="auto"/>
        </w:rPr>
      </w:pPr>
    </w:p>
    <w:p>
      <w:pPr>
        <w:ind w:right="320" w:firstLine="799"/>
        <w:spacing w:after="0" w:line="274"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elsewhere in this Quarterly Report on Form 10-Q, as well as the following:</w:t>
      </w:r>
    </w:p>
    <w:p>
      <w:pPr>
        <w:spacing w:after="0" w:line="268" w:lineRule="exact"/>
        <w:rPr>
          <w:sz w:val="20"/>
          <w:szCs w:val="20"/>
          <w:color w:val="auto"/>
        </w:rPr>
      </w:pPr>
    </w:p>
    <w:p>
      <w:pPr>
        <w:ind w:left="1020" w:right="2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undertake as part of our Realignment Plan;</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execute and achieve the benefits of our Realignment Plan and other cost saving measures;</w:t>
      </w:r>
    </w:p>
    <w:p>
      <w:pPr>
        <w:spacing w:after="0" w:line="103" w:lineRule="exact"/>
        <w:rPr>
          <w:rFonts w:ascii="Arial" w:cs="Arial" w:eastAsia="Arial" w:hAnsi="Arial"/>
          <w:sz w:val="18"/>
          <w:szCs w:val="18"/>
          <w:color w:val="auto"/>
        </w:rPr>
      </w:pPr>
    </w:p>
    <w:p>
      <w:pPr>
        <w:ind w:left="1020" w:right="36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03" w:lineRule="exact"/>
        <w:rPr>
          <w:rFonts w:ascii="Arial" w:cs="Arial" w:eastAsia="Arial" w:hAnsi="Arial"/>
          <w:sz w:val="18"/>
          <w:szCs w:val="18"/>
          <w:color w:val="auto"/>
        </w:rPr>
      </w:pPr>
    </w:p>
    <w:p>
      <w:pPr>
        <w:ind w:left="1020" w:right="26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 including with respect to the announcement of our Realignment Plan and any subsequent updates regarding its success;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03" w:lineRule="exact"/>
        <w:rPr>
          <w:rFonts w:ascii="Arial" w:cs="Arial" w:eastAsia="Arial" w:hAnsi="Arial"/>
          <w:sz w:val="18"/>
          <w:szCs w:val="18"/>
          <w:color w:val="auto"/>
        </w:rPr>
      </w:pPr>
    </w:p>
    <w:p>
      <w:pPr>
        <w:ind w:left="1020" w:right="30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unrest and wars, such as the current war in Ukraine, which could delay and disrupt our business, and if such political unrest escalates or leads to disruptions in the financial markets or puts further pressure on global supply chains, it could heighten many of the other risk factors included in this Item 1A; and</w:t>
      </w:r>
    </w:p>
    <w:p>
      <w:pPr>
        <w:spacing w:after="0" w:line="93" w:lineRule="exact"/>
        <w:rPr>
          <w:rFonts w:ascii="Arial" w:cs="Arial" w:eastAsia="Arial" w:hAnsi="Arial"/>
          <w:sz w:val="18"/>
          <w:szCs w:val="18"/>
          <w:color w:val="auto"/>
        </w:rPr>
      </w:pPr>
    </w:p>
    <w:p>
      <w:pPr>
        <w:ind w:left="1020" w:right="26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current inflationary environment in the United States and in other global economies and the impact of rising interest rates; and</w:t>
      </w:r>
    </w:p>
    <w:p>
      <w:pPr>
        <w:spacing w:after="0" w:line="89" w:lineRule="exact"/>
        <w:rPr>
          <w:rFonts w:ascii="Arial" w:cs="Arial" w:eastAsia="Arial" w:hAnsi="Arial"/>
          <w:sz w:val="18"/>
          <w:szCs w:val="18"/>
          <w:color w:val="auto"/>
        </w:rPr>
      </w:pPr>
    </w:p>
    <w:p>
      <w:pPr>
        <w:ind w:left="1020" w:right="380" w:hanging="504"/>
        <w:spacing w:after="0" w:line="274"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changes in general market, economic and political conditions in the United States and global economies or financial markets, including those resulting from natural disasters, terrorist attacks, global pandemics, and responses to such events.</w:t>
      </w:r>
    </w:p>
    <w:p>
      <w:pPr>
        <w:spacing w:after="0" w:line="16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88"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have recently experienced significant declines in the market price of our common stock, and it could continue to decline in the future, including as a result of the announcement and execution of our Realignment Plan. Based upon the decline in our stock price, we recorded a goodwill impairment charge in our condensed consolidated statement of operations for the quarter ended March 31, 2022. See Note 8 to our Consolidated Financial Statements. Further declines in our stock price could, among other things, make it more difficult to raise capital on terms acceptable to us, or at all, make it difficult for our investors to sell their shares of common stock, and put us at risk of our stock being delisted from the Nasdaq Global Select exchange if it falls below a minimum bid price of $1 per share for at least 30 consecutive trading days, which would constitute a fundamental change under the terms of our Indenture and make our Notes redeemable at par upon delisting. In such circumstances, there are actions we could take to prevent such a delisting, such as a reverse stock split, but there can be no assurance that we could successfully execute such actions and prevent a delisting.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61"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6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16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may issue additional capital stock in the future that will result in dilution to all other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June 30, 2022, we had reserved 2,892,867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61" w:lineRule="exact"/>
        <w:rPr>
          <w:sz w:val="20"/>
          <w:szCs w:val="20"/>
          <w:color w:val="auto"/>
        </w:rPr>
      </w:pPr>
    </w:p>
    <w:p>
      <w:pPr>
        <w:ind w:right="80" w:firstLine="749"/>
        <w:spacing w:after="0" w:line="252"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the unrecognized gains on those shares. Additionally, any shares of common stock held by our affiliates are eligible for resale pursuant to Rule 144 under the Securities Act, subject to the volume, manner of sale, holding period and other limitations of Rule 144.</w:t>
      </w:r>
    </w:p>
    <w:p>
      <w:pPr>
        <w:spacing w:after="0" w:line="18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filed a registration statement on Form S-8 to register shares of our common stock issued or reserved for issuance under our 2020 Incentive Award Plan and Second Amended and Restated 2014 Equity Incentive Plan, as well as a registration statement on Form S-8 to register shares of our common stock issued or reserved for issuance under our 2022 Inducement Award Plan. Subject to the satisfaction of vesting conditions, shares registered under these registration statements on Form S-8 became available for resale immediately in the public market without restriction.</w:t>
      </w:r>
    </w:p>
    <w:p>
      <w:pPr>
        <w:spacing w:after="0" w:line="192" w:lineRule="exact"/>
        <w:rPr>
          <w:sz w:val="20"/>
          <w:szCs w:val="20"/>
          <w:color w:val="auto"/>
        </w:rPr>
      </w:pPr>
    </w:p>
    <w:p>
      <w:pPr>
        <w:ind w:right="180" w:firstLine="749"/>
        <w:spacing w:after="0" w:line="274" w:lineRule="auto"/>
        <w:rPr>
          <w:sz w:val="20"/>
          <w:szCs w:val="20"/>
          <w:color w:val="auto"/>
        </w:rPr>
      </w:pPr>
      <w:r>
        <w:rPr>
          <w:rFonts w:ascii="Arial" w:cs="Arial" w:eastAsia="Arial" w:hAnsi="Arial"/>
          <w:sz w:val="17"/>
          <w:szCs w:val="17"/>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unable to predict the timing of or the effect that such sales may have on the prevailing market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20"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As a public company, we face significant legal, accounting, administrative and other costs and expenses. We are subject to the Exchange Act, the rules and regulations implemented by the SEC, the Sarbanes-Oxley 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282" w:lineRule="exact"/>
        <w:rPr>
          <w:sz w:val="20"/>
          <w:szCs w:val="20"/>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03" w:lineRule="exact"/>
        <w:rPr>
          <w:rFonts w:ascii="Arial" w:cs="Arial" w:eastAsia="Arial" w:hAnsi="Arial"/>
          <w:sz w:val="18"/>
          <w:szCs w:val="18"/>
          <w:color w:val="auto"/>
        </w:rPr>
      </w:pPr>
    </w:p>
    <w:p>
      <w:pPr>
        <w:ind w:left="1020" w:right="640" w:hanging="504"/>
        <w:spacing w:after="0" w:line="24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financial and accounting personnel and other experienced accounting and finance staff with the expertise to address complex accounting matters applicable to public companies;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involve and retain outside counsel and accountants to assist us with the activities listed above;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Nasdaq’s listing standards;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198"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78"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including from successfully executing our Realignment Plan,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93" w:lineRule="exact"/>
        <w:rPr>
          <w:sz w:val="20"/>
          <w:szCs w:val="20"/>
          <w:color w:val="auto"/>
        </w:rPr>
      </w:pPr>
    </w:p>
    <w:p>
      <w:pPr>
        <w:ind w:right="200" w:firstLine="749"/>
        <w:spacing w:after="0" w:line="238"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additional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88" w:lineRule="exact"/>
        <w:rPr>
          <w:sz w:val="20"/>
          <w:szCs w:val="20"/>
          <w:color w:val="auto"/>
        </w:rPr>
      </w:pPr>
    </w:p>
    <w:p>
      <w:pPr>
        <w:ind w:right="480" w:firstLine="749"/>
        <w:spacing w:after="0" w:line="238"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9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compliance with Section 404(a) will require that we incur substantial expenses and expend significant management efforts.</w:t>
      </w:r>
    </w:p>
    <w:p>
      <w:pPr>
        <w:spacing w:after="0" w:line="193"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Upon the completion of the UACC Acquisition, UACC became a wholly-owned subsidiary included in our consolidated financial statements. We are required to include UACC in our management's report on internal control over financial reporting pursuant to Section 404 of the Sarbanes-Oxley Act one year from the date of the acquisition, which we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expect to be in our Annual Report on Form 10-K for the year ended December 31, 2023. We must ensure that UACC establishes and maintains effective internal controls and procedures for financial reporting. Such compliance efforts may be costly and time consuming and may divert the attention of management.</w:t>
      </w:r>
    </w:p>
    <w:p>
      <w:pPr>
        <w:spacing w:after="0" w:line="188"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6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On June 18, 2021, we issued $625.0 million aggregate principal amount of Notes.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67" w:lineRule="exact"/>
        <w:rPr>
          <w:sz w:val="20"/>
          <w:szCs w:val="20"/>
          <w:color w:val="auto"/>
        </w:rPr>
      </w:pPr>
    </w:p>
    <w:p>
      <w:pPr>
        <w:jc w:val="both"/>
        <w:ind w:right="360"/>
        <w:spacing w:after="0" w:line="252"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79"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296" w:lineRule="exact"/>
        <w:rPr>
          <w:sz w:val="20"/>
          <w:szCs w:val="20"/>
          <w:color w:val="auto"/>
        </w:rPr>
      </w:pPr>
    </w:p>
    <w:p>
      <w:pPr>
        <w:ind w:left="1020" w:right="70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89" w:lineRule="exact"/>
        <w:rPr>
          <w:rFonts w:ascii="Arial" w:cs="Arial" w:eastAsia="Arial" w:hAnsi="Arial"/>
          <w:sz w:val="18"/>
          <w:szCs w:val="18"/>
          <w:color w:val="auto"/>
        </w:rPr>
      </w:pPr>
    </w:p>
    <w:p>
      <w:pPr>
        <w:ind w:left="1020" w:right="38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89"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03"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89"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89" w:lineRule="exact"/>
        <w:rPr>
          <w:rFonts w:ascii="Arial" w:cs="Arial" w:eastAsia="Arial" w:hAnsi="Arial"/>
          <w:sz w:val="18"/>
          <w:szCs w:val="18"/>
          <w:color w:val="auto"/>
        </w:rPr>
      </w:pPr>
    </w:p>
    <w:p>
      <w:pPr>
        <w:ind w:left="1020" w:right="18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84" w:lineRule="exact"/>
        <w:rPr>
          <w:sz w:val="20"/>
          <w:szCs w:val="20"/>
          <w:color w:val="auto"/>
        </w:rPr>
      </w:pPr>
    </w:p>
    <w:p>
      <w:pPr>
        <w:ind w:right="1120" w:firstLine="749"/>
        <w:spacing w:after="0" w:line="245"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w:t>
      </w:r>
    </w:p>
    <w:p>
      <w:pPr>
        <w:spacing w:after="0" w:line="1" w:lineRule="exact"/>
        <w:rPr>
          <w:sz w:val="20"/>
          <w:szCs w:val="20"/>
          <w:color w:val="auto"/>
        </w:rPr>
      </w:pPr>
    </w:p>
    <w:p>
      <w:pPr>
        <w:jc w:val="both"/>
        <w:ind w:right="220" w:firstLine="8"/>
        <w:spacing w:after="0"/>
        <w:tabs>
          <w:tab w:leader="none" w:pos="2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88"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85"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5"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161" w:lineRule="exact"/>
        <w:rPr>
          <w:sz w:val="20"/>
          <w:szCs w:val="20"/>
          <w:color w:val="auto"/>
        </w:rPr>
      </w:pPr>
    </w:p>
    <w:p>
      <w:pPr>
        <w:jc w:val="both"/>
        <w:ind w:right="80" w:firstLine="749"/>
        <w:spacing w:after="0" w:line="261"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71" w:lineRule="exact"/>
        <w:rPr>
          <w:sz w:val="20"/>
          <w:szCs w:val="20"/>
          <w:color w:val="auto"/>
        </w:rPr>
      </w:pPr>
    </w:p>
    <w:p>
      <w:pPr>
        <w:ind w:right="20" w:firstLine="749"/>
        <w:spacing w:after="0" w:line="261"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have any control over these analysts. Currently, 11 analysts cover our company. If the number of analysts that cover us declines, demand for our common stock could decrease and our common stock price and trading volume may decline.</w:t>
      </w:r>
    </w:p>
    <w:p>
      <w:pPr>
        <w:spacing w:after="0" w:line="171"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Regardless of accuracy, unfavorable interpretations of our financial information and other public disclosures, including with respect to our Realignment Plan, could have a negative impact on our stock price. If our financial performance fails to meet analyst estimates, for any of the reasons discussed above or otherwise, or one or more of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analysts who cover us downgrade our common stock or change their opinion of our common stock, our stock price would likely decline.</w:t>
      </w:r>
    </w:p>
    <w:p>
      <w:pPr>
        <w:spacing w:after="0" w:line="17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Tax Matters</w:t>
      </w:r>
    </w:p>
    <w:p>
      <w:pPr>
        <w:spacing w:after="0" w:line="1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61"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As of June 30, 2022 we had substantial U.S. federal net operating loss (“NOL”) carryforwards,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17 to our consolidated financial statements appearing in our Annual Report on Form 10-K for the year ended December 31, 2021 for a further discussion of the carryforward of our NOLs. As of June 30, 2022, we maintain a full valuation allowance for our net deferred tax assets.</w:t>
      </w:r>
    </w:p>
    <w:p>
      <w:pPr>
        <w:spacing w:after="0" w:line="17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2015 and 2021,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220" w:lineRule="exact"/>
        <w:rPr>
          <w:sz w:val="20"/>
          <w:szCs w:val="20"/>
          <w:color w:val="auto"/>
        </w:rPr>
      </w:pPr>
    </w:p>
    <w:p>
      <w:pPr>
        <w:ind w:right="140" w:firstLine="749"/>
        <w:spacing w:after="0" w:line="236"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The likelihood of these changes being enacted or implemented is unclear. We are currently unable to predict whether such changes will occur and, if so, the ultimate impact on our business. Further, we are subject to the examination of our income and other tax returns by the IRS and state and local tax authorities, which could have an impact on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79"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 In addition, in April 2022, the Attorney General of Texas filed a lawsuit on behalf of the State of Texas in the District Court of Travis County, Texas against the Company, alleging violation of the Texas Deceptive Trade Practices − Consumer Protection Act. See Part II, Item 1. “Legal Proceedings” for more information about these matters and the other legal proceedings to which we are subject.</w:t>
      </w:r>
    </w:p>
    <w:p>
      <w:pPr>
        <w:spacing w:after="0" w:line="157" w:lineRule="exact"/>
        <w:rPr>
          <w:sz w:val="20"/>
          <w:szCs w:val="20"/>
          <w:color w:val="auto"/>
        </w:rPr>
      </w:pPr>
    </w:p>
    <w:p>
      <w:pPr>
        <w:ind w:right="100" w:firstLine="50"/>
        <w:spacing w:after="0" w:line="271"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161"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 financial condition and operating results, and our insurance coverage may be insufficient to compensate us for losses that may occur. Global climate change is resulting in certain types of natural disasters occurring more frequently or with more intense effects.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16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ongoing military action between Russia and Ukraine could adversely affect our business, financial condition and results of operations.</w:t>
      </w:r>
    </w:p>
    <w:p>
      <w:pPr>
        <w:spacing w:after="0" w:line="161"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has led to, and could continue to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192"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an unprecedented expansion of sanction programs imposed by the United States, the European Union, the UK, Canada, Switzerland, Japan and other countries against Russia, Belarus, the Crimea Region of Ukraine, the so-called Donetsk People’s Republic and the so-called Luhansk People’s Republic.</w:t>
      </w:r>
    </w:p>
    <w:p>
      <w:pPr>
        <w:spacing w:after="0" w:line="19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other economic and financial restrictions. The situation is rapidly evolving as a result of the conflict in Ukraine, and the United States, the European Union, the UK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192"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We are actively monitoring the situation in Ukraine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Risk Factors section.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20"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61"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From time to time we provide public guidance on our expected operating and financial results for future periods. Any such guidance will be comprised of forward-looking statements subject to the risks and uncertainties described in this Quarterly Report on Form 10-Q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Quarterly Report on Form 10-Q and our current and periodic reports filed with the SEC.</w:t>
      </w:r>
    </w:p>
    <w:p>
      <w:pPr>
        <w:spacing w:after="0" w:line="179"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8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93" w:lineRule="exact"/>
        <w:rPr>
          <w:sz w:val="20"/>
          <w:szCs w:val="20"/>
          <w:color w:val="auto"/>
        </w:rPr>
      </w:pPr>
    </w:p>
    <w:p>
      <w:pPr>
        <w:jc w:val="both"/>
        <w:ind w:right="500" w:firstLine="749"/>
        <w:spacing w:after="0" w:line="238"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right="720"/>
        <w:spacing w:after="0" w:line="286" w:lineRule="auto"/>
        <w:rPr>
          <w:sz w:val="20"/>
          <w:szCs w:val="20"/>
          <w:color w:val="auto"/>
        </w:rPr>
      </w:pPr>
      <w:r>
        <w:rPr>
          <w:rFonts w:ascii="Arial" w:cs="Arial" w:eastAsia="Arial" w:hAnsi="Arial"/>
          <w:sz w:val="18"/>
          <w:szCs w:val="18"/>
          <w:b w:val="1"/>
          <w:bCs w:val="1"/>
          <w:i w:val="1"/>
          <w:iCs w:val="1"/>
          <w:color w:val="auto"/>
        </w:rPr>
        <w:t>Stockholder activism could disrupt our business, cause us to incur significant expenses, hinder execution of our business strategy, and impact our stock price.</w:t>
      </w:r>
    </w:p>
    <w:p>
      <w:pPr>
        <w:spacing w:after="0" w:line="176"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We may in the future be subject to stockholder activism, which can arise in a variety of predictable or unpredictable situations, and can result in substantial costs and divert management’s and our board’s attention and resources from our business. Additionally, stockholder activism could give rise to perceived uncertainties as to our long-term business, financial forecasts, future operations and strategic planning, harm our reputation, adversely affect our relationships with our business partners, and make it more difficult to attract and retain qualified personnel. We may also be required to incur significant fees and other expenses related to activist matters, including for third-party advisors that would be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84" w:lineRule="exact"/>
        <w:rPr>
          <w:sz w:val="20"/>
          <w:szCs w:val="20"/>
          <w:color w:val="auto"/>
        </w:rPr>
      </w:pPr>
    </w:p>
    <w:p>
      <w:pPr>
        <w:ind w:right="5400"/>
        <w:spacing w:after="0" w:line="450"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 from Public Offering of Common Stock</w:t>
      </w:r>
    </w:p>
    <w:p>
      <w:pPr>
        <w:spacing w:after="0" w:line="1" w:lineRule="exact"/>
        <w:rPr>
          <w:sz w:val="20"/>
          <w:szCs w:val="20"/>
          <w:color w:val="auto"/>
        </w:rPr>
      </w:pPr>
    </w:p>
    <w:p>
      <w:pPr>
        <w:ind w:firstLine="749"/>
        <w:spacing w:after="0" w:line="226"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6"/>
            <w:vMerge w:val="restart"/>
          </w:tcPr>
          <w:p>
            <w:pPr>
              <w:ind w:left="160"/>
              <w:spacing w:after="0"/>
              <w:rPr>
                <w:sz w:val="20"/>
                <w:szCs w:val="20"/>
                <w:color w:val="auto"/>
              </w:rPr>
            </w:pPr>
            <w:r>
              <w:rPr>
                <w:rFonts w:ascii="Arial" w:cs="Arial" w:eastAsia="Arial" w:hAnsi="Arial"/>
                <w:sz w:val="14"/>
                <w:szCs w:val="14"/>
                <w:b w:val="1"/>
                <w:bCs w:val="1"/>
                <w:color w:val="212529"/>
              </w:rPr>
              <w:t>Exhibit Description</w:t>
            </w:r>
          </w:p>
        </w:tc>
        <w:tc>
          <w:tcPr>
            <w:tcW w:w="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212529"/>
                <w:w w:val="97"/>
              </w:rPr>
              <w:t>Form</w:t>
            </w:r>
          </w:p>
        </w:tc>
        <w:tc>
          <w:tcPr>
            <w:tcW w:w="120" w:type="dxa"/>
            <w:vAlign w:val="bottom"/>
          </w:tcPr>
          <w:p>
            <w:pPr>
              <w:spacing w:after="0"/>
              <w:rPr>
                <w:sz w:val="14"/>
                <w:szCs w:val="14"/>
                <w:color w:val="auto"/>
              </w:rPr>
            </w:pPr>
          </w:p>
        </w:tc>
        <w:tc>
          <w:tcPr>
            <w:tcW w:w="14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212529"/>
              </w:rPr>
              <w:t>File No.</w:t>
            </w:r>
          </w:p>
        </w:tc>
        <w:tc>
          <w:tcPr>
            <w:tcW w:w="120" w:type="dxa"/>
            <w:vAlign w:val="bottom"/>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212529"/>
              </w:rPr>
              <w:t>Exhibit</w:t>
            </w: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6"/>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1">
              <w:r>
                <w:rPr>
                  <w:rFonts w:ascii="Arial" w:cs="Arial" w:eastAsia="Arial" w:hAnsi="Arial"/>
                  <w:sz w:val="18"/>
                  <w:szCs w:val="18"/>
                  <w:color w:val="0000FF"/>
                </w:rPr>
                <w:t>Agreement and Plan of Merger, dated as of</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October 12,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471">
              <w:r>
                <w:rPr>
                  <w:rFonts w:ascii="Arial" w:cs="Arial" w:eastAsia="Arial" w:hAnsi="Arial"/>
                  <w:sz w:val="18"/>
                  <w:szCs w:val="18"/>
                  <w:color w:val="0000FF"/>
                </w:rPr>
                <w:t>October 11, 2021, by and among Vroom,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471">
              <w:r>
                <w:rPr>
                  <w:rFonts w:ascii="Arial" w:cs="Arial" w:eastAsia="Arial" w:hAnsi="Arial"/>
                  <w:sz w:val="18"/>
                  <w:szCs w:val="18"/>
                  <w:color w:val="0000FF"/>
                </w:rPr>
                <w:t>Inc., Vroom Finance Corporation, Unitas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rPr>
            </w:pPr>
            <w:hyperlink r:id="rId471">
              <w:r>
                <w:rPr>
                  <w:rFonts w:ascii="Arial" w:cs="Arial" w:eastAsia="Arial" w:hAnsi="Arial"/>
                  <w:sz w:val="18"/>
                  <w:szCs w:val="18"/>
                  <w:color w:val="0000FF"/>
                </w:rPr>
                <w:t>Holdings Corp. and Fortis Advisors LLC,</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tcBorders>
              <w:bottom w:val="single" w:sz="8" w:color="0000FF"/>
            </w:tcBorders>
            <w:gridSpan w:val="26"/>
          </w:tcPr>
          <w:p>
            <w:pPr>
              <w:spacing w:after="0" w:line="156" w:lineRule="exact"/>
              <w:rPr>
                <w:rFonts w:ascii="Arial" w:cs="Arial" w:eastAsia="Arial" w:hAnsi="Arial"/>
                <w:sz w:val="18"/>
                <w:szCs w:val="18"/>
                <w:color w:val="0000FF"/>
                <w:w w:val="99"/>
              </w:rPr>
            </w:pPr>
            <w:hyperlink r:id="rId471">
              <w:r>
                <w:rPr>
                  <w:rFonts w:ascii="Arial" w:cs="Arial" w:eastAsia="Arial" w:hAnsi="Arial"/>
                  <w:sz w:val="18"/>
                  <w:szCs w:val="18"/>
                  <w:color w:val="0000FF"/>
                  <w:w w:val="99"/>
                </w:rPr>
                <w:t>solely in its capacity as the equityholders'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gridSpan w:val="32"/>
          </w:tcPr>
          <w:p>
            <w:pPr>
              <w:spacing w:after="0" w:line="156" w:lineRule="exact"/>
              <w:rPr>
                <w:rFonts w:ascii="Arial" w:cs="Arial" w:eastAsia="Arial" w:hAnsi="Arial"/>
                <w:sz w:val="18"/>
                <w:szCs w:val="18"/>
                <w:color w:val="0000FF"/>
              </w:rPr>
            </w:pPr>
            <w:hyperlink r:id="rId471">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2">
              <w:r>
                <w:rPr>
                  <w:rFonts w:ascii="Arial" w:cs="Arial" w:eastAsia="Arial" w:hAnsi="Arial"/>
                  <w:sz w:val="18"/>
                  <w:szCs w:val="18"/>
                  <w:color w:val="0000FF"/>
                </w:rPr>
                <w:t>Amended and Restated Certificate of</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472">
              <w:r>
                <w:rPr>
                  <w:rFonts w:ascii="Arial" w:cs="Arial" w:eastAsia="Arial" w:hAnsi="Arial"/>
                  <w:sz w:val="18"/>
                  <w:szCs w:val="18"/>
                  <w:color w:val="0000FF"/>
                  <w:w w:val="99"/>
                </w:rPr>
                <w:t>Incorporation of Vroom, Inc.</w:t>
              </w:r>
            </w:hyperlink>
          </w:p>
        </w:tc>
        <w:tc>
          <w:tcPr>
            <w:tcW w:w="20" w:type="dxa"/>
            <w:vAlign w:val="bottom"/>
            <w:tcBorders>
              <w:top w:val="single" w:sz="8" w:color="0000FF"/>
              <w:bottom w:val="single" w:sz="8" w:color="0000EE"/>
            </w:tcBorders>
          </w:tcPr>
          <w:p>
            <w:pPr>
              <w:spacing w:after="0"/>
              <w:rPr>
                <w:sz w:val="13"/>
                <w:szCs w:val="13"/>
                <w:color w:val="auto"/>
              </w:rPr>
            </w:pPr>
          </w:p>
        </w:tc>
        <w:tc>
          <w:tcPr>
            <w:tcW w:w="7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3">
              <w:r>
                <w:rPr>
                  <w:rFonts w:ascii="Arial" w:cs="Arial" w:eastAsia="Arial" w:hAnsi="Arial"/>
                  <w:sz w:val="18"/>
                  <w:szCs w:val="18"/>
                  <w:color w:val="0000FF"/>
                </w:rPr>
                <w:t>Amended and Restated Bylaws of Vroom,</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r:id="rId473">
              <w:r>
                <w:rPr>
                  <w:rFonts w:ascii="Arial" w:cs="Arial" w:eastAsia="Arial" w:hAnsi="Arial"/>
                  <w:sz w:val="18"/>
                  <w:szCs w:val="18"/>
                  <w:color w:val="0000FF"/>
                  <w:w w:val="96"/>
                </w:rPr>
                <w:t>Inc.</w:t>
              </w:r>
            </w:hyperlink>
          </w:p>
        </w:tc>
        <w:tc>
          <w:tcPr>
            <w:tcW w:w="20" w:type="dxa"/>
            <w:vAlign w:val="bottom"/>
            <w:tcBorders>
              <w:top w:val="single" w:sz="8" w:color="0000FF"/>
              <w:bottom w:val="single" w:sz="8" w:color="0000EE"/>
            </w:tcBorders>
          </w:tcPr>
          <w:p>
            <w:pPr>
              <w:spacing w:after="0"/>
              <w:rPr>
                <w:sz w:val="13"/>
                <w:szCs w:val="13"/>
                <w:color w:val="auto"/>
              </w:rPr>
            </w:pPr>
          </w:p>
        </w:tc>
        <w:tc>
          <w:tcPr>
            <w:tcW w:w="312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4">
              <w:r>
                <w:rPr>
                  <w:rFonts w:ascii="Arial" w:cs="Arial" w:eastAsia="Arial" w:hAnsi="Arial"/>
                  <w:sz w:val="18"/>
                  <w:szCs w:val="18"/>
                  <w:color w:val="0000FF"/>
                </w:rPr>
                <w:t>Specimen Stock Certificate evidencing the</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June 1,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474">
              <w:r>
                <w:rPr>
                  <w:rFonts w:ascii="Arial" w:cs="Arial" w:eastAsia="Arial" w:hAnsi="Arial"/>
                  <w:sz w:val="18"/>
                  <w:szCs w:val="18"/>
                  <w:color w:val="0000FF"/>
                  <w:w w:val="99"/>
                </w:rPr>
                <w:t>shares of common stock</w:t>
              </w:r>
            </w:hyperlink>
          </w:p>
        </w:tc>
        <w:tc>
          <w:tcPr>
            <w:tcW w:w="20" w:type="dxa"/>
            <w:vAlign w:val="bottom"/>
            <w:tcBorders>
              <w:top w:val="single" w:sz="8" w:color="0000FF"/>
              <w:bottom w:val="single" w:sz="8" w:color="0000EE"/>
            </w:tcBorders>
          </w:tcPr>
          <w:p>
            <w:pPr>
              <w:spacing w:after="0"/>
              <w:rPr>
                <w:sz w:val="13"/>
                <w:szCs w:val="13"/>
                <w:color w:val="auto"/>
              </w:rPr>
            </w:pPr>
          </w:p>
        </w:tc>
        <w:tc>
          <w:tcPr>
            <w:tcW w:w="15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5">
              <w:r>
                <w:rPr>
                  <w:rFonts w:ascii="Arial" w:cs="Arial" w:eastAsia="Arial" w:hAnsi="Arial"/>
                  <w:sz w:val="18"/>
                  <w:szCs w:val="18"/>
                  <w:color w:val="0000FF"/>
                </w:rPr>
                <w:t>Indenture, dated as of June 18, 2021,</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75">
              <w:r>
                <w:rPr>
                  <w:rFonts w:ascii="Arial" w:cs="Arial" w:eastAsia="Arial" w:hAnsi="Arial"/>
                  <w:sz w:val="18"/>
                  <w:szCs w:val="18"/>
                  <w:color w:val="0000FF"/>
                </w:rPr>
                <w:t>between Vroom, Inc. and U.S. Bank</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75">
              <w:r>
                <w:rPr>
                  <w:rFonts w:ascii="Arial" w:cs="Arial" w:eastAsia="Arial" w:hAnsi="Arial"/>
                  <w:sz w:val="18"/>
                  <w:szCs w:val="18"/>
                  <w:color w:val="0000FF"/>
                </w:rPr>
                <w:t>National Association, as trustee</w:t>
              </w:r>
            </w:hyperlink>
          </w:p>
        </w:tc>
        <w:tc>
          <w:tcPr>
            <w:tcW w:w="1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2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5">
              <w:r>
                <w:rPr>
                  <w:rFonts w:ascii="Arial" w:cs="Arial" w:eastAsia="Arial" w:hAnsi="Arial"/>
                  <w:sz w:val="18"/>
                  <w:szCs w:val="18"/>
                  <w:color w:val="0000FF"/>
                </w:rPr>
                <w:t>Form of Global Note representing the</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21"/>
          </w:tcPr>
          <w:p>
            <w:pPr>
              <w:spacing w:after="0" w:line="157" w:lineRule="exact"/>
              <w:rPr>
                <w:rFonts w:ascii="Arial" w:cs="Arial" w:eastAsia="Arial" w:hAnsi="Arial"/>
                <w:sz w:val="18"/>
                <w:szCs w:val="18"/>
                <w:color w:val="0000FF"/>
                <w:w w:val="99"/>
              </w:rPr>
            </w:pPr>
            <w:hyperlink r:id="rId475">
              <w:r>
                <w:rPr>
                  <w:rFonts w:ascii="Arial" w:cs="Arial" w:eastAsia="Arial" w:hAnsi="Arial"/>
                  <w:sz w:val="18"/>
                  <w:szCs w:val="18"/>
                  <w:color w:val="0000FF"/>
                  <w:w w:val="99"/>
                </w:rPr>
                <w:t>0.</w:t>
              </w:r>
              <w:r>
                <w:rPr>
                  <w:rFonts w:ascii="Arial" w:cs="Arial" w:eastAsia="Arial" w:hAnsi="Arial"/>
                  <w:sz w:val="18"/>
                  <w:szCs w:val="18"/>
                  <w:u w:val="single" w:color="auto"/>
                  <w:color w:val="0000FF"/>
                  <w:w w:val="99"/>
                </w:rPr>
                <w:t>750%</w:t>
              </w:r>
              <w:r>
                <w:rPr>
                  <w:rFonts w:ascii="Arial" w:cs="Arial" w:eastAsia="Arial" w:hAnsi="Arial"/>
                  <w:sz w:val="18"/>
                  <w:szCs w:val="18"/>
                  <w:color w:val="0000FF"/>
                  <w:w w:val="99"/>
                </w:rPr>
                <w:t xml:space="preserve"> Convertible Senior Notes due</w:t>
              </w:r>
            </w:hyperlink>
          </w:p>
        </w:tc>
        <w:tc>
          <w:tcPr>
            <w:tcW w:w="520" w:type="dxa"/>
            <w:vAlign w:val="bottom"/>
            <w:tcBorders>
              <w:bottom w:val="single" w:sz="8" w:color="0000FF"/>
            </w:tcBorders>
            <w:gridSpan w:val="18"/>
          </w:tcPr>
          <w:p>
            <w:pPr>
              <w:jc w:val="right"/>
              <w:ind w:right="80"/>
              <w:spacing w:after="0" w:line="157" w:lineRule="exact"/>
              <w:rPr>
                <w:rFonts w:ascii="Arial" w:cs="Arial" w:eastAsia="Arial" w:hAnsi="Arial"/>
                <w:sz w:val="18"/>
                <w:szCs w:val="18"/>
                <w:color w:val="0000FF"/>
              </w:rPr>
            </w:pPr>
            <w:hyperlink r:id="rId475">
              <w:r>
                <w:rPr>
                  <w:rFonts w:ascii="Arial" w:cs="Arial" w:eastAsia="Arial" w:hAnsi="Arial"/>
                  <w:sz w:val="18"/>
                  <w:szCs w:val="18"/>
                  <w:color w:val="0000FF"/>
                </w:rPr>
                <w:t>2026</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475">
              <w:r>
                <w:rPr>
                  <w:rFonts w:ascii="Arial" w:cs="Arial" w:eastAsia="Arial" w:hAnsi="Arial"/>
                  <w:sz w:val="18"/>
                  <w:szCs w:val="18"/>
                  <w:color w:val="0000FF"/>
                  <w:w w:val="99"/>
                </w:rPr>
                <w:t>(included in Exhibit 4.2)</w:t>
              </w:r>
            </w:hyperlink>
          </w:p>
        </w:tc>
        <w:tc>
          <w:tcPr>
            <w:tcW w:w="20" w:type="dxa"/>
            <w:vAlign w:val="bottom"/>
            <w:tcBorders>
              <w:bottom w:val="single" w:sz="8" w:color="0000EE"/>
            </w:tcBorders>
          </w:tcPr>
          <w:p>
            <w:pPr>
              <w:spacing w:after="0"/>
              <w:rPr>
                <w:sz w:val="13"/>
                <w:szCs w:val="13"/>
                <w:color w:val="auto"/>
              </w:rPr>
            </w:pPr>
          </w:p>
        </w:tc>
        <w:tc>
          <w:tcPr>
            <w:tcW w:w="1640" w:type="dxa"/>
            <w:vAlign w:val="bottom"/>
            <w:gridSpan w:val="3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6">
              <w:r>
                <w:rPr>
                  <w:rFonts w:ascii="Arial" w:cs="Arial" w:eastAsia="Arial" w:hAnsi="Arial"/>
                  <w:sz w:val="18"/>
                  <w:szCs w:val="18"/>
                  <w:color w:val="0000FF"/>
                </w:rPr>
                <w:t>Eighth Amended and Restated Investors’</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rPr>
            </w:pPr>
            <w:hyperlink r:id="rId476">
              <w:r>
                <w:rPr>
                  <w:rFonts w:ascii="Arial" w:cs="Arial" w:eastAsia="Arial" w:hAnsi="Arial"/>
                  <w:sz w:val="18"/>
                  <w:szCs w:val="18"/>
                  <w:color w:val="0000FF"/>
                </w:rPr>
                <w:t>Rights Agreement, dated as of November</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33"/>
          </w:tcPr>
          <w:p>
            <w:pPr>
              <w:spacing w:after="0" w:line="156" w:lineRule="exact"/>
              <w:rPr>
                <w:rFonts w:ascii="Arial" w:cs="Arial" w:eastAsia="Arial" w:hAnsi="Arial"/>
                <w:sz w:val="18"/>
                <w:szCs w:val="18"/>
                <w:color w:val="0000FF"/>
              </w:rPr>
            </w:pPr>
            <w:hyperlink r:id="rId476">
              <w:r>
                <w:rPr>
                  <w:rFonts w:ascii="Arial" w:cs="Arial" w:eastAsia="Arial" w:hAnsi="Arial"/>
                  <w:sz w:val="18"/>
                  <w:szCs w:val="18"/>
                  <w:color w:val="0000FF"/>
                </w:rPr>
                <w:t>21, 2019, by and among Vroom, Inc. and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476">
              <w:r>
                <w:rPr>
                  <w:rFonts w:ascii="Arial" w:cs="Arial" w:eastAsia="Arial" w:hAnsi="Arial"/>
                  <w:sz w:val="18"/>
                  <w:szCs w:val="18"/>
                  <w:color w:val="0000FF"/>
                  <w:w w:val="99"/>
                </w:rPr>
                <w:t>certain holders of its capital stock</w:t>
              </w:r>
            </w:hyperlink>
          </w:p>
        </w:tc>
        <w:tc>
          <w:tcPr>
            <w:tcW w:w="20" w:type="dxa"/>
            <w:vAlign w:val="bottom"/>
            <w:tcBorders>
              <w:top w:val="single" w:sz="8" w:color="0000FF"/>
              <w:bottom w:val="single" w:sz="8" w:color="0000EE"/>
            </w:tcBorders>
          </w:tcPr>
          <w:p>
            <w:pPr>
              <w:spacing w:after="0"/>
              <w:rPr>
                <w:sz w:val="13"/>
                <w:szCs w:val="13"/>
                <w:color w:val="auto"/>
              </w:rPr>
            </w:pPr>
          </w:p>
        </w:tc>
        <w:tc>
          <w:tcPr>
            <w:tcW w:w="680" w:type="dxa"/>
            <w:vAlign w:val="bottom"/>
            <w:tcBorders>
              <w:top w:val="single" w:sz="8" w:color="0000FF"/>
            </w:tcBorders>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6"/>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140" w:type="dxa"/>
            <w:vAlign w:val="bottom"/>
            <w:tcBorders>
              <w:bottom w:val="single" w:sz="8" w:color="0000FF"/>
            </w:tcBorders>
            <w:gridSpan w:val="23"/>
          </w:tcPr>
          <w:p>
            <w:pPr>
              <w:spacing w:after="0"/>
              <w:rPr>
                <w:rFonts w:ascii="Arial" w:cs="Arial" w:eastAsia="Arial" w:hAnsi="Arial"/>
                <w:sz w:val="18"/>
                <w:szCs w:val="18"/>
                <w:color w:val="0000FF"/>
              </w:rPr>
            </w:pPr>
            <w:hyperlink r:id="rId477">
              <w:r>
                <w:rPr>
                  <w:rFonts w:ascii="Arial" w:cs="Arial" w:eastAsia="Arial" w:hAnsi="Arial"/>
                  <w:sz w:val="18"/>
                  <w:szCs w:val="18"/>
                  <w:color w:val="0000FF"/>
                </w:rPr>
                <w:t>Employment Letter, dated as of May 9,</w:t>
              </w:r>
            </w:hyperlink>
          </w:p>
        </w:tc>
        <w:tc>
          <w:tcPr>
            <w:tcW w:w="42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May 9, 2022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gridSpan w:val="40"/>
          </w:tcPr>
          <w:p>
            <w:pPr>
              <w:spacing w:after="0" w:line="156" w:lineRule="exact"/>
              <w:rPr>
                <w:rFonts w:ascii="Arial" w:cs="Arial" w:eastAsia="Arial" w:hAnsi="Arial"/>
                <w:sz w:val="18"/>
                <w:szCs w:val="18"/>
                <w:color w:val="0000FF"/>
              </w:rPr>
            </w:pPr>
            <w:hyperlink r:id="rId477">
              <w:r>
                <w:rPr>
                  <w:rFonts w:ascii="Arial" w:cs="Arial" w:eastAsia="Arial" w:hAnsi="Arial"/>
                  <w:sz w:val="18"/>
                  <w:szCs w:val="18"/>
                  <w:color w:val="0000FF"/>
                </w:rPr>
                <w:t>2022, by and between Thomas Shortt and</w:t>
              </w:r>
            </w:hyperlink>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r:id="rId477">
              <w:r>
                <w:rPr>
                  <w:rFonts w:ascii="Arial" w:cs="Arial" w:eastAsia="Arial" w:hAnsi="Arial"/>
                  <w:sz w:val="18"/>
                  <w:szCs w:val="18"/>
                  <w:color w:val="0000FF"/>
                  <w:w w:val="97"/>
                </w:rPr>
                <w:t>Vroom, Inc.</w:t>
              </w:r>
            </w:hyperlink>
          </w:p>
        </w:tc>
        <w:tc>
          <w:tcPr>
            <w:tcW w:w="20" w:type="dxa"/>
            <w:vAlign w:val="bottom"/>
            <w:tcBorders>
              <w:top w:val="single" w:sz="8" w:color="0000FF"/>
              <w:bottom w:val="single" w:sz="8" w:color="0000EE"/>
            </w:tcBorders>
          </w:tcPr>
          <w:p>
            <w:pPr>
              <w:spacing w:after="0"/>
              <w:rPr>
                <w:sz w:val="13"/>
                <w:szCs w:val="13"/>
                <w:color w:val="auto"/>
              </w:rPr>
            </w:pPr>
          </w:p>
        </w:tc>
        <w:tc>
          <w:tcPr>
            <w:tcW w:w="252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8">
              <w:r>
                <w:rPr>
                  <w:rFonts w:ascii="Arial" w:cs="Arial" w:eastAsia="Arial" w:hAnsi="Arial"/>
                  <w:sz w:val="18"/>
                  <w:szCs w:val="18"/>
                  <w:color w:val="0000FF"/>
                </w:rPr>
                <w:t>Amended Offer Letter, dated as of May 20,</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May 26, 2022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478">
              <w:r>
                <w:rPr>
                  <w:rFonts w:ascii="Arial" w:cs="Arial" w:eastAsia="Arial" w:hAnsi="Arial"/>
                  <w:sz w:val="18"/>
                  <w:szCs w:val="18"/>
                  <w:color w:val="0000FF"/>
                </w:rPr>
                <w:t>2022, by and between Robert R. Krakowiak</w:t>
              </w:r>
            </w:hyperlink>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78">
              <w:r>
                <w:rPr>
                  <w:rFonts w:ascii="Arial" w:cs="Arial" w:eastAsia="Arial" w:hAnsi="Arial"/>
                  <w:sz w:val="18"/>
                  <w:szCs w:val="18"/>
                  <w:color w:val="0000FF"/>
                </w:rPr>
                <w:t>and Vroom, Inc.</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EE"/>
            </w:tcBorders>
            <w:gridSpan w:val="6"/>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560" w:type="dxa"/>
            <w:vAlign w:val="bottom"/>
            <w:gridSpan w:val="40"/>
          </w:tcPr>
          <w:p>
            <w:pPr>
              <w:spacing w:after="0"/>
              <w:rPr>
                <w:rFonts w:ascii="Arial" w:cs="Arial" w:eastAsia="Arial" w:hAnsi="Arial"/>
                <w:sz w:val="18"/>
                <w:szCs w:val="18"/>
                <w:color w:val="0000FF"/>
              </w:rPr>
            </w:pPr>
            <w:hyperlink r:id="rId479">
              <w:r>
                <w:rPr>
                  <w:rFonts w:ascii="Arial" w:cs="Arial" w:eastAsia="Arial" w:hAnsi="Arial"/>
                  <w:sz w:val="18"/>
                  <w:szCs w:val="18"/>
                  <w:color w:val="0000FF"/>
                </w:rPr>
                <w:t>Separation Agreement, dated as of June</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July 1, 2022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79">
              <w:r>
                <w:rPr>
                  <w:rFonts w:ascii="Arial" w:cs="Arial" w:eastAsia="Arial" w:hAnsi="Arial"/>
                  <w:sz w:val="18"/>
                  <w:szCs w:val="18"/>
                  <w:color w:val="0000FF"/>
                </w:rPr>
                <w:t>30, 2022, by and between Mark E.</w:t>
              </w:r>
            </w:hyperlink>
          </w:p>
        </w:tc>
        <w:tc>
          <w:tcPr>
            <w:tcW w:w="240" w:type="dxa"/>
            <w:vAlign w:val="bottom"/>
            <w:gridSpan w:val="12"/>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79">
              <w:r>
                <w:rPr>
                  <w:rFonts w:ascii="Arial" w:cs="Arial" w:eastAsia="Arial" w:hAnsi="Arial"/>
                  <w:sz w:val="18"/>
                  <w:szCs w:val="18"/>
                  <w:color w:val="0000FF"/>
                </w:rPr>
                <w:t>Roszkowski and Vroom, Inc.</w:t>
              </w:r>
            </w:hyperlink>
          </w:p>
        </w:tc>
        <w:tc>
          <w:tcPr>
            <w:tcW w:w="360" w:type="dxa"/>
            <w:vAlign w:val="bottom"/>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260" w:type="dxa"/>
            <w:vAlign w:val="bottom"/>
            <w:gridSpan w:val="1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11"/>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160" w:type="dxa"/>
            <w:vAlign w:val="bottom"/>
            <w:tcBorders>
              <w:bottom w:val="single" w:sz="8" w:color="0000FF"/>
            </w:tcBorders>
            <w:gridSpan w:val="24"/>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Form of Stock Option Grant Notice and</w:t>
              </w:r>
            </w:hyperlink>
          </w:p>
        </w:tc>
        <w:tc>
          <w:tcPr>
            <w:tcW w:w="40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gridSpan w:val="40"/>
          </w:tcPr>
          <w:p>
            <w:pPr>
              <w:spacing w:after="0" w:line="156" w:lineRule="exact"/>
              <w:rPr>
                <w:rFonts w:ascii="Arial" w:cs="Arial" w:eastAsia="Arial" w:hAnsi="Arial"/>
                <w:sz w:val="18"/>
                <w:szCs w:val="18"/>
                <w:color w:val="0000FF"/>
              </w:rPr>
            </w:pPr>
            <w:hyperlink w:anchor="page119">
              <w:r>
                <w:rPr>
                  <w:rFonts w:ascii="Arial" w:cs="Arial" w:eastAsia="Arial" w:hAnsi="Arial"/>
                  <w:sz w:val="18"/>
                  <w:szCs w:val="18"/>
                  <w:color w:val="0000FF"/>
                </w:rPr>
                <w:t>Stock Option Agreement Pursuant to the</w:t>
              </w:r>
            </w:hyperlink>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119">
              <w:r>
                <w:rPr>
                  <w:rFonts w:ascii="Arial" w:cs="Arial" w:eastAsia="Arial" w:hAnsi="Arial"/>
                  <w:sz w:val="18"/>
                  <w:szCs w:val="18"/>
                  <w:color w:val="0000FF"/>
                </w:rPr>
                <w:t>2020 Incentive Award Plan</w:t>
              </w:r>
            </w:hyperlink>
          </w:p>
        </w:tc>
        <w:tc>
          <w:tcPr>
            <w:tcW w:w="260" w:type="dxa"/>
            <w:vAlign w:val="bottom"/>
            <w:gridSpan w:val="13"/>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gridSpan w:val="2"/>
          </w:tcPr>
          <w:p>
            <w:pPr>
              <w:jc w:val="right"/>
              <w:ind w:right="988"/>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0000FF"/>
            </w:tcBorders>
            <w:gridSpan w:val="2"/>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Table of Contents</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21"/>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385"/>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3500" w:type="dxa"/>
            <w:vAlign w:val="bottom"/>
            <w:gridSpan w:val="23"/>
          </w:tcPr>
          <w:p>
            <w:pPr>
              <w:spacing w:after="0"/>
              <w:rPr>
                <w:rFonts w:ascii="Arial" w:cs="Arial" w:eastAsia="Arial" w:hAnsi="Arial"/>
                <w:sz w:val="18"/>
                <w:szCs w:val="18"/>
                <w:color w:val="0000FF"/>
              </w:rPr>
            </w:pPr>
            <w:hyperlink r:id="rId482">
              <w:r>
                <w:rPr>
                  <w:rFonts w:ascii="Arial" w:cs="Arial" w:eastAsia="Arial" w:hAnsi="Arial"/>
                  <w:sz w:val="18"/>
                  <w:szCs w:val="18"/>
                  <w:color w:val="0000FF"/>
                </w:rPr>
                <w:t>Vroom, Inc. 2022 Inducement Award Plan</w:t>
              </w:r>
            </w:hyperlink>
          </w:p>
        </w:tc>
        <w:tc>
          <w:tcPr>
            <w:tcW w:w="760" w:type="dxa"/>
            <w:vAlign w:val="bottom"/>
          </w:tcPr>
          <w:p>
            <w:pPr>
              <w:ind w:left="300"/>
              <w:spacing w:after="0"/>
              <w:rPr>
                <w:sz w:val="20"/>
                <w:szCs w:val="20"/>
                <w:color w:val="auto"/>
              </w:rPr>
            </w:pPr>
            <w:r>
              <w:rPr>
                <w:rFonts w:ascii="Arial" w:cs="Arial" w:eastAsia="Arial" w:hAnsi="Arial"/>
                <w:sz w:val="18"/>
                <w:szCs w:val="18"/>
                <w:color w:val="auto"/>
              </w:rPr>
              <w:t>S-8</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3540" w:type="dxa"/>
            <w:vAlign w:val="bottom"/>
          </w:tcPr>
          <w:p>
            <w:pPr>
              <w:ind w:left="280"/>
              <w:spacing w:after="0"/>
              <w:rPr>
                <w:sz w:val="20"/>
                <w:szCs w:val="20"/>
                <w:color w:val="auto"/>
              </w:rPr>
            </w:pPr>
            <w:r>
              <w:rPr>
                <w:rFonts w:ascii="Arial" w:cs="Arial" w:eastAsia="Arial" w:hAnsi="Arial"/>
                <w:sz w:val="18"/>
                <w:szCs w:val="18"/>
                <w:color w:val="auto"/>
              </w:rPr>
              <w:t>May 26, 2022</w:t>
            </w:r>
          </w:p>
        </w:tc>
      </w:tr>
      <w:tr>
        <w:trPr>
          <w:trHeight w:val="385"/>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3320" w:type="dxa"/>
            <w:vAlign w:val="bottom"/>
            <w:tcBorders>
              <w:top w:val="single" w:sz="8" w:color="0000FF"/>
            </w:tcBorders>
            <w:gridSpan w:val="17"/>
          </w:tcPr>
          <w:p>
            <w:pPr>
              <w:spacing w:after="0"/>
              <w:rPr>
                <w:rFonts w:ascii="Arial" w:cs="Arial" w:eastAsia="Arial" w:hAnsi="Arial"/>
                <w:sz w:val="18"/>
                <w:szCs w:val="18"/>
                <w:color w:val="0000FF"/>
              </w:rPr>
            </w:pPr>
            <w:hyperlink r:id="rId483">
              <w:r>
                <w:rPr>
                  <w:rFonts w:ascii="Arial" w:cs="Arial" w:eastAsia="Arial" w:hAnsi="Arial"/>
                  <w:sz w:val="18"/>
                  <w:szCs w:val="18"/>
                  <w:color w:val="0000FF"/>
                </w:rPr>
                <w:t>Form of Restricted Stock Unit Agreement</w:t>
              </w:r>
            </w:hyperlink>
          </w:p>
        </w:tc>
        <w:tc>
          <w:tcPr>
            <w:tcW w:w="180" w:type="dxa"/>
            <w:vAlign w:val="bottom"/>
            <w:gridSpan w:val="6"/>
          </w:tcPr>
          <w:p>
            <w:pPr>
              <w:spacing w:after="0"/>
              <w:rPr>
                <w:sz w:val="24"/>
                <w:szCs w:val="24"/>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rPr>
              <w:t>S-8</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99.2</w:t>
            </w:r>
          </w:p>
        </w:tc>
        <w:tc>
          <w:tcPr>
            <w:tcW w:w="3540" w:type="dxa"/>
            <w:vAlign w:val="bottom"/>
          </w:tcPr>
          <w:p>
            <w:pPr>
              <w:ind w:left="280"/>
              <w:spacing w:after="0"/>
              <w:rPr>
                <w:sz w:val="20"/>
                <w:szCs w:val="20"/>
                <w:color w:val="auto"/>
              </w:rPr>
            </w:pPr>
            <w:r>
              <w:rPr>
                <w:rFonts w:ascii="Arial" w:cs="Arial" w:eastAsia="Arial" w:hAnsi="Arial"/>
                <w:sz w:val="18"/>
                <w:szCs w:val="18"/>
                <w:color w:val="auto"/>
              </w:rPr>
              <w:t>May 26, 2022</w:t>
            </w:r>
          </w:p>
        </w:tc>
      </w:tr>
      <w:tr>
        <w:trPr>
          <w:trHeight w:val="155"/>
        </w:trPr>
        <w:tc>
          <w:tcPr>
            <w:tcW w:w="1040" w:type="dxa"/>
            <w:vAlign w:val="bottom"/>
          </w:tcPr>
          <w:p>
            <w:pPr>
              <w:spacing w:after="0"/>
              <w:rPr>
                <w:sz w:val="13"/>
                <w:szCs w:val="13"/>
                <w:color w:val="auto"/>
              </w:rPr>
            </w:pPr>
          </w:p>
        </w:tc>
        <w:tc>
          <w:tcPr>
            <w:tcW w:w="33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83">
              <w:r>
                <w:rPr>
                  <w:rFonts w:ascii="Arial" w:cs="Arial" w:eastAsia="Arial" w:hAnsi="Arial"/>
                  <w:sz w:val="18"/>
                  <w:szCs w:val="18"/>
                  <w:color w:val="0000FF"/>
                </w:rPr>
                <w:t>Pursuant to the Vroom, Inc. 2022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483">
              <w:r>
                <w:rPr>
                  <w:rFonts w:ascii="Arial" w:cs="Arial" w:eastAsia="Arial" w:hAnsi="Arial"/>
                  <w:sz w:val="18"/>
                  <w:szCs w:val="18"/>
                  <w:color w:val="0000FF"/>
                  <w:w w:val="99"/>
                </w:rPr>
                <w:t>Inducement Award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74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385"/>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3500" w:type="dxa"/>
            <w:vAlign w:val="bottom"/>
            <w:gridSpan w:val="23"/>
          </w:tcPr>
          <w:p>
            <w:pPr>
              <w:spacing w:after="0"/>
              <w:rPr>
                <w:rFonts w:ascii="Arial" w:cs="Arial" w:eastAsia="Arial" w:hAnsi="Arial"/>
                <w:sz w:val="18"/>
                <w:szCs w:val="18"/>
                <w:color w:val="0000FF"/>
              </w:rPr>
            </w:pPr>
            <w:hyperlink r:id="rId484">
              <w:r>
                <w:rPr>
                  <w:rFonts w:ascii="Arial" w:cs="Arial" w:eastAsia="Arial" w:hAnsi="Arial"/>
                  <w:sz w:val="18"/>
                  <w:szCs w:val="18"/>
                  <w:color w:val="0000FF"/>
                </w:rPr>
                <w:t>Form of Stock Option Agreement Pursuant</w:t>
              </w:r>
            </w:hyperlink>
          </w:p>
        </w:tc>
        <w:tc>
          <w:tcPr>
            <w:tcW w:w="760" w:type="dxa"/>
            <w:vAlign w:val="bottom"/>
          </w:tcPr>
          <w:p>
            <w:pPr>
              <w:ind w:left="300"/>
              <w:spacing w:after="0"/>
              <w:rPr>
                <w:sz w:val="20"/>
                <w:szCs w:val="20"/>
                <w:color w:val="auto"/>
              </w:rPr>
            </w:pPr>
            <w:r>
              <w:rPr>
                <w:rFonts w:ascii="Arial" w:cs="Arial" w:eastAsia="Arial" w:hAnsi="Arial"/>
                <w:sz w:val="18"/>
                <w:szCs w:val="18"/>
                <w:color w:val="auto"/>
              </w:rPr>
              <w:t>S-8</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99.3</w:t>
            </w:r>
          </w:p>
        </w:tc>
        <w:tc>
          <w:tcPr>
            <w:tcW w:w="3540" w:type="dxa"/>
            <w:vAlign w:val="bottom"/>
          </w:tcPr>
          <w:p>
            <w:pPr>
              <w:ind w:left="280"/>
              <w:spacing w:after="0"/>
              <w:rPr>
                <w:sz w:val="20"/>
                <w:szCs w:val="20"/>
                <w:color w:val="auto"/>
              </w:rPr>
            </w:pPr>
            <w:r>
              <w:rPr>
                <w:rFonts w:ascii="Arial" w:cs="Arial" w:eastAsia="Arial" w:hAnsi="Arial"/>
                <w:sz w:val="18"/>
                <w:szCs w:val="18"/>
                <w:color w:val="auto"/>
              </w:rPr>
              <w:t>May 26, 2022</w:t>
            </w:r>
          </w:p>
        </w:tc>
      </w:tr>
      <w:tr>
        <w:trPr>
          <w:trHeight w:val="155"/>
        </w:trPr>
        <w:tc>
          <w:tcPr>
            <w:tcW w:w="104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484">
              <w:r>
                <w:rPr>
                  <w:rFonts w:ascii="Arial" w:cs="Arial" w:eastAsia="Arial" w:hAnsi="Arial"/>
                  <w:sz w:val="18"/>
                  <w:szCs w:val="18"/>
                  <w:color w:val="0000FF"/>
                </w:rPr>
                <w:t>to the Vroom, Inc. 2022 Inducement Award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480" w:type="dxa"/>
            <w:vAlign w:val="bottom"/>
            <w:gridSpan w:val="22"/>
          </w:tcPr>
          <w:p>
            <w:pPr>
              <w:spacing w:after="0" w:line="156" w:lineRule="exact"/>
              <w:rPr>
                <w:rFonts w:ascii="Arial" w:cs="Arial" w:eastAsia="Arial" w:hAnsi="Arial"/>
                <w:sz w:val="18"/>
                <w:szCs w:val="18"/>
                <w:color w:val="0000FF"/>
              </w:rPr>
            </w:pPr>
            <w:hyperlink r:id="rId484">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85"/>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3500" w:type="dxa"/>
            <w:vAlign w:val="bottom"/>
            <w:gridSpan w:val="23"/>
          </w:tcPr>
          <w:p>
            <w:pPr>
              <w:spacing w:after="0"/>
              <w:rPr>
                <w:rFonts w:ascii="Arial" w:cs="Arial" w:eastAsia="Arial" w:hAnsi="Arial"/>
                <w:sz w:val="18"/>
                <w:szCs w:val="18"/>
                <w:color w:val="0000FF"/>
              </w:rPr>
            </w:pPr>
            <w:hyperlink r:id="rId485">
              <w:r>
                <w:rPr>
                  <w:rFonts w:ascii="Arial" w:cs="Arial" w:eastAsia="Arial" w:hAnsi="Arial"/>
                  <w:sz w:val="18"/>
                  <w:szCs w:val="18"/>
                  <w:color w:val="0000FF"/>
                </w:rPr>
                <w:t>Amended and Restated Executive</w:t>
              </w:r>
            </w:hyperlink>
          </w:p>
        </w:tc>
        <w:tc>
          <w:tcPr>
            <w:tcW w:w="760" w:type="dxa"/>
            <w:vAlign w:val="bottom"/>
          </w:tcPr>
          <w:p>
            <w:pPr>
              <w:ind w:left="300"/>
              <w:spacing w:after="0"/>
              <w:rPr>
                <w:sz w:val="20"/>
                <w:szCs w:val="20"/>
                <w:color w:val="auto"/>
              </w:rPr>
            </w:pPr>
            <w:r>
              <w:rPr>
                <w:rFonts w:ascii="Arial" w:cs="Arial" w:eastAsia="Arial" w:hAnsi="Arial"/>
                <w:sz w:val="18"/>
                <w:szCs w:val="18"/>
                <w:color w:val="auto"/>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3540" w:type="dxa"/>
            <w:vAlign w:val="bottom"/>
          </w:tcPr>
          <w:p>
            <w:pPr>
              <w:ind w:left="280"/>
              <w:spacing w:after="0"/>
              <w:rPr>
                <w:sz w:val="20"/>
                <w:szCs w:val="20"/>
                <w:color w:val="auto"/>
              </w:rPr>
            </w:pPr>
            <w:r>
              <w:rPr>
                <w:rFonts w:ascii="Arial" w:cs="Arial" w:eastAsia="Arial" w:hAnsi="Arial"/>
                <w:sz w:val="18"/>
                <w:szCs w:val="18"/>
                <w:color w:val="auto"/>
              </w:rPr>
              <w:t>May 26, 2022</w:t>
            </w:r>
          </w:p>
        </w:tc>
      </w:tr>
      <w:tr>
        <w:trPr>
          <w:trHeight w:val="155"/>
        </w:trPr>
        <w:tc>
          <w:tcPr>
            <w:tcW w:w="104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485">
              <w:r>
                <w:rPr>
                  <w:rFonts w:ascii="Arial" w:cs="Arial" w:eastAsia="Arial" w:hAnsi="Arial"/>
                  <w:sz w:val="18"/>
                  <w:szCs w:val="18"/>
                  <w:color w:val="0000FF"/>
                  <w:w w:val="99"/>
                </w:rPr>
                <w:t>Severance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1480" w:type="dxa"/>
            <w:vAlign w:val="bottom"/>
            <w:tcBorders>
              <w:top w:val="single" w:sz="8" w:color="0000FF"/>
            </w:tcBorders>
            <w:gridSpan w:val="8"/>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385"/>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3500" w:type="dxa"/>
            <w:vAlign w:val="bottom"/>
            <w:gridSpan w:val="23"/>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Amended and Restated Non-Employee</w:t>
              </w:r>
            </w:hyperlink>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ind w:left="2140"/>
              <w:spacing w:after="0"/>
              <w:rPr>
                <w:sz w:val="20"/>
                <w:szCs w:val="20"/>
                <w:color w:val="auto"/>
              </w:rPr>
            </w:pPr>
            <w:r>
              <w:rPr>
                <w:rFonts w:ascii="Arial" w:cs="Arial" w:eastAsia="Arial" w:hAnsi="Arial"/>
                <w:sz w:val="18"/>
                <w:szCs w:val="18"/>
                <w:color w:val="auto"/>
              </w:rPr>
              <w:t>X</w:t>
            </w:r>
          </w:p>
        </w:tc>
      </w:tr>
      <w:tr>
        <w:trPr>
          <w:trHeight w:val="155"/>
        </w:trPr>
        <w:tc>
          <w:tcPr>
            <w:tcW w:w="104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w:anchor="page129">
              <w:r>
                <w:rPr>
                  <w:rFonts w:ascii="Arial" w:cs="Arial" w:eastAsia="Arial" w:hAnsi="Arial"/>
                  <w:sz w:val="18"/>
                  <w:szCs w:val="18"/>
                  <w:color w:val="0000FF"/>
                  <w:w w:val="99"/>
                </w:rPr>
                <w:t>Director Compensation Policy</w:t>
              </w:r>
            </w:hyperlink>
          </w:p>
        </w:tc>
        <w:tc>
          <w:tcPr>
            <w:tcW w:w="20" w:type="dxa"/>
            <w:vAlign w:val="bottom"/>
            <w:tcBorders>
              <w:top w:val="single" w:sz="8" w:color="0000FF"/>
              <w:bottom w:val="single" w:sz="8" w:color="0000EE"/>
            </w:tcBorders>
          </w:tcPr>
          <w:p>
            <w:pPr>
              <w:spacing w:after="0"/>
              <w:rPr>
                <w:sz w:val="13"/>
                <w:szCs w:val="13"/>
                <w:color w:val="auto"/>
              </w:rPr>
            </w:pPr>
          </w:p>
        </w:tc>
        <w:tc>
          <w:tcPr>
            <w:tcW w:w="7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385"/>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500" w:type="dxa"/>
            <w:vAlign w:val="bottom"/>
            <w:gridSpan w:val="23"/>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Certification of Principal Executive Officer</w:t>
              </w:r>
            </w:hyperlink>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ind w:left="2140"/>
              <w:spacing w:after="0"/>
              <w:rPr>
                <w:sz w:val="20"/>
                <w:szCs w:val="20"/>
                <w:color w:val="auto"/>
              </w:rPr>
            </w:pPr>
            <w:r>
              <w:rPr>
                <w:rFonts w:ascii="Arial" w:cs="Arial" w:eastAsia="Arial" w:hAnsi="Arial"/>
                <w:sz w:val="18"/>
                <w:szCs w:val="18"/>
                <w:color w:val="auto"/>
              </w:rPr>
              <w:t>X</w:t>
            </w:r>
          </w:p>
        </w:tc>
      </w:tr>
      <w:tr>
        <w:trPr>
          <w:trHeight w:val="155"/>
        </w:trPr>
        <w:tc>
          <w:tcPr>
            <w:tcW w:w="104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7"/>
              </w:rPr>
            </w:pPr>
            <w:hyperlink w:anchor="page133">
              <w:r>
                <w:rPr>
                  <w:rFonts w:ascii="Arial" w:cs="Arial" w:eastAsia="Arial" w:hAnsi="Arial"/>
                  <w:sz w:val="18"/>
                  <w:szCs w:val="18"/>
                  <w:color w:val="0000FF"/>
                  <w:w w:val="97"/>
                </w:rPr>
                <w:t>Pursuant to Rules 13a-14(a) and 15d-14(a)</w:t>
              </w:r>
            </w:hyperlink>
          </w:p>
        </w:tc>
        <w:tc>
          <w:tcPr>
            <w:tcW w:w="8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500" w:type="dxa"/>
            <w:vAlign w:val="bottom"/>
            <w:tcBorders>
              <w:bottom w:val="single" w:sz="8" w:color="0000FF"/>
            </w:tcBorders>
            <w:gridSpan w:val="23"/>
          </w:tcPr>
          <w:p>
            <w:pPr>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under the Securities Exchange Act of 1934,</w:t>
              </w:r>
            </w:hyperlink>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500" w:type="dxa"/>
            <w:vAlign w:val="bottom"/>
            <w:gridSpan w:val="23"/>
          </w:tcPr>
          <w:p>
            <w:pPr>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as Adopted Pursuant to Section 302 of the</w:t>
              </w:r>
            </w:hyperlink>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33">
              <w:r>
                <w:rPr>
                  <w:rFonts w:ascii="Arial" w:cs="Arial" w:eastAsia="Arial" w:hAnsi="Arial"/>
                  <w:sz w:val="18"/>
                  <w:szCs w:val="18"/>
                  <w:color w:val="0000FF"/>
                  <w:w w:val="99"/>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506"/>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280" w:type="dxa"/>
            <w:vAlign w:val="bottom"/>
            <w:tcBorders>
              <w:bottom w:val="single" w:sz="8" w:color="0000FF"/>
            </w:tcBorders>
            <w:gridSpan w:val="16"/>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Certification of Principal Financial Officer</w:t>
              </w:r>
            </w:hyperlink>
          </w:p>
        </w:tc>
        <w:tc>
          <w:tcPr>
            <w:tcW w:w="22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ind w:left="2140"/>
              <w:spacing w:after="0"/>
              <w:rPr>
                <w:sz w:val="20"/>
                <w:szCs w:val="20"/>
                <w:color w:val="auto"/>
              </w:rPr>
            </w:pPr>
            <w:r>
              <w:rPr>
                <w:rFonts w:ascii="Arial" w:cs="Arial" w:eastAsia="Arial" w:hAnsi="Arial"/>
                <w:sz w:val="18"/>
                <w:szCs w:val="18"/>
                <w:color w:val="auto"/>
              </w:rPr>
              <w:t>X</w:t>
            </w:r>
          </w:p>
        </w:tc>
      </w:tr>
      <w:tr>
        <w:trPr>
          <w:trHeight w:val="155"/>
        </w:trPr>
        <w:tc>
          <w:tcPr>
            <w:tcW w:w="1040" w:type="dxa"/>
            <w:vAlign w:val="bottom"/>
          </w:tcPr>
          <w:p>
            <w:pPr>
              <w:spacing w:after="0"/>
              <w:rPr>
                <w:sz w:val="13"/>
                <w:szCs w:val="13"/>
                <w:color w:val="auto"/>
              </w:rPr>
            </w:pPr>
          </w:p>
        </w:tc>
        <w:tc>
          <w:tcPr>
            <w:tcW w:w="3500" w:type="dxa"/>
            <w:vAlign w:val="bottom"/>
            <w:tcBorders>
              <w:bottom w:val="single" w:sz="8" w:color="0000FF"/>
            </w:tcBorders>
            <w:gridSpan w:val="23"/>
          </w:tcPr>
          <w:p>
            <w:pPr>
              <w:spacing w:after="0" w:line="156" w:lineRule="exact"/>
              <w:rPr>
                <w:rFonts w:ascii="Arial" w:cs="Arial" w:eastAsia="Arial" w:hAnsi="Arial"/>
                <w:sz w:val="18"/>
                <w:szCs w:val="18"/>
                <w:color w:val="0000FF"/>
              </w:rPr>
            </w:pPr>
            <w:hyperlink w:anchor="page135">
              <w:r>
                <w:rPr>
                  <w:rFonts w:ascii="Arial" w:cs="Arial" w:eastAsia="Arial" w:hAnsi="Arial"/>
                  <w:sz w:val="18"/>
                  <w:szCs w:val="18"/>
                  <w:color w:val="0000FF"/>
                </w:rPr>
                <w:t>Pursuant to Rules 13a-14(a) and 15d-14(a)</w:t>
              </w:r>
            </w:hyperlink>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500" w:type="dxa"/>
            <w:vAlign w:val="bottom"/>
            <w:tcBorders>
              <w:bottom w:val="single" w:sz="8" w:color="0000FF"/>
            </w:tcBorders>
            <w:gridSpan w:val="23"/>
          </w:tcPr>
          <w:p>
            <w:pPr>
              <w:spacing w:after="0" w:line="156" w:lineRule="exact"/>
              <w:rPr>
                <w:rFonts w:ascii="Arial" w:cs="Arial" w:eastAsia="Arial" w:hAnsi="Arial"/>
                <w:sz w:val="18"/>
                <w:szCs w:val="18"/>
                <w:color w:val="0000FF"/>
              </w:rPr>
            </w:pPr>
            <w:hyperlink w:anchor="page135">
              <w:r>
                <w:rPr>
                  <w:rFonts w:ascii="Arial" w:cs="Arial" w:eastAsia="Arial" w:hAnsi="Arial"/>
                  <w:sz w:val="18"/>
                  <w:szCs w:val="18"/>
                  <w:color w:val="0000FF"/>
                </w:rPr>
                <w:t>under the Securities Exchange Act of 1934,</w:t>
              </w:r>
            </w:hyperlink>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500" w:type="dxa"/>
            <w:vAlign w:val="bottom"/>
            <w:gridSpan w:val="23"/>
          </w:tcPr>
          <w:p>
            <w:pPr>
              <w:spacing w:after="0" w:line="156" w:lineRule="exact"/>
              <w:rPr>
                <w:rFonts w:ascii="Arial" w:cs="Arial" w:eastAsia="Arial" w:hAnsi="Arial"/>
                <w:sz w:val="18"/>
                <w:szCs w:val="18"/>
                <w:color w:val="0000FF"/>
              </w:rPr>
            </w:pPr>
            <w:hyperlink w:anchor="page135">
              <w:r>
                <w:rPr>
                  <w:rFonts w:ascii="Arial" w:cs="Arial" w:eastAsia="Arial" w:hAnsi="Arial"/>
                  <w:sz w:val="18"/>
                  <w:szCs w:val="18"/>
                  <w:color w:val="0000FF"/>
                </w:rPr>
                <w:t>as Adopted Pursuant to Section 302 of the</w:t>
              </w:r>
            </w:hyperlink>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35">
              <w:r>
                <w:rPr>
                  <w:rFonts w:ascii="Arial" w:cs="Arial" w:eastAsia="Arial" w:hAnsi="Arial"/>
                  <w:sz w:val="18"/>
                  <w:szCs w:val="18"/>
                  <w:color w:val="0000FF"/>
                  <w:w w:val="99"/>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331"/>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500" w:type="dxa"/>
            <w:vAlign w:val="bottom"/>
            <w:gridSpan w:val="23"/>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Certification of Principal Executive Officer</w:t>
              </w:r>
            </w:hyperlink>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155"/>
        </w:trPr>
        <w:tc>
          <w:tcPr>
            <w:tcW w:w="1040" w:type="dxa"/>
            <w:vAlign w:val="bottom"/>
          </w:tcPr>
          <w:p>
            <w:pPr>
              <w:spacing w:after="0"/>
              <w:rPr>
                <w:sz w:val="13"/>
                <w:szCs w:val="13"/>
                <w:color w:val="auto"/>
              </w:rPr>
            </w:pPr>
          </w:p>
        </w:tc>
        <w:tc>
          <w:tcPr>
            <w:tcW w:w="33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37">
              <w:r>
                <w:rPr>
                  <w:rFonts w:ascii="Arial" w:cs="Arial" w:eastAsia="Arial" w:hAnsi="Arial"/>
                  <w:sz w:val="18"/>
                  <w:szCs w:val="18"/>
                  <w:color w:val="0000FF"/>
                </w:rPr>
                <w:t>Pursuant to 18 U.S.C. Section 1350, as</w:t>
              </w:r>
            </w:hyperlink>
          </w:p>
        </w:tc>
        <w:tc>
          <w:tcPr>
            <w:tcW w:w="14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w:anchor="page137">
              <w:r>
                <w:rPr>
                  <w:rFonts w:ascii="Arial" w:cs="Arial" w:eastAsia="Arial" w:hAnsi="Arial"/>
                  <w:sz w:val="18"/>
                  <w:szCs w:val="18"/>
                  <w:color w:val="0000FF"/>
                </w:rPr>
                <w:t>Adopted Pursuant to Section 906 of the</w:t>
              </w:r>
            </w:hyperlink>
          </w:p>
        </w:tc>
        <w:tc>
          <w:tcPr>
            <w:tcW w:w="20" w:type="dxa"/>
            <w:vAlign w:val="bottom"/>
            <w:tcBorders>
              <w:bottom w:val="single" w:sz="8" w:color="0000FF"/>
            </w:tcBorders>
          </w:tcPr>
          <w:p>
            <w:pPr>
              <w:spacing w:after="0"/>
              <w:rPr>
                <w:sz w:val="13"/>
                <w:szCs w:val="13"/>
                <w:color w:val="auto"/>
              </w:rPr>
            </w:pPr>
          </w:p>
        </w:tc>
        <w:tc>
          <w:tcPr>
            <w:tcW w:w="2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26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w:anchor="page137">
              <w:r>
                <w:rPr>
                  <w:rFonts w:ascii="Arial" w:cs="Arial" w:eastAsia="Arial" w:hAnsi="Arial"/>
                  <w:sz w:val="18"/>
                  <w:szCs w:val="18"/>
                  <w:color w:val="0000FF"/>
                  <w:w w:val="99"/>
                </w:rPr>
                <w:t>Sarbanes-Oxley Act of 2002</w:t>
              </w:r>
            </w:hyperlink>
          </w:p>
        </w:tc>
        <w:tc>
          <w:tcPr>
            <w:tcW w:w="20" w:type="dxa"/>
            <w:vAlign w:val="bottom"/>
            <w:tcBorders>
              <w:bottom w:val="single" w:sz="8" w:color="0000EE"/>
            </w:tcBorders>
          </w:tcPr>
          <w:p>
            <w:pPr>
              <w:spacing w:after="0"/>
              <w:rPr>
                <w:sz w:val="13"/>
                <w:szCs w:val="13"/>
                <w:color w:val="auto"/>
              </w:rPr>
            </w:pPr>
          </w:p>
        </w:tc>
        <w:tc>
          <w:tcPr>
            <w:tcW w:w="940" w:type="dxa"/>
            <w:vAlign w:val="bottom"/>
            <w:gridSpan w:val="7"/>
          </w:tcPr>
          <w:p>
            <w:pPr>
              <w:spacing w:after="0"/>
              <w:rPr>
                <w:sz w:val="13"/>
                <w:szCs w:val="13"/>
                <w:color w:val="auto"/>
              </w:rPr>
            </w:pPr>
          </w:p>
        </w:tc>
        <w:tc>
          <w:tcPr>
            <w:tcW w:w="2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331"/>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500" w:type="dxa"/>
            <w:vAlign w:val="bottom"/>
            <w:gridSpan w:val="23"/>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Certification of Principal Financial Officer</w:t>
              </w:r>
            </w:hyperlink>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155"/>
        </w:trPr>
        <w:tc>
          <w:tcPr>
            <w:tcW w:w="1040" w:type="dxa"/>
            <w:vAlign w:val="bottom"/>
          </w:tcPr>
          <w:p>
            <w:pPr>
              <w:spacing w:after="0"/>
              <w:rPr>
                <w:sz w:val="13"/>
                <w:szCs w:val="13"/>
                <w:color w:val="auto"/>
              </w:rPr>
            </w:pPr>
          </w:p>
        </w:tc>
        <w:tc>
          <w:tcPr>
            <w:tcW w:w="32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38">
              <w:r>
                <w:rPr>
                  <w:rFonts w:ascii="Arial" w:cs="Arial" w:eastAsia="Arial" w:hAnsi="Arial"/>
                  <w:sz w:val="18"/>
                  <w:szCs w:val="18"/>
                  <w:color w:val="0000FF"/>
                </w:rPr>
                <w:t>Pursuant to 18 U.S.C. Section 1350, as</w:t>
              </w:r>
            </w:hyperlink>
          </w:p>
        </w:tc>
        <w:tc>
          <w:tcPr>
            <w:tcW w:w="22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38">
              <w:r>
                <w:rPr>
                  <w:rFonts w:ascii="Arial" w:cs="Arial" w:eastAsia="Arial" w:hAnsi="Arial"/>
                  <w:sz w:val="18"/>
                  <w:szCs w:val="18"/>
                  <w:color w:val="0000FF"/>
                </w:rPr>
                <w:t>Adopted Pursuant to Section 906 of the</w:t>
              </w:r>
            </w:hyperlink>
          </w:p>
        </w:tc>
        <w:tc>
          <w:tcPr>
            <w:tcW w:w="30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38">
              <w:r>
                <w:rPr>
                  <w:rFonts w:ascii="Arial" w:cs="Arial" w:eastAsia="Arial" w:hAnsi="Arial"/>
                  <w:sz w:val="18"/>
                  <w:szCs w:val="18"/>
                  <w:color w:val="0000FF"/>
                  <w:w w:val="99"/>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40" w:type="dxa"/>
            <w:vAlign w:val="bottom"/>
            <w:tcBorders>
              <w:top w:val="single" w:sz="8" w:color="0000FF"/>
            </w:tcBorders>
            <w:gridSpan w:val="7"/>
          </w:tcPr>
          <w:p>
            <w:pPr>
              <w:spacing w:after="0"/>
              <w:rPr>
                <w:sz w:val="13"/>
                <w:szCs w:val="13"/>
                <w:color w:val="auto"/>
              </w:rPr>
            </w:pPr>
          </w:p>
        </w:tc>
        <w:tc>
          <w:tcPr>
            <w:tcW w:w="2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331"/>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3500" w:type="dxa"/>
            <w:vAlign w:val="bottom"/>
            <w:gridSpan w:val="23"/>
          </w:tcPr>
          <w:p>
            <w:pPr>
              <w:spacing w:after="0"/>
              <w:rPr>
                <w:sz w:val="20"/>
                <w:szCs w:val="20"/>
                <w:color w:val="auto"/>
              </w:rPr>
            </w:pPr>
            <w:r>
              <w:rPr>
                <w:rFonts w:ascii="Arial" w:cs="Arial" w:eastAsia="Arial" w:hAnsi="Arial"/>
                <w:sz w:val="18"/>
                <w:szCs w:val="18"/>
                <w:color w:val="auto"/>
              </w:rPr>
              <w:t>Inline XBRL Instance Document</w:t>
            </w: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5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w:t>
            </w: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350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500" w:type="dxa"/>
            <w:vAlign w:val="bottom"/>
            <w:gridSpan w:val="23"/>
          </w:tcPr>
          <w:p>
            <w:pPr>
              <w:spacing w:after="0"/>
              <w:rPr>
                <w:sz w:val="20"/>
                <w:szCs w:val="20"/>
                <w:color w:val="auto"/>
              </w:rPr>
            </w:pPr>
            <w:r>
              <w:rPr>
                <w:rFonts w:ascii="Arial" w:cs="Arial" w:eastAsia="Arial" w:hAnsi="Arial"/>
                <w:sz w:val="18"/>
                <w:szCs w:val="18"/>
                <w:color w:val="auto"/>
              </w:rPr>
              <w:t>Inline XBRL Taxonomy Extension</w:t>
            </w: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3500" w:type="dxa"/>
            <w:vAlign w:val="bottom"/>
            <w:gridSpan w:val="23"/>
          </w:tcPr>
          <w:p>
            <w:pPr>
              <w:spacing w:after="0"/>
              <w:rPr>
                <w:sz w:val="20"/>
                <w:szCs w:val="20"/>
                <w:color w:val="auto"/>
              </w:rPr>
            </w:pPr>
            <w:r>
              <w:rPr>
                <w:rFonts w:ascii="Arial" w:cs="Arial" w:eastAsia="Arial" w:hAnsi="Arial"/>
                <w:sz w:val="18"/>
                <w:szCs w:val="18"/>
                <w:color w:val="auto"/>
              </w:rPr>
              <w:t>Calculation Linkbase Document</w:t>
            </w: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500" w:type="dxa"/>
            <w:vAlign w:val="bottom"/>
            <w:gridSpan w:val="23"/>
          </w:tcPr>
          <w:p>
            <w:pPr>
              <w:spacing w:after="0"/>
              <w:rPr>
                <w:sz w:val="20"/>
                <w:szCs w:val="20"/>
                <w:color w:val="auto"/>
              </w:rPr>
            </w:pPr>
            <w:r>
              <w:rPr>
                <w:rFonts w:ascii="Arial" w:cs="Arial" w:eastAsia="Arial" w:hAnsi="Arial"/>
                <w:sz w:val="18"/>
                <w:szCs w:val="18"/>
                <w:color w:val="auto"/>
                <w:w w:val="99"/>
              </w:rPr>
              <w:t>Inline XBRL Taxonomy Extension Definition</w:t>
            </w: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35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50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w:t>
            </w: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35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500" w:type="dxa"/>
            <w:vAlign w:val="bottom"/>
            <w:gridSpan w:val="23"/>
          </w:tcPr>
          <w:p>
            <w:pPr>
              <w:spacing w:after="0"/>
              <w:rPr>
                <w:sz w:val="20"/>
                <w:szCs w:val="20"/>
                <w:color w:val="auto"/>
              </w:rPr>
            </w:pPr>
            <w:r>
              <w:rPr>
                <w:rFonts w:ascii="Arial" w:cs="Arial" w:eastAsia="Arial" w:hAnsi="Arial"/>
                <w:sz w:val="18"/>
                <w:szCs w:val="18"/>
                <w:color w:val="auto"/>
              </w:rPr>
              <w:t>Inline XBRL Taxonomy Extension</w:t>
            </w:r>
          </w:p>
        </w:tc>
        <w:tc>
          <w:tcPr>
            <w:tcW w:w="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3500" w:type="dxa"/>
            <w:vAlign w:val="bottom"/>
            <w:gridSpan w:val="23"/>
          </w:tcPr>
          <w:p>
            <w:pPr>
              <w:spacing w:after="0"/>
              <w:rPr>
                <w:sz w:val="20"/>
                <w:szCs w:val="20"/>
                <w:color w:val="auto"/>
              </w:rPr>
            </w:pPr>
            <w:r>
              <w:rPr>
                <w:rFonts w:ascii="Arial" w:cs="Arial" w:eastAsia="Arial" w:hAnsi="Arial"/>
                <w:sz w:val="18"/>
                <w:szCs w:val="18"/>
                <w:color w:val="auto"/>
              </w:rPr>
              <w:t>Presentation Linkbase Document</w:t>
            </w: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823"/>
        </w:trPr>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jc w:val="right"/>
              <w:ind w:right="970"/>
              <w:spacing w:after="0"/>
              <w:rPr>
                <w:sz w:val="20"/>
                <w:szCs w:val="20"/>
                <w:color w:val="auto"/>
              </w:rPr>
            </w:pPr>
            <w:r>
              <w:rPr>
                <w:rFonts w:ascii="Arial" w:cs="Arial" w:eastAsia="Arial" w:hAnsi="Arial"/>
                <w:sz w:val="18"/>
                <w:szCs w:val="18"/>
                <w:color w:val="auto"/>
              </w:rPr>
              <w:t>116</w:t>
            </w:r>
          </w:p>
        </w:tc>
        <w:tc>
          <w:tcPr>
            <w:tcW w:w="8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00" w:type="dxa"/>
            <w:vAlign w:val="bottom"/>
          </w:tcPr>
          <w:p>
            <w:pPr>
              <w:spacing w:after="0"/>
              <w:rPr>
                <w:sz w:val="17"/>
                <w:szCs w:val="17"/>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84"/>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6560" w:type="dxa"/>
            <w:vAlign w:val="bottom"/>
            <w:gridSpan w:val="2"/>
          </w:tcPr>
          <w:p>
            <w:pPr>
              <w:ind w:left="360"/>
              <w:spacing w:after="0"/>
              <w:rPr>
                <w:sz w:val="20"/>
                <w:szCs w:val="20"/>
                <w:color w:val="auto"/>
              </w:rPr>
            </w:pPr>
            <w:r>
              <w:rPr>
                <w:rFonts w:ascii="Arial" w:cs="Arial" w:eastAsia="Arial" w:hAnsi="Arial"/>
                <w:sz w:val="18"/>
                <w:szCs w:val="18"/>
                <w:color w:val="auto"/>
              </w:rPr>
              <w:t>Cover Page Interactive Data File</w:t>
            </w:r>
          </w:p>
        </w:tc>
        <w:tc>
          <w:tcPr>
            <w:tcW w:w="4000" w:type="dxa"/>
            <w:vAlign w:val="bottom"/>
          </w:tcPr>
          <w:p>
            <w:pPr>
              <w:ind w:left="3460"/>
              <w:spacing w:after="0"/>
              <w:rPr>
                <w:sz w:val="20"/>
                <w:szCs w:val="20"/>
                <w:color w:val="auto"/>
              </w:rPr>
            </w:pPr>
            <w:r>
              <w:rPr>
                <w:rFonts w:ascii="Arial" w:cs="Arial" w:eastAsia="Arial" w:hAnsi="Arial"/>
                <w:sz w:val="18"/>
                <w:szCs w:val="18"/>
                <w:color w:val="auto"/>
              </w:rPr>
              <w:t>X</w:t>
            </w:r>
          </w:p>
        </w:tc>
      </w:tr>
      <w:tr>
        <w:trPr>
          <w:trHeight w:val="175"/>
        </w:trPr>
        <w:tc>
          <w:tcPr>
            <w:tcW w:w="680" w:type="dxa"/>
            <w:vAlign w:val="bottom"/>
          </w:tcPr>
          <w:p>
            <w:pPr>
              <w:spacing w:after="0"/>
              <w:rPr>
                <w:sz w:val="15"/>
                <w:szCs w:val="15"/>
                <w:color w:val="auto"/>
              </w:rPr>
            </w:pPr>
          </w:p>
        </w:tc>
        <w:tc>
          <w:tcPr>
            <w:tcW w:w="65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(embedded within the Inline XBRL</w:t>
            </w:r>
          </w:p>
        </w:tc>
        <w:tc>
          <w:tcPr>
            <w:tcW w:w="4000" w:type="dxa"/>
            <w:vAlign w:val="bottom"/>
          </w:tcPr>
          <w:p>
            <w:pPr>
              <w:spacing w:after="0"/>
              <w:rPr>
                <w:sz w:val="15"/>
                <w:szCs w:val="15"/>
                <w:color w:val="auto"/>
              </w:rPr>
            </w:pPr>
          </w:p>
        </w:tc>
      </w:tr>
      <w:tr>
        <w:trPr>
          <w:trHeight w:val="217"/>
        </w:trPr>
        <w:tc>
          <w:tcPr>
            <w:tcW w:w="680" w:type="dxa"/>
            <w:vAlign w:val="bottom"/>
          </w:tcPr>
          <w:p>
            <w:pPr>
              <w:spacing w:after="0"/>
              <w:rPr>
                <w:sz w:val="18"/>
                <w:szCs w:val="18"/>
                <w:color w:val="auto"/>
              </w:rPr>
            </w:pPr>
          </w:p>
        </w:tc>
        <w:tc>
          <w:tcPr>
            <w:tcW w:w="6560" w:type="dxa"/>
            <w:vAlign w:val="bottom"/>
            <w:gridSpan w:val="2"/>
          </w:tcPr>
          <w:p>
            <w:pPr>
              <w:ind w:left="360"/>
              <w:spacing w:after="0"/>
              <w:rPr>
                <w:sz w:val="20"/>
                <w:szCs w:val="20"/>
                <w:color w:val="auto"/>
              </w:rPr>
            </w:pPr>
            <w:r>
              <w:rPr>
                <w:rFonts w:ascii="Arial" w:cs="Arial" w:eastAsia="Arial" w:hAnsi="Arial"/>
                <w:sz w:val="18"/>
                <w:szCs w:val="18"/>
                <w:color w:val="auto"/>
              </w:rPr>
              <w:t>document)</w:t>
            </w:r>
          </w:p>
        </w:tc>
        <w:tc>
          <w:tcPr>
            <w:tcW w:w="4000" w:type="dxa"/>
            <w:vAlign w:val="bottom"/>
          </w:tcPr>
          <w:p>
            <w:pPr>
              <w:spacing w:after="0"/>
              <w:rPr>
                <w:sz w:val="18"/>
                <w:szCs w:val="18"/>
                <w:color w:val="auto"/>
              </w:rPr>
            </w:pPr>
          </w:p>
        </w:tc>
      </w:tr>
      <w:tr>
        <w:trPr>
          <w:trHeight w:val="209"/>
        </w:trPr>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3200" w:type="dxa"/>
            <w:vAlign w:val="bottom"/>
            <w:gridSpan w:val="2"/>
          </w:tcPr>
          <w:p>
            <w:pPr>
              <w:ind w:left="1480"/>
              <w:spacing w:after="0"/>
              <w:rPr>
                <w:sz w:val="20"/>
                <w:szCs w:val="20"/>
                <w:color w:val="auto"/>
              </w:rPr>
            </w:pPr>
            <w:r>
              <w:rPr>
                <w:rFonts w:ascii="Arial" w:cs="Arial" w:eastAsia="Arial" w:hAnsi="Arial"/>
                <w:sz w:val="18"/>
                <w:szCs w:val="18"/>
                <w:color w:val="auto"/>
              </w:rPr>
              <w:t>Vroom, Inc.</w:t>
            </w:r>
          </w:p>
        </w:tc>
        <w:tc>
          <w:tcPr>
            <w:tcW w:w="4860" w:type="dxa"/>
            <w:vAlign w:val="bottom"/>
          </w:tcPr>
          <w:p>
            <w:pPr>
              <w:spacing w:after="0"/>
              <w:rPr>
                <w:sz w:val="18"/>
                <w:szCs w:val="18"/>
                <w:color w:val="auto"/>
              </w:rPr>
            </w:pPr>
          </w:p>
        </w:tc>
      </w:tr>
      <w:tr>
        <w:trPr>
          <w:trHeight w:val="324"/>
        </w:trPr>
        <w:tc>
          <w:tcPr>
            <w:tcW w:w="318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32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ind w:right="1350"/>
              <w:spacing w:after="0"/>
              <w:rPr>
                <w:sz w:val="20"/>
                <w:szCs w:val="20"/>
                <w:color w:val="auto"/>
              </w:rPr>
            </w:pPr>
            <w:r>
              <w:rPr>
                <w:rFonts w:ascii="Arial" w:cs="Arial" w:eastAsia="Arial" w:hAnsi="Arial"/>
                <w:sz w:val="18"/>
                <w:szCs w:val="18"/>
                <w:color w:val="auto"/>
              </w:rPr>
              <w:t>/s/ Thomas H. Shortt</w:t>
            </w:r>
          </w:p>
        </w:tc>
      </w:tr>
      <w:tr>
        <w:trPr>
          <w:trHeight w:val="195"/>
        </w:trPr>
        <w:tc>
          <w:tcPr>
            <w:tcW w:w="3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center"/>
              <w:ind w:right="1350"/>
              <w:spacing w:after="0" w:line="195" w:lineRule="exact"/>
              <w:rPr>
                <w:sz w:val="20"/>
                <w:szCs w:val="20"/>
                <w:color w:val="auto"/>
              </w:rPr>
            </w:pPr>
            <w:r>
              <w:rPr>
                <w:rFonts w:ascii="Arial" w:cs="Arial" w:eastAsia="Arial" w:hAnsi="Arial"/>
                <w:sz w:val="18"/>
                <w:szCs w:val="18"/>
                <w:color w:val="auto"/>
              </w:rPr>
              <w:t>Thomas H. Shortt</w:t>
            </w:r>
          </w:p>
        </w:tc>
      </w:tr>
      <w:tr>
        <w:trPr>
          <w:trHeight w:val="184"/>
        </w:trPr>
        <w:tc>
          <w:tcPr>
            <w:tcW w:w="3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60" w:type="dxa"/>
            <w:vAlign w:val="bottom"/>
          </w:tcPr>
          <w:p>
            <w:pPr>
              <w:jc w:val="center"/>
              <w:ind w:right="1350"/>
              <w:spacing w:after="0" w:line="184" w:lineRule="exact"/>
              <w:rPr>
                <w:sz w:val="20"/>
                <w:szCs w:val="20"/>
                <w:color w:val="auto"/>
              </w:rPr>
            </w:pPr>
            <w:r>
              <w:rPr>
                <w:rFonts w:ascii="Arial" w:cs="Arial" w:eastAsia="Arial" w:hAnsi="Arial"/>
                <w:sz w:val="18"/>
                <w:szCs w:val="18"/>
                <w:color w:val="auto"/>
                <w:w w:val="99"/>
              </w:rPr>
              <w:t>Chief Executive Officer</w:t>
            </w:r>
          </w:p>
        </w:tc>
      </w:tr>
      <w:tr>
        <w:trPr>
          <w:trHeight w:val="235"/>
        </w:trPr>
        <w:tc>
          <w:tcPr>
            <w:tcW w:w="3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60" w:type="dxa"/>
            <w:vAlign w:val="bottom"/>
          </w:tcPr>
          <w:p>
            <w:pPr>
              <w:jc w:val="center"/>
              <w:ind w:right="139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26"/>
        </w:trPr>
        <w:tc>
          <w:tcPr>
            <w:tcW w:w="318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32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ind w:right="1350"/>
              <w:spacing w:after="0"/>
              <w:rPr>
                <w:sz w:val="20"/>
                <w:szCs w:val="20"/>
                <w:color w:val="auto"/>
              </w:rPr>
            </w:pPr>
            <w:r>
              <w:rPr>
                <w:rFonts w:ascii="Arial" w:cs="Arial" w:eastAsia="Arial" w:hAnsi="Arial"/>
                <w:sz w:val="18"/>
                <w:szCs w:val="18"/>
                <w:color w:val="auto"/>
              </w:rPr>
              <w:t>/s/ Robert R. Krakowiak</w:t>
            </w:r>
          </w:p>
        </w:tc>
      </w:tr>
      <w:tr>
        <w:trPr>
          <w:trHeight w:val="195"/>
        </w:trPr>
        <w:tc>
          <w:tcPr>
            <w:tcW w:w="3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center"/>
              <w:ind w:right="1350"/>
              <w:spacing w:after="0" w:line="195" w:lineRule="exact"/>
              <w:rPr>
                <w:sz w:val="20"/>
                <w:szCs w:val="20"/>
                <w:color w:val="auto"/>
              </w:rPr>
            </w:pPr>
            <w:r>
              <w:rPr>
                <w:rFonts w:ascii="Arial" w:cs="Arial" w:eastAsia="Arial" w:hAnsi="Arial"/>
                <w:sz w:val="18"/>
                <w:szCs w:val="18"/>
                <w:color w:val="auto"/>
              </w:rPr>
              <w:t>Robert R. Krakowiak</w:t>
            </w:r>
          </w:p>
        </w:tc>
      </w:tr>
      <w:tr>
        <w:trPr>
          <w:trHeight w:val="184"/>
        </w:trPr>
        <w:tc>
          <w:tcPr>
            <w:tcW w:w="3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60" w:type="dxa"/>
            <w:vAlign w:val="bottom"/>
          </w:tcPr>
          <w:p>
            <w:pPr>
              <w:jc w:val="center"/>
              <w:ind w:right="1350"/>
              <w:spacing w:after="0" w:line="184" w:lineRule="exact"/>
              <w:rPr>
                <w:sz w:val="20"/>
                <w:szCs w:val="20"/>
                <w:color w:val="auto"/>
              </w:rPr>
            </w:pPr>
            <w:r>
              <w:rPr>
                <w:rFonts w:ascii="Arial" w:cs="Arial" w:eastAsia="Arial" w:hAnsi="Arial"/>
                <w:sz w:val="18"/>
                <w:szCs w:val="18"/>
                <w:color w:val="auto"/>
              </w:rPr>
              <w:t>Chief Financial Officer</w:t>
            </w:r>
          </w:p>
        </w:tc>
      </w:tr>
      <w:tr>
        <w:trPr>
          <w:trHeight w:val="235"/>
        </w:trPr>
        <w:tc>
          <w:tcPr>
            <w:tcW w:w="3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60" w:type="dxa"/>
            <w:vAlign w:val="bottom"/>
          </w:tcPr>
          <w:p>
            <w:pPr>
              <w:jc w:val="center"/>
              <w:ind w:right="133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620"/>
        </w:trPr>
        <w:tc>
          <w:tcPr>
            <w:tcW w:w="3180" w:type="dxa"/>
            <w:vAlign w:val="bottom"/>
          </w:tcPr>
          <w:p>
            <w:pPr>
              <w:spacing w:after="0"/>
              <w:rPr>
                <w:sz w:val="24"/>
                <w:szCs w:val="24"/>
                <w:color w:val="auto"/>
              </w:rPr>
            </w:pPr>
          </w:p>
        </w:tc>
        <w:tc>
          <w:tcPr>
            <w:tcW w:w="3200" w:type="dxa"/>
            <w:vAlign w:val="bottom"/>
            <w:gridSpan w:val="2"/>
          </w:tcPr>
          <w:p>
            <w:pPr>
              <w:jc w:val="right"/>
              <w:ind w:right="600"/>
              <w:spacing w:after="0"/>
              <w:rPr>
                <w:sz w:val="20"/>
                <w:szCs w:val="20"/>
                <w:color w:val="auto"/>
              </w:rPr>
            </w:pPr>
            <w:r>
              <w:rPr>
                <w:rFonts w:ascii="Arial" w:cs="Arial" w:eastAsia="Arial" w:hAnsi="Arial"/>
                <w:sz w:val="18"/>
                <w:szCs w:val="18"/>
                <w:color w:val="auto"/>
              </w:rPr>
              <w:t>118</w:t>
            </w:r>
          </w:p>
        </w:tc>
        <w:tc>
          <w:tcPr>
            <w:tcW w:w="4860" w:type="dxa"/>
            <w:vAlign w:val="bottom"/>
          </w:tcPr>
          <w:p>
            <w:pPr>
              <w:spacing w:after="0"/>
              <w:rPr>
                <w:sz w:val="24"/>
                <w:szCs w:val="24"/>
                <w:color w:val="auto"/>
              </w:rPr>
            </w:pPr>
          </w:p>
        </w:tc>
      </w:tr>
      <w:tr>
        <w:trPr>
          <w:trHeight w:val="101"/>
        </w:trPr>
        <w:tc>
          <w:tcPr>
            <w:tcW w:w="31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10.4</w:t>
      </w:r>
    </w:p>
    <w:p>
      <w:pPr>
        <w:jc w:val="center"/>
        <w:spacing w:after="0" w:line="232" w:lineRule="auto"/>
        <w:rPr>
          <w:sz w:val="20"/>
          <w:szCs w:val="20"/>
          <w:color w:val="auto"/>
        </w:rPr>
      </w:pPr>
      <w:r>
        <w:rPr>
          <w:rFonts w:ascii="Arial" w:cs="Arial" w:eastAsia="Arial" w:hAnsi="Arial"/>
          <w:sz w:val="20"/>
          <w:szCs w:val="20"/>
          <w:b w:val="1"/>
          <w:bCs w:val="1"/>
          <w:color w:val="auto"/>
        </w:rPr>
        <w:t>VROOM, INC.</w:t>
      </w:r>
    </w:p>
    <w:p>
      <w:pPr>
        <w:jc w:val="center"/>
        <w:spacing w:after="0"/>
        <w:rPr>
          <w:sz w:val="20"/>
          <w:szCs w:val="20"/>
          <w:color w:val="auto"/>
        </w:rPr>
      </w:pPr>
      <w:r>
        <w:rPr>
          <w:rFonts w:ascii="Arial" w:cs="Arial" w:eastAsia="Arial" w:hAnsi="Arial"/>
          <w:sz w:val="20"/>
          <w:szCs w:val="20"/>
          <w:b w:val="1"/>
          <w:bCs w:val="1"/>
          <w:color w:val="auto"/>
        </w:rPr>
        <w:t>2020 INCENTIVE AWARD PLAN</w:t>
      </w:r>
    </w:p>
    <w:p>
      <w:pPr>
        <w:spacing w:after="0" w:line="166"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STOCK OPTION GRANT NOTICE AND</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STOCK OPTION AGREEMENT</w:t>
      </w:r>
    </w:p>
    <w:p>
      <w:pPr>
        <w:spacing w:after="0" w:line="17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Vroom,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2020 Incentive Award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an option to purchase the number of Shares set forth below (the “</w:t>
      </w:r>
      <w:r>
        <w:rPr>
          <w:rFonts w:ascii="Arial" w:cs="Arial" w:eastAsia="Arial" w:hAnsi="Arial"/>
          <w:sz w:val="18"/>
          <w:szCs w:val="18"/>
          <w:u w:val="single" w:color="auto"/>
          <w:color w:val="auto"/>
        </w:rPr>
        <w:t>Option</w:t>
      </w:r>
      <w:r>
        <w:rPr>
          <w:rFonts w:ascii="Arial" w:cs="Arial" w:eastAsia="Arial" w:hAnsi="Arial"/>
          <w:sz w:val="18"/>
          <w:szCs w:val="18"/>
          <w:color w:val="auto"/>
        </w:rPr>
        <w:t>”). The Option is subject to the terms and conditions set forth in this Stock Option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the Stock Option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and the Plan, each of which is incorporated herein by reference. Unless otherwise defined herein, the terms defined in the Plan shall have the same defined meanings in this Grant Notice and the Agreement.</w:t>
      </w:r>
    </w:p>
    <w:p>
      <w:pPr>
        <w:sectPr>
          <w:pgSz w:w="11900" w:h="16838" w:orient="portrait"/>
          <w:cols w:equalWidth="0" w:num="1">
            <w:col w:w="11240"/>
          </w:cols>
          <w:pgMar w:left="320" w:top="118" w:right="339" w:bottom="1440" w:gutter="0" w:footer="0" w:header="0"/>
        </w:sect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46" w:lineRule="exact"/>
        <w:rPr>
          <w:sz w:val="20"/>
          <w:szCs w:val="20"/>
          <w:color w:val="auto"/>
        </w:rPr>
      </w:pPr>
    </w:p>
    <w:p>
      <w:pPr>
        <w:sectPr>
          <w:pgSz w:w="11900" w:h="16838" w:orient="portrait"/>
          <w:cols w:equalWidth="0" w:num="2">
            <w:col w:w="3260" w:space="720"/>
            <w:col w:w="726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w:t>
      </w:r>
    </w:p>
    <w:p>
      <w:pPr>
        <w:spacing w:after="0" w:line="146" w:lineRule="exact"/>
        <w:rPr>
          <w:sz w:val="20"/>
          <w:szCs w:val="20"/>
          <w:color w:val="auto"/>
        </w:rPr>
      </w:pPr>
    </w:p>
    <w:p>
      <w:pPr>
        <w:sectPr>
          <w:pgSz w:w="11900" w:h="16838" w:orient="portrait"/>
          <w:cols w:equalWidth="0" w:num="2">
            <w:col w:w="3260" w:space="720"/>
            <w:col w:w="726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w:t>
      </w:r>
    </w:p>
    <w:p>
      <w:pPr>
        <w:spacing w:after="0" w:line="147" w:lineRule="exact"/>
        <w:rPr>
          <w:sz w:val="20"/>
          <w:szCs w:val="20"/>
          <w:color w:val="auto"/>
        </w:rPr>
      </w:pPr>
    </w:p>
    <w:p>
      <w:pPr>
        <w:sectPr>
          <w:pgSz w:w="11900" w:h="16838" w:orient="portrait"/>
          <w:cols w:equalWidth="0" w:num="2">
            <w:col w:w="3260" w:space="720"/>
            <w:col w:w="726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w:t>
      </w:r>
    </w:p>
    <w:p>
      <w:pPr>
        <w:spacing w:after="0" w:line="147" w:lineRule="exact"/>
        <w:rPr>
          <w:sz w:val="20"/>
          <w:szCs w:val="20"/>
          <w:color w:val="auto"/>
        </w:rPr>
      </w:pPr>
    </w:p>
    <w:p>
      <w:pPr>
        <w:sectPr>
          <w:pgSz w:w="11900" w:h="16838" w:orient="portrait"/>
          <w:cols w:equalWidth="0" w:num="2">
            <w:col w:w="3260" w:space="720"/>
            <w:col w:w="726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Total Number of Shares Subject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w:t>
      </w:r>
    </w:p>
    <w:p>
      <w:pPr>
        <w:spacing w:after="0" w:line="61" w:lineRule="exact"/>
        <w:rPr>
          <w:sz w:val="20"/>
          <w:szCs w:val="20"/>
          <w:color w:val="auto"/>
        </w:rPr>
      </w:pPr>
    </w:p>
    <w:p>
      <w:pPr>
        <w:sectPr>
          <w:pgSz w:w="11900" w:h="16838" w:orient="portrait"/>
          <w:cols w:equalWidth="0" w:num="2">
            <w:col w:w="3260" w:space="720"/>
            <w:col w:w="726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auto"/>
        </w:rPr>
        <w:t>Option:</w:t>
      </w:r>
    </w:p>
    <w:p>
      <w:pPr>
        <w:sectPr>
          <w:pgSz w:w="11900" w:h="16838" w:orient="portrait"/>
          <w:cols w:equalWidth="0" w:num="1">
            <w:col w:w="11240"/>
          </w:cols>
          <w:pgMar w:left="320" w:top="118" w:right="339" w:bottom="1440" w:gutter="0" w:footer="0" w:header="0"/>
          <w:type w:val="continuous"/>
        </w:sectPr>
      </w:pP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 20[ ]</w:t>
      </w:r>
    </w:p>
    <w:p>
      <w:pPr>
        <w:spacing w:after="0" w:line="124" w:lineRule="exact"/>
        <w:rPr>
          <w:sz w:val="20"/>
          <w:szCs w:val="20"/>
          <w:color w:val="auto"/>
        </w:rPr>
      </w:pPr>
    </w:p>
    <w:p>
      <w:pPr>
        <w:sectPr>
          <w:pgSz w:w="11900" w:h="16838" w:orient="portrait"/>
          <w:cols w:equalWidth="0" w:num="2">
            <w:col w:w="3260" w:space="720"/>
            <w:col w:w="726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Incentive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Non-Qualified Stock Option</w:t>
      </w:r>
    </w:p>
    <w:p>
      <w:pPr>
        <w:spacing w:after="0" w:line="124" w:lineRule="exact"/>
        <w:rPr>
          <w:sz w:val="20"/>
          <w:szCs w:val="20"/>
          <w:color w:val="auto"/>
        </w:rPr>
      </w:pPr>
    </w:p>
    <w:p>
      <w:pPr>
        <w:sectPr>
          <w:pgSz w:w="11900" w:h="16838" w:orient="portrait"/>
          <w:cols w:equalWidth="0" w:num="3">
            <w:col w:w="3440" w:space="720"/>
            <w:col w:w="1820" w:space="220"/>
            <w:col w:w="5040"/>
          </w:cols>
          <w:pgMar w:left="320" w:top="118" w:right="3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3260" w:space="720"/>
            <w:col w:w="60" w:space="220"/>
            <w:col w:w="6980"/>
          </w:cols>
          <w:pgMar w:left="320" w:top="118" w:right="339" w:bottom="1440" w:gutter="0" w:footer="0" w:header="0"/>
          <w:type w:val="continuous"/>
        </w:sectPr>
      </w:pPr>
    </w:p>
    <w:p>
      <w:pPr>
        <w:spacing w:after="0" w:line="55"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The Participant will be deemed to have accepted the Option and agreed to be bound by the terms and conditions of the Plan, the Agreement and this Grant Notice, unless the Participant informs the Company in writing within 30 days immediately following the date of the Company’s electronic or other written notification to the Participant of the grant of the Option (the “</w:t>
      </w:r>
      <w:r>
        <w:rPr>
          <w:rFonts w:ascii="Arial" w:cs="Arial" w:eastAsia="Arial" w:hAnsi="Arial"/>
          <w:sz w:val="20"/>
          <w:szCs w:val="20"/>
          <w:u w:val="single" w:color="auto"/>
          <w:color w:val="auto"/>
        </w:rPr>
        <w:t>Notification Date</w:t>
      </w:r>
      <w:r>
        <w:rPr>
          <w:rFonts w:ascii="Arial" w:cs="Arial" w:eastAsia="Arial" w:hAnsi="Arial"/>
          <w:sz w:val="20"/>
          <w:szCs w:val="20"/>
          <w:color w:val="auto"/>
        </w:rPr>
        <w:t xml:space="preserve">”) that the Participant wishes to reject the Option. </w:t>
      </w:r>
      <w:r>
        <w:rPr>
          <w:rFonts w:ascii="Arial" w:cs="Arial" w:eastAsia="Arial" w:hAnsi="Arial"/>
          <w:sz w:val="20"/>
          <w:szCs w:val="20"/>
          <w:i w:val="1"/>
          <w:iCs w:val="1"/>
          <w:color w:val="auto"/>
        </w:rPr>
        <w:t>Failure to notify the Company in writing of the Participant’s rejection of the Option during this 30-day period will result in the Participant’s acceptance of the Option and the Participant’s agreement to be bound by the terms and conditions of the Plan, the Agreement and this Grant Notice</w:t>
      </w:r>
      <w:r>
        <w:rPr>
          <w:rFonts w:ascii="Arial" w:cs="Arial" w:eastAsia="Arial" w:hAnsi="Arial"/>
          <w:sz w:val="20"/>
          <w:szCs w:val="20"/>
          <w:color w:val="auto"/>
        </w:rPr>
        <w:t>.</w:t>
      </w:r>
    </w:p>
    <w:p>
      <w:pPr>
        <w:spacing w:after="0" w:line="18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In addition, the Participant may accept the Option and agree to be bound by the terms and conditions of the Plan, the Agreement and the Grant Notice by signing below following the Notification Date.</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By accepting the Option, Participant agrees that he or she has reviewed the Agreement, the Plan and the Grant Notice in their entirety, has had an opportunity to obtain the advice of counsel prior to accepting the Option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9" w:name="page120"/>
    <w:bookmarkEnd w:id="119"/>
    <w:tbl>
      <w:tblPr>
        <w:tblLayout w:type="fixed"/>
        <w:tblInd w:w="100" w:type="dxa"/>
        <w:tblCellMar>
          <w:top w:w="0" w:type="dxa"/>
          <w:left w:w="0" w:type="dxa"/>
          <w:bottom w:w="0" w:type="dxa"/>
          <w:right w:w="0" w:type="dxa"/>
        </w:tblCellMar>
      </w:tblPr>
      <w:tr>
        <w:trPr>
          <w:trHeight w:val="257"/>
        </w:trPr>
        <w:tc>
          <w:tcPr>
            <w:tcW w:w="2320" w:type="dxa"/>
            <w:vAlign w:val="bottom"/>
            <w:gridSpan w:val="2"/>
          </w:tcPr>
          <w:p>
            <w:pPr>
              <w:spacing w:after="0"/>
              <w:rPr>
                <w:sz w:val="20"/>
                <w:szCs w:val="20"/>
                <w:color w:val="auto"/>
              </w:rPr>
            </w:pPr>
            <w:r>
              <w:rPr>
                <w:rFonts w:ascii="Arial" w:cs="Arial" w:eastAsia="Arial" w:hAnsi="Arial"/>
                <w:sz w:val="20"/>
                <w:szCs w:val="20"/>
                <w:b w:val="1"/>
                <w:bCs w:val="1"/>
                <w:color w:val="auto"/>
              </w:rPr>
              <w:t>VROOM, INC.</w:t>
            </w:r>
          </w:p>
        </w:tc>
        <w:tc>
          <w:tcPr>
            <w:tcW w:w="2680" w:type="dxa"/>
            <w:vAlign w:val="bottom"/>
          </w:tcPr>
          <w:p>
            <w:pPr>
              <w:ind w:left="1360"/>
              <w:spacing w:after="0"/>
              <w:rPr>
                <w:sz w:val="20"/>
                <w:szCs w:val="20"/>
                <w:color w:val="auto"/>
              </w:rPr>
            </w:pPr>
            <w:r>
              <w:rPr>
                <w:rFonts w:ascii="Arial" w:cs="Arial" w:eastAsia="Arial" w:hAnsi="Arial"/>
                <w:sz w:val="20"/>
                <w:szCs w:val="20"/>
                <w:b w:val="1"/>
                <w:bCs w:val="1"/>
                <w:color w:val="auto"/>
                <w:w w:val="96"/>
              </w:rPr>
              <w:t>PARTICIPANT</w:t>
            </w:r>
          </w:p>
        </w:tc>
      </w:tr>
      <w:tr>
        <w:trPr>
          <w:trHeight w:val="6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1300" w:type="dxa"/>
            <w:vAlign w:val="bottom"/>
          </w:tcPr>
          <w:p>
            <w:pPr>
              <w:spacing w:after="0"/>
              <w:rPr>
                <w:sz w:val="24"/>
                <w:szCs w:val="24"/>
                <w:color w:val="auto"/>
              </w:rPr>
            </w:pPr>
          </w:p>
        </w:tc>
        <w:tc>
          <w:tcPr>
            <w:tcW w:w="2680" w:type="dxa"/>
            <w:vAlign w:val="bottom"/>
          </w:tcPr>
          <w:p>
            <w:pPr>
              <w:ind w:left="1360"/>
              <w:spacing w:after="0"/>
              <w:rPr>
                <w:sz w:val="20"/>
                <w:szCs w:val="20"/>
                <w:color w:val="auto"/>
              </w:rPr>
            </w:pPr>
            <w:r>
              <w:rPr>
                <w:rFonts w:ascii="Arial" w:cs="Arial" w:eastAsia="Arial" w:hAnsi="Arial"/>
                <w:sz w:val="20"/>
                <w:szCs w:val="20"/>
                <w:color w:val="auto"/>
              </w:rPr>
              <w:t>By:</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20"/>
                <w:szCs w:val="20"/>
                <w:color w:val="auto"/>
              </w:rPr>
              <w:t>Print</w:t>
            </w:r>
          </w:p>
        </w:tc>
        <w:tc>
          <w:tcPr>
            <w:tcW w:w="13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color w:val="auto"/>
                <w:w w:val="88"/>
              </w:rPr>
              <w:t>_____________</w:t>
            </w:r>
          </w:p>
        </w:tc>
        <w:tc>
          <w:tcPr>
            <w:tcW w:w="2680" w:type="dxa"/>
            <w:vAlign w:val="bottom"/>
          </w:tcPr>
          <w:p>
            <w:pPr>
              <w:ind w:left="1360"/>
              <w:spacing w:after="0" w:line="206" w:lineRule="exact"/>
              <w:rPr>
                <w:sz w:val="20"/>
                <w:szCs w:val="20"/>
                <w:color w:val="auto"/>
              </w:rPr>
            </w:pPr>
            <w:r>
              <w:rPr>
                <w:rFonts w:ascii="Arial" w:cs="Arial" w:eastAsia="Arial" w:hAnsi="Arial"/>
                <w:sz w:val="20"/>
                <w:szCs w:val="20"/>
                <w:color w:val="auto"/>
              </w:rPr>
              <w:t>Print Name:</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20"/>
                <w:szCs w:val="20"/>
                <w:color w:val="auto"/>
              </w:rPr>
              <w:t>Name:</w:t>
            </w:r>
          </w:p>
        </w:tc>
        <w:tc>
          <w:tcPr>
            <w:tcW w:w="13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6"/>
        </w:trPr>
        <w:tc>
          <w:tcPr>
            <w:tcW w:w="1020" w:type="dxa"/>
            <w:vAlign w:val="bottom"/>
          </w:tcPr>
          <w:p>
            <w:pPr>
              <w:spacing w:after="0" w:line="206" w:lineRule="exact"/>
              <w:rPr>
                <w:sz w:val="20"/>
                <w:szCs w:val="20"/>
                <w:color w:val="auto"/>
              </w:rPr>
            </w:pPr>
            <w:r>
              <w:rPr>
                <w:rFonts w:ascii="Arial" w:cs="Arial" w:eastAsia="Arial" w:hAnsi="Arial"/>
                <w:sz w:val="20"/>
                <w:szCs w:val="20"/>
                <w:color w:val="auto"/>
              </w:rPr>
              <w:t>Title:</w:t>
            </w:r>
          </w:p>
        </w:tc>
        <w:tc>
          <w:tcPr>
            <w:tcW w:w="13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20"/>
                <w:szCs w:val="20"/>
                <w:color w:val="auto"/>
                <w:w w:val="88"/>
              </w:rPr>
              <w:t>_____________</w:t>
            </w:r>
          </w:p>
        </w:tc>
        <w:tc>
          <w:tcPr>
            <w:tcW w:w="2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EXHIBIT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STOCK OPTION GRANT NOTICE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0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an Option under the Plan to purchase the number of Shares set forth in the Grant Notice.</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I.1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or the Grant Notice. For purposes of this Agreement,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ind w:left="1500"/>
              <w:spacing w:after="0"/>
              <w:rPr>
                <w:sz w:val="20"/>
                <w:szCs w:val="20"/>
                <w:color w:val="auto"/>
              </w:rPr>
            </w:pPr>
            <w:r>
              <w:rPr>
                <w:rFonts w:ascii="Arial" w:cs="Arial" w:eastAsia="Arial" w:hAnsi="Arial"/>
                <w:sz w:val="20"/>
                <w:szCs w:val="20"/>
                <w:color w:val="auto"/>
              </w:rPr>
              <w:t>(a)</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w w:val="91"/>
              </w:rPr>
              <w:t>“Cessation Date” shall mean the date of Participant’s Termination of Service (regardless of the reason</w:t>
            </w:r>
          </w:p>
        </w:tc>
      </w:tr>
      <w:tr>
        <w:trPr>
          <w:trHeight w:val="240"/>
        </w:trPr>
        <w:tc>
          <w:tcPr>
            <w:tcW w:w="2360" w:type="dxa"/>
            <w:vAlign w:val="bottom"/>
          </w:tcPr>
          <w:p>
            <w:pPr>
              <w:spacing w:after="0"/>
              <w:rPr>
                <w:sz w:val="20"/>
                <w:szCs w:val="20"/>
                <w:color w:val="auto"/>
              </w:rPr>
            </w:pPr>
            <w:r>
              <w:rPr>
                <w:rFonts w:ascii="Arial" w:cs="Arial" w:eastAsia="Arial" w:hAnsi="Arial"/>
                <w:sz w:val="20"/>
                <w:szCs w:val="20"/>
                <w:color w:val="auto"/>
              </w:rPr>
              <w:t>for such termination).</w:t>
            </w:r>
          </w:p>
        </w:tc>
        <w:tc>
          <w:tcPr>
            <w:tcW w:w="7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100" w:type="dxa"/>
            <w:vAlign w:val="bottom"/>
          </w:tcPr>
          <w:p>
            <w:pPr>
              <w:spacing w:after="0"/>
              <w:rPr>
                <w:sz w:val="20"/>
                <w:szCs w:val="20"/>
                <w:color w:val="auto"/>
              </w:rPr>
            </w:pPr>
          </w:p>
        </w:tc>
      </w:tr>
      <w:tr>
        <w:trPr>
          <w:trHeight w:val="387"/>
        </w:trPr>
        <w:tc>
          <w:tcPr>
            <w:tcW w:w="2360" w:type="dxa"/>
            <w:vAlign w:val="bottom"/>
          </w:tcPr>
          <w:p>
            <w:pPr>
              <w:ind w:left="1500"/>
              <w:spacing w:after="0"/>
              <w:rPr>
                <w:sz w:val="20"/>
                <w:szCs w:val="20"/>
                <w:color w:val="auto"/>
              </w:rPr>
            </w:pPr>
            <w:r>
              <w:rPr>
                <w:rFonts w:ascii="Arial" w:cs="Arial" w:eastAsia="Arial" w:hAnsi="Arial"/>
                <w:sz w:val="20"/>
                <w:szCs w:val="20"/>
                <w:color w:val="auto"/>
              </w:rPr>
              <w:t>(b)</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rPr>
              <w:t>“Company Group” shall mean the Company and its Subsidiaries.</w:t>
            </w:r>
          </w:p>
        </w:tc>
      </w:tr>
      <w:tr>
        <w:trPr>
          <w:trHeight w:val="20"/>
        </w:trPr>
        <w:tc>
          <w:tcPr>
            <w:tcW w:w="2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11"/>
        </w:trPr>
        <w:tc>
          <w:tcPr>
            <w:tcW w:w="2360" w:type="dxa"/>
            <w:vAlign w:val="bottom"/>
          </w:tcPr>
          <w:p>
            <w:pPr>
              <w:ind w:left="1500"/>
              <w:spacing w:after="0"/>
              <w:rPr>
                <w:sz w:val="20"/>
                <w:szCs w:val="20"/>
                <w:color w:val="auto"/>
              </w:rPr>
            </w:pPr>
            <w:r>
              <w:rPr>
                <w:rFonts w:ascii="Arial" w:cs="Arial" w:eastAsia="Arial" w:hAnsi="Arial"/>
                <w:sz w:val="20"/>
                <w:szCs w:val="20"/>
                <w:color w:val="auto"/>
              </w:rPr>
              <w:t>(c)</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rPr>
              <w:t>“Company Group Member” shall mean each member of the Company Group.</w:t>
            </w:r>
          </w:p>
        </w:tc>
      </w:tr>
      <w:tr>
        <w:trPr>
          <w:trHeight w:val="20"/>
        </w:trPr>
        <w:tc>
          <w:tcPr>
            <w:tcW w:w="2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11"/>
        </w:trPr>
        <w:tc>
          <w:tcPr>
            <w:tcW w:w="2360" w:type="dxa"/>
            <w:vAlign w:val="bottom"/>
          </w:tcPr>
          <w:p>
            <w:pPr>
              <w:ind w:left="1500"/>
              <w:spacing w:after="0"/>
              <w:rPr>
                <w:sz w:val="20"/>
                <w:szCs w:val="20"/>
                <w:color w:val="auto"/>
              </w:rPr>
            </w:pPr>
            <w:r>
              <w:rPr>
                <w:rFonts w:ascii="Arial" w:cs="Arial" w:eastAsia="Arial" w:hAnsi="Arial"/>
                <w:sz w:val="20"/>
                <w:szCs w:val="20"/>
                <w:color w:val="auto"/>
              </w:rPr>
              <w:t>(d)</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w w:val="96"/>
              </w:rPr>
              <w:t>“Disability” shall have the meaning ascribed to such term in any relevant employment agreement</w:t>
            </w:r>
          </w:p>
        </w:tc>
      </w:tr>
      <w:tr>
        <w:trPr>
          <w:trHeight w:val="20"/>
        </w:trPr>
        <w:tc>
          <w:tcPr>
            <w:tcW w:w="2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jc w:val="both"/>
        <w:spacing w:after="0" w:line="273" w:lineRule="auto"/>
        <w:rPr>
          <w:sz w:val="20"/>
          <w:szCs w:val="20"/>
          <w:color w:val="auto"/>
        </w:rPr>
      </w:pPr>
      <w:r>
        <w:rPr>
          <w:rFonts w:ascii="Arial" w:cs="Arial" w:eastAsia="Arial" w:hAnsi="Arial"/>
          <w:sz w:val="18"/>
          <w:szCs w:val="18"/>
          <w:color w:val="auto"/>
        </w:rPr>
        <w:t xml:space="preserve">between Participant and a Company Group Member;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absence of such agreement containing such definition, “Disability” shall mean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5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 xml:space="preserve">I.2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Option is subject to the terms and conditions set forth in this Agreement and the Plan, each of which is incorporated herein by reference. In the event of any inconsistency between the Plan and this Agreement, the terms of the Plan shall control.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OPTION</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II.1</w:t>
      </w:r>
      <w:r>
        <w:rPr>
          <w:sz w:val="20"/>
          <w:szCs w:val="20"/>
          <w:color w:val="auto"/>
        </w:rPr>
        <w:tab/>
      </w:r>
      <w:r>
        <w:rPr>
          <w:rFonts w:ascii="Arial" w:cs="Arial" w:eastAsia="Arial" w:hAnsi="Arial"/>
          <w:sz w:val="18"/>
          <w:szCs w:val="18"/>
          <w:u w:val="single" w:color="auto"/>
          <w:color w:val="auto"/>
        </w:rPr>
        <w:t>Grant of Option</w:t>
      </w:r>
      <w:r>
        <w:rPr>
          <w:rFonts w:ascii="Arial" w:cs="Arial" w:eastAsia="Arial" w:hAnsi="Arial"/>
          <w:sz w:val="18"/>
          <w:szCs w:val="18"/>
          <w:color w:val="auto"/>
        </w:rPr>
        <w:t>.  In consideration of Participant’s past and/or continued employment with or service to any Company</w:t>
      </w:r>
    </w:p>
    <w:p>
      <w:pPr>
        <w:spacing w:after="0" w:line="2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Group Member and for other good 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Option to purchase any part or all of an aggregate number of Shares set forth in the Grant Notice, upon the terms and conditions set forth in the Grant Notice, the Plan and this Agreement, subject to adjustment as provided in Section 12.2 of the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760"/>
              <w:spacing w:after="0"/>
              <w:rPr>
                <w:sz w:val="20"/>
                <w:szCs w:val="20"/>
                <w:color w:val="auto"/>
              </w:rPr>
            </w:pPr>
            <w:r>
              <w:rPr>
                <w:rFonts w:ascii="Arial" w:cs="Arial" w:eastAsia="Arial" w:hAnsi="Arial"/>
                <w:sz w:val="20"/>
                <w:szCs w:val="20"/>
                <w:color w:val="auto"/>
              </w:rPr>
              <w:t>II.2</w:t>
            </w:r>
          </w:p>
        </w:tc>
        <w:tc>
          <w:tcPr>
            <w:tcW w:w="9740" w:type="dxa"/>
            <w:vAlign w:val="bottom"/>
            <w:gridSpan w:val="5"/>
          </w:tcPr>
          <w:p>
            <w:pPr>
              <w:spacing w:after="0"/>
              <w:rPr>
                <w:sz w:val="20"/>
                <w:szCs w:val="20"/>
                <w:color w:val="auto"/>
              </w:rPr>
            </w:pPr>
            <w:r>
              <w:rPr>
                <w:rFonts w:ascii="Arial" w:cs="Arial" w:eastAsia="Arial" w:hAnsi="Arial"/>
                <w:sz w:val="20"/>
                <w:szCs w:val="20"/>
                <w:color w:val="auto"/>
                <w:w w:val="89"/>
              </w:rPr>
              <w:t>Exercise Price. The exercise price per Share of the Shares subject to the Option (the “Exercise Price”) shall be as set forth</w:t>
            </w:r>
          </w:p>
        </w:tc>
      </w:tr>
      <w:tr>
        <w:trPr>
          <w:trHeight w:val="240"/>
        </w:trPr>
        <w:tc>
          <w:tcPr>
            <w:tcW w:w="1500" w:type="dxa"/>
            <w:vAlign w:val="bottom"/>
          </w:tcPr>
          <w:p>
            <w:pPr>
              <w:spacing w:after="0"/>
              <w:rPr>
                <w:sz w:val="20"/>
                <w:szCs w:val="20"/>
                <w:color w:val="auto"/>
              </w:rPr>
            </w:pPr>
            <w:r>
              <w:rPr>
                <w:rFonts w:ascii="Arial" w:cs="Arial" w:eastAsia="Arial" w:hAnsi="Arial"/>
                <w:sz w:val="20"/>
                <w:szCs w:val="20"/>
                <w:color w:val="auto"/>
                <w:w w:val="85"/>
              </w:rPr>
              <w:t>in the Grant Notice.</w:t>
            </w:r>
          </w:p>
        </w:tc>
        <w:tc>
          <w:tcPr>
            <w:tcW w:w="11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r>
      <w:tr>
        <w:trPr>
          <w:trHeight w:val="387"/>
        </w:trPr>
        <w:tc>
          <w:tcPr>
            <w:tcW w:w="1500" w:type="dxa"/>
            <w:vAlign w:val="bottom"/>
          </w:tcPr>
          <w:p>
            <w:pPr>
              <w:ind w:left="760"/>
              <w:spacing w:after="0"/>
              <w:rPr>
                <w:sz w:val="20"/>
                <w:szCs w:val="20"/>
                <w:color w:val="auto"/>
              </w:rPr>
            </w:pPr>
            <w:r>
              <w:rPr>
                <w:rFonts w:ascii="Arial" w:cs="Arial" w:eastAsia="Arial" w:hAnsi="Arial"/>
                <w:sz w:val="20"/>
                <w:szCs w:val="20"/>
                <w:color w:val="auto"/>
              </w:rPr>
              <w:t>II.3</w:t>
            </w:r>
          </w:p>
        </w:tc>
        <w:tc>
          <w:tcPr>
            <w:tcW w:w="9740" w:type="dxa"/>
            <w:vAlign w:val="bottom"/>
            <w:gridSpan w:val="5"/>
          </w:tcPr>
          <w:p>
            <w:pPr>
              <w:spacing w:after="0"/>
              <w:rPr>
                <w:sz w:val="20"/>
                <w:szCs w:val="20"/>
                <w:color w:val="auto"/>
              </w:rPr>
            </w:pPr>
            <w:r>
              <w:rPr>
                <w:rFonts w:ascii="Arial" w:cs="Arial" w:eastAsia="Arial" w:hAnsi="Arial"/>
                <w:sz w:val="20"/>
                <w:szCs w:val="20"/>
                <w:color w:val="auto"/>
                <w:w w:val="91"/>
              </w:rPr>
              <w:t>Consideration to the Company. In consideration of the grant of the Option by the Company, Participant agrees to render</w:t>
            </w:r>
          </w:p>
        </w:tc>
      </w:t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jc w:val="both"/>
        <w:spacing w:after="0" w:line="233" w:lineRule="auto"/>
        <w:rPr>
          <w:sz w:val="20"/>
          <w:szCs w:val="20"/>
          <w:color w:val="auto"/>
        </w:rPr>
      </w:pPr>
      <w:r>
        <w:rPr>
          <w:rFonts w:ascii="Arial" w:cs="Arial" w:eastAsia="Arial" w:hAnsi="Arial"/>
          <w:sz w:val="20"/>
          <w:szCs w:val="20"/>
          <w:color w:val="auto"/>
        </w:rPr>
        <w:t>faithful and efficient services to any Company Group Member. Nothing in the Plan, the Grant Notice or this Agreement shall confer upon Participant any right to continue in the employ or service of any Company Group Member or shall interfere with or restrict in any way the rights of the Company Group, which rights are hereby expressly reserved, to discharge or terminate the services of Participant at any time for any reason whatsoever, with or without good cause, except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extent expressly provided otherwise in a written agreement between any Company Group Member and Participant.</w:t>
      </w:r>
    </w:p>
    <w:p>
      <w:pPr>
        <w:spacing w:after="0" w:line="18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jc w:val="center"/>
              <w:ind w:right="4041"/>
              <w:spacing w:after="0"/>
              <w:rPr>
                <w:sz w:val="20"/>
                <w:szCs w:val="20"/>
                <w:color w:val="auto"/>
              </w:rPr>
            </w:pPr>
            <w:r>
              <w:rPr>
                <w:rFonts w:ascii="Arial" w:cs="Arial" w:eastAsia="Arial" w:hAnsi="Arial"/>
                <w:sz w:val="20"/>
                <w:szCs w:val="20"/>
                <w:b w:val="1"/>
                <w:bCs w:val="1"/>
                <w:color w:val="auto"/>
              </w:rPr>
              <w:t>ARTICLE III.</w:t>
            </w:r>
          </w:p>
        </w:tc>
      </w:tr>
      <w:tr>
        <w:trPr>
          <w:trHeight w:val="256"/>
        </w:trPr>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7080" w:type="dxa"/>
            <w:vAlign w:val="bottom"/>
          </w:tcPr>
          <w:p>
            <w:pPr>
              <w:jc w:val="center"/>
              <w:ind w:right="4041"/>
              <w:spacing w:after="0"/>
              <w:rPr>
                <w:sz w:val="20"/>
                <w:szCs w:val="20"/>
                <w:color w:val="auto"/>
              </w:rPr>
            </w:pPr>
            <w:r>
              <w:rPr>
                <w:rFonts w:ascii="Arial" w:cs="Arial" w:eastAsia="Arial" w:hAnsi="Arial"/>
                <w:sz w:val="20"/>
                <w:szCs w:val="20"/>
                <w:b w:val="1"/>
                <w:bCs w:val="1"/>
                <w:color w:val="auto"/>
              </w:rPr>
              <w:t>PERIOD OF EXERCISABILITY</w:t>
            </w:r>
          </w:p>
        </w:tc>
      </w:tr>
      <w:tr>
        <w:trPr>
          <w:trHeight w:val="387"/>
        </w:trPr>
        <w:tc>
          <w:tcPr>
            <w:tcW w:w="740" w:type="dxa"/>
            <w:vAlign w:val="bottom"/>
          </w:tcPr>
          <w:p>
            <w:pPr>
              <w:spacing w:after="0"/>
              <w:rPr>
                <w:sz w:val="20"/>
                <w:szCs w:val="20"/>
                <w:color w:val="auto"/>
              </w:rPr>
            </w:pPr>
            <w:r>
              <w:rPr>
                <w:rFonts w:ascii="Arial" w:cs="Arial" w:eastAsia="Arial" w:hAnsi="Arial"/>
                <w:sz w:val="20"/>
                <w:szCs w:val="20"/>
                <w:color w:val="auto"/>
              </w:rPr>
              <w:t>III.1</w:t>
            </w:r>
          </w:p>
        </w:tc>
        <w:tc>
          <w:tcPr>
            <w:tcW w:w="9740" w:type="dxa"/>
            <w:vAlign w:val="bottom"/>
            <w:gridSpan w:val="3"/>
          </w:tcPr>
          <w:p>
            <w:pPr>
              <w:spacing w:after="0"/>
              <w:rPr>
                <w:sz w:val="20"/>
                <w:szCs w:val="20"/>
                <w:color w:val="auto"/>
              </w:rPr>
            </w:pPr>
            <w:r>
              <w:rPr>
                <w:rFonts w:ascii="Arial" w:cs="Arial" w:eastAsia="Arial" w:hAnsi="Arial"/>
                <w:sz w:val="20"/>
                <w:szCs w:val="20"/>
                <w:color w:val="auto"/>
              </w:rPr>
              <w:t>Commencement of Exercisability.</w:t>
            </w:r>
          </w:p>
        </w:tc>
      </w:tr>
      <w:tr>
        <w:trPr>
          <w:trHeight w:val="20"/>
        </w:trPr>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38"/>
        </w:trPr>
        <w:tc>
          <w:tcPr>
            <w:tcW w:w="7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20"/>
                <w:szCs w:val="20"/>
                <w:color w:val="auto"/>
              </w:rPr>
              <w:t>(a)</w:t>
            </w:r>
          </w:p>
        </w:tc>
        <w:tc>
          <w:tcPr>
            <w:tcW w:w="8880" w:type="dxa"/>
            <w:vAlign w:val="bottom"/>
            <w:gridSpan w:val="2"/>
          </w:tcPr>
          <w:p>
            <w:pPr>
              <w:ind w:left="640"/>
              <w:spacing w:after="0"/>
              <w:rPr>
                <w:sz w:val="20"/>
                <w:szCs w:val="20"/>
                <w:color w:val="auto"/>
              </w:rPr>
            </w:pPr>
            <w:r>
              <w:rPr>
                <w:rFonts w:ascii="Arial" w:cs="Arial" w:eastAsia="Arial" w:hAnsi="Arial"/>
                <w:sz w:val="20"/>
                <w:szCs w:val="20"/>
                <w:color w:val="auto"/>
                <w:w w:val="92"/>
              </w:rPr>
              <w:t>Subject to Participant’s continued employment with or service to a Company Group Member on each</w:t>
            </w:r>
          </w:p>
        </w:tc>
      </w:tr>
    </w:tbl>
    <w:p>
      <w:pPr>
        <w:jc w:val="both"/>
        <w:spacing w:after="0" w:line="234" w:lineRule="auto"/>
        <w:rPr>
          <w:sz w:val="20"/>
          <w:szCs w:val="20"/>
          <w:color w:val="auto"/>
        </w:rPr>
      </w:pPr>
      <w:r>
        <w:rPr>
          <w:rFonts w:ascii="Arial" w:cs="Arial" w:eastAsia="Arial" w:hAnsi="Arial"/>
          <w:sz w:val="20"/>
          <w:szCs w:val="20"/>
          <w:color w:val="auto"/>
        </w:rPr>
        <w:t xml:space="preserve">applicable vesting date and subject to </w:t>
      </w:r>
      <w:r>
        <w:rPr>
          <w:rFonts w:ascii="Arial" w:cs="Arial" w:eastAsia="Arial" w:hAnsi="Arial"/>
          <w:sz w:val="20"/>
          <w:szCs w:val="20"/>
          <w:u w:val="single" w:color="auto"/>
          <w:color w:val="auto"/>
        </w:rPr>
        <w:t>Sections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3.3</w:t>
      </w:r>
      <w:r>
        <w:rPr>
          <w:rFonts w:ascii="Arial" w:cs="Arial" w:eastAsia="Arial" w:hAnsi="Arial"/>
          <w:sz w:val="20"/>
          <w:szCs w:val="20"/>
          <w:color w:val="auto"/>
        </w:rPr>
        <w:t xml:space="preserve">, </w:t>
      </w:r>
      <w:r>
        <w:rPr>
          <w:rFonts w:ascii="Arial" w:cs="Arial" w:eastAsia="Arial" w:hAnsi="Arial"/>
          <w:sz w:val="20"/>
          <w:szCs w:val="20"/>
          <w:u w:val="single" w:color="auto"/>
          <w:color w:val="auto"/>
        </w:rPr>
        <w:t>5.9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5.14</w:t>
      </w:r>
      <w:r>
        <w:rPr>
          <w:rFonts w:ascii="Arial" w:cs="Arial" w:eastAsia="Arial" w:hAnsi="Arial"/>
          <w:sz w:val="20"/>
          <w:szCs w:val="20"/>
          <w:color w:val="auto"/>
        </w:rPr>
        <w:t xml:space="preserve"> hereof, the Option shall become vested and exercisable in such amounts and at such times as are set forth in the Grant Notice.</w:t>
      </w:r>
    </w:p>
    <w:p>
      <w:pPr>
        <w:spacing w:after="0" w:line="183" w:lineRule="exact"/>
        <w:rPr>
          <w:sz w:val="20"/>
          <w:szCs w:val="20"/>
          <w:color w:val="auto"/>
        </w:rPr>
      </w:pPr>
    </w:p>
    <w:p>
      <w:pPr>
        <w:jc w:val="both"/>
        <w:ind w:firstLine="1498"/>
        <w:spacing w:after="0" w:line="248" w:lineRule="auto"/>
        <w:rPr>
          <w:sz w:val="20"/>
          <w:szCs w:val="20"/>
          <w:color w:val="auto"/>
        </w:rPr>
      </w:pPr>
      <w:r>
        <w:rPr>
          <w:rFonts w:ascii="Arial" w:cs="Arial" w:eastAsia="Arial" w:hAnsi="Arial"/>
          <w:sz w:val="19"/>
          <w:szCs w:val="19"/>
          <w:color w:val="auto"/>
        </w:rPr>
        <w:t xml:space="preserve">(b) Unless otherwise determined by the Administrator or as set forth in a written agreement between Participant and the Company, any portion of the Option that has not become vested and exercisable on or prior to the Cessation Date (including, without limitation, pursuant to </w:t>
      </w:r>
      <w:r>
        <w:rPr>
          <w:rFonts w:ascii="Arial" w:cs="Arial" w:eastAsia="Arial" w:hAnsi="Arial"/>
          <w:sz w:val="19"/>
          <w:szCs w:val="19"/>
          <w:u w:val="single" w:color="auto"/>
          <w:color w:val="auto"/>
        </w:rPr>
        <w:t>Section 3.1(b)</w:t>
      </w:r>
      <w:r>
        <w:rPr>
          <w:rFonts w:ascii="Arial" w:cs="Arial" w:eastAsia="Arial" w:hAnsi="Arial"/>
          <w:sz w:val="19"/>
          <w:szCs w:val="19"/>
          <w:color w:val="auto"/>
        </w:rPr>
        <w:t xml:space="preserve"> or any employment or similar agreement by and between Participant and the Company) shall be forfeited on the Cessation Date and shall not thereafter become vested or exercisable.</w:t>
      </w:r>
    </w:p>
    <w:p>
      <w:pPr>
        <w:spacing w:after="0" w:line="17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III.2 </w:t>
      </w:r>
      <w:r>
        <w:rPr>
          <w:rFonts w:ascii="Arial" w:cs="Arial" w:eastAsia="Arial" w:hAnsi="Arial"/>
          <w:sz w:val="20"/>
          <w:szCs w:val="20"/>
          <w:u w:val="single" w:color="auto"/>
          <w:color w:val="auto"/>
        </w:rPr>
        <w:t>Duration of Exercisability</w:t>
      </w:r>
      <w:r>
        <w:rPr>
          <w:rFonts w:ascii="Arial" w:cs="Arial" w:eastAsia="Arial" w:hAnsi="Arial"/>
          <w:sz w:val="20"/>
          <w:szCs w:val="20"/>
          <w:color w:val="auto"/>
        </w:rPr>
        <w:t xml:space="preserve">. The installments provided for in the vesting schedule set forth in the Grant Notice are cumulative. Each such installment that becomes vested and exercisable pursuant to the vesting schedule set forth in the Grant Notice shall remain vested and exercisable until it becomes unexercisable under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hereof. Once the Option becomes unexercisable, it shall be forfeited immediately.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760"/>
              <w:spacing w:after="0"/>
              <w:rPr>
                <w:sz w:val="20"/>
                <w:szCs w:val="20"/>
                <w:color w:val="auto"/>
              </w:rPr>
            </w:pPr>
            <w:r>
              <w:rPr>
                <w:rFonts w:ascii="Arial" w:cs="Arial" w:eastAsia="Arial" w:hAnsi="Arial"/>
                <w:sz w:val="20"/>
                <w:szCs w:val="20"/>
                <w:color w:val="auto"/>
              </w:rPr>
              <w:t>III.3</w:t>
            </w:r>
          </w:p>
        </w:tc>
        <w:tc>
          <w:tcPr>
            <w:tcW w:w="9740" w:type="dxa"/>
            <w:vAlign w:val="bottom"/>
            <w:gridSpan w:val="3"/>
          </w:tcPr>
          <w:p>
            <w:pPr>
              <w:spacing w:after="0"/>
              <w:rPr>
                <w:sz w:val="20"/>
                <w:szCs w:val="20"/>
                <w:color w:val="auto"/>
              </w:rPr>
            </w:pPr>
            <w:r>
              <w:rPr>
                <w:rFonts w:ascii="Arial" w:cs="Arial" w:eastAsia="Arial" w:hAnsi="Arial"/>
                <w:sz w:val="20"/>
                <w:szCs w:val="20"/>
                <w:color w:val="auto"/>
                <w:w w:val="93"/>
              </w:rPr>
              <w:t>Expiration of Option.  The Option may not be exercised to any extent by anyone after the first to occur of the following</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20"/>
                <w:szCs w:val="20"/>
                <w:color w:val="auto"/>
              </w:rPr>
              <w:t>events:</w:t>
            </w: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500" w:type="dxa"/>
            <w:vAlign w:val="bottom"/>
            <w:vMerge w:val="continue"/>
          </w:tcPr>
          <w:p>
            <w:pPr>
              <w:spacing w:after="0"/>
              <w:rPr>
                <w:sz w:val="20"/>
                <w:szCs w:val="20"/>
                <w:color w:val="auto"/>
              </w:rPr>
            </w:pPr>
          </w:p>
        </w:tc>
        <w:tc>
          <w:tcPr>
            <w:tcW w:w="1340" w:type="dxa"/>
            <w:vAlign w:val="bottom"/>
            <w:vMerge w:val="restart"/>
          </w:tcPr>
          <w:p>
            <w:pPr>
              <w:spacing w:after="0"/>
              <w:rPr>
                <w:sz w:val="20"/>
                <w:szCs w:val="20"/>
                <w:color w:val="auto"/>
              </w:rPr>
            </w:pPr>
            <w:r>
              <w:rPr>
                <w:rFonts w:ascii="Arial" w:cs="Arial" w:eastAsia="Arial" w:hAnsi="Arial"/>
                <w:sz w:val="20"/>
                <w:szCs w:val="20"/>
                <w:color w:val="auto"/>
              </w:rPr>
              <w:t>(a)</w:t>
            </w:r>
          </w:p>
        </w:tc>
        <w:tc>
          <w:tcPr>
            <w:tcW w:w="8400" w:type="dxa"/>
            <w:vAlign w:val="bottom"/>
            <w:gridSpan w:val="2"/>
            <w:vMerge w:val="restart"/>
          </w:tcPr>
          <w:p>
            <w:pPr>
              <w:ind w:left="160"/>
              <w:spacing w:after="0"/>
              <w:rPr>
                <w:sz w:val="20"/>
                <w:szCs w:val="20"/>
                <w:color w:val="auto"/>
              </w:rPr>
            </w:pPr>
            <w:r>
              <w:rPr>
                <w:rFonts w:ascii="Arial" w:cs="Arial" w:eastAsia="Arial" w:hAnsi="Arial"/>
                <w:sz w:val="20"/>
                <w:szCs w:val="20"/>
                <w:color w:val="auto"/>
              </w:rPr>
              <w:t>The expiration date set forth in the Grant Notice;</w:t>
            </w:r>
          </w:p>
        </w:tc>
        <w:tc>
          <w:tcPr>
            <w:tcW w:w="0" w:type="dxa"/>
            <w:vAlign w:val="bottom"/>
          </w:tcPr>
          <w:p>
            <w:pPr>
              <w:spacing w:after="0"/>
              <w:rPr>
                <w:sz w:val="1"/>
                <w:szCs w:val="1"/>
                <w:color w:val="auto"/>
              </w:rPr>
            </w:pPr>
          </w:p>
        </w:tc>
      </w:tr>
      <w:tr>
        <w:trPr>
          <w:trHeight w:val="431"/>
        </w:trPr>
        <w:tc>
          <w:tcPr>
            <w:tcW w:w="15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5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20"/>
                <w:szCs w:val="20"/>
                <w:color w:val="auto"/>
              </w:rPr>
              <w:t>(b)</w:t>
            </w:r>
          </w:p>
        </w:tc>
        <w:tc>
          <w:tcPr>
            <w:tcW w:w="8400" w:type="dxa"/>
            <w:vAlign w:val="bottom"/>
            <w:gridSpan w:val="2"/>
          </w:tcPr>
          <w:p>
            <w:pPr>
              <w:ind w:left="160"/>
              <w:spacing w:after="0"/>
              <w:rPr>
                <w:sz w:val="20"/>
                <w:szCs w:val="20"/>
                <w:color w:val="auto"/>
              </w:rPr>
            </w:pPr>
            <w:r>
              <w:rPr>
                <w:rFonts w:ascii="Arial" w:cs="Arial" w:eastAsia="Arial" w:hAnsi="Arial"/>
                <w:sz w:val="20"/>
                <w:szCs w:val="20"/>
                <w:color w:val="auto"/>
                <w:w w:val="90"/>
              </w:rPr>
              <w:t>Except as the Administrator may otherwise approve, the expiration of twelve (12) months from the date</w:t>
            </w:r>
          </w:p>
        </w:tc>
        <w:tc>
          <w:tcPr>
            <w:tcW w:w="0" w:type="dxa"/>
            <w:vAlign w:val="bottom"/>
          </w:tcPr>
          <w:p>
            <w:pPr>
              <w:spacing w:after="0"/>
              <w:rPr>
                <w:sz w:val="1"/>
                <w:szCs w:val="1"/>
                <w:color w:val="auto"/>
              </w:rPr>
            </w:pP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of Participant’s Termination of Service by reason of Participant’s death or Disability;</w:t>
            </w:r>
          </w:p>
        </w:tc>
        <w:tc>
          <w:tcPr>
            <w:tcW w:w="0" w:type="dxa"/>
            <w:vAlign w:val="bottom"/>
          </w:tcPr>
          <w:p>
            <w:pPr>
              <w:spacing w:after="0"/>
              <w:rPr>
                <w:sz w:val="1"/>
                <w:szCs w:val="1"/>
                <w:color w:val="auto"/>
              </w:rPr>
            </w:pPr>
          </w:p>
        </w:tc>
      </w:tr>
      <w:tr>
        <w:trPr>
          <w:trHeight w:val="397"/>
        </w:trPr>
        <w:tc>
          <w:tcPr>
            <w:tcW w:w="15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20"/>
                <w:szCs w:val="20"/>
                <w:color w:val="auto"/>
              </w:rPr>
              <w:t>(c)</w:t>
            </w:r>
          </w:p>
        </w:tc>
        <w:tc>
          <w:tcPr>
            <w:tcW w:w="8400" w:type="dxa"/>
            <w:vAlign w:val="bottom"/>
            <w:gridSpan w:val="2"/>
          </w:tcPr>
          <w:p>
            <w:pPr>
              <w:ind w:left="160"/>
              <w:spacing w:after="0"/>
              <w:rPr>
                <w:sz w:val="20"/>
                <w:szCs w:val="20"/>
                <w:color w:val="auto"/>
              </w:rPr>
            </w:pPr>
            <w:r>
              <w:rPr>
                <w:rFonts w:ascii="Arial" w:cs="Arial" w:eastAsia="Arial" w:hAnsi="Arial"/>
                <w:sz w:val="20"/>
                <w:szCs w:val="20"/>
                <w:color w:val="auto"/>
                <w:w w:val="94"/>
              </w:rPr>
              <w:t>Except as the Administrator may otherwise approve, immediately upon Participant’s Termination of</w:t>
            </w:r>
          </w:p>
        </w:tc>
        <w:tc>
          <w:tcPr>
            <w:tcW w:w="0" w:type="dxa"/>
            <w:vAlign w:val="bottom"/>
          </w:tcPr>
          <w:p>
            <w:pPr>
              <w:spacing w:after="0"/>
              <w:rPr>
                <w:sz w:val="1"/>
                <w:szCs w:val="1"/>
                <w:color w:val="auto"/>
              </w:rPr>
            </w:pPr>
          </w:p>
        </w:tc>
      </w:tr>
      <w:tr>
        <w:trPr>
          <w:trHeight w:val="250"/>
        </w:trPr>
        <w:tc>
          <w:tcPr>
            <w:tcW w:w="2840" w:type="dxa"/>
            <w:vAlign w:val="bottom"/>
            <w:gridSpan w:val="2"/>
          </w:tcPr>
          <w:p>
            <w:pPr>
              <w:spacing w:after="0"/>
              <w:rPr>
                <w:sz w:val="20"/>
                <w:szCs w:val="20"/>
                <w:color w:val="auto"/>
              </w:rPr>
            </w:pPr>
            <w:r>
              <w:rPr>
                <w:rFonts w:ascii="Arial" w:cs="Arial" w:eastAsia="Arial" w:hAnsi="Arial"/>
                <w:sz w:val="20"/>
                <w:szCs w:val="20"/>
                <w:color w:val="auto"/>
              </w:rPr>
              <w:t>Service for good cause; and</w:t>
            </w:r>
          </w:p>
        </w:tc>
        <w:tc>
          <w:tcPr>
            <w:tcW w:w="320" w:type="dxa"/>
            <w:vAlign w:val="bottom"/>
          </w:tcPr>
          <w:p>
            <w:pPr>
              <w:spacing w:after="0"/>
              <w:rPr>
                <w:sz w:val="21"/>
                <w:szCs w:val="21"/>
                <w:color w:val="auto"/>
              </w:rPr>
            </w:pPr>
          </w:p>
        </w:tc>
        <w:tc>
          <w:tcPr>
            <w:tcW w:w="8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5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20"/>
                <w:szCs w:val="20"/>
                <w:color w:val="auto"/>
              </w:rPr>
              <w:t>(d)</w:t>
            </w:r>
          </w:p>
        </w:tc>
        <w:tc>
          <w:tcPr>
            <w:tcW w:w="8400" w:type="dxa"/>
            <w:vAlign w:val="bottom"/>
            <w:gridSpan w:val="2"/>
          </w:tcPr>
          <w:p>
            <w:pPr>
              <w:ind w:left="160"/>
              <w:spacing w:after="0"/>
              <w:rPr>
                <w:sz w:val="20"/>
                <w:szCs w:val="20"/>
                <w:color w:val="auto"/>
              </w:rPr>
            </w:pPr>
            <w:r>
              <w:rPr>
                <w:rFonts w:ascii="Arial" w:cs="Arial" w:eastAsia="Arial" w:hAnsi="Arial"/>
                <w:sz w:val="20"/>
                <w:szCs w:val="20"/>
                <w:color w:val="auto"/>
                <w:w w:val="90"/>
              </w:rPr>
              <w:t>Except as the Administrator may otherwise approve, the expiration of ninety (90) days from the date of</w:t>
            </w:r>
          </w:p>
        </w:tc>
        <w:tc>
          <w:tcPr>
            <w:tcW w:w="0" w:type="dxa"/>
            <w:vAlign w:val="bottom"/>
          </w:tcPr>
          <w:p>
            <w:pPr>
              <w:spacing w:after="0"/>
              <w:rPr>
                <w:sz w:val="1"/>
                <w:szCs w:val="1"/>
                <w:color w:val="auto"/>
              </w:rPr>
            </w:pP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Participant’s Termination of Service for any other reason.</w:t>
            </w:r>
          </w:p>
        </w:tc>
        <w:tc>
          <w:tcPr>
            <w:tcW w:w="0" w:type="dxa"/>
            <w:vAlign w:val="bottom"/>
          </w:tcPr>
          <w:p>
            <w:pPr>
              <w:spacing w:after="0"/>
              <w:rPr>
                <w:sz w:val="1"/>
                <w:szCs w:val="1"/>
                <w:color w:val="auto"/>
              </w:rPr>
            </w:pPr>
          </w:p>
        </w:tc>
      </w:tr>
      <w:tr>
        <w:trPr>
          <w:trHeight w:val="387"/>
        </w:trPr>
        <w:tc>
          <w:tcPr>
            <w:tcW w:w="1500" w:type="dxa"/>
            <w:vAlign w:val="bottom"/>
          </w:tcPr>
          <w:p>
            <w:pPr>
              <w:ind w:left="760"/>
              <w:spacing w:after="0"/>
              <w:rPr>
                <w:sz w:val="20"/>
                <w:szCs w:val="20"/>
                <w:color w:val="auto"/>
              </w:rPr>
            </w:pPr>
            <w:r>
              <w:rPr>
                <w:rFonts w:ascii="Arial" w:cs="Arial" w:eastAsia="Arial" w:hAnsi="Arial"/>
                <w:sz w:val="20"/>
                <w:szCs w:val="20"/>
                <w:color w:val="auto"/>
              </w:rPr>
              <w:t>III.4</w:t>
            </w:r>
          </w:p>
        </w:tc>
        <w:tc>
          <w:tcPr>
            <w:tcW w:w="9740" w:type="dxa"/>
            <w:vAlign w:val="bottom"/>
            <w:gridSpan w:val="3"/>
          </w:tcPr>
          <w:p>
            <w:pPr>
              <w:spacing w:after="0"/>
              <w:rPr>
                <w:sz w:val="20"/>
                <w:szCs w:val="20"/>
                <w:color w:val="auto"/>
              </w:rPr>
            </w:pPr>
            <w:r>
              <w:rPr>
                <w:rFonts w:ascii="Arial" w:cs="Arial" w:eastAsia="Arial" w:hAnsi="Arial"/>
                <w:sz w:val="20"/>
                <w:szCs w:val="20"/>
                <w:color w:val="auto"/>
              </w:rPr>
              <w:t>Tax Withholding. Notwithstanding any other provision of this Agreement:</w:t>
            </w:r>
          </w:p>
        </w:tc>
        <w:tc>
          <w:tcPr>
            <w:tcW w:w="0" w:type="dxa"/>
            <w:vAlign w:val="bottom"/>
          </w:tcPr>
          <w:p>
            <w:pPr>
              <w:spacing w:after="0"/>
              <w:rPr>
                <w:sz w:val="1"/>
                <w:szCs w:val="1"/>
                <w:color w:val="auto"/>
              </w:rPr>
            </w:pPr>
          </w:p>
        </w:tc>
      </w:tr>
      <w:tr>
        <w:trPr>
          <w:trHeight w:val="438"/>
        </w:trPr>
        <w:tc>
          <w:tcPr>
            <w:tcW w:w="1500" w:type="dxa"/>
            <w:vAlign w:val="bottom"/>
          </w:tcPr>
          <w:p>
            <w:pPr>
              <w:spacing w:after="0"/>
              <w:rPr>
                <w:sz w:val="24"/>
                <w:szCs w:val="24"/>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w:t>
            </w:r>
          </w:p>
        </w:tc>
        <w:tc>
          <w:tcPr>
            <w:tcW w:w="8400" w:type="dxa"/>
            <w:vAlign w:val="bottom"/>
            <w:gridSpan w:val="2"/>
          </w:tcPr>
          <w:p>
            <w:pPr>
              <w:ind w:left="160"/>
              <w:spacing w:after="0"/>
              <w:rPr>
                <w:sz w:val="20"/>
                <w:szCs w:val="20"/>
                <w:color w:val="auto"/>
              </w:rPr>
            </w:pPr>
            <w:r>
              <w:rPr>
                <w:rFonts w:ascii="Arial" w:cs="Arial" w:eastAsia="Arial" w:hAnsi="Arial"/>
                <w:sz w:val="20"/>
                <w:szCs w:val="20"/>
                <w:color w:val="auto"/>
                <w:w w:val="96"/>
              </w:rPr>
              <w:t>The Company Group has the authority to deduct or withhold, or require Participant to remit to the</w:t>
            </w:r>
          </w:p>
        </w:tc>
        <w:tc>
          <w:tcPr>
            <w:tcW w:w="0" w:type="dxa"/>
            <w:vAlign w:val="bottom"/>
          </w:tcPr>
          <w:p>
            <w:pPr>
              <w:spacing w:after="0"/>
              <w:rPr>
                <w:sz w:val="1"/>
                <w:szCs w:val="1"/>
                <w:color w:val="auto"/>
              </w:rPr>
            </w:pPr>
          </w:p>
        </w:tc>
      </w:tr>
    </w:tbl>
    <w:p>
      <w:pPr>
        <w:jc w:val="both"/>
        <w:spacing w:after="0" w:line="265" w:lineRule="auto"/>
        <w:rPr>
          <w:sz w:val="20"/>
          <w:szCs w:val="20"/>
          <w:color w:val="auto"/>
        </w:rPr>
      </w:pPr>
      <w:r>
        <w:rPr>
          <w:rFonts w:ascii="Arial" w:cs="Arial" w:eastAsia="Arial" w:hAnsi="Arial"/>
          <w:sz w:val="18"/>
          <w:szCs w:val="18"/>
          <w:color w:val="auto"/>
        </w:rPr>
        <w:t>applicable Company Group Member, an amount sufficient to satisfy any applicable federal, state, local and foreign taxes (including the employee portion of any FICA obligation) required by Applicable Law to be withheld with respect to any taxable event arising pursuant to this Agreement. The Company Group may withhold or Participant may make such payment in one or more of the forms specified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ind w:left="2260"/>
              <w:spacing w:after="0"/>
              <w:rPr>
                <w:sz w:val="20"/>
                <w:szCs w:val="20"/>
                <w:color w:val="auto"/>
              </w:rPr>
            </w:pPr>
            <w:r>
              <w:rPr>
                <w:rFonts w:ascii="Arial" w:cs="Arial" w:eastAsia="Arial" w:hAnsi="Arial"/>
                <w:sz w:val="22"/>
                <w:szCs w:val="22"/>
                <w:color w:val="auto"/>
              </w:rPr>
              <w:t>(i)</w:t>
            </w:r>
          </w:p>
        </w:tc>
        <w:tc>
          <w:tcPr>
            <w:tcW w:w="7400" w:type="dxa"/>
            <w:vAlign w:val="bottom"/>
          </w:tcPr>
          <w:p>
            <w:pPr>
              <w:ind w:left="660"/>
              <w:spacing w:after="0"/>
              <w:rPr>
                <w:sz w:val="20"/>
                <w:szCs w:val="20"/>
                <w:color w:val="auto"/>
              </w:rPr>
            </w:pPr>
            <w:r>
              <w:rPr>
                <w:rFonts w:ascii="Arial" w:cs="Arial" w:eastAsia="Arial" w:hAnsi="Arial"/>
                <w:sz w:val="20"/>
                <w:szCs w:val="20"/>
                <w:color w:val="auto"/>
                <w:w w:val="95"/>
              </w:rPr>
              <w:t>by cash or check made payable to the Company Group Member with respect to</w:t>
            </w: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rPr>
              <w:t>which the withholding obligation arises;</w:t>
            </w:r>
          </w:p>
        </w:tc>
        <w:tc>
          <w:tcPr>
            <w:tcW w:w="7400" w:type="dxa"/>
            <w:vAlign w:val="bottom"/>
          </w:tcPr>
          <w:p>
            <w:pPr>
              <w:spacing w:after="0"/>
              <w:rPr>
                <w:sz w:val="21"/>
                <w:szCs w:val="21"/>
                <w:color w:val="auto"/>
              </w:rPr>
            </w:pPr>
          </w:p>
        </w:tc>
      </w:tr>
      <w:tr>
        <w:trPr>
          <w:trHeight w:val="431"/>
        </w:trPr>
        <w:tc>
          <w:tcPr>
            <w:tcW w:w="3840" w:type="dxa"/>
            <w:vAlign w:val="bottom"/>
          </w:tcPr>
          <w:p>
            <w:pPr>
              <w:spacing w:after="0"/>
              <w:rPr>
                <w:sz w:val="24"/>
                <w:szCs w:val="24"/>
                <w:color w:val="auto"/>
              </w:rPr>
            </w:pPr>
          </w:p>
        </w:tc>
        <w:tc>
          <w:tcPr>
            <w:tcW w:w="7400" w:type="dxa"/>
            <w:vAlign w:val="bottom"/>
          </w:tcPr>
          <w:p>
            <w:pPr>
              <w:ind w:left="1640"/>
              <w:spacing w:after="0"/>
              <w:rPr>
                <w:sz w:val="20"/>
                <w:szCs w:val="20"/>
                <w:color w:val="auto"/>
              </w:rPr>
            </w:pPr>
            <w:r>
              <w:rPr>
                <w:rFonts w:ascii="Arial" w:cs="Arial" w:eastAsia="Arial" w:hAnsi="Arial"/>
                <w:sz w:val="20"/>
                <w:szCs w:val="20"/>
                <w:color w:val="auto"/>
              </w:rPr>
              <w:t>A-2</w:t>
            </w:r>
          </w:p>
        </w:tc>
      </w:tr>
      <w:tr>
        <w:trPr>
          <w:trHeight w:val="550"/>
        </w:trPr>
        <w:tc>
          <w:tcPr>
            <w:tcW w:w="3840" w:type="dxa"/>
            <w:vAlign w:val="bottom"/>
          </w:tcPr>
          <w:p>
            <w:pPr>
              <w:spacing w:after="0"/>
              <w:rPr>
                <w:sz w:val="20"/>
                <w:szCs w:val="20"/>
                <w:color w:val="auto"/>
              </w:rPr>
            </w:pPr>
            <w:r>
              <w:rPr>
                <w:rFonts w:ascii="Arial" w:cs="Arial" w:eastAsia="Arial" w:hAnsi="Arial"/>
                <w:sz w:val="14"/>
                <w:szCs w:val="14"/>
                <w:color w:val="auto"/>
              </w:rPr>
              <w:t>|</w:t>
            </w:r>
          </w:p>
        </w:tc>
        <w:tc>
          <w:tcPr>
            <w:tcW w:w="7400" w:type="dxa"/>
            <w:vAlign w:val="bottom"/>
          </w:tcPr>
          <w:p>
            <w:pPr>
              <w:spacing w:after="0"/>
              <w:rPr>
                <w:sz w:val="24"/>
                <w:szCs w:val="24"/>
                <w:color w:val="auto"/>
              </w:rPr>
            </w:pPr>
          </w:p>
        </w:tc>
      </w:tr>
      <w:tr>
        <w:trPr>
          <w:trHeight w:val="113"/>
        </w:trPr>
        <w:tc>
          <w:tcPr>
            <w:tcW w:w="384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22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the deduction of such amount from other compensation payable to Participant;</w:t>
      </w:r>
    </w:p>
    <w:p>
      <w:pPr>
        <w:spacing w:after="0" w:line="250" w:lineRule="exact"/>
        <w:rPr>
          <w:sz w:val="20"/>
          <w:szCs w:val="20"/>
          <w:color w:val="auto"/>
        </w:rPr>
      </w:pPr>
    </w:p>
    <w:p>
      <w:pPr>
        <w:sectPr>
          <w:pgSz w:w="11900" w:h="16838" w:orient="portrait"/>
          <w:cols w:equalWidth="0" w:num="2">
            <w:col w:w="3780" w:space="720"/>
            <w:col w:w="6740"/>
          </w:cols>
          <w:pgMar w:left="320" w:top="118" w:right="339" w:bottom="1440" w:gutter="0" w:footer="0" w:header="0"/>
        </w:sectPr>
      </w:pPr>
    </w:p>
    <w:p>
      <w:pPr>
        <w:spacing w:after="0" w:line="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any withholding taxes arising in connection with the exercise of the</w:t>
      </w:r>
    </w:p>
    <w:p>
      <w:pPr>
        <w:spacing w:after="0" w:line="48" w:lineRule="exact"/>
        <w:rPr>
          <w:sz w:val="20"/>
          <w:szCs w:val="20"/>
          <w:color w:val="auto"/>
        </w:rPr>
      </w:pPr>
    </w:p>
    <w:p>
      <w:pPr>
        <w:sectPr>
          <w:pgSz w:w="11900" w:h="16838" w:orient="portrait"/>
          <w:cols w:equalWidth="0" w:num="2">
            <w:col w:w="3780" w:space="720"/>
            <w:col w:w="6740"/>
          </w:cols>
          <w:pgMar w:left="320" w:top="118" w:right="339" w:bottom="1440" w:gutter="0" w:footer="0" w:header="0"/>
          <w:type w:val="continuous"/>
        </w:sectPr>
      </w:pPr>
    </w:p>
    <w:p>
      <w:pPr>
        <w:jc w:val="both"/>
        <w:spacing w:after="0" w:line="227" w:lineRule="auto"/>
        <w:rPr>
          <w:sz w:val="20"/>
          <w:szCs w:val="20"/>
          <w:color w:val="auto"/>
        </w:rPr>
      </w:pPr>
      <w:r>
        <w:rPr>
          <w:rFonts w:ascii="Arial" w:cs="Arial" w:eastAsia="Arial" w:hAnsi="Arial"/>
          <w:sz w:val="20"/>
          <w:szCs w:val="20"/>
          <w:color w:val="auto"/>
        </w:rPr>
        <w:t>Option, with the consent of the Administrator, by requesting that the Company withhold a net number of Shares issuable upon the exercise of the Option having a then current Fair Market Value not exceeding the amount necessary to satisfy the withholding obligation of the Company Group based on the maximum statutory withholding rates in Participant’s applicable jurisdictions for federal, state, local and foreign income tax and payroll tax purposes that are applicable to such taxable income;</w:t>
      </w:r>
    </w:p>
    <w:p>
      <w:pPr>
        <w:spacing w:after="0" w:line="177" w:lineRule="exact"/>
        <w:rPr>
          <w:sz w:val="20"/>
          <w:szCs w:val="20"/>
          <w:color w:val="auto"/>
        </w:rPr>
      </w:pPr>
    </w:p>
    <w:p>
      <w:pPr>
        <w:jc w:val="both"/>
        <w:ind w:firstLine="2246"/>
        <w:spacing w:after="0" w:line="264" w:lineRule="auto"/>
        <w:rPr>
          <w:sz w:val="20"/>
          <w:szCs w:val="20"/>
          <w:color w:val="auto"/>
        </w:rPr>
      </w:pPr>
      <w:r>
        <w:rPr>
          <w:rFonts w:ascii="Arial" w:cs="Arial" w:eastAsia="Arial" w:hAnsi="Arial"/>
          <w:sz w:val="20"/>
          <w:szCs w:val="20"/>
          <w:color w:val="auto"/>
        </w:rPr>
        <w:t xml:space="preserve">(iv) </w:t>
      </w:r>
      <w:r>
        <w:rPr>
          <w:rFonts w:ascii="Arial" w:cs="Arial" w:eastAsia="Arial" w:hAnsi="Arial"/>
          <w:sz w:val="18"/>
          <w:szCs w:val="18"/>
          <w:color w:val="auto"/>
        </w:rPr>
        <w:t>with respect to any withholding taxes arising in connection with the exercise of the</w:t>
      </w:r>
      <w:r>
        <w:rPr>
          <w:rFonts w:ascii="Arial" w:cs="Arial" w:eastAsia="Arial" w:hAnsi="Arial"/>
          <w:sz w:val="20"/>
          <w:szCs w:val="20"/>
          <w:color w:val="auto"/>
        </w:rPr>
        <w:t xml:space="preserve"> </w:t>
      </w:r>
      <w:r>
        <w:rPr>
          <w:rFonts w:ascii="Arial" w:cs="Arial" w:eastAsia="Arial" w:hAnsi="Arial"/>
          <w:sz w:val="18"/>
          <w:szCs w:val="18"/>
          <w:color w:val="auto"/>
        </w:rPr>
        <w:t>Option, 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Group based on the maximum statutory withholding rates in Participant’s applicable jurisdictions for federal, state, local and foreign income tax and payroll tax purposes that are applicable to such taxable income;</w:t>
      </w:r>
    </w:p>
    <w:p>
      <w:pPr>
        <w:spacing w:after="0" w:line="158"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color w:val="auto"/>
        </w:rPr>
        <w:t xml:space="preserve">(v) </w:t>
      </w:r>
      <w:r>
        <w:rPr>
          <w:rFonts w:ascii="Arial" w:cs="Arial" w:eastAsia="Arial" w:hAnsi="Arial"/>
          <w:sz w:val="19"/>
          <w:szCs w:val="19"/>
          <w:color w:val="auto"/>
        </w:rPr>
        <w:t>with respect to any withholding taxes arising in connection with the exercise of the</w:t>
      </w:r>
      <w:r>
        <w:rPr>
          <w:rFonts w:ascii="Arial" w:cs="Arial" w:eastAsia="Arial" w:hAnsi="Arial"/>
          <w:sz w:val="22"/>
          <w:szCs w:val="22"/>
          <w:color w:val="auto"/>
        </w:rPr>
        <w:t xml:space="preserve"> </w:t>
      </w:r>
      <w:r>
        <w:rPr>
          <w:rFonts w:ascii="Arial" w:cs="Arial" w:eastAsia="Arial" w:hAnsi="Arial"/>
          <w:sz w:val="19"/>
          <w:szCs w:val="19"/>
          <w:color w:val="auto"/>
        </w:rPr>
        <w:t xml:space="preserve">Option, through the delivery of a notice that Participant has placed a market sell order with a broker acceptable to the Company with respect to Shares then issuable to Participant pursuant to the Option, and that the broker has been directed to pay a sufficient portion of the net proceeds of the sale to the Company Group Member with respect to which the withholding obligation arises in satisfaction of such withholding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of such proceeds is then made to the applicable Company Group Member at such time as may be required by the Administrator, but in any event not later than the settlement of such sale; or</w:t>
      </w:r>
    </w:p>
    <w:p>
      <w:pPr>
        <w:sectPr>
          <w:pgSz w:w="11900" w:h="16838" w:orient="portrait"/>
          <w:cols w:equalWidth="0" w:num="1">
            <w:col w:w="11240"/>
          </w:cols>
          <w:pgMar w:left="320" w:top="118" w:right="339" w:bottom="1440" w:gutter="0" w:footer="0" w:header="0"/>
          <w:type w:val="continuous"/>
        </w:sectPr>
      </w:pP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any combination of the foregoing.</w:t>
      </w:r>
    </w:p>
    <w:p>
      <w:pPr>
        <w:spacing w:after="0" w:line="204" w:lineRule="exact"/>
        <w:rPr>
          <w:sz w:val="20"/>
          <w:szCs w:val="20"/>
          <w:color w:val="auto"/>
        </w:rPr>
      </w:pPr>
    </w:p>
    <w:p>
      <w:pPr>
        <w:sectPr>
          <w:pgSz w:w="11900" w:h="16838" w:orient="portrait"/>
          <w:cols w:equalWidth="0" w:num="2">
            <w:col w:w="3780" w:space="720"/>
            <w:col w:w="6740"/>
          </w:cols>
          <w:pgMar w:left="320" w:top="118" w:right="339" w:bottom="1440" w:gutter="0" w:footer="0" w:header="0"/>
          <w:type w:val="continuous"/>
        </w:sectPr>
      </w:pPr>
    </w:p>
    <w:p>
      <w:pPr>
        <w:spacing w:after="0" w:line="33"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With respect to any withholding taxes arising in connection with the Option, in the event Participant</w:t>
      </w:r>
    </w:p>
    <w:p>
      <w:pPr>
        <w:sectPr>
          <w:pgSz w:w="11900" w:h="16838" w:orient="portrait"/>
          <w:cols w:equalWidth="0" w:num="1">
            <w:col w:w="11240"/>
          </w:cols>
          <w:pgMar w:left="320" w:top="118" w:right="339" w:bottom="1440" w:gutter="0" w:footer="0" w:header="0"/>
          <w:type w:val="continuous"/>
        </w:sectPr>
      </w:pPr>
    </w:p>
    <w:p>
      <w:pPr>
        <w:spacing w:after="0" w:line="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fails to provide timely payment of all sums required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the Company shall have the right and option, but not the obligation, to treat such failure as an election by Participant to satisfy all or any portion of Participant’s required payment obligation pursuant to </w:t>
      </w:r>
      <w:r>
        <w:rPr>
          <w:rFonts w:ascii="Arial" w:cs="Arial" w:eastAsia="Arial" w:hAnsi="Arial"/>
          <w:sz w:val="18"/>
          <w:szCs w:val="18"/>
          <w:u w:val="single" w:color="auto"/>
          <w:color w:val="auto"/>
        </w:rPr>
        <w:t>Section 3.4(a)(ii)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3.4(a)(iii)</w:t>
      </w:r>
      <w:r>
        <w:rPr>
          <w:rFonts w:ascii="Arial" w:cs="Arial" w:eastAsia="Arial" w:hAnsi="Arial"/>
          <w:sz w:val="18"/>
          <w:szCs w:val="18"/>
          <w:color w:val="auto"/>
        </w:rPr>
        <w:t xml:space="preserve"> above, or any combination of the foregoing as the Company may determine to be appropriate. The Company shall not be obligated to deliver any certificate representing Shares issuable with respect to the exercise of the Option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176"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8"/>
          <w:szCs w:val="18"/>
          <w:color w:val="auto"/>
        </w:rPr>
        <w:t xml:space="preserve">(c) In the event any tax withholding obligation arising in connection with the Option will be satisfied under </w:t>
      </w:r>
      <w:r>
        <w:rPr>
          <w:rFonts w:ascii="Arial" w:cs="Arial" w:eastAsia="Arial" w:hAnsi="Arial"/>
          <w:sz w:val="18"/>
          <w:szCs w:val="18"/>
          <w:u w:val="single" w:color="auto"/>
          <w:color w:val="auto"/>
        </w:rPr>
        <w:t>Section 3.4(a)(iii)</w:t>
      </w:r>
      <w:r>
        <w:rPr>
          <w:rFonts w:ascii="Arial" w:cs="Arial" w:eastAsia="Arial" w:hAnsi="Arial"/>
          <w:sz w:val="18"/>
          <w:szCs w:val="18"/>
          <w:color w:val="auto"/>
        </w:rPr>
        <w:t xml:space="preserve">, then the Company may elect to instruct any brokerage firm determined acceptable to the Company for such purpose to sell on Participant’s behalf a whole number of Shares from those Shares then issuable upon the exercise of the Option as the Company determines to be appropriate to generate cash proceeds sufficient to satisfy the tax withholding obligation and to remit the proceeds of such sale to the Company Group Member with respect to which the withholding obligation arises. Participant’s acceptance of this Option constitutes Participant’s instruction and authorization to the Company and such brokerage firm to complete the transactions described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3.4(c)</w:t>
      </w:r>
      <w:r>
        <w:rPr>
          <w:rFonts w:ascii="Arial" w:cs="Arial" w:eastAsia="Arial" w:hAnsi="Arial"/>
          <w:sz w:val="18"/>
          <w:szCs w:val="18"/>
          <w:color w:val="auto"/>
        </w:rPr>
        <w:t>, including the transactions described in the previous sentence, as applicable. The Company may refuse to issue any Shares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3" w:name="page124"/>
    <w:bookmarkEnd w:id="123"/>
    <w:p>
      <w:pPr>
        <w:jc w:val="both"/>
        <w:spacing w:after="0" w:line="247" w:lineRule="auto"/>
        <w:rPr>
          <w:sz w:val="20"/>
          <w:szCs w:val="20"/>
          <w:color w:val="auto"/>
        </w:rPr>
      </w:pPr>
      <w:r>
        <w:rPr>
          <w:rFonts w:ascii="Arial" w:cs="Arial" w:eastAsia="Arial" w:hAnsi="Arial"/>
          <w:sz w:val="20"/>
          <w:szCs w:val="20"/>
          <w:color w:val="auto"/>
        </w:rPr>
        <w:t xml:space="preserve">Participant until the foregoing tax withholding obligations are satisfied,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payment shall be delayed under this </w:t>
      </w:r>
      <w:r>
        <w:rPr>
          <w:rFonts w:ascii="Arial" w:cs="Arial" w:eastAsia="Arial" w:hAnsi="Arial"/>
          <w:sz w:val="20"/>
          <w:szCs w:val="20"/>
          <w:u w:val="single" w:color="auto"/>
          <w:color w:val="auto"/>
        </w:rPr>
        <w:t>Section 3.4(c)</w:t>
      </w:r>
      <w:r>
        <w:rPr>
          <w:rFonts w:ascii="Arial" w:cs="Arial" w:eastAsia="Arial" w:hAnsi="Arial"/>
          <w:sz w:val="20"/>
          <w:szCs w:val="20"/>
          <w:color w:val="auto"/>
        </w:rPr>
        <w:t xml:space="preserve"> if such delay will result in a violation of Section 409A.</w:t>
      </w:r>
    </w:p>
    <w:p>
      <w:pPr>
        <w:spacing w:after="0" w:line="175" w:lineRule="exact"/>
        <w:rPr>
          <w:sz w:val="20"/>
          <w:szCs w:val="20"/>
          <w:color w:val="auto"/>
        </w:rPr>
      </w:pPr>
    </w:p>
    <w:p>
      <w:pPr>
        <w:jc w:val="both"/>
        <w:ind w:firstLine="1498"/>
        <w:spacing w:after="0" w:line="232" w:lineRule="auto"/>
        <w:rPr>
          <w:sz w:val="20"/>
          <w:szCs w:val="20"/>
          <w:color w:val="auto"/>
        </w:rPr>
      </w:pPr>
      <w:r>
        <w:rPr>
          <w:rFonts w:ascii="Arial" w:cs="Arial" w:eastAsia="Arial" w:hAnsi="Arial"/>
          <w:sz w:val="20"/>
          <w:szCs w:val="20"/>
          <w:color w:val="auto"/>
        </w:rPr>
        <w:t>(d) Participant is ultimately liable and responsible for all taxes owed in connection with the Option, regardless of any action any Company Group Member takes with respect to any tax withholding obligations that arise in connection with the Option. No Company Group Member makes any representation or undertaking regarding the treatment of any tax withholding in connection with the awarding, vesting or exercise of the Option or the subsequent sale of Shares. The Company Group does not commit and is under no obligation to structure the Option to reduce or eliminate Participant’s tax liability.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IV.1</w:t>
      </w:r>
      <w:r>
        <w:rPr>
          <w:sz w:val="20"/>
          <w:szCs w:val="20"/>
          <w:color w:val="auto"/>
        </w:rPr>
        <w:tab/>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During the lifetime of Participant, only Participant may exercise the Option or any portion</w:t>
      </w:r>
    </w:p>
    <w:p>
      <w:pPr>
        <w:spacing w:after="0" w:line="2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thereof. After the death of Participant, any exercisable portion of the Option may, prior to the time when the Option becomes unexercisable under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hereof, be exercised by Participant’s personal representative or by any Person empowered to do so under the deceased Participant’s will or under the then Applicable Laws of descent and distribution.</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 xml:space="preserve">IV.2 </w:t>
      </w:r>
      <w:r>
        <w:rPr>
          <w:rFonts w:ascii="Arial" w:cs="Arial" w:eastAsia="Arial" w:hAnsi="Arial"/>
          <w:sz w:val="20"/>
          <w:szCs w:val="20"/>
          <w:u w:val="single" w:color="auto"/>
          <w:color w:val="auto"/>
        </w:rPr>
        <w:t>Partial Exercise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any exercisable portion of the Option or the entire Option, if then wholly exercisable, may be exercised in whole or in part at any time prior to the time when the Option or portion thereof becomes unexercisable under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hereof.</w:t>
      </w:r>
    </w:p>
    <w:p>
      <w:pPr>
        <w:spacing w:after="0" w:line="18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 xml:space="preserve">IV.3 </w:t>
      </w:r>
      <w:r>
        <w:rPr>
          <w:rFonts w:ascii="Arial" w:cs="Arial" w:eastAsia="Arial" w:hAnsi="Arial"/>
          <w:sz w:val="19"/>
          <w:szCs w:val="19"/>
          <w:u w:val="single" w:color="auto"/>
          <w:color w:val="auto"/>
        </w:rPr>
        <w:t>Manner of Exercise</w:t>
      </w:r>
      <w:r>
        <w:rPr>
          <w:rFonts w:ascii="Arial" w:cs="Arial" w:eastAsia="Arial" w:hAnsi="Arial"/>
          <w:sz w:val="19"/>
          <w:szCs w:val="19"/>
          <w:color w:val="auto"/>
        </w:rPr>
        <w:t xml:space="preserve">. The Option, or any exercisable portion thereof, may be exercised solely by delivery to the Secretary of the Company (or any third party administrator or other Person designated by the Company), during regular business hours, of all of the following prior to the time when the Option or such portion thereof becomes unexercisable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ind w:left="1500"/>
              <w:spacing w:after="0"/>
              <w:rPr>
                <w:sz w:val="20"/>
                <w:szCs w:val="20"/>
                <w:color w:val="auto"/>
              </w:rPr>
            </w:pPr>
            <w:r>
              <w:rPr>
                <w:rFonts w:ascii="Arial" w:cs="Arial" w:eastAsia="Arial" w:hAnsi="Arial"/>
                <w:sz w:val="20"/>
                <w:szCs w:val="20"/>
                <w:color w:val="auto"/>
              </w:rPr>
              <w:t>(a)</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w w:val="91"/>
              </w:rPr>
              <w:t>An exercise notice in a form specified by the Administrator, stating that the Option or portion thereof is</w:t>
            </w:r>
          </w:p>
        </w:tc>
      </w:tr>
      <w:tr>
        <w:trPr>
          <w:trHeight w:val="250"/>
        </w:trPr>
        <w:tc>
          <w:tcPr>
            <w:tcW w:w="11240" w:type="dxa"/>
            <w:vAlign w:val="bottom"/>
            <w:gridSpan w:val="8"/>
          </w:tcPr>
          <w:p>
            <w:pPr>
              <w:spacing w:after="0"/>
              <w:rPr>
                <w:sz w:val="20"/>
                <w:szCs w:val="20"/>
                <w:color w:val="auto"/>
              </w:rPr>
            </w:pPr>
            <w:r>
              <w:rPr>
                <w:rFonts w:ascii="Arial" w:cs="Arial" w:eastAsia="Arial" w:hAnsi="Arial"/>
                <w:sz w:val="20"/>
                <w:szCs w:val="20"/>
                <w:color w:val="auto"/>
              </w:rPr>
              <w:t>thereby exercised, such notice complying with all applicable rules established by the Administrator;</w:t>
            </w:r>
          </w:p>
        </w:tc>
      </w:tr>
      <w:tr>
        <w:trPr>
          <w:trHeight w:val="397"/>
        </w:trPr>
        <w:tc>
          <w:tcPr>
            <w:tcW w:w="2360" w:type="dxa"/>
            <w:vAlign w:val="bottom"/>
          </w:tcPr>
          <w:p>
            <w:pPr>
              <w:ind w:left="1500"/>
              <w:spacing w:after="0"/>
              <w:rPr>
                <w:sz w:val="20"/>
                <w:szCs w:val="20"/>
                <w:color w:val="auto"/>
              </w:rPr>
            </w:pPr>
            <w:r>
              <w:rPr>
                <w:rFonts w:ascii="Arial" w:cs="Arial" w:eastAsia="Arial" w:hAnsi="Arial"/>
                <w:sz w:val="20"/>
                <w:szCs w:val="20"/>
                <w:color w:val="auto"/>
              </w:rPr>
              <w:t>(b)</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w w:val="91"/>
              </w:rPr>
              <w:t>The receipt by the Company of full payment for the Shares with respect to which the Option or portion</w:t>
            </w:r>
          </w:p>
        </w:tc>
      </w:tr>
      <w:tr>
        <w:trPr>
          <w:trHeight w:val="206"/>
        </w:trPr>
        <w:tc>
          <w:tcPr>
            <w:tcW w:w="11240" w:type="dxa"/>
            <w:vAlign w:val="bottom"/>
            <w:gridSpan w:val="8"/>
          </w:tcPr>
          <w:p>
            <w:pPr>
              <w:spacing w:after="0" w:line="206" w:lineRule="exact"/>
              <w:rPr>
                <w:sz w:val="20"/>
                <w:szCs w:val="20"/>
                <w:color w:val="auto"/>
              </w:rPr>
            </w:pPr>
            <w:r>
              <w:rPr>
                <w:rFonts w:ascii="Arial" w:cs="Arial" w:eastAsia="Arial" w:hAnsi="Arial"/>
                <w:sz w:val="20"/>
                <w:szCs w:val="20"/>
                <w:color w:val="auto"/>
              </w:rPr>
              <w:t>thereof is exercised, in such form of consideration permitted under Section 4.4 hereof that is acceptable to the Administrator;</w:t>
            </w:r>
          </w:p>
        </w:tc>
      </w:tr>
      <w:tr>
        <w:trPr>
          <w:trHeight w:val="20"/>
        </w:trPr>
        <w:tc>
          <w:tcPr>
            <w:tcW w:w="2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1"/>
        </w:trPr>
        <w:tc>
          <w:tcPr>
            <w:tcW w:w="2360" w:type="dxa"/>
            <w:vAlign w:val="bottom"/>
          </w:tcPr>
          <w:p>
            <w:pPr>
              <w:ind w:left="1500"/>
              <w:spacing w:after="0"/>
              <w:rPr>
                <w:sz w:val="20"/>
                <w:szCs w:val="20"/>
                <w:color w:val="auto"/>
              </w:rPr>
            </w:pPr>
            <w:r>
              <w:rPr>
                <w:rFonts w:ascii="Arial" w:cs="Arial" w:eastAsia="Arial" w:hAnsi="Arial"/>
                <w:sz w:val="20"/>
                <w:szCs w:val="20"/>
                <w:color w:val="auto"/>
              </w:rPr>
              <w:t>(c)</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rPr>
              <w:t>The payment of any applicable withholding tax in accordance with Section 3.4;</w:t>
            </w:r>
          </w:p>
        </w:tc>
      </w:tr>
      <w:tr>
        <w:trPr>
          <w:trHeight w:val="20"/>
        </w:trPr>
        <w:tc>
          <w:tcPr>
            <w:tcW w:w="2360" w:type="dxa"/>
            <w:vAlign w:val="bottom"/>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22"/>
        </w:trPr>
        <w:tc>
          <w:tcPr>
            <w:tcW w:w="2360" w:type="dxa"/>
            <w:vAlign w:val="bottom"/>
          </w:tcPr>
          <w:p>
            <w:pPr>
              <w:ind w:left="1500"/>
              <w:spacing w:after="0"/>
              <w:rPr>
                <w:sz w:val="20"/>
                <w:szCs w:val="20"/>
                <w:color w:val="auto"/>
              </w:rPr>
            </w:pPr>
            <w:r>
              <w:rPr>
                <w:rFonts w:ascii="Arial" w:cs="Arial" w:eastAsia="Arial" w:hAnsi="Arial"/>
                <w:sz w:val="20"/>
                <w:szCs w:val="20"/>
                <w:color w:val="auto"/>
              </w:rPr>
              <w:t>(d)</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w w:val="98"/>
              </w:rPr>
              <w:t>Any other written representations or documents as may be required in the Administrator’s sole</w:t>
            </w:r>
          </w:p>
        </w:tc>
      </w:tr>
      <w:tr>
        <w:trPr>
          <w:trHeight w:val="250"/>
        </w:trPr>
        <w:tc>
          <w:tcPr>
            <w:tcW w:w="11240" w:type="dxa"/>
            <w:vAlign w:val="bottom"/>
            <w:gridSpan w:val="8"/>
          </w:tcPr>
          <w:p>
            <w:pPr>
              <w:spacing w:after="0"/>
              <w:rPr>
                <w:sz w:val="20"/>
                <w:szCs w:val="20"/>
                <w:color w:val="auto"/>
              </w:rPr>
            </w:pPr>
            <w:r>
              <w:rPr>
                <w:rFonts w:ascii="Arial" w:cs="Arial" w:eastAsia="Arial" w:hAnsi="Arial"/>
                <w:sz w:val="20"/>
                <w:szCs w:val="20"/>
                <w:color w:val="auto"/>
              </w:rPr>
              <w:t>discretion to effect compliance with Applicable Law; and</w:t>
            </w:r>
          </w:p>
        </w:tc>
      </w:tr>
      <w:tr>
        <w:trPr>
          <w:trHeight w:val="387"/>
        </w:trPr>
        <w:tc>
          <w:tcPr>
            <w:tcW w:w="2360" w:type="dxa"/>
            <w:vAlign w:val="bottom"/>
          </w:tcPr>
          <w:p>
            <w:pPr>
              <w:ind w:left="1500"/>
              <w:spacing w:after="0"/>
              <w:rPr>
                <w:sz w:val="20"/>
                <w:szCs w:val="20"/>
                <w:color w:val="auto"/>
              </w:rPr>
            </w:pPr>
            <w:r>
              <w:rPr>
                <w:rFonts w:ascii="Arial" w:cs="Arial" w:eastAsia="Arial" w:hAnsi="Arial"/>
                <w:sz w:val="20"/>
                <w:szCs w:val="20"/>
                <w:color w:val="auto"/>
              </w:rPr>
              <w:t>(e)</w:t>
            </w:r>
          </w:p>
        </w:tc>
        <w:tc>
          <w:tcPr>
            <w:tcW w:w="8880" w:type="dxa"/>
            <w:vAlign w:val="bottom"/>
            <w:gridSpan w:val="7"/>
          </w:tcPr>
          <w:p>
            <w:pPr>
              <w:ind w:left="640"/>
              <w:spacing w:after="0"/>
              <w:rPr>
                <w:sz w:val="20"/>
                <w:szCs w:val="20"/>
                <w:color w:val="auto"/>
              </w:rPr>
            </w:pPr>
            <w:r>
              <w:rPr>
                <w:rFonts w:ascii="Arial" w:cs="Arial" w:eastAsia="Arial" w:hAnsi="Arial"/>
                <w:sz w:val="20"/>
                <w:szCs w:val="20"/>
                <w:color w:val="auto"/>
                <w:w w:val="95"/>
              </w:rPr>
              <w:t>In the event the Option or portion thereof shall be exercised pursuant to Section 4.1 hereof by any</w:t>
            </w:r>
          </w:p>
        </w:tc>
      </w:tr>
      <w:tr>
        <w:trPr>
          <w:trHeight w:val="20"/>
        </w:trPr>
        <w:tc>
          <w:tcPr>
            <w:tcW w:w="2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Person or Persons other than Participant, appropriate proof of the right of such Person or Persons to exercise the Option.</w:t>
      </w:r>
    </w:p>
    <w:p>
      <w:pPr>
        <w:spacing w:after="0" w:line="198"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1500" w:type="dxa"/>
            <w:vAlign w:val="bottom"/>
          </w:tcPr>
          <w:p>
            <w:pPr>
              <w:jc w:val="center"/>
              <w:ind w:left="241"/>
              <w:spacing w:after="0"/>
              <w:rPr>
                <w:sz w:val="20"/>
                <w:szCs w:val="20"/>
                <w:color w:val="auto"/>
              </w:rPr>
            </w:pPr>
            <w:r>
              <w:rPr>
                <w:rFonts w:ascii="Arial" w:cs="Arial" w:eastAsia="Arial" w:hAnsi="Arial"/>
                <w:sz w:val="20"/>
                <w:szCs w:val="20"/>
                <w:color w:val="auto"/>
                <w:w w:val="89"/>
              </w:rPr>
              <w:t>IV.4</w:t>
            </w:r>
          </w:p>
        </w:tc>
        <w:tc>
          <w:tcPr>
            <w:tcW w:w="9740" w:type="dxa"/>
            <w:vAlign w:val="bottom"/>
            <w:gridSpan w:val="3"/>
          </w:tcPr>
          <w:p>
            <w:pPr>
              <w:spacing w:after="0"/>
              <w:rPr>
                <w:sz w:val="20"/>
                <w:szCs w:val="20"/>
                <w:color w:val="auto"/>
              </w:rPr>
            </w:pPr>
            <w:r>
              <w:rPr>
                <w:rFonts w:ascii="Arial" w:cs="Arial" w:eastAsia="Arial" w:hAnsi="Arial"/>
                <w:sz w:val="20"/>
                <w:szCs w:val="20"/>
                <w:color w:val="auto"/>
                <w:w w:val="94"/>
              </w:rPr>
              <w:t>Method of Payment.  Payment of the Exercise Price shall be by any of the following, or a combination thereof, at the</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44"/>
        </w:trPr>
        <w:tc>
          <w:tcPr>
            <w:tcW w:w="2400" w:type="dxa"/>
            <w:vAlign w:val="bottom"/>
            <w:gridSpan w:val="2"/>
          </w:tcPr>
          <w:p>
            <w:pPr>
              <w:jc w:val="center"/>
              <w:ind w:right="501"/>
              <w:spacing w:after="0"/>
              <w:rPr>
                <w:sz w:val="20"/>
                <w:szCs w:val="20"/>
                <w:color w:val="auto"/>
              </w:rPr>
            </w:pPr>
            <w:r>
              <w:rPr>
                <w:rFonts w:ascii="Arial" w:cs="Arial" w:eastAsia="Arial" w:hAnsi="Arial"/>
                <w:sz w:val="20"/>
                <w:szCs w:val="20"/>
                <w:color w:val="auto"/>
                <w:w w:val="91"/>
              </w:rPr>
              <w:t>election of Participant:</w:t>
            </w:r>
          </w:p>
        </w:tc>
        <w:tc>
          <w:tcPr>
            <w:tcW w:w="720" w:type="dxa"/>
            <w:vAlign w:val="bottom"/>
          </w:tcPr>
          <w:p>
            <w:pPr>
              <w:spacing w:after="0"/>
              <w:rPr>
                <w:sz w:val="21"/>
                <w:szCs w:val="21"/>
                <w:color w:val="auto"/>
              </w:rPr>
            </w:pPr>
          </w:p>
        </w:tc>
        <w:tc>
          <w:tcPr>
            <w:tcW w:w="8120" w:type="dxa"/>
            <w:vAlign w:val="bottom"/>
          </w:tcPr>
          <w:p>
            <w:pPr>
              <w:spacing w:after="0"/>
              <w:rPr>
                <w:sz w:val="21"/>
                <w:szCs w:val="21"/>
                <w:color w:val="auto"/>
              </w:rPr>
            </w:pPr>
          </w:p>
        </w:tc>
      </w:tr>
      <w:tr>
        <w:trPr>
          <w:trHeight w:val="428"/>
        </w:trPr>
        <w:tc>
          <w:tcPr>
            <w:tcW w:w="15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(a)</w:t>
            </w:r>
          </w:p>
        </w:tc>
        <w:tc>
          <w:tcPr>
            <w:tcW w:w="8840" w:type="dxa"/>
            <w:vAlign w:val="bottom"/>
            <w:gridSpan w:val="2"/>
          </w:tcPr>
          <w:p>
            <w:pPr>
              <w:ind w:left="600"/>
              <w:spacing w:after="0"/>
              <w:rPr>
                <w:sz w:val="20"/>
                <w:szCs w:val="20"/>
                <w:color w:val="auto"/>
              </w:rPr>
            </w:pPr>
            <w:r>
              <w:rPr>
                <w:rFonts w:ascii="Arial" w:cs="Arial" w:eastAsia="Arial" w:hAnsi="Arial"/>
                <w:sz w:val="20"/>
                <w:szCs w:val="20"/>
                <w:color w:val="auto"/>
              </w:rPr>
              <w:t>Cash or check;</w:t>
            </w:r>
          </w:p>
        </w:tc>
      </w:tr>
      <w:tr>
        <w:trPr>
          <w:trHeight w:val="413"/>
        </w:trPr>
        <w:tc>
          <w:tcPr>
            <w:tcW w:w="15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rPr>
              <w:t>(b)</w:t>
            </w:r>
          </w:p>
        </w:tc>
        <w:tc>
          <w:tcPr>
            <w:tcW w:w="8840" w:type="dxa"/>
            <w:vAlign w:val="bottom"/>
            <w:gridSpan w:val="2"/>
          </w:tcPr>
          <w:p>
            <w:pPr>
              <w:ind w:left="600"/>
              <w:spacing w:after="0"/>
              <w:rPr>
                <w:sz w:val="20"/>
                <w:szCs w:val="20"/>
                <w:color w:val="auto"/>
              </w:rPr>
            </w:pPr>
            <w:r>
              <w:rPr>
                <w:rFonts w:ascii="Arial" w:cs="Arial" w:eastAsia="Arial" w:hAnsi="Arial"/>
                <w:sz w:val="20"/>
                <w:szCs w:val="20"/>
                <w:color w:val="auto"/>
                <w:w w:val="90"/>
              </w:rPr>
              <w:t>With the consent of the Administrator, surrender of vested Shares (including, without limitation, Shares</w:t>
            </w:r>
          </w:p>
        </w:tc>
      </w:tr>
    </w:tbl>
    <w:p>
      <w:pPr>
        <w:jc w:val="both"/>
        <w:spacing w:after="0" w:line="231" w:lineRule="auto"/>
        <w:rPr>
          <w:sz w:val="20"/>
          <w:szCs w:val="20"/>
          <w:color w:val="auto"/>
        </w:rPr>
      </w:pPr>
      <w:r>
        <w:rPr>
          <w:rFonts w:ascii="Arial" w:cs="Arial" w:eastAsia="Arial" w:hAnsi="Arial"/>
          <w:sz w:val="20"/>
          <w:szCs w:val="20"/>
          <w:color w:val="auto"/>
        </w:rPr>
        <w:t>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183" w:lineRule="exact"/>
        <w:rPr>
          <w:sz w:val="20"/>
          <w:szCs w:val="20"/>
          <w:color w:val="auto"/>
        </w:rPr>
      </w:pPr>
    </w:p>
    <w:p>
      <w:pPr>
        <w:jc w:val="both"/>
        <w:ind w:firstLine="1498"/>
        <w:spacing w:after="0" w:line="266" w:lineRule="auto"/>
        <w:rPr>
          <w:sz w:val="20"/>
          <w:szCs w:val="20"/>
          <w:color w:val="auto"/>
        </w:rPr>
      </w:pPr>
      <w:r>
        <w:rPr>
          <w:rFonts w:ascii="Arial" w:cs="Arial" w:eastAsia="Arial" w:hAnsi="Arial"/>
          <w:sz w:val="18"/>
          <w:szCs w:val="18"/>
          <w:color w:val="auto"/>
        </w:rPr>
        <w:t xml:space="preserve">(c) Through the delivery of a notice that Participant has placed a market sell order with a broker acceptable to the Company with respect to Shares then issuable upon exercise of the Option, and that the broker has been directed to pay a sufficient portion of the net proceeds of the sale to the Company in satisfaction of the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at such time as may be required by the Administrator, but in any event not later than the settlement of such sale; or</w:t>
      </w:r>
    </w:p>
    <w:p>
      <w:pPr>
        <w:spacing w:after="0" w:line="161"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74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20"/>
                <w:szCs w:val="20"/>
                <w:color w:val="auto"/>
              </w:rPr>
              <w:t>(d)</w:t>
            </w:r>
          </w:p>
        </w:tc>
        <w:tc>
          <w:tcPr>
            <w:tcW w:w="5040" w:type="dxa"/>
            <w:vAlign w:val="bottom"/>
            <w:gridSpan w:val="2"/>
          </w:tcPr>
          <w:p>
            <w:pPr>
              <w:jc w:val="right"/>
              <w:ind w:right="20"/>
              <w:spacing w:after="0"/>
              <w:rPr>
                <w:sz w:val="20"/>
                <w:szCs w:val="20"/>
                <w:color w:val="auto"/>
              </w:rPr>
            </w:pPr>
            <w:r>
              <w:rPr>
                <w:rFonts w:ascii="Arial" w:cs="Arial" w:eastAsia="Arial" w:hAnsi="Arial"/>
                <w:sz w:val="20"/>
                <w:szCs w:val="20"/>
                <w:color w:val="auto"/>
              </w:rPr>
              <w:t>Any other form of legal consideration acceptable to the</w:t>
            </w:r>
          </w:p>
        </w:tc>
        <w:tc>
          <w:tcPr>
            <w:tcW w:w="3840" w:type="dxa"/>
            <w:vAlign w:val="bottom"/>
          </w:tcPr>
          <w:p>
            <w:pPr>
              <w:ind w:left="20"/>
              <w:spacing w:after="0"/>
              <w:rPr>
                <w:sz w:val="20"/>
                <w:szCs w:val="20"/>
                <w:color w:val="auto"/>
              </w:rPr>
            </w:pPr>
            <w:r>
              <w:rPr>
                <w:rFonts w:ascii="Arial" w:cs="Arial" w:eastAsia="Arial" w:hAnsi="Arial"/>
                <w:sz w:val="20"/>
                <w:szCs w:val="20"/>
                <w:color w:val="auto"/>
              </w:rPr>
              <w:t>Administrator.</w:t>
            </w:r>
          </w:p>
        </w:tc>
      </w:tr>
      <w:tr>
        <w:trPr>
          <w:trHeight w:val="387"/>
        </w:trPr>
        <w:tc>
          <w:tcPr>
            <w:tcW w:w="740" w:type="dxa"/>
            <w:vAlign w:val="bottom"/>
          </w:tcPr>
          <w:p>
            <w:pPr>
              <w:spacing w:after="0"/>
              <w:rPr>
                <w:sz w:val="20"/>
                <w:szCs w:val="20"/>
                <w:color w:val="auto"/>
              </w:rPr>
            </w:pPr>
            <w:r>
              <w:rPr>
                <w:rFonts w:ascii="Arial" w:cs="Arial" w:eastAsia="Arial" w:hAnsi="Arial"/>
                <w:sz w:val="20"/>
                <w:szCs w:val="20"/>
                <w:color w:val="auto"/>
              </w:rPr>
              <w:t>IV.5</w:t>
            </w:r>
          </w:p>
        </w:tc>
        <w:tc>
          <w:tcPr>
            <w:tcW w:w="5900" w:type="dxa"/>
            <w:vAlign w:val="bottom"/>
            <w:gridSpan w:val="3"/>
          </w:tcPr>
          <w:p>
            <w:pPr>
              <w:jc w:val="right"/>
              <w:ind w:right="20"/>
              <w:spacing w:after="0"/>
              <w:rPr>
                <w:sz w:val="20"/>
                <w:szCs w:val="20"/>
                <w:color w:val="auto"/>
              </w:rPr>
            </w:pPr>
            <w:r>
              <w:rPr>
                <w:rFonts w:ascii="Arial" w:cs="Arial" w:eastAsia="Arial" w:hAnsi="Arial"/>
                <w:sz w:val="20"/>
                <w:szCs w:val="20"/>
                <w:color w:val="auto"/>
                <w:w w:val="94"/>
              </w:rPr>
              <w:t>Conditions to Issuance of Shares.  The Company shall not be required</w:t>
            </w:r>
          </w:p>
        </w:tc>
        <w:tc>
          <w:tcPr>
            <w:tcW w:w="3840" w:type="dxa"/>
            <w:vAlign w:val="bottom"/>
          </w:tcPr>
          <w:p>
            <w:pPr>
              <w:ind w:left="60"/>
              <w:spacing w:after="0"/>
              <w:rPr>
                <w:sz w:val="20"/>
                <w:szCs w:val="20"/>
                <w:color w:val="auto"/>
              </w:rPr>
            </w:pPr>
            <w:r>
              <w:rPr>
                <w:rFonts w:ascii="Arial" w:cs="Arial" w:eastAsia="Arial" w:hAnsi="Arial"/>
                <w:sz w:val="20"/>
                <w:szCs w:val="20"/>
                <w:color w:val="auto"/>
                <w:w w:val="92"/>
              </w:rPr>
              <w:t>to issue or deliver Shares purchased upon the</w:t>
            </w:r>
          </w:p>
        </w:tc>
      </w:tr>
      <w:tr>
        <w:trPr>
          <w:trHeight w:val="20"/>
        </w:trPr>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jc w:val="both"/>
        <w:spacing w:after="0" w:line="256" w:lineRule="auto"/>
        <w:rPr>
          <w:sz w:val="20"/>
          <w:szCs w:val="20"/>
          <w:color w:val="auto"/>
        </w:rPr>
      </w:pPr>
      <w:r>
        <w:rPr>
          <w:rFonts w:ascii="Arial" w:cs="Arial" w:eastAsia="Arial" w:hAnsi="Arial"/>
          <w:sz w:val="18"/>
          <w:szCs w:val="18"/>
          <w:color w:val="auto"/>
        </w:rPr>
        <w:t xml:space="preserve">exercise of the Option or portion thereof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which the Administrator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 and (e) the receipt of full payment of any applicable withholding tax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by the Company Group Member with respect to which the applicable withholding obligation arises.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 xml:space="preserve">IV.6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Section 12.2 of the Plan.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V.1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5" w:name="page126"/>
    <w:bookmarkEnd w:id="125"/>
    <w:p>
      <w:pPr>
        <w:jc w:val="both"/>
        <w:spacing w:after="0" w:line="237" w:lineRule="auto"/>
        <w:rPr>
          <w:sz w:val="20"/>
          <w:szCs w:val="20"/>
          <w:color w:val="auto"/>
        </w:rPr>
      </w:pPr>
      <w:r>
        <w:rPr>
          <w:rFonts w:ascii="Arial" w:cs="Arial" w:eastAsia="Arial" w:hAnsi="Arial"/>
          <w:sz w:val="20"/>
          <w:szCs w:val="20"/>
          <w:color w:val="auto"/>
        </w:rPr>
        <w:t>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V.2</w:t>
      </w:r>
      <w:r>
        <w:rPr>
          <w:sz w:val="20"/>
          <w:szCs w:val="20"/>
          <w:color w:val="auto"/>
        </w:rPr>
        <w:tab/>
      </w:r>
      <w:r>
        <w:rPr>
          <w:rFonts w:ascii="Arial" w:cs="Arial" w:eastAsia="Arial" w:hAnsi="Arial"/>
          <w:sz w:val="20"/>
          <w:szCs w:val="20"/>
          <w:u w:val="single" w:color="auto"/>
          <w:color w:val="auto"/>
        </w:rPr>
        <w:t>Whole Shares</w:t>
      </w:r>
      <w:r>
        <w:rPr>
          <w:rFonts w:ascii="Arial" w:cs="Arial" w:eastAsia="Arial" w:hAnsi="Arial"/>
          <w:sz w:val="20"/>
          <w:szCs w:val="20"/>
          <w:color w:val="auto"/>
        </w:rPr>
        <w:t>. The Option may only be exercised for whole Shares.</w:t>
      </w:r>
    </w:p>
    <w:p>
      <w:pPr>
        <w:spacing w:after="0" w:line="20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 xml:space="preserve">V.3 </w:t>
      </w:r>
      <w:r>
        <w:rPr>
          <w:rFonts w:ascii="Arial" w:cs="Arial" w:eastAsia="Arial" w:hAnsi="Arial"/>
          <w:sz w:val="18"/>
          <w:szCs w:val="18"/>
          <w:u w:val="single" w:color="auto"/>
          <w:color w:val="auto"/>
        </w:rPr>
        <w:t>Option Not Transferable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if the Option is a Non-Qualified Stock Option, it may be transferred to Permitted Transferees pursuant to any conditions and procedures the Administrator may require.</w:t>
      </w:r>
    </w:p>
    <w:p>
      <w:pPr>
        <w:spacing w:after="0" w:line="17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 xml:space="preserve">V.4 </w:t>
      </w:r>
      <w:r>
        <w:rPr>
          <w:rFonts w:ascii="Arial" w:cs="Arial" w:eastAsia="Arial" w:hAnsi="Arial"/>
          <w:sz w:val="20"/>
          <w:szCs w:val="20"/>
          <w:u w:val="single" w:color="auto"/>
          <w:color w:val="auto"/>
        </w:rPr>
        <w:t>Adjustments</w:t>
      </w:r>
      <w:r>
        <w:rPr>
          <w:rFonts w:ascii="Arial" w:cs="Arial" w:eastAsia="Arial" w:hAnsi="Arial"/>
          <w:sz w:val="20"/>
          <w:szCs w:val="20"/>
          <w:color w:val="auto"/>
        </w:rPr>
        <w:t>. The Administrator may accelerate the vesting of all or a portion of the Option in such circumstances as it, in its sole discretion, may determine. Participant acknowledges that the Option is subject to adjustment, modification and termination in certain events as provided in this Agreement and the Plan, including Section 12.2 of the Plan.</w:t>
      </w:r>
    </w:p>
    <w:p>
      <w:pPr>
        <w:spacing w:after="0" w:line="18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 xml:space="preserve">V.5 </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w:t>
      </w:r>
      <w:r>
        <w:rPr>
          <w:rFonts w:ascii="Arial" w:cs="Arial" w:eastAsia="Arial" w:hAnsi="Arial"/>
          <w:sz w:val="20"/>
          <w:szCs w:val="20"/>
          <w:u w:val="single" w:color="auto"/>
          <w:color w:val="auto"/>
        </w:rPr>
        <w:t>Section 5.5</w:t>
      </w:r>
      <w:r>
        <w:rPr>
          <w:rFonts w:ascii="Arial" w:cs="Arial" w:eastAsia="Arial" w:hAnsi="Arial"/>
          <w:sz w:val="20"/>
          <w:szCs w:val="20"/>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V.6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9"/>
          <w:szCs w:val="19"/>
          <w:color w:val="auto"/>
        </w:rPr>
        <w:t xml:space="preserve">V.7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 xml:space="preserve">V.8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the Grant Notice and this Agreement shall be deemed amended to the extent necessary to conform to Applicable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both"/>
        <w:ind w:firstLine="749"/>
        <w:spacing w:after="0" w:line="248" w:lineRule="auto"/>
        <w:rPr>
          <w:sz w:val="20"/>
          <w:szCs w:val="20"/>
          <w:color w:val="auto"/>
        </w:rPr>
      </w:pPr>
      <w:r>
        <w:rPr>
          <w:rFonts w:ascii="Arial" w:cs="Arial" w:eastAsia="Arial" w:hAnsi="Arial"/>
          <w:sz w:val="19"/>
          <w:szCs w:val="19"/>
          <w:color w:val="auto"/>
        </w:rPr>
        <w:t xml:space="preserve">V.9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V.10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and the Plan, this Agreement shall be binding upon and inure to the benefit of the heirs, legatees, legal representatives, successors and assigns of the parties hereto.</w:t>
      </w:r>
    </w:p>
    <w:p>
      <w:pPr>
        <w:spacing w:after="0" w:line="18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9"/>
          <w:szCs w:val="19"/>
          <w:color w:val="auto"/>
        </w:rPr>
        <w:t xml:space="preserve">V.11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9"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 xml:space="preserve">V.12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this Agreement or in the Plan shall confer upon Participant any right to continue to serve as an employee or other service provider of any Company Group Member or shall interfere with or restrict in any way the rights of the Company Group, which rights are hereby expressly reserved, to discharge or terminate the services of Participant at any time for any reason whatsoever, with or without good cause, except to the extent expressly provided otherwise in a written agreement between a Company Group Member and Participant.</w:t>
      </w:r>
    </w:p>
    <w:p>
      <w:pPr>
        <w:spacing w:after="0" w:line="18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color w:val="auto"/>
        </w:rPr>
        <w:t xml:space="preserve">V.13 </w:t>
      </w:r>
      <w:r>
        <w:rPr>
          <w:rFonts w:ascii="Arial" w:cs="Arial" w:eastAsia="Arial" w:hAnsi="Arial"/>
          <w:sz w:val="19"/>
          <w:szCs w:val="19"/>
          <w:u w:val="single" w:color="auto"/>
          <w:color w:val="auto"/>
        </w:rPr>
        <w:t>Entire Agreement</w:t>
      </w:r>
      <w:r>
        <w:rPr>
          <w:rFonts w:ascii="Arial" w:cs="Arial" w:eastAsia="Arial" w:hAnsi="Arial"/>
          <w:sz w:val="19"/>
          <w:szCs w:val="19"/>
          <w:color w:val="auto"/>
        </w:rPr>
        <w:t>. Unless otherwise determined by the Administrator or as set forth in a written agreement between Participant and the Company (including for the avoidance of doubt the Company’s Executive Severance Plan and any Employee Inventions and Proprietary Information Agreement or other written agreement between an entity or entities in the Company Group and a Participant relating to the Company’s and/or Company Group’s property, intellectual or otherwise),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V.14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6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 xml:space="preserve">V.15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7" w:name="page128"/>
    <w:bookmarkEnd w:id="127"/>
    <w:p>
      <w:pPr>
        <w:jc w:val="both"/>
        <w:ind w:firstLine="749"/>
        <w:spacing w:after="0" w:line="248" w:lineRule="auto"/>
        <w:rPr>
          <w:sz w:val="20"/>
          <w:szCs w:val="20"/>
          <w:color w:val="auto"/>
        </w:rPr>
      </w:pPr>
      <w:r>
        <w:rPr>
          <w:rFonts w:ascii="Arial" w:cs="Arial" w:eastAsia="Arial" w:hAnsi="Arial"/>
          <w:sz w:val="19"/>
          <w:szCs w:val="19"/>
          <w:color w:val="auto"/>
        </w:rPr>
        <w:t xml:space="preserve">V.16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 to receive Shares as a general unsecured creditor with respect to the Option, as and when exercised pursuant to the terms hereof.</w:t>
      </w:r>
    </w:p>
    <w:p>
      <w:pPr>
        <w:spacing w:after="0" w:line="177"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auto"/>
        </w:rPr>
        <w:t xml:space="preserve">V.17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 xml:space="preserve">V.18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xml:space="preserve">. In the event of any broker-assisted sale of Shares in connection with the payment of withholding taxes as provided in </w:t>
      </w:r>
      <w:r>
        <w:rPr>
          <w:rFonts w:ascii="Arial" w:cs="Arial" w:eastAsia="Arial" w:hAnsi="Arial"/>
          <w:sz w:val="16"/>
          <w:szCs w:val="16"/>
          <w:u w:val="single" w:color="auto"/>
          <w:color w:val="auto"/>
        </w:rPr>
        <w:t>Section 3.4(a)(v)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or the payment of the Exercise Price as provided in </w:t>
      </w:r>
      <w:r>
        <w:rPr>
          <w:rFonts w:ascii="Arial" w:cs="Arial" w:eastAsia="Arial" w:hAnsi="Arial"/>
          <w:sz w:val="16"/>
          <w:szCs w:val="16"/>
          <w:u w:val="single" w:color="auto"/>
          <w:color w:val="auto"/>
        </w:rPr>
        <w:t>Section 4.4(c)</w:t>
      </w:r>
      <w:r>
        <w:rPr>
          <w:rFonts w:ascii="Arial" w:cs="Arial" w:eastAsia="Arial" w:hAnsi="Arial"/>
          <w:sz w:val="16"/>
          <w:szCs w:val="16"/>
          <w:color w:val="auto"/>
        </w:rPr>
        <w:t>: (a) any Shares to be sold through a broker-assisted sale will be sold on the day the tax withholding obligation or exercise of the Option, as applicable, occurs or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Group Member with respect to which the withholding obligation arises an amount in cash sufficient to satisfy any remaining portion of the applicable Company Group Member’s withholding obligation.</w:t>
      </w:r>
    </w:p>
    <w:p>
      <w:pPr>
        <w:spacing w:after="0" w:line="36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 xml:space="preserve">V.19 </w:t>
      </w:r>
      <w:r>
        <w:rPr>
          <w:rFonts w:ascii="Arial" w:cs="Arial" w:eastAsia="Arial" w:hAnsi="Arial"/>
          <w:sz w:val="19"/>
          <w:szCs w:val="19"/>
          <w:u w:val="single" w:color="auto"/>
          <w:color w:val="auto"/>
        </w:rPr>
        <w:t>Incentive Stock Options</w:t>
      </w:r>
      <w:r>
        <w:rPr>
          <w:rFonts w:ascii="Arial" w:cs="Arial" w:eastAsia="Arial" w:hAnsi="Arial"/>
          <w:sz w:val="19"/>
          <w:szCs w:val="19"/>
          <w:color w:val="auto"/>
        </w:rPr>
        <w:t>. Participant acknowledges that to the extent the aggregate Fair Market Value of Shares (determined as of the time the option with respect to the Shares is granted) with respect to which Incentive Stock Options, including this Option (if applicable), are exercisable for the first time by Participant during any calendar year exceeds $100,000 or if for any other reason such Incentive Stock Options do not qualify or cease to qualify for treatment as “incentive stock options” under Section 422 of the Code, such Incentive Stock Options shall be treated as Non-Qualified Stock Options. Participant further acknowledges that the rule set forth in the preceding sentence shall be applied by taking the Option and other stock options into account in the order in which they were granted, as determined under Section 422(d) of the Code and the Treasury Regulations thereunder. Participant also acknowledges that an Incentive Stock Option exercised more than three (3) months after Participant’s Termination of Service, other than by reason of death or disability, will be taxed as a Non-Qualified Stock Option.</w:t>
      </w:r>
    </w:p>
    <w:p>
      <w:pPr>
        <w:spacing w:after="0" w:line="18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 xml:space="preserve">V.20 </w:t>
      </w:r>
      <w:r>
        <w:rPr>
          <w:rFonts w:ascii="Arial" w:cs="Arial" w:eastAsia="Arial" w:hAnsi="Arial"/>
          <w:sz w:val="20"/>
          <w:szCs w:val="20"/>
          <w:u w:val="single" w:color="auto"/>
          <w:color w:val="auto"/>
        </w:rPr>
        <w:t>Notification of Disposition</w:t>
      </w:r>
      <w:r>
        <w:rPr>
          <w:rFonts w:ascii="Arial" w:cs="Arial" w:eastAsia="Arial" w:hAnsi="Arial"/>
          <w:sz w:val="20"/>
          <w:szCs w:val="20"/>
          <w:color w:val="auto"/>
        </w:rPr>
        <w:t>. If this Option is designated as an Incentive Stock Option, Participant shall give prompt written notice to the Company of any disposition or other transfer of any Shares acquired under this Agreement if such disposition or transfer is made (a) within two (2) years from the Grant Date or (b) within one (1)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77"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 * *</w:t>
      </w:r>
    </w:p>
    <w:p>
      <w:pPr>
        <w:spacing w:after="0" w:line="20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A-8</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w:t>
      </w:r>
      <w:r>
        <w:rPr>
          <w:rFonts w:ascii="Arial" w:cs="Arial" w:eastAsia="Arial" w:hAnsi="Arial"/>
          <w:sz w:val="14"/>
          <w:szCs w:val="14"/>
          <w:b w:val="1"/>
          <w:bCs w:val="1"/>
          <w:color w:val="auto"/>
        </w:rPr>
        <w:t>ROOM</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28, 2020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June 14, 2022</w:t>
      </w:r>
    </w:p>
    <w:p>
      <w:pPr>
        <w:spacing w:after="0" w:line="21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Non-employee members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Vroom,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be eligible to receive cash and equity compensation as set forth in this Amended and Restated Non-Employee Director Compensation Policy (this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who may be eligible to receive such cash or equity compensation, unless such Non-Employee Director declines the receipt of such cash or equity compensation by written notice to the Company. This Policy became effective after the effectiveness of the Company’s initial public offering (the “</w:t>
      </w:r>
      <w:r>
        <w:rPr>
          <w:rFonts w:ascii="Arial" w:cs="Arial" w:eastAsia="Arial" w:hAnsi="Arial"/>
          <w:sz w:val="20"/>
          <w:szCs w:val="20"/>
          <w:b w:val="1"/>
          <w:bCs w:val="1"/>
          <w:i w:val="1"/>
          <w:iCs w:val="1"/>
          <w:color w:val="auto"/>
        </w:rPr>
        <w:t>IPO</w:t>
      </w:r>
      <w:r>
        <w:rPr>
          <w:rFonts w:ascii="Arial" w:cs="Arial" w:eastAsia="Arial" w:hAnsi="Arial"/>
          <w:sz w:val="20"/>
          <w:szCs w:val="20"/>
          <w:color w:val="auto"/>
        </w:rPr>
        <w:t xml:space="preserve">”) and will remain in effect, as amended, until it is further amended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terms and conditions of this Policy shall not amend or modify the terms of any equity awards granted to any Non-Employee Director prior to the IPO.</w:t>
      </w:r>
    </w:p>
    <w:p>
      <w:pPr>
        <w:spacing w:after="0" w:line="170" w:lineRule="exact"/>
        <w:rPr>
          <w:sz w:val="20"/>
          <w:szCs w:val="20"/>
          <w:color w:val="auto"/>
        </w:rPr>
      </w:pPr>
    </w:p>
    <w:p>
      <w:pPr>
        <w:ind w:left="1500" w:hanging="743"/>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ind w:left="1500"/>
              <w:spacing w:after="0"/>
              <w:rPr>
                <w:sz w:val="20"/>
                <w:szCs w:val="20"/>
                <w:color w:val="auto"/>
              </w:rPr>
            </w:pPr>
            <w:r>
              <w:rPr>
                <w:rFonts w:ascii="Arial" w:cs="Arial" w:eastAsia="Arial" w:hAnsi="Arial"/>
                <w:sz w:val="22"/>
                <w:szCs w:val="22"/>
                <w:color w:val="auto"/>
              </w:rPr>
              <w:t>(a)</w:t>
            </w:r>
          </w:p>
        </w:tc>
        <w:tc>
          <w:tcPr>
            <w:tcW w:w="1960" w:type="dxa"/>
            <w:vAlign w:val="bottom"/>
            <w:gridSpan w:val="4"/>
          </w:tcPr>
          <w:p>
            <w:pPr>
              <w:ind w:left="260"/>
              <w:spacing w:after="0"/>
              <w:rPr>
                <w:sz w:val="20"/>
                <w:szCs w:val="20"/>
                <w:color w:val="auto"/>
              </w:rPr>
            </w:pPr>
            <w:r>
              <w:rPr>
                <w:rFonts w:ascii="Arial" w:cs="Arial" w:eastAsia="Arial" w:hAnsi="Arial"/>
                <w:sz w:val="22"/>
                <w:szCs w:val="22"/>
                <w:color w:val="auto"/>
                <w:w w:val="96"/>
              </w:rPr>
              <w:t>Annual Retainers.</w:t>
            </w:r>
          </w:p>
        </w:tc>
        <w:tc>
          <w:tcPr>
            <w:tcW w:w="6540" w:type="dxa"/>
            <w:vAlign w:val="bottom"/>
            <w:gridSpan w:val="3"/>
          </w:tcPr>
          <w:p>
            <w:pPr>
              <w:jc w:val="right"/>
              <w:spacing w:after="0"/>
              <w:rPr>
                <w:sz w:val="20"/>
                <w:szCs w:val="20"/>
                <w:color w:val="auto"/>
              </w:rPr>
            </w:pPr>
            <w:r>
              <w:rPr>
                <w:rFonts w:ascii="Arial" w:cs="Arial" w:eastAsia="Arial" w:hAnsi="Arial"/>
                <w:sz w:val="22"/>
                <w:szCs w:val="22"/>
                <w:color w:val="auto"/>
                <w:w w:val="92"/>
              </w:rPr>
              <w:t>Each Non-Employee Director shall receive an annual retainer of $30,000</w:t>
            </w:r>
          </w:p>
        </w:tc>
      </w:tr>
      <w:tr>
        <w:trPr>
          <w:trHeight w:val="273"/>
        </w:trPr>
        <w:tc>
          <w:tcPr>
            <w:tcW w:w="2740" w:type="dxa"/>
            <w:vAlign w:val="bottom"/>
          </w:tcPr>
          <w:p>
            <w:pPr>
              <w:spacing w:after="0"/>
              <w:rPr>
                <w:sz w:val="20"/>
                <w:szCs w:val="20"/>
                <w:color w:val="auto"/>
              </w:rPr>
            </w:pPr>
            <w:r>
              <w:rPr>
                <w:rFonts w:ascii="Arial" w:cs="Arial" w:eastAsia="Arial" w:hAnsi="Arial"/>
                <w:sz w:val="22"/>
                <w:szCs w:val="22"/>
                <w:color w:val="auto"/>
              </w:rPr>
              <w:t>for service on the Board.</w:t>
            </w:r>
          </w:p>
        </w:tc>
        <w:tc>
          <w:tcPr>
            <w:tcW w:w="26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408"/>
        </w:trPr>
        <w:tc>
          <w:tcPr>
            <w:tcW w:w="2740" w:type="dxa"/>
            <w:vAlign w:val="bottom"/>
          </w:tcPr>
          <w:p>
            <w:pPr>
              <w:ind w:left="1500"/>
              <w:spacing w:after="0"/>
              <w:rPr>
                <w:sz w:val="20"/>
                <w:szCs w:val="20"/>
                <w:color w:val="auto"/>
              </w:rPr>
            </w:pPr>
            <w:r>
              <w:rPr>
                <w:rFonts w:ascii="Arial" w:cs="Arial" w:eastAsia="Arial" w:hAnsi="Arial"/>
                <w:sz w:val="22"/>
                <w:szCs w:val="22"/>
                <w:color w:val="auto"/>
              </w:rPr>
              <w:t>(b)</w:t>
            </w:r>
          </w:p>
        </w:tc>
        <w:tc>
          <w:tcPr>
            <w:tcW w:w="1960" w:type="dxa"/>
            <w:vAlign w:val="bottom"/>
            <w:gridSpan w:val="4"/>
          </w:tcPr>
          <w:p>
            <w:pPr>
              <w:ind w:left="260"/>
              <w:spacing w:after="0"/>
              <w:rPr>
                <w:sz w:val="20"/>
                <w:szCs w:val="20"/>
                <w:color w:val="auto"/>
              </w:rPr>
            </w:pPr>
            <w:r>
              <w:rPr>
                <w:rFonts w:ascii="Arial" w:cs="Arial" w:eastAsia="Arial" w:hAnsi="Arial"/>
                <w:sz w:val="22"/>
                <w:szCs w:val="22"/>
                <w:color w:val="auto"/>
                <w:w w:val="98"/>
              </w:rPr>
              <w:t>Additional Annual</w:t>
            </w:r>
          </w:p>
        </w:tc>
        <w:tc>
          <w:tcPr>
            <w:tcW w:w="6540" w:type="dxa"/>
            <w:vAlign w:val="bottom"/>
            <w:gridSpan w:val="3"/>
          </w:tcPr>
          <w:p>
            <w:pPr>
              <w:jc w:val="right"/>
              <w:spacing w:after="0"/>
              <w:rPr>
                <w:sz w:val="20"/>
                <w:szCs w:val="20"/>
                <w:color w:val="auto"/>
              </w:rPr>
            </w:pPr>
            <w:r>
              <w:rPr>
                <w:rFonts w:ascii="Arial" w:cs="Arial" w:eastAsia="Arial" w:hAnsi="Arial"/>
                <w:sz w:val="22"/>
                <w:szCs w:val="22"/>
                <w:color w:val="auto"/>
              </w:rPr>
              <w:t>Retainers.   In addition, a Non-Employee Director shall receive the</w:t>
            </w:r>
          </w:p>
        </w:tc>
      </w:tr>
      <w:tr>
        <w:trPr>
          <w:trHeight w:val="273"/>
        </w:trPr>
        <w:tc>
          <w:tcPr>
            <w:tcW w:w="2740" w:type="dxa"/>
            <w:vAlign w:val="bottom"/>
          </w:tcPr>
          <w:p>
            <w:pPr>
              <w:spacing w:after="0"/>
              <w:rPr>
                <w:sz w:val="20"/>
                <w:szCs w:val="20"/>
                <w:color w:val="auto"/>
              </w:rPr>
            </w:pPr>
            <w:r>
              <w:rPr>
                <w:rFonts w:ascii="Arial" w:cs="Arial" w:eastAsia="Arial" w:hAnsi="Arial"/>
                <w:sz w:val="22"/>
                <w:szCs w:val="22"/>
                <w:color w:val="auto"/>
              </w:rPr>
              <w:t>following annual retainers:</w:t>
            </w:r>
          </w:p>
        </w:tc>
        <w:tc>
          <w:tcPr>
            <w:tcW w:w="26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408"/>
        </w:trPr>
        <w:tc>
          <w:tcPr>
            <w:tcW w:w="2740" w:type="dxa"/>
            <w:vAlign w:val="bottom"/>
          </w:tcPr>
          <w:p>
            <w:pPr>
              <w:ind w:left="2260"/>
              <w:spacing w:after="0"/>
              <w:rPr>
                <w:sz w:val="20"/>
                <w:szCs w:val="20"/>
                <w:color w:val="auto"/>
              </w:rPr>
            </w:pPr>
            <w:r>
              <w:rPr>
                <w:rFonts w:ascii="Arial" w:cs="Arial" w:eastAsia="Arial" w:hAnsi="Arial"/>
                <w:sz w:val="22"/>
                <w:szCs w:val="22"/>
                <w:color w:val="auto"/>
              </w:rPr>
              <w:t>(i)</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0" w:type="dxa"/>
            <w:vAlign w:val="bottom"/>
            <w:gridSpan w:val="5"/>
          </w:tcPr>
          <w:p>
            <w:pPr>
              <w:jc w:val="right"/>
              <w:spacing w:after="0"/>
              <w:rPr>
                <w:sz w:val="20"/>
                <w:szCs w:val="20"/>
                <w:color w:val="auto"/>
              </w:rPr>
            </w:pPr>
            <w:r>
              <w:rPr>
                <w:rFonts w:ascii="Arial" w:cs="Arial" w:eastAsia="Arial" w:hAnsi="Arial"/>
                <w:sz w:val="22"/>
                <w:szCs w:val="22"/>
                <w:color w:val="auto"/>
                <w:w w:val="91"/>
              </w:rPr>
              <w:t>Independent Executive Chairperson of the Board.  A Non-Employee Director</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serving as Independent Executive Chairperson of the Board shall receive an additional annual retainer of $20,000 for such service;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nothing in this Policy shall be deemed to require the Company to appoint an Independent Executive Chairperson of the Board.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ind w:left="2260"/>
              <w:spacing w:after="0"/>
              <w:rPr>
                <w:sz w:val="20"/>
                <w:szCs w:val="20"/>
                <w:color w:val="auto"/>
              </w:rPr>
            </w:pPr>
            <w:r>
              <w:rPr>
                <w:rFonts w:ascii="Arial" w:cs="Arial" w:eastAsia="Arial" w:hAnsi="Arial"/>
                <w:sz w:val="22"/>
                <w:szCs w:val="22"/>
                <w:color w:val="auto"/>
              </w:rPr>
              <w:t>(ii)</w:t>
            </w:r>
          </w:p>
        </w:tc>
        <w:tc>
          <w:tcPr>
            <w:tcW w:w="6800" w:type="dxa"/>
            <w:vAlign w:val="bottom"/>
            <w:gridSpan w:val="3"/>
          </w:tcPr>
          <w:p>
            <w:pPr>
              <w:spacing w:after="0"/>
              <w:rPr>
                <w:sz w:val="20"/>
                <w:szCs w:val="20"/>
                <w:color w:val="auto"/>
              </w:rPr>
            </w:pPr>
            <w:r>
              <w:rPr>
                <w:rFonts w:ascii="Arial" w:cs="Arial" w:eastAsia="Arial" w:hAnsi="Arial"/>
                <w:sz w:val="22"/>
                <w:szCs w:val="22"/>
                <w:color w:val="auto"/>
                <w:w w:val="91"/>
              </w:rPr>
              <w:t>Chairperson of the Board. A Non-Employee Director serving as Chairperson</w:t>
            </w:r>
          </w:p>
        </w:tc>
      </w:tr>
      <w:tr>
        <w:trPr>
          <w:trHeight w:val="20"/>
        </w:trPr>
        <w:tc>
          <w:tcPr>
            <w:tcW w:w="44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73"/>
        </w:trPr>
        <w:tc>
          <w:tcPr>
            <w:tcW w:w="11240" w:type="dxa"/>
            <w:vAlign w:val="bottom"/>
            <w:gridSpan w:val="4"/>
          </w:tcPr>
          <w:p>
            <w:pPr>
              <w:spacing w:after="0"/>
              <w:rPr>
                <w:sz w:val="20"/>
                <w:szCs w:val="20"/>
                <w:color w:val="auto"/>
              </w:rPr>
            </w:pPr>
            <w:r>
              <w:rPr>
                <w:rFonts w:ascii="Arial" w:cs="Arial" w:eastAsia="Arial" w:hAnsi="Arial"/>
                <w:sz w:val="22"/>
                <w:szCs w:val="22"/>
                <w:color w:val="auto"/>
              </w:rPr>
              <w:t>of the Board shall receive an additional annual retainer of $10,000 for such service.</w:t>
            </w:r>
          </w:p>
        </w:tc>
      </w:tr>
      <w:tr>
        <w:trPr>
          <w:trHeight w:val="408"/>
        </w:trPr>
        <w:tc>
          <w:tcPr>
            <w:tcW w:w="4440" w:type="dxa"/>
            <w:vAlign w:val="bottom"/>
          </w:tcPr>
          <w:p>
            <w:pPr>
              <w:ind w:left="2260"/>
              <w:spacing w:after="0"/>
              <w:rPr>
                <w:sz w:val="20"/>
                <w:szCs w:val="20"/>
                <w:color w:val="auto"/>
              </w:rPr>
            </w:pPr>
            <w:r>
              <w:rPr>
                <w:rFonts w:ascii="Arial" w:cs="Arial" w:eastAsia="Arial" w:hAnsi="Arial"/>
                <w:sz w:val="22"/>
                <w:szCs w:val="22"/>
                <w:color w:val="auto"/>
              </w:rPr>
              <w:t>(iii)</w:t>
            </w:r>
          </w:p>
        </w:tc>
        <w:tc>
          <w:tcPr>
            <w:tcW w:w="6800" w:type="dxa"/>
            <w:vAlign w:val="bottom"/>
            <w:gridSpan w:val="3"/>
          </w:tcPr>
          <w:p>
            <w:pPr>
              <w:spacing w:after="0"/>
              <w:rPr>
                <w:sz w:val="20"/>
                <w:szCs w:val="20"/>
                <w:color w:val="auto"/>
              </w:rPr>
            </w:pPr>
            <w:r>
              <w:rPr>
                <w:rFonts w:ascii="Arial" w:cs="Arial" w:eastAsia="Arial" w:hAnsi="Arial"/>
                <w:sz w:val="22"/>
                <w:szCs w:val="22"/>
                <w:color w:val="auto"/>
                <w:w w:val="93"/>
              </w:rPr>
              <w:t>Audit Committee.  A Non-Employee Director serving as Chairperson of the</w:t>
            </w:r>
          </w:p>
        </w:tc>
      </w:tr>
      <w:tr>
        <w:trPr>
          <w:trHeight w:val="20"/>
        </w:trPr>
        <w:tc>
          <w:tcPr>
            <w:tcW w:w="44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Audit Committee shall receive an additional annual retainer of $10,000 for such service. A Non-Employee Director serving as a member of the Audit Committee (other than the Chairperson) shall receive an additional annual retainer of $5,000 for such service.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p>
      <w:pPr>
        <w:jc w:val="both"/>
        <w:ind w:firstLine="2246"/>
        <w:spacing w:after="0" w:line="237" w:lineRule="auto"/>
        <w:rPr>
          <w:sz w:val="20"/>
          <w:szCs w:val="20"/>
          <w:color w:val="auto"/>
        </w:rPr>
      </w:pPr>
      <w:r>
        <w:rPr>
          <w:rFonts w:ascii="Arial" w:cs="Arial" w:eastAsia="Arial" w:hAnsi="Arial"/>
          <w:sz w:val="22"/>
          <w:szCs w:val="22"/>
          <w:color w:val="auto"/>
        </w:rPr>
        <w:t xml:space="preserve">(iv)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A Non-Employee Director serving as Chairperson of the Compensation Committee shall receive an additional annual retainer of $5,000 for such service. A Non-Employee Director serving as a member of the Compensation Committee (other than the Chairperson) shall receive an additional annual retainer of $2,500 for such service.</w:t>
      </w:r>
    </w:p>
    <w:p>
      <w:pPr>
        <w:spacing w:after="0" w:line="187" w:lineRule="exact"/>
        <w:rPr>
          <w:sz w:val="20"/>
          <w:szCs w:val="20"/>
          <w:color w:val="auto"/>
        </w:rPr>
      </w:pPr>
    </w:p>
    <w:p>
      <w:pPr>
        <w:ind w:left="2260"/>
        <w:spacing w:after="0"/>
        <w:tabs>
          <w:tab w:leader="none" w:pos="4420" w:val="left"/>
          <w:tab w:leader="none" w:pos="958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u w:val="single" w:color="auto"/>
          <w:color w:val="auto"/>
        </w:rPr>
        <w:t>Nominating  and  Corporate  Governance  Committee</w:t>
      </w:r>
      <w:r>
        <w:rPr>
          <w:rFonts w:ascii="Arial" w:cs="Arial" w:eastAsia="Arial" w:hAnsi="Arial"/>
          <w:sz w:val="22"/>
          <w:szCs w:val="22"/>
          <w:color w:val="auto"/>
        </w:rPr>
        <w:t>.</w:t>
      </w:r>
      <w:r>
        <w:rPr>
          <w:sz w:val="20"/>
          <w:szCs w:val="20"/>
          <w:color w:val="auto"/>
        </w:rPr>
        <w:tab/>
      </w:r>
      <w:r>
        <w:rPr>
          <w:rFonts w:ascii="Arial" w:cs="Arial" w:eastAsia="Arial" w:hAnsi="Arial"/>
          <w:sz w:val="20"/>
          <w:szCs w:val="20"/>
          <w:color w:val="auto"/>
        </w:rPr>
        <w:t>A  Non-Employee</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Director serving as Chairperson of the Nominating and Corporate Governance Committee shall receive an additional annual retainer of $4,000 for such service. A Non-Employee Director serving as a member of the Nominating and Corporate Governance Committee (other than the Chairperson) shall receive an additional annual retainer of $2,000 for such service.</w:t>
      </w:r>
    </w:p>
    <w:p>
      <w:pPr>
        <w:spacing w:after="0" w:line="161"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67" w:lineRule="exact"/>
        <w:rPr>
          <w:sz w:val="20"/>
          <w:szCs w:val="20"/>
          <w:color w:val="auto"/>
        </w:rPr>
      </w:pPr>
    </w:p>
    <w:p>
      <w:pPr>
        <w:jc w:val="both"/>
        <w:ind w:firstLine="757"/>
        <w:spacing w:after="0" w:line="234" w:lineRule="auto"/>
        <w:tabs>
          <w:tab w:leader="none" w:pos="149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Arial" w:cs="Arial" w:eastAsia="Arial" w:hAnsi="Arial"/>
          <w:sz w:val="22"/>
          <w:szCs w:val="22"/>
          <w:b w:val="1"/>
          <w:bCs w:val="1"/>
          <w:i w:val="1"/>
          <w:iCs w:val="1"/>
          <w:color w:val="auto"/>
        </w:rPr>
        <w:t>Equity Plan</w:t>
      </w:r>
      <w:r>
        <w:rPr>
          <w:rFonts w:ascii="Arial" w:cs="Arial" w:eastAsia="Arial" w:hAnsi="Arial"/>
          <w:sz w:val="22"/>
          <w:szCs w:val="22"/>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88"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Annual Awards</w:t>
      </w:r>
      <w:r>
        <w:rPr>
          <w:rFonts w:ascii="Arial" w:cs="Arial" w:eastAsia="Arial" w:hAnsi="Arial"/>
          <w:sz w:val="20"/>
          <w:szCs w:val="20"/>
          <w:color w:val="auto"/>
        </w:rPr>
        <w:t>. Each Non-Employee Director who (i) serves on the Board as of the date of any annual meeting of the Company’s stockholders (an “</w:t>
      </w:r>
      <w:r>
        <w:rPr>
          <w:rFonts w:ascii="Arial" w:cs="Arial" w:eastAsia="Arial" w:hAnsi="Arial"/>
          <w:sz w:val="20"/>
          <w:szCs w:val="20"/>
          <w:b w:val="1"/>
          <w:bCs w:val="1"/>
          <w:i w:val="1"/>
          <w:iCs w:val="1"/>
          <w:color w:val="auto"/>
        </w:rPr>
        <w:t>Annual Meeting</w:t>
      </w:r>
      <w:r>
        <w:rPr>
          <w:rFonts w:ascii="Arial" w:cs="Arial" w:eastAsia="Arial" w:hAnsi="Arial"/>
          <w:sz w:val="20"/>
          <w:szCs w:val="20"/>
          <w:color w:val="auto"/>
        </w:rPr>
        <w:t>”) after the IPO and (ii) will continue to serve as a Non-Employee Director immediately following such Annual Meeting shall be automatically granted, on the date of such Annual Meeting, an award of restricted stock units that have an aggregate fair value on the date of such Annual Meeting of $100,000 (as determined based on the average trading price of the shares of common stock for the ten (10) consecutive trading days immediately preceding the date of grant and with the number of shares of common stock underlying such award subject to adjustment as provided in the Equity Plan). The awards described in this Section 2(a) shall be referred to as the “</w:t>
      </w:r>
      <w:r>
        <w:rPr>
          <w:rFonts w:ascii="Arial" w:cs="Arial" w:eastAsia="Arial" w:hAnsi="Arial"/>
          <w:sz w:val="20"/>
          <w:szCs w:val="20"/>
          <w:b w:val="1"/>
          <w:bCs w:val="1"/>
          <w:i w:val="1"/>
          <w:iCs w:val="1"/>
          <w:color w:val="auto"/>
        </w:rPr>
        <w:t>Annual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Awards </w:t>
      </w:r>
      <w:r>
        <w:rPr>
          <w:rFonts w:ascii="Arial" w:cs="Arial" w:eastAsia="Arial" w:hAnsi="Arial"/>
          <w:sz w:val="20"/>
          <w:szCs w:val="20"/>
          <w:color w:val="auto"/>
        </w:rPr>
        <w:t>.” For the avoidance of doubt, a Non-Employee Director elected for the first time to the Board at an Annual Meeting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receive only an Annual Award in connection with such election, and shall not receive any Partial Year Annual Award (as defined below) on the date of such Annual Meeting as well.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0" w:name="page131"/>
    <w:bookmarkEnd w:id="130"/>
    <w:p>
      <w:pPr>
        <w:jc w:val="both"/>
        <w:ind w:firstLine="1498"/>
        <w:spacing w:after="0" w:line="255"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Partial Year Annual Award</w:t>
      </w:r>
      <w:r>
        <w:rPr>
          <w:rFonts w:ascii="Arial" w:cs="Arial" w:eastAsia="Arial" w:hAnsi="Arial"/>
          <w:sz w:val="20"/>
          <w:szCs w:val="20"/>
          <w:color w:val="auto"/>
        </w:rPr>
        <w:t>. Except as otherwise determined by the Board in its discretion based on factors that the Board deems appropriate (which may include, but are not limited to, the trading price of the shares of common stock, then-current market conditions and prevailing practices in director compensation), each Non-Employee Director who is initially elected or appointed to the Board after the IPO on any date other than the date of an Annual Meeting shall be automatically granted, on the date of such Non-Employee Director’s initial election or appointment (such Non-Employee Director’s “</w:t>
      </w:r>
      <w:r>
        <w:rPr>
          <w:rFonts w:ascii="Arial" w:cs="Arial" w:eastAsia="Arial" w:hAnsi="Arial"/>
          <w:sz w:val="20"/>
          <w:szCs w:val="20"/>
          <w:b w:val="1"/>
          <w:bCs w:val="1"/>
          <w:i w:val="1"/>
          <w:iCs w:val="1"/>
          <w:color w:val="auto"/>
        </w:rPr>
        <w:t>Start Date</w:t>
      </w:r>
      <w:r>
        <w:rPr>
          <w:rFonts w:ascii="Arial" w:cs="Arial" w:eastAsia="Arial" w:hAnsi="Arial"/>
          <w:sz w:val="20"/>
          <w:szCs w:val="20"/>
          <w:color w:val="auto"/>
        </w:rPr>
        <w:t>”), an award of restricted stock units that have an aggregate fair value on such Non-Employee Director’s Start Date equal to the product of (i) $100,000 (as determined based on the average trading price of the shares of common stock for the ten (10) consecutive trading days immediately preceding the date of grant) and (ii) a fraction, the numerator of which is</w:t>
      </w:r>
    </w:p>
    <w:p>
      <w:pPr>
        <w:spacing w:after="0" w:line="5" w:lineRule="exact"/>
        <w:rPr>
          <w:sz w:val="20"/>
          <w:szCs w:val="20"/>
          <w:color w:val="auto"/>
        </w:rPr>
      </w:pPr>
    </w:p>
    <w:p>
      <w:pPr>
        <w:jc w:val="both"/>
        <w:ind w:firstLine="8"/>
        <w:spacing w:after="0" w:line="232" w:lineRule="auto"/>
        <w:tabs>
          <w:tab w:leader="none" w:pos="326" w:val="left"/>
        </w:tabs>
        <w:numPr>
          <w:ilvl w:val="0"/>
          <w:numId w:val="38"/>
        </w:numPr>
        <w:rPr>
          <w:rFonts w:ascii="Arial" w:cs="Arial" w:eastAsia="Arial" w:hAnsi="Arial"/>
          <w:sz w:val="22"/>
          <w:szCs w:val="22"/>
          <w:color w:val="auto"/>
        </w:rPr>
      </w:pPr>
      <w:r>
        <w:rPr>
          <w:rFonts w:ascii="Arial" w:cs="Arial" w:eastAsia="Arial" w:hAnsi="Arial"/>
          <w:sz w:val="22"/>
          <w:szCs w:val="22"/>
          <w:color w:val="auto"/>
        </w:rPr>
        <w:t>365 minus (y) the number of days in the period beginning on the date of the Annual Meeting immediately preceding such Non-Employee Director’s Start Date (or, if no such Annual Meeting has occurred, the effective date of the Company’s IPO) and ending on such Non-Employee Director’s Start Date and the denominator of which is 365 (with the number of shares of common stock underlying each such award subject to adjustment as provided in the Equity Plan). The awards described in this Section 2(b) shall be referred to as “</w:t>
      </w:r>
      <w:r>
        <w:rPr>
          <w:rFonts w:ascii="Arial" w:cs="Arial" w:eastAsia="Arial" w:hAnsi="Arial"/>
          <w:sz w:val="22"/>
          <w:szCs w:val="22"/>
          <w:b w:val="1"/>
          <w:bCs w:val="1"/>
          <w:i w:val="1"/>
          <w:iCs w:val="1"/>
          <w:color w:val="auto"/>
        </w:rPr>
        <w:t>Partial Year Annual Awards</w:t>
      </w:r>
      <w:r>
        <w:rPr>
          <w:rFonts w:ascii="Arial" w:cs="Arial" w:eastAsia="Arial" w:hAnsi="Arial"/>
          <w:sz w:val="22"/>
          <w:szCs w:val="22"/>
          <w:i w:val="1"/>
          <w:iCs w:val="1"/>
          <w:color w:val="auto"/>
        </w:rPr>
        <w:t>.</w:t>
      </w:r>
      <w:r>
        <w:rPr>
          <w:rFonts w:ascii="Arial" w:cs="Arial" w:eastAsia="Arial" w:hAnsi="Arial"/>
          <w:sz w:val="22"/>
          <w:szCs w:val="22"/>
          <w:color w:val="auto"/>
        </w:rPr>
        <w:t>” For the avoidance of doubt, no Non-Employee Director shall be granted more than one Partial Year Annual Award.</w:t>
      </w:r>
    </w:p>
    <w:p>
      <w:pPr>
        <w:spacing w:after="0" w:line="187"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Start Date Awards</w:t>
      </w:r>
      <w:r>
        <w:rPr>
          <w:rFonts w:ascii="Arial" w:cs="Arial" w:eastAsia="Arial" w:hAnsi="Arial"/>
          <w:sz w:val="20"/>
          <w:szCs w:val="20"/>
          <w:color w:val="auto"/>
        </w:rPr>
        <w:t>. Except as otherwise determined by the Board in its discretion based on factors that the Board deems appropriate (which may include, but are not limited to, the trading price of the shares of common stock, then-current market conditions and prevailing practices in director compensation), each Non-Employee Director who is initially elected or appointed to the Board on or after the date of this Amended and Restated Policy, shall be automatically granted, on the date of such Non-Employee Director’s Start Date, an award of restricted stock units that have an aggregate fair value on such Non-Employee Director’s Start Date equal to $100,000 (as determined based on the average trading price of the shares of common stock for the ten (10) consecutive trading days immediately preceding the date of grant). The awards described in this Section 2(c) shall be referred to as “</w:t>
      </w:r>
      <w:r>
        <w:rPr>
          <w:rFonts w:ascii="Arial" w:cs="Arial" w:eastAsia="Arial" w:hAnsi="Arial"/>
          <w:sz w:val="20"/>
          <w:szCs w:val="20"/>
          <w:b w:val="1"/>
          <w:bCs w:val="1"/>
          <w:i w:val="1"/>
          <w:iCs w:val="1"/>
          <w:color w:val="auto"/>
        </w:rPr>
        <w:t>Start Date Awards</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72" w:lineRule="exact"/>
        <w:rPr>
          <w:sz w:val="20"/>
          <w:szCs w:val="20"/>
          <w:color w:val="auto"/>
        </w:rPr>
      </w:pPr>
    </w:p>
    <w:p>
      <w:pPr>
        <w:ind w:left="1500"/>
        <w:spacing w:after="0"/>
        <w:tabs>
          <w:tab w:leader="none" w:pos="2980" w:val="left"/>
          <w:tab w:leader="none" w:pos="81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Termination of Employment of Employee Directors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Members of the Board who are</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employees of the Company or any parent or subsidiary of the Company who subsequently terminate their employment with the Company and any parent or subsidiary of the Company and remain on the Board will not receive a Partial Year Annual Award or a Start Date Award pursuant to Section 2(b) or 2(c) above, but to the extent that they are otherwise eligible, will be eligible to receive, after termination from employment with the Company and any parent or subsidiary of the Company, Annual Awards as described in Section 2(a) above.</w:t>
      </w:r>
    </w:p>
    <w:p>
      <w:pPr>
        <w:spacing w:after="0" w:line="189"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u w:val="single" w:color="auto"/>
          <w:color w:val="auto"/>
        </w:rPr>
        <w:t>Vesting of Awards Granted to Non-Employee Directors</w:t>
      </w:r>
      <w:r>
        <w:rPr>
          <w:rFonts w:ascii="Arial" w:cs="Arial" w:eastAsia="Arial" w:hAnsi="Arial"/>
          <w:sz w:val="20"/>
          <w:szCs w:val="20"/>
          <w:color w:val="auto"/>
        </w:rPr>
        <w:t>. Each Annual Award and Partial Year</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Annual Award shall vest on the earlier of (i) the day immediately preceding the date of the first Annual Meeting following the date of grant and (ii) the first anniversary of the date of grant, and each Start Date Award shall vest in equal installments of 1/3 on each of the first, second and third anniversaries of the date of grant, subject to the Non-Employee Director continuing in service on the Board through the applicable vesting date. No portion of an Annual Award, Partial Year Annual Award or Start Date Award that is unvested at the time of a Non-Employee Director’s termination of service on the Board shall become vested and exercisable thereafter. All of a Non-Employee Director’s Annual Awards, Partial Year Annual Awards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1" w:name="page132"/>
    <w:bookmarkEnd w:id="131"/>
    <w:p>
      <w:pPr>
        <w:jc w:val="both"/>
        <w:spacing w:after="0" w:line="262" w:lineRule="auto"/>
        <w:rPr>
          <w:sz w:val="20"/>
          <w:szCs w:val="20"/>
          <w:color w:val="auto"/>
        </w:rPr>
      </w:pPr>
      <w:r>
        <w:rPr>
          <w:rFonts w:ascii="Arial" w:cs="Arial" w:eastAsia="Arial" w:hAnsi="Arial"/>
          <w:sz w:val="20"/>
          <w:szCs w:val="20"/>
          <w:color w:val="auto"/>
        </w:rPr>
        <w:t>Start Date Awards, shall vest in full immediately prior to the occurrence of a Change in Control (as defined in the Equity Plan), to the extent outstanding at such time. Notwithstanding any provision in this Policy to the contrary, Non-Employee Directors may elect to defer settlement of all or part of any Annual Awards, Partial Year Annual Awards or Start Date Awards by executing a valid deferral election in a manner that is consistent with the requirements of Treas. Reg. 1.409A-2 and in accordance with any deferral plan, policy or arrangement established by Company (which may provide for the issuance of deferred stock or deferred stock units in lieu of any such fees or awards).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Thomas H. Shortt, certify that:</w:t>
      </w:r>
    </w:p>
    <w:p>
      <w:pPr>
        <w:spacing w:after="0" w:line="211" w:lineRule="exact"/>
        <w:rPr>
          <w:sz w:val="20"/>
          <w:szCs w:val="20"/>
          <w:color w:val="auto"/>
        </w:rPr>
      </w:pPr>
    </w:p>
    <w:p>
      <w:pPr>
        <w:ind w:left="540" w:hanging="519"/>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both"/>
        <w:ind w:left="540" w:right="260" w:hanging="519"/>
        <w:spacing w:after="0" w:line="22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1" w:lineRule="exact"/>
        <w:rPr>
          <w:rFonts w:ascii="Arial" w:cs="Arial" w:eastAsia="Arial" w:hAnsi="Arial"/>
          <w:sz w:val="18"/>
          <w:szCs w:val="18"/>
          <w:color w:val="auto"/>
        </w:rPr>
      </w:pPr>
    </w:p>
    <w:p>
      <w:pPr>
        <w:ind w:left="540" w:right="220" w:hanging="519"/>
        <w:spacing w:after="0" w:line="257"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6" w:lineRule="exact"/>
        <w:rPr>
          <w:rFonts w:ascii="Arial" w:cs="Arial" w:eastAsia="Arial" w:hAnsi="Arial"/>
          <w:sz w:val="17"/>
          <w:szCs w:val="17"/>
          <w:color w:val="auto"/>
        </w:rPr>
      </w:pPr>
    </w:p>
    <w:p>
      <w:pPr>
        <w:ind w:left="540" w:right="240" w:hanging="519"/>
        <w:spacing w:after="0" w:line="22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1" w:lineRule="exact"/>
        <w:rPr>
          <w:rFonts w:ascii="Arial" w:cs="Arial" w:eastAsia="Arial" w:hAnsi="Arial"/>
          <w:sz w:val="18"/>
          <w:szCs w:val="18"/>
          <w:color w:val="auto"/>
        </w:rPr>
      </w:pPr>
    </w:p>
    <w:p>
      <w:pPr>
        <w:ind w:left="1040" w:right="180" w:hanging="506"/>
        <w:spacing w:after="0" w:line="22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0" w:lineRule="exact"/>
        <w:rPr>
          <w:rFonts w:ascii="Arial" w:cs="Arial" w:eastAsia="Arial" w:hAnsi="Arial"/>
          <w:sz w:val="18"/>
          <w:szCs w:val="18"/>
          <w:color w:val="auto"/>
        </w:rPr>
      </w:pPr>
    </w:p>
    <w:p>
      <w:pPr>
        <w:ind w:left="1040" w:right="320" w:hanging="506"/>
        <w:spacing w:after="0" w:line="180" w:lineRule="auto"/>
        <w:tabs>
          <w:tab w:leader="none" w:pos="1040" w:val="left"/>
        </w:tabs>
        <w:numPr>
          <w:ilvl w:val="1"/>
          <w:numId w:val="39"/>
        </w:numPr>
        <w:rPr>
          <w:rFonts w:ascii="Arial" w:cs="Arial" w:eastAsia="Arial" w:hAnsi="Arial"/>
          <w:sz w:val="33"/>
          <w:szCs w:val="33"/>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3" w:lineRule="exact"/>
        <w:rPr>
          <w:rFonts w:ascii="Arial" w:cs="Arial" w:eastAsia="Arial" w:hAnsi="Arial"/>
          <w:sz w:val="33"/>
          <w:szCs w:val="33"/>
          <w:color w:val="auto"/>
          <w:vertAlign w:val="subscript"/>
        </w:rPr>
      </w:pPr>
    </w:p>
    <w:p>
      <w:pPr>
        <w:jc w:val="both"/>
        <w:ind w:left="1040" w:right="480" w:hanging="506"/>
        <w:spacing w:after="0" w:line="288"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40" w:right="180" w:hanging="506"/>
        <w:spacing w:after="0" w:line="22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1" w:lineRule="exact"/>
        <w:rPr>
          <w:rFonts w:ascii="Arial" w:cs="Arial" w:eastAsia="Arial" w:hAnsi="Arial"/>
          <w:sz w:val="18"/>
          <w:szCs w:val="18"/>
          <w:color w:val="auto"/>
        </w:rPr>
      </w:pPr>
    </w:p>
    <w:p>
      <w:pPr>
        <w:ind w:left="540" w:right="140" w:hanging="519"/>
        <w:spacing w:after="0" w:line="257"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6" w:lineRule="exact"/>
        <w:rPr>
          <w:rFonts w:ascii="Arial" w:cs="Arial" w:eastAsia="Arial" w:hAnsi="Arial"/>
          <w:sz w:val="17"/>
          <w:szCs w:val="17"/>
          <w:color w:val="auto"/>
        </w:rPr>
      </w:pPr>
    </w:p>
    <w:p>
      <w:pPr>
        <w:ind w:left="1040" w:right="720" w:hanging="506"/>
        <w:spacing w:after="0" w:line="288"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040" w:right="420" w:hanging="506"/>
        <w:spacing w:after="0" w:line="235"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3" w:name="page134"/>
    <w:bookmarkEnd w:id="133"/>
    <w:p>
      <w:pPr>
        <w:ind w:left="4580" w:right="759" w:hanging="7974"/>
        <w:spacing w:after="0"/>
        <w:tabs>
          <w:tab w:leader="none" w:pos="45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 /s/ Thomas H. Shortt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-8255</wp:posOffset>
            </wp:positionV>
            <wp:extent cx="33051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323215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11" w:lineRule="exact"/>
        <w:rPr>
          <w:sz w:val="20"/>
          <w:szCs w:val="20"/>
          <w:color w:val="auto"/>
        </w:rPr>
      </w:pPr>
    </w:p>
    <w:p>
      <w:pPr>
        <w:ind w:left="540" w:hanging="519"/>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both"/>
        <w:ind w:left="540" w:right="260" w:hanging="519"/>
        <w:spacing w:after="0" w:line="22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1" w:lineRule="exact"/>
        <w:rPr>
          <w:rFonts w:ascii="Arial" w:cs="Arial" w:eastAsia="Arial" w:hAnsi="Arial"/>
          <w:sz w:val="18"/>
          <w:szCs w:val="18"/>
          <w:color w:val="auto"/>
        </w:rPr>
      </w:pPr>
    </w:p>
    <w:p>
      <w:pPr>
        <w:ind w:left="540" w:right="220" w:hanging="519"/>
        <w:spacing w:after="0" w:line="257"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6" w:lineRule="exact"/>
        <w:rPr>
          <w:rFonts w:ascii="Arial" w:cs="Arial" w:eastAsia="Arial" w:hAnsi="Arial"/>
          <w:sz w:val="17"/>
          <w:szCs w:val="17"/>
          <w:color w:val="auto"/>
        </w:rPr>
      </w:pPr>
    </w:p>
    <w:p>
      <w:pPr>
        <w:ind w:left="540" w:right="240" w:hanging="519"/>
        <w:spacing w:after="0" w:line="22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1" w:lineRule="exact"/>
        <w:rPr>
          <w:rFonts w:ascii="Arial" w:cs="Arial" w:eastAsia="Arial" w:hAnsi="Arial"/>
          <w:sz w:val="18"/>
          <w:szCs w:val="18"/>
          <w:color w:val="auto"/>
        </w:rPr>
      </w:pPr>
    </w:p>
    <w:p>
      <w:pPr>
        <w:ind w:left="1040" w:right="180" w:hanging="506"/>
        <w:spacing w:after="0" w:line="22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ind w:left="1040" w:right="320" w:hanging="506"/>
        <w:spacing w:after="0" w:line="180" w:lineRule="auto"/>
        <w:tabs>
          <w:tab w:leader="none" w:pos="1040" w:val="left"/>
        </w:tabs>
        <w:numPr>
          <w:ilvl w:val="1"/>
          <w:numId w:val="40"/>
        </w:numPr>
        <w:rPr>
          <w:rFonts w:ascii="Arial" w:cs="Arial" w:eastAsia="Arial" w:hAnsi="Arial"/>
          <w:sz w:val="33"/>
          <w:szCs w:val="33"/>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3" w:lineRule="exact"/>
        <w:rPr>
          <w:rFonts w:ascii="Arial" w:cs="Arial" w:eastAsia="Arial" w:hAnsi="Arial"/>
          <w:sz w:val="33"/>
          <w:szCs w:val="33"/>
          <w:color w:val="auto"/>
          <w:vertAlign w:val="subscript"/>
        </w:rPr>
      </w:pPr>
    </w:p>
    <w:p>
      <w:pPr>
        <w:jc w:val="both"/>
        <w:ind w:left="1040" w:right="480" w:hanging="506"/>
        <w:spacing w:after="0" w:line="288"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7" w:lineRule="exact"/>
        <w:rPr>
          <w:rFonts w:ascii="Arial" w:cs="Arial" w:eastAsia="Arial" w:hAnsi="Arial"/>
          <w:sz w:val="16"/>
          <w:szCs w:val="16"/>
          <w:color w:val="auto"/>
        </w:rPr>
      </w:pPr>
    </w:p>
    <w:p>
      <w:pPr>
        <w:ind w:left="1040" w:right="180" w:hanging="506"/>
        <w:spacing w:after="0" w:line="22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1" w:lineRule="exact"/>
        <w:rPr>
          <w:rFonts w:ascii="Arial" w:cs="Arial" w:eastAsia="Arial" w:hAnsi="Arial"/>
          <w:sz w:val="18"/>
          <w:szCs w:val="18"/>
          <w:color w:val="auto"/>
        </w:rPr>
      </w:pPr>
    </w:p>
    <w:p>
      <w:pPr>
        <w:ind w:left="540" w:right="140" w:hanging="519"/>
        <w:spacing w:after="0" w:line="257"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6" w:lineRule="exact"/>
        <w:rPr>
          <w:rFonts w:ascii="Arial" w:cs="Arial" w:eastAsia="Arial" w:hAnsi="Arial"/>
          <w:sz w:val="17"/>
          <w:szCs w:val="17"/>
          <w:color w:val="auto"/>
        </w:rPr>
      </w:pPr>
    </w:p>
    <w:p>
      <w:pPr>
        <w:ind w:left="1040" w:right="720" w:hanging="506"/>
        <w:spacing w:after="0" w:line="288"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040" w:right="420" w:hanging="506"/>
        <w:spacing w:after="0" w:line="235"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5" w:name="page136"/>
    <w:bookmarkEnd w:id="135"/>
    <w:p>
      <w:pPr>
        <w:spacing w:after="0"/>
        <w:tabs>
          <w:tab w:leader="none" w:pos="5660" w:val="left"/>
          <w:tab w:leader="none" w:pos="77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330517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7840"/>
        <w:spacing w:after="0" w:line="231" w:lineRule="auto"/>
        <w:rPr>
          <w:sz w:val="20"/>
          <w:szCs w:val="20"/>
          <w:color w:val="auto"/>
        </w:rPr>
      </w:pPr>
      <w:r>
        <w:rPr>
          <w:rFonts w:ascii="Arial" w:cs="Arial" w:eastAsia="Arial" w:hAnsi="Arial"/>
          <w:sz w:val="18"/>
          <w:szCs w:val="18"/>
          <w:color w:val="auto"/>
        </w:rPr>
        <w:t>Robert R. Krakowiak</w:t>
      </w:r>
    </w:p>
    <w:p>
      <w:pPr>
        <w:ind w:left="7780"/>
        <w:spacing w:after="0" w:line="204" w:lineRule="auto"/>
        <w:rPr>
          <w:sz w:val="20"/>
          <w:szCs w:val="20"/>
          <w:color w:val="auto"/>
        </w:rPr>
      </w:pPr>
      <w:r>
        <w:rPr>
          <w:rFonts w:ascii="Arial" w:cs="Arial" w:eastAsia="Arial" w:hAnsi="Arial"/>
          <w:sz w:val="18"/>
          <w:szCs w:val="18"/>
          <w:color w:val="auto"/>
        </w:rPr>
        <w:t>Chief Financial Officer</w:t>
      </w:r>
    </w:p>
    <w:p>
      <w:pPr>
        <w:jc w:val="right"/>
        <w:ind w:right="5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308610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12"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40" w:hanging="506"/>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1040" w:right="540" w:hanging="506"/>
        <w:spacing w:after="0" w:line="235"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H. Shortt</w:t>
            </w:r>
          </w:p>
        </w:tc>
      </w:tr>
      <w:tr>
        <w:trPr>
          <w:trHeight w:val="154"/>
        </w:trPr>
        <w:tc>
          <w:tcPr>
            <w:tcW w:w="36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00" w:type="dxa"/>
            <w:vAlign w:val="bottom"/>
          </w:tcPr>
          <w:p>
            <w:pPr>
              <w:jc w:val="center"/>
              <w:spacing w:after="0" w:line="154" w:lineRule="exact"/>
              <w:rPr>
                <w:sz w:val="20"/>
                <w:szCs w:val="20"/>
                <w:color w:val="auto"/>
              </w:rPr>
            </w:pPr>
            <w:r>
              <w:rPr>
                <w:rFonts w:ascii="Arial" w:cs="Arial" w:eastAsia="Arial" w:hAnsi="Arial"/>
                <w:sz w:val="17"/>
                <w:szCs w:val="17"/>
                <w:color w:val="auto"/>
                <w:w w:val="96"/>
              </w:rPr>
              <w:t>Thomas H. Shortt</w:t>
            </w:r>
          </w:p>
        </w:tc>
      </w:tr>
      <w:tr>
        <w:trPr>
          <w:trHeight w:val="176"/>
        </w:trPr>
        <w:tc>
          <w:tcPr>
            <w:tcW w:w="3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200" w:type="dxa"/>
            <w:vAlign w:val="bottom"/>
          </w:tcPr>
          <w:p>
            <w:pPr>
              <w:jc w:val="center"/>
              <w:spacing w:after="0" w:line="176" w:lineRule="exact"/>
              <w:rPr>
                <w:sz w:val="20"/>
                <w:szCs w:val="20"/>
                <w:color w:val="auto"/>
              </w:rPr>
            </w:pPr>
            <w:r>
              <w:rPr>
                <w:rFonts w:ascii="Arial" w:cs="Arial" w:eastAsia="Arial" w:hAnsi="Arial"/>
                <w:sz w:val="18"/>
                <w:szCs w:val="18"/>
                <w:color w:val="auto"/>
                <w:w w:val="93"/>
              </w:rPr>
              <w:t>Chief Executive Officer</w:t>
            </w:r>
          </w:p>
        </w:tc>
      </w:tr>
      <w:tr>
        <w:trPr>
          <w:trHeight w:val="230"/>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909"/>
        </w:trPr>
        <w:tc>
          <w:tcPr>
            <w:tcW w:w="36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connection with the Quarterly Report on Form 10-Q of Vroom, Inc. (the “Company”) for the period ended June 30, 2022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40" w:hanging="506"/>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1040" w:right="540" w:hanging="506"/>
        <w:spacing w:after="0" w:line="235"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ind w:left="20"/>
              <w:spacing w:after="0"/>
              <w:rPr>
                <w:sz w:val="20"/>
                <w:szCs w:val="20"/>
                <w:color w:val="auto"/>
              </w:rPr>
            </w:pPr>
            <w:r>
              <w:rPr>
                <w:rFonts w:ascii="Arial" w:cs="Arial" w:eastAsia="Arial" w:hAnsi="Arial"/>
                <w:sz w:val="18"/>
                <w:szCs w:val="18"/>
                <w:color w:val="auto"/>
              </w:rPr>
              <w:t>Date: August 8, 2022</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R. Krakowiak</w:t>
            </w:r>
          </w:p>
        </w:tc>
      </w:tr>
      <w:tr>
        <w:trPr>
          <w:trHeight w:val="154"/>
        </w:trPr>
        <w:tc>
          <w:tcPr>
            <w:tcW w:w="36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00" w:type="dxa"/>
            <w:vAlign w:val="bottom"/>
          </w:tcPr>
          <w:p>
            <w:pPr>
              <w:jc w:val="center"/>
              <w:spacing w:after="0" w:line="154" w:lineRule="exact"/>
              <w:rPr>
                <w:sz w:val="20"/>
                <w:szCs w:val="20"/>
                <w:color w:val="auto"/>
              </w:rPr>
            </w:pPr>
            <w:r>
              <w:rPr>
                <w:rFonts w:ascii="Arial" w:cs="Arial" w:eastAsia="Arial" w:hAnsi="Arial"/>
                <w:sz w:val="17"/>
                <w:szCs w:val="17"/>
                <w:color w:val="auto"/>
                <w:w w:val="98"/>
              </w:rPr>
              <w:t>Robert R. Krakowiak</w:t>
            </w:r>
          </w:p>
        </w:tc>
      </w:tr>
      <w:tr>
        <w:trPr>
          <w:trHeight w:val="176"/>
        </w:trPr>
        <w:tc>
          <w:tcPr>
            <w:tcW w:w="3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20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1543"/>
        </w:trPr>
        <w:tc>
          <w:tcPr>
            <w:tcW w:w="36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Roman"/>
      <w:start w:val="4"/>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Roman"/>
      <w:start w:val="2"/>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1)"/>
      <w:numFmt w:val="lowerRoman"/>
      <w:start w:val="10"/>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471" Type="http://schemas.openxmlformats.org/officeDocument/2006/relationships/hyperlink" Target="https://www.sec.gov/Archives/edgar/data/1580864/000095017021002077/vrm-ex2_1.htm" TargetMode="External"/><Relationship Id="rId472" Type="http://schemas.openxmlformats.org/officeDocument/2006/relationships/hyperlink" Target="https://www.sec.gov/Archives/edgar/data/1580864/000156459020039778/vrm-ex31_460.htm" TargetMode="External"/><Relationship Id="rId473" Type="http://schemas.openxmlformats.org/officeDocument/2006/relationships/hyperlink" Target="https://www.sec.gov/Archives/edgar/data/1580864/000156459020039778/vrm-ex32_234.htm" TargetMode="External"/><Relationship Id="rId474" Type="http://schemas.openxmlformats.org/officeDocument/2006/relationships/hyperlink" Target="https://www.sec.gov/Archives/edgar/data/1580864/000119312520157158/d801274dex41.htm" TargetMode="External"/><Relationship Id="rId475" Type="http://schemas.openxmlformats.org/officeDocument/2006/relationships/hyperlink" Target="https://www.sec.gov/Archives/edgar/data/1580864/000119312521195245/d93781dex41.htm" TargetMode="External"/><Relationship Id="rId476" Type="http://schemas.openxmlformats.org/officeDocument/2006/relationships/hyperlink" Target="https://www.sec.gov/Archives/edgar/data/1580864/000119312520145219/d801274dex42.htm" TargetMode="External"/><Relationship Id="rId477" Type="http://schemas.openxmlformats.org/officeDocument/2006/relationships/hyperlink" Target="https://www.sec.gov/Archives/edgar/data/1580864/000095017022008529/vrm-ex10_1.htm" TargetMode="External"/><Relationship Id="rId478" Type="http://schemas.openxmlformats.org/officeDocument/2006/relationships/hyperlink" Target="https://www.sec.gov/Archives/edgar/data/1580864/000095017022010761/vrm-ex10_2.htm" TargetMode="External"/><Relationship Id="rId479" Type="http://schemas.openxmlformats.org/officeDocument/2006/relationships/hyperlink" Target="https://www.sec.gov/Archives/edgar/data/1580864/000095017022012432/vrm-ex10_1.htm" TargetMode="External"/><Relationship Id="rId482" Type="http://schemas.openxmlformats.org/officeDocument/2006/relationships/hyperlink" Target="https://www.sec.gov/Archives/edgar/data/0001580864/000119312522161029/d350681dex991.htm" TargetMode="External"/><Relationship Id="rId483" Type="http://schemas.openxmlformats.org/officeDocument/2006/relationships/hyperlink" Target="https://www.sec.gov/Archives/edgar/data/0001580864/000119312522161029/d350681dex992.htm" TargetMode="External"/><Relationship Id="rId484" Type="http://schemas.openxmlformats.org/officeDocument/2006/relationships/hyperlink" Target="https://www.sec.gov/Archives/edgar/data/0001580864/000119312522161029/d350681dex993.htm" TargetMode="External"/><Relationship Id="rId485" Type="http://schemas.openxmlformats.org/officeDocument/2006/relationships/hyperlink" Target="https://www.sec.gov/Archives/edgar/data/1580864/000095017022010761/vr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2022-08-09T02:36:40Z</dcterms:created>
  <dcterms:modified xsi:type="dcterms:W3CDTF">2022-08-09T02:36:40Z</dcterms:modified>
</cp:coreProperties>
</file>