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0"/>
        <w:spacing w:after="0"/>
        <w:rPr>
          <w:sz w:val="20"/>
          <w:szCs w:val="20"/>
          <w:color w:val="auto"/>
        </w:rPr>
      </w:pPr>
      <w:r>
        <w:rPr>
          <w:rFonts w:ascii="Arial" w:cs="Arial" w:eastAsia="Arial" w:hAnsi="Arial"/>
          <w:sz w:val="18"/>
          <w:szCs w:val="18"/>
          <w:b w:val="1"/>
          <w:bCs w:val="1"/>
          <w:color w:val="auto"/>
        </w:rPr>
        <w:t>As filed with the Securities and Exchange Commission on March 26, 2026</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jc w:val="center"/>
        <w:ind w:right="80"/>
        <w:spacing w:after="0"/>
        <w:rPr>
          <w:sz w:val="20"/>
          <w:szCs w:val="20"/>
          <w:color w:val="auto"/>
        </w:rPr>
      </w:pPr>
      <w:r>
        <w:rPr>
          <w:rFonts w:ascii="Arial" w:cs="Arial" w:eastAsia="Arial" w:hAnsi="Arial"/>
          <w:sz w:val="32"/>
          <w:szCs w:val="32"/>
          <w:b w:val="1"/>
          <w:bCs w:val="1"/>
          <w:color w:val="auto"/>
        </w:rPr>
        <w:t>UNITED STATES</w:t>
      </w:r>
    </w:p>
    <w:p>
      <w:pPr>
        <w:spacing w:after="0" w:line="10"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jc w:val="center"/>
        <w:ind w:right="80"/>
        <w:spacing w:after="0"/>
        <w:rPr>
          <w:sz w:val="20"/>
          <w:szCs w:val="20"/>
          <w:color w:val="auto"/>
        </w:rPr>
      </w:pPr>
      <w:r>
        <w:rPr>
          <w:rFonts w:ascii="Arial" w:cs="Arial" w:eastAsia="Arial" w:hAnsi="Arial"/>
          <w:sz w:val="32"/>
          <w:szCs w:val="32"/>
          <w:b w:val="1"/>
          <w:bCs w:val="1"/>
          <w:color w:val="auto"/>
        </w:rPr>
        <w:t>FORM S-8</w:t>
      </w:r>
    </w:p>
    <w:p>
      <w:pPr>
        <w:spacing w:after="0" w:line="10"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REGISTRATION STATEMENT</w:t>
      </w:r>
    </w:p>
    <w:p>
      <w:pPr>
        <w:jc w:val="center"/>
        <w:ind w:right="60"/>
        <w:spacing w:after="0" w:line="230" w:lineRule="auto"/>
        <w:rPr>
          <w:sz w:val="20"/>
          <w:szCs w:val="20"/>
          <w:color w:val="auto"/>
        </w:rPr>
      </w:pPr>
      <w:r>
        <w:rPr>
          <w:rFonts w:ascii="Arial" w:cs="Arial" w:eastAsia="Arial" w:hAnsi="Arial"/>
          <w:sz w:val="22"/>
          <w:szCs w:val="22"/>
          <w:b w:val="1"/>
          <w:bCs w:val="1"/>
          <w:i w:val="1"/>
          <w:iCs w:val="1"/>
          <w:color w:val="auto"/>
        </w:rPr>
        <w:t>UNDER</w:t>
      </w:r>
    </w:p>
    <w:p>
      <w:pPr>
        <w:jc w:val="center"/>
        <w:ind w:right="60"/>
        <w:spacing w:after="0" w:line="237" w:lineRule="auto"/>
        <w:rPr>
          <w:sz w:val="20"/>
          <w:szCs w:val="20"/>
          <w:color w:val="auto"/>
        </w:rPr>
      </w:pPr>
      <w:r>
        <w:rPr>
          <w:rFonts w:ascii="Arial" w:cs="Arial" w:eastAsia="Arial" w:hAnsi="Arial"/>
          <w:sz w:val="22"/>
          <w:szCs w:val="22"/>
          <w:b w:val="1"/>
          <w:bCs w:val="1"/>
          <w:i w:val="1"/>
          <w:iCs w:val="1"/>
          <w:color w:val="auto"/>
        </w:rPr>
        <w:t>THE SECURITIES ACT OF 1933</w:t>
      </w:r>
    </w:p>
    <w:p>
      <w:pPr>
        <w:spacing w:after="0" w:line="1" w:lineRule="exact"/>
        <w:rPr>
          <w:sz w:val="24"/>
          <w:szCs w:val="24"/>
          <w:color w:val="auto"/>
        </w:rPr>
      </w:pPr>
    </w:p>
    <w:p>
      <w:pPr>
        <w:jc w:val="center"/>
        <w:ind w:right="120"/>
        <w:spacing w:after="0"/>
        <w:rPr>
          <w:sz w:val="20"/>
          <w:szCs w:val="20"/>
          <w:color w:val="auto"/>
        </w:rPr>
      </w:pPr>
      <w:r>
        <w:rPr>
          <w:rFonts w:ascii="Arial" w:cs="Arial" w:eastAsia="Arial" w:hAnsi="Arial"/>
          <w:sz w:val="43"/>
          <w:szCs w:val="43"/>
          <w:b w:val="1"/>
          <w:bCs w:val="1"/>
          <w:color w:val="auto"/>
        </w:rPr>
        <w:t>VROOM, INC.</w:t>
      </w:r>
    </w:p>
    <w:p>
      <w:pPr>
        <w:spacing w:after="0" w:line="4" w:lineRule="exact"/>
        <w:rPr>
          <w:sz w:val="24"/>
          <w:szCs w:val="24"/>
          <w:color w:val="auto"/>
        </w:rPr>
      </w:pPr>
    </w:p>
    <w:tbl>
      <w:tblPr>
        <w:tblLayout w:type="fixed"/>
        <w:tblInd w:w="1820" w:type="dxa"/>
        <w:tblCellMar>
          <w:top w:w="0" w:type="dxa"/>
          <w:left w:w="0" w:type="dxa"/>
          <w:bottom w:w="0" w:type="dxa"/>
          <w:right w:w="0" w:type="dxa"/>
        </w:tblCellMar>
      </w:tblPr>
      <w:tr>
        <w:trPr>
          <w:trHeight w:val="247"/>
        </w:trPr>
        <w:tc>
          <w:tcPr>
            <w:tcW w:w="6080" w:type="dxa"/>
            <w:vAlign w:val="bottom"/>
          </w:tcPr>
          <w:p>
            <w:pPr>
              <w:ind w:left="1520"/>
              <w:spacing w:after="0"/>
              <w:rPr>
                <w:sz w:val="20"/>
                <w:szCs w:val="20"/>
                <w:color w:val="auto"/>
              </w:rPr>
            </w:pPr>
            <w:r>
              <w:rPr>
                <w:rFonts w:ascii="Arial" w:cs="Arial" w:eastAsia="Arial" w:hAnsi="Arial"/>
                <w:sz w:val="18"/>
                <w:szCs w:val="18"/>
                <w:b w:val="1"/>
                <w:bCs w:val="1"/>
                <w:color w:val="auto"/>
                <w:w w:val="99"/>
              </w:rPr>
              <w:t>(Exact Name of Registrant as Specified in Its Charter)</w:t>
            </w:r>
          </w:p>
        </w:tc>
        <w:tc>
          <w:tcPr>
            <w:tcW w:w="1220" w:type="dxa"/>
            <w:vAlign w:val="bottom"/>
          </w:tcPr>
          <w:p>
            <w:pPr>
              <w:spacing w:after="0"/>
              <w:rPr>
                <w:sz w:val="21"/>
                <w:szCs w:val="21"/>
                <w:color w:val="auto"/>
              </w:rPr>
            </w:pPr>
          </w:p>
        </w:tc>
      </w:tr>
      <w:tr>
        <w:trPr>
          <w:trHeight w:val="352"/>
        </w:trPr>
        <w:tc>
          <w:tcPr>
            <w:tcW w:w="6080" w:type="dxa"/>
            <w:vAlign w:val="bottom"/>
          </w:tcPr>
          <w:p>
            <w:pPr>
              <w:jc w:val="center"/>
              <w:ind w:right="3939"/>
              <w:spacing w:after="0"/>
              <w:rPr>
                <w:sz w:val="20"/>
                <w:szCs w:val="20"/>
                <w:color w:val="auto"/>
              </w:rPr>
            </w:pPr>
            <w:r>
              <w:rPr>
                <w:rFonts w:ascii="Arial" w:cs="Arial" w:eastAsia="Arial" w:hAnsi="Arial"/>
                <w:sz w:val="18"/>
                <w:szCs w:val="18"/>
                <w:b w:val="1"/>
                <w:bCs w:val="1"/>
                <w:color w:val="auto"/>
                <w:w w:val="98"/>
              </w:rPr>
              <w:t>Delaware</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rPr>
              <w:t>901112566</w:t>
            </w:r>
          </w:p>
        </w:tc>
      </w:tr>
      <w:tr>
        <w:trPr>
          <w:trHeight w:val="162"/>
        </w:trPr>
        <w:tc>
          <w:tcPr>
            <w:tcW w:w="6080" w:type="dxa"/>
            <w:vAlign w:val="bottom"/>
          </w:tcPr>
          <w:p>
            <w:pPr>
              <w:jc w:val="center"/>
              <w:ind w:right="3939"/>
              <w:spacing w:after="0"/>
              <w:rPr>
                <w:sz w:val="20"/>
                <w:szCs w:val="20"/>
                <w:color w:val="auto"/>
              </w:rPr>
            </w:pPr>
            <w:r>
              <w:rPr>
                <w:rFonts w:ascii="Arial" w:cs="Arial" w:eastAsia="Arial" w:hAnsi="Arial"/>
                <w:sz w:val="14"/>
                <w:szCs w:val="14"/>
                <w:b w:val="1"/>
                <w:bCs w:val="1"/>
                <w:color w:val="auto"/>
              </w:rPr>
              <w:t>(State or other jurisdiction of</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6080" w:type="dxa"/>
            <w:vAlign w:val="bottom"/>
          </w:tcPr>
          <w:p>
            <w:pPr>
              <w:jc w:val="center"/>
              <w:ind w:right="3939"/>
              <w:spacing w:after="0"/>
              <w:rPr>
                <w:sz w:val="20"/>
                <w:szCs w:val="20"/>
                <w:color w:val="auto"/>
              </w:rPr>
            </w:pPr>
            <w:r>
              <w:rPr>
                <w:rFonts w:ascii="Arial" w:cs="Arial" w:eastAsia="Arial" w:hAnsi="Arial"/>
                <w:sz w:val="14"/>
                <w:szCs w:val="14"/>
                <w:b w:val="1"/>
                <w:bCs w:val="1"/>
                <w:color w:val="auto"/>
              </w:rPr>
              <w:t>incorporation or organization)</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Identification No.)</w:t>
            </w:r>
          </w:p>
        </w:tc>
      </w:tr>
    </w:tbl>
    <w:p>
      <w:pPr>
        <w:spacing w:after="0" w:line="159"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4700 Mercantile Dr.</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Fort Worth, TX 76137</w:t>
      </w:r>
    </w:p>
    <w:p>
      <w:pPr>
        <w:ind w:left="4480"/>
        <w:spacing w:after="0"/>
        <w:rPr>
          <w:sz w:val="20"/>
          <w:szCs w:val="20"/>
          <w:color w:val="auto"/>
        </w:rPr>
      </w:pPr>
      <w:r>
        <w:rPr>
          <w:rFonts w:ascii="Arial" w:cs="Arial" w:eastAsia="Arial" w:hAnsi="Arial"/>
          <w:sz w:val="18"/>
          <w:szCs w:val="18"/>
          <w:b w:val="1"/>
          <w:bCs w:val="1"/>
          <w:color w:val="auto"/>
        </w:rPr>
        <w:t>Telephone: (917) 451-9855</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Vroom, Inc. Amended and Restated 2020 Incentive Award Plan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(Full Title of the Plan)</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Thomas H. Shortt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jc w:val="center"/>
        <w:spacing w:after="0" w:line="234" w:lineRule="auto"/>
        <w:rPr>
          <w:sz w:val="20"/>
          <w:szCs w:val="20"/>
          <w:color w:val="auto"/>
        </w:rPr>
      </w:pPr>
      <w:r>
        <w:rPr>
          <w:rFonts w:ascii="Arial" w:cs="Arial" w:eastAsia="Arial" w:hAnsi="Arial"/>
          <w:sz w:val="18"/>
          <w:szCs w:val="18"/>
          <w:b w:val="1"/>
          <w:bCs w:val="1"/>
          <w:color w:val="auto"/>
        </w:rPr>
        <w:t>Vroom, Inc.</w:t>
      </w:r>
    </w:p>
    <w:p>
      <w:pPr>
        <w:jc w:val="center"/>
        <w:spacing w:after="0" w:line="235" w:lineRule="auto"/>
        <w:rPr>
          <w:sz w:val="20"/>
          <w:szCs w:val="20"/>
          <w:color w:val="auto"/>
        </w:rPr>
      </w:pPr>
      <w:r>
        <w:rPr>
          <w:rFonts w:ascii="Arial" w:cs="Arial" w:eastAsia="Arial" w:hAnsi="Arial"/>
          <w:sz w:val="18"/>
          <w:szCs w:val="18"/>
          <w:b w:val="1"/>
          <w:bCs w:val="1"/>
          <w:color w:val="auto"/>
        </w:rPr>
        <w:t>4700 Mercantile Dr.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Fort Worth, TX 76137</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(917) 451-9855</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175" w:lineRule="exact"/>
        <w:rPr>
          <w:sz w:val="24"/>
          <w:szCs w:val="24"/>
          <w:color w:val="auto"/>
        </w:rPr>
      </w:pPr>
    </w:p>
    <w:tbl>
      <w:tblPr>
        <w:tblLayout w:type="fixed"/>
        <w:tblInd w:w="1560" w:type="dxa"/>
        <w:tblCellMar>
          <w:top w:w="0" w:type="dxa"/>
          <w:left w:w="0" w:type="dxa"/>
          <w:bottom w:w="0" w:type="dxa"/>
          <w:right w:w="0" w:type="dxa"/>
        </w:tblCellMar>
      </w:tblPr>
      <w:tr>
        <w:trPr>
          <w:trHeight w:val="207"/>
        </w:trPr>
        <w:tc>
          <w:tcPr>
            <w:tcW w:w="3040" w:type="dxa"/>
            <w:vAlign w:val="bottom"/>
          </w:tcPr>
          <w:p>
            <w:pPr>
              <w:spacing w:after="0"/>
              <w:rPr>
                <w:sz w:val="18"/>
                <w:szCs w:val="18"/>
                <w:color w:val="auto"/>
              </w:rPr>
            </w:pPr>
          </w:p>
        </w:tc>
        <w:tc>
          <w:tcPr>
            <w:tcW w:w="5820" w:type="dxa"/>
            <w:vAlign w:val="bottom"/>
          </w:tcPr>
          <w:p>
            <w:pPr>
              <w:ind w:left="560"/>
              <w:spacing w:after="0"/>
              <w:rPr>
                <w:sz w:val="20"/>
                <w:szCs w:val="20"/>
                <w:color w:val="auto"/>
              </w:rPr>
            </w:pPr>
            <w:r>
              <w:rPr>
                <w:rFonts w:ascii="Arial" w:cs="Arial" w:eastAsia="Arial" w:hAnsi="Arial"/>
                <w:sz w:val="18"/>
                <w:szCs w:val="18"/>
                <w:b w:val="1"/>
                <w:bCs w:val="1"/>
                <w:i w:val="1"/>
                <w:iCs w:val="1"/>
                <w:color w:val="auto"/>
              </w:rPr>
              <w:t>Copies to:</w:t>
            </w:r>
          </w:p>
        </w:tc>
      </w:tr>
      <w:tr>
        <w:trPr>
          <w:trHeight w:val="203"/>
        </w:trPr>
        <w:tc>
          <w:tcPr>
            <w:tcW w:w="3040" w:type="dxa"/>
            <w:vAlign w:val="bottom"/>
          </w:tcPr>
          <w:p>
            <w:pPr>
              <w:jc w:val="center"/>
              <w:ind w:right="470"/>
              <w:spacing w:after="0" w:line="202" w:lineRule="exact"/>
              <w:rPr>
                <w:sz w:val="20"/>
                <w:szCs w:val="20"/>
                <w:color w:val="auto"/>
              </w:rPr>
            </w:pPr>
            <w:r>
              <w:rPr>
                <w:rFonts w:ascii="Arial" w:cs="Arial" w:eastAsia="Arial" w:hAnsi="Arial"/>
                <w:sz w:val="18"/>
                <w:szCs w:val="18"/>
                <w:b w:val="1"/>
                <w:bCs w:val="1"/>
                <w:color w:val="auto"/>
                <w:w w:val="99"/>
              </w:rPr>
              <w:t>Marc D. Jaffe, Esq.</w:t>
            </w:r>
          </w:p>
        </w:tc>
        <w:tc>
          <w:tcPr>
            <w:tcW w:w="5820" w:type="dxa"/>
            <w:vAlign w:val="bottom"/>
          </w:tcPr>
          <w:p>
            <w:pPr>
              <w:jc w:val="center"/>
              <w:ind w:left="1750"/>
              <w:spacing w:after="0" w:line="202" w:lineRule="exact"/>
              <w:rPr>
                <w:sz w:val="20"/>
                <w:szCs w:val="20"/>
                <w:color w:val="auto"/>
              </w:rPr>
            </w:pPr>
            <w:r>
              <w:rPr>
                <w:rFonts w:ascii="Arial" w:cs="Arial" w:eastAsia="Arial" w:hAnsi="Arial"/>
                <w:sz w:val="18"/>
                <w:szCs w:val="18"/>
                <w:b w:val="1"/>
                <w:bCs w:val="1"/>
                <w:color w:val="auto"/>
              </w:rPr>
              <w:t>Anna-Lisa Corrales, Esq.</w:t>
            </w:r>
          </w:p>
        </w:tc>
      </w:tr>
      <w:tr>
        <w:trPr>
          <w:trHeight w:val="203"/>
        </w:trPr>
        <w:tc>
          <w:tcPr>
            <w:tcW w:w="3040" w:type="dxa"/>
            <w:vAlign w:val="bottom"/>
          </w:tcPr>
          <w:p>
            <w:pPr>
              <w:jc w:val="center"/>
              <w:ind w:right="450"/>
              <w:spacing w:after="0" w:line="202" w:lineRule="exact"/>
              <w:rPr>
                <w:sz w:val="20"/>
                <w:szCs w:val="20"/>
                <w:color w:val="auto"/>
              </w:rPr>
            </w:pPr>
            <w:r>
              <w:rPr>
                <w:rFonts w:ascii="Arial" w:cs="Arial" w:eastAsia="Arial" w:hAnsi="Arial"/>
                <w:sz w:val="18"/>
                <w:szCs w:val="18"/>
                <w:b w:val="1"/>
                <w:bCs w:val="1"/>
                <w:color w:val="auto"/>
                <w:w w:val="99"/>
              </w:rPr>
              <w:t>Ian D. Schuman, Esq.</w:t>
            </w:r>
          </w:p>
        </w:tc>
        <w:tc>
          <w:tcPr>
            <w:tcW w:w="5820" w:type="dxa"/>
            <w:vAlign w:val="bottom"/>
          </w:tcPr>
          <w:p>
            <w:pPr>
              <w:jc w:val="center"/>
              <w:ind w:left="1750"/>
              <w:spacing w:after="0" w:line="202" w:lineRule="exact"/>
              <w:rPr>
                <w:sz w:val="20"/>
                <w:szCs w:val="20"/>
                <w:color w:val="auto"/>
              </w:rPr>
            </w:pPr>
            <w:r>
              <w:rPr>
                <w:rFonts w:ascii="Arial" w:cs="Arial" w:eastAsia="Arial" w:hAnsi="Arial"/>
                <w:sz w:val="18"/>
                <w:szCs w:val="18"/>
                <w:b w:val="1"/>
                <w:bCs w:val="1"/>
                <w:color w:val="auto"/>
                <w:w w:val="99"/>
              </w:rPr>
              <w:t>Chief Legal Officer &amp; Chief Compliance Officer</w:t>
            </w:r>
          </w:p>
        </w:tc>
      </w:tr>
      <w:tr>
        <w:trPr>
          <w:trHeight w:val="203"/>
        </w:trPr>
        <w:tc>
          <w:tcPr>
            <w:tcW w:w="3040" w:type="dxa"/>
            <w:vAlign w:val="bottom"/>
          </w:tcPr>
          <w:p>
            <w:pPr>
              <w:jc w:val="center"/>
              <w:ind w:right="450"/>
              <w:spacing w:after="0" w:line="202" w:lineRule="exact"/>
              <w:rPr>
                <w:sz w:val="20"/>
                <w:szCs w:val="20"/>
                <w:color w:val="auto"/>
              </w:rPr>
            </w:pPr>
            <w:r>
              <w:rPr>
                <w:rFonts w:ascii="Arial" w:cs="Arial" w:eastAsia="Arial" w:hAnsi="Arial"/>
                <w:sz w:val="18"/>
                <w:szCs w:val="18"/>
                <w:b w:val="1"/>
                <w:bCs w:val="1"/>
                <w:color w:val="auto"/>
              </w:rPr>
              <w:t>Courtenay Myers Lima, Esq.</w:t>
            </w:r>
          </w:p>
        </w:tc>
        <w:tc>
          <w:tcPr>
            <w:tcW w:w="5820" w:type="dxa"/>
            <w:vAlign w:val="bottom"/>
          </w:tcPr>
          <w:p>
            <w:pPr>
              <w:jc w:val="center"/>
              <w:ind w:left="1750"/>
              <w:spacing w:after="0" w:line="202" w:lineRule="exact"/>
              <w:rPr>
                <w:sz w:val="20"/>
                <w:szCs w:val="20"/>
                <w:color w:val="auto"/>
              </w:rPr>
            </w:pPr>
            <w:r>
              <w:rPr>
                <w:rFonts w:ascii="Arial" w:cs="Arial" w:eastAsia="Arial" w:hAnsi="Arial"/>
                <w:sz w:val="18"/>
                <w:szCs w:val="18"/>
                <w:b w:val="1"/>
                <w:bCs w:val="1"/>
                <w:color w:val="auto"/>
                <w:w w:val="99"/>
              </w:rPr>
              <w:t>Vroom, Inc.</w:t>
            </w:r>
          </w:p>
        </w:tc>
      </w:tr>
      <w:tr>
        <w:trPr>
          <w:trHeight w:val="203"/>
        </w:trPr>
        <w:tc>
          <w:tcPr>
            <w:tcW w:w="3040" w:type="dxa"/>
            <w:vAlign w:val="bottom"/>
          </w:tcPr>
          <w:p>
            <w:pPr>
              <w:jc w:val="center"/>
              <w:ind w:right="450"/>
              <w:spacing w:after="0" w:line="202" w:lineRule="exact"/>
              <w:rPr>
                <w:sz w:val="20"/>
                <w:szCs w:val="20"/>
                <w:color w:val="auto"/>
              </w:rPr>
            </w:pPr>
            <w:r>
              <w:rPr>
                <w:rFonts w:ascii="Arial" w:cs="Arial" w:eastAsia="Arial" w:hAnsi="Arial"/>
                <w:sz w:val="18"/>
                <w:szCs w:val="18"/>
                <w:b w:val="1"/>
                <w:bCs w:val="1"/>
                <w:color w:val="auto"/>
                <w:w w:val="99"/>
              </w:rPr>
              <w:t>Latham &amp; Watkins LLP</w:t>
            </w:r>
          </w:p>
        </w:tc>
        <w:tc>
          <w:tcPr>
            <w:tcW w:w="5820" w:type="dxa"/>
            <w:vAlign w:val="bottom"/>
          </w:tcPr>
          <w:p>
            <w:pPr>
              <w:jc w:val="center"/>
              <w:ind w:left="1730"/>
              <w:spacing w:after="0" w:line="202" w:lineRule="exact"/>
              <w:rPr>
                <w:sz w:val="20"/>
                <w:szCs w:val="20"/>
                <w:color w:val="auto"/>
              </w:rPr>
            </w:pPr>
            <w:r>
              <w:rPr>
                <w:rFonts w:ascii="Arial" w:cs="Arial" w:eastAsia="Arial" w:hAnsi="Arial"/>
                <w:sz w:val="18"/>
                <w:szCs w:val="18"/>
                <w:b w:val="1"/>
                <w:bCs w:val="1"/>
                <w:color w:val="auto"/>
                <w:w w:val="99"/>
              </w:rPr>
              <w:t>4700 Mercantile Dr.</w:t>
            </w:r>
          </w:p>
        </w:tc>
      </w:tr>
      <w:tr>
        <w:trPr>
          <w:trHeight w:val="203"/>
        </w:trPr>
        <w:tc>
          <w:tcPr>
            <w:tcW w:w="3040" w:type="dxa"/>
            <w:vAlign w:val="bottom"/>
          </w:tcPr>
          <w:p>
            <w:pPr>
              <w:jc w:val="center"/>
              <w:ind w:right="450"/>
              <w:spacing w:after="0" w:line="202" w:lineRule="exact"/>
              <w:rPr>
                <w:sz w:val="20"/>
                <w:szCs w:val="20"/>
                <w:color w:val="auto"/>
              </w:rPr>
            </w:pPr>
            <w:r>
              <w:rPr>
                <w:rFonts w:ascii="Arial" w:cs="Arial" w:eastAsia="Arial" w:hAnsi="Arial"/>
                <w:sz w:val="18"/>
                <w:szCs w:val="18"/>
                <w:b w:val="1"/>
                <w:bCs w:val="1"/>
                <w:color w:val="auto"/>
                <w:w w:val="99"/>
              </w:rPr>
              <w:t>1271 Avenue of the Americas</w:t>
            </w:r>
          </w:p>
        </w:tc>
        <w:tc>
          <w:tcPr>
            <w:tcW w:w="5820" w:type="dxa"/>
            <w:vAlign w:val="bottom"/>
          </w:tcPr>
          <w:p>
            <w:pPr>
              <w:jc w:val="center"/>
              <w:ind w:left="1730"/>
              <w:spacing w:after="0" w:line="202" w:lineRule="exact"/>
              <w:rPr>
                <w:sz w:val="20"/>
                <w:szCs w:val="20"/>
                <w:color w:val="auto"/>
              </w:rPr>
            </w:pPr>
            <w:r>
              <w:rPr>
                <w:rFonts w:ascii="Arial" w:cs="Arial" w:eastAsia="Arial" w:hAnsi="Arial"/>
                <w:sz w:val="18"/>
                <w:szCs w:val="18"/>
                <w:b w:val="1"/>
                <w:bCs w:val="1"/>
                <w:color w:val="auto"/>
                <w:w w:val="99"/>
              </w:rPr>
              <w:t>Fort Worth, TX 76137</w:t>
            </w:r>
          </w:p>
        </w:tc>
      </w:tr>
      <w:tr>
        <w:trPr>
          <w:trHeight w:val="203"/>
        </w:trPr>
        <w:tc>
          <w:tcPr>
            <w:tcW w:w="3040" w:type="dxa"/>
            <w:vAlign w:val="bottom"/>
          </w:tcPr>
          <w:p>
            <w:pPr>
              <w:jc w:val="center"/>
              <w:ind w:right="450"/>
              <w:spacing w:after="0" w:line="202" w:lineRule="exact"/>
              <w:rPr>
                <w:sz w:val="20"/>
                <w:szCs w:val="20"/>
                <w:color w:val="auto"/>
              </w:rPr>
            </w:pPr>
            <w:r>
              <w:rPr>
                <w:rFonts w:ascii="Arial" w:cs="Arial" w:eastAsia="Arial" w:hAnsi="Arial"/>
                <w:sz w:val="18"/>
                <w:szCs w:val="18"/>
                <w:b w:val="1"/>
                <w:bCs w:val="1"/>
                <w:color w:val="auto"/>
              </w:rPr>
              <w:t>New York, New York 10020</w:t>
            </w:r>
          </w:p>
        </w:tc>
        <w:tc>
          <w:tcPr>
            <w:tcW w:w="5820" w:type="dxa"/>
            <w:vAlign w:val="bottom"/>
          </w:tcPr>
          <w:p>
            <w:pPr>
              <w:ind w:left="1840"/>
              <w:spacing w:after="0" w:line="202" w:lineRule="exact"/>
              <w:rPr>
                <w:sz w:val="20"/>
                <w:szCs w:val="20"/>
                <w:color w:val="auto"/>
              </w:rPr>
            </w:pPr>
            <w:r>
              <w:rPr>
                <w:rFonts w:ascii="Arial" w:cs="Arial" w:eastAsia="Arial" w:hAnsi="Arial"/>
                <w:sz w:val="18"/>
                <w:szCs w:val="18"/>
                <w:b w:val="1"/>
                <w:bCs w:val="1"/>
                <w:color w:val="auto"/>
              </w:rPr>
              <w:t>Telephone: (917) 451-9855</w:t>
            </w:r>
          </w:p>
        </w:tc>
      </w:tr>
      <w:tr>
        <w:trPr>
          <w:trHeight w:val="203"/>
        </w:trPr>
        <w:tc>
          <w:tcPr>
            <w:tcW w:w="3040" w:type="dxa"/>
            <w:vAlign w:val="bottom"/>
          </w:tcPr>
          <w:p>
            <w:pPr>
              <w:jc w:val="center"/>
              <w:ind w:right="470"/>
              <w:spacing w:after="0" w:line="202" w:lineRule="exact"/>
              <w:rPr>
                <w:sz w:val="20"/>
                <w:szCs w:val="20"/>
                <w:color w:val="auto"/>
              </w:rPr>
            </w:pPr>
            <w:r>
              <w:rPr>
                <w:rFonts w:ascii="Arial" w:cs="Arial" w:eastAsia="Arial" w:hAnsi="Arial"/>
                <w:sz w:val="18"/>
                <w:szCs w:val="18"/>
                <w:b w:val="1"/>
                <w:bCs w:val="1"/>
                <w:color w:val="auto"/>
                <w:w w:val="99"/>
              </w:rPr>
              <w:t>Telephone: (212) 906-1200</w:t>
            </w:r>
          </w:p>
        </w:tc>
        <w:tc>
          <w:tcPr>
            <w:tcW w:w="5820" w:type="dxa"/>
            <w:vAlign w:val="bottom"/>
          </w:tcPr>
          <w:p>
            <w:pPr>
              <w:spacing w:after="0"/>
              <w:rPr>
                <w:sz w:val="17"/>
                <w:szCs w:val="17"/>
                <w:color w:val="auto"/>
              </w:rPr>
            </w:pPr>
          </w:p>
        </w:tc>
      </w:tr>
      <w:tr>
        <w:trPr>
          <w:trHeight w:val="247"/>
        </w:trPr>
        <w:tc>
          <w:tcPr>
            <w:tcW w:w="3040" w:type="dxa"/>
            <w:vAlign w:val="bottom"/>
          </w:tcPr>
          <w:p>
            <w:pPr>
              <w:jc w:val="center"/>
              <w:ind w:right="450"/>
              <w:spacing w:after="0"/>
              <w:rPr>
                <w:sz w:val="20"/>
                <w:szCs w:val="20"/>
                <w:color w:val="auto"/>
              </w:rPr>
            </w:pPr>
            <w:r>
              <w:rPr>
                <w:rFonts w:ascii="Arial" w:cs="Arial" w:eastAsia="Arial" w:hAnsi="Arial"/>
                <w:sz w:val="18"/>
                <w:szCs w:val="18"/>
                <w:b w:val="1"/>
                <w:bCs w:val="1"/>
                <w:color w:val="auto"/>
              </w:rPr>
              <w:t>Fax: (212) 751-4864</w:t>
            </w:r>
          </w:p>
        </w:tc>
        <w:tc>
          <w:tcPr>
            <w:tcW w:w="5820" w:type="dxa"/>
            <w:vAlign w:val="bottom"/>
          </w:tcPr>
          <w:p>
            <w:pPr>
              <w:spacing w:after="0"/>
              <w:rPr>
                <w:sz w:val="21"/>
                <w:szCs w:val="21"/>
                <w:color w:val="auto"/>
              </w:rPr>
            </w:pPr>
          </w:p>
        </w:tc>
      </w:tr>
    </w:tbl>
    <w:p>
      <w:pPr>
        <w:spacing w:after="0" w:line="163" w:lineRule="exact"/>
        <w:rPr>
          <w:sz w:val="24"/>
          <w:szCs w:val="24"/>
          <w:color w:val="auto"/>
        </w:rPr>
      </w:pPr>
    </w:p>
    <w:p>
      <w:pPr>
        <w:ind w:right="140"/>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18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2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380" w:type="dxa"/>
            <w:vAlign w:val="bottom"/>
          </w:tcPr>
          <w:p>
            <w:pPr>
              <w:ind w:left="3240"/>
              <w:spacing w:after="0"/>
              <w:rPr>
                <w:sz w:val="20"/>
                <w:szCs w:val="20"/>
                <w:color w:val="auto"/>
              </w:rPr>
            </w:pPr>
            <w:r>
              <w:rPr>
                <w:rFonts w:ascii="Arial" w:cs="Arial" w:eastAsia="Arial" w:hAnsi="Arial"/>
                <w:sz w:val="16"/>
                <w:szCs w:val="16"/>
                <w:color w:val="auto"/>
              </w:rPr>
              <w:t>Accelerated filer</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1820" w:type="dxa"/>
            <w:vAlign w:val="bottom"/>
          </w:tcPr>
          <w:p>
            <w:pPr>
              <w:spacing w:after="0"/>
              <w:rPr>
                <w:sz w:val="20"/>
                <w:szCs w:val="20"/>
                <w:color w:val="auto"/>
              </w:rPr>
            </w:pPr>
            <w:r>
              <w:rPr>
                <w:rFonts w:ascii="Arial" w:cs="Arial" w:eastAsia="Arial" w:hAnsi="Arial"/>
                <w:sz w:val="16"/>
                <w:szCs w:val="16"/>
                <w:color w:val="auto"/>
              </w:rPr>
              <w:t>Non-accelerated filer</w:t>
            </w:r>
          </w:p>
        </w:tc>
        <w:tc>
          <w:tcPr>
            <w:tcW w:w="362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380" w:type="dxa"/>
            <w:vAlign w:val="bottom"/>
          </w:tcPr>
          <w:p>
            <w:pPr>
              <w:ind w:left="3240"/>
              <w:spacing w:after="0"/>
              <w:rPr>
                <w:sz w:val="20"/>
                <w:szCs w:val="20"/>
                <w:color w:val="auto"/>
              </w:rPr>
            </w:pPr>
            <w:r>
              <w:rPr>
                <w:rFonts w:ascii="Arial" w:cs="Arial" w:eastAsia="Arial" w:hAnsi="Arial"/>
                <w:sz w:val="16"/>
                <w:szCs w:val="16"/>
                <w:color w:val="auto"/>
              </w:rPr>
              <w:t>Smaller reporting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46"/>
        </w:trPr>
        <w:tc>
          <w:tcPr>
            <w:tcW w:w="18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380" w:type="dxa"/>
            <w:vAlign w:val="bottom"/>
          </w:tcPr>
          <w:p>
            <w:pPr>
              <w:ind w:left="3240"/>
              <w:spacing w:after="0"/>
              <w:rPr>
                <w:sz w:val="20"/>
                <w:szCs w:val="20"/>
                <w:color w:val="auto"/>
              </w:rPr>
            </w:pPr>
            <w:r>
              <w:rPr>
                <w:rFonts w:ascii="Arial" w:cs="Arial" w:eastAsia="Arial" w:hAnsi="Arial"/>
                <w:sz w:val="16"/>
                <w:szCs w:val="16"/>
                <w:color w:val="auto"/>
              </w:rPr>
              <w:t>Emerging growth company</w:t>
            </w:r>
          </w:p>
        </w:tc>
        <w:tc>
          <w:tcPr>
            <w:tcW w:w="34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74"/>
              </w:rPr>
              <w:t>☐</w:t>
            </w:r>
          </w:p>
        </w:tc>
      </w:tr>
    </w:tbl>
    <w:p>
      <w:pPr>
        <w:ind w:right="120"/>
        <w:spacing w:after="0" w:line="21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836295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is being filed for the purpose of registering 207,985 additional shares of the common stock of Vroom, Inc.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to be issued pursuant to the Vroom, Inc. Amended and Restated 2020 Incentive Award Plan (the “</w:t>
      </w:r>
      <w:r>
        <w:rPr>
          <w:rFonts w:ascii="Times New Roman" w:cs="Times New Roman" w:eastAsia="Times New Roman" w:hAnsi="Times New Roman"/>
          <w:sz w:val="18"/>
          <w:szCs w:val="18"/>
          <w:u w:val="single" w:color="auto"/>
          <w:color w:val="auto"/>
        </w:rPr>
        <w:t>Incentive Plan</w:t>
      </w:r>
      <w:r>
        <w:rPr>
          <w:rFonts w:ascii="Times New Roman" w:cs="Times New Roman" w:eastAsia="Times New Roman" w:hAnsi="Times New Roman"/>
          <w:sz w:val="18"/>
          <w:szCs w:val="18"/>
          <w:color w:val="auto"/>
        </w:rPr>
        <w:t>”). A Registration Statement of the Registrant on Form S-8 relating to the Incentive Plan is effective.</w:t>
      </w:r>
    </w:p>
    <w:p>
      <w:pPr>
        <w:spacing w:after="0" w:line="17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INCORPORATION BY REFERENCE OF CONTENTS OF</w:t>
      </w:r>
    </w:p>
    <w:p>
      <w:pPr>
        <w:spacing w:after="0" w:line="3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REGISTRATION STATEMENTS ON FORM S-8</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contents of the Registration Statement on Form S-8 (File No. </w:t>
      </w:r>
      <w:r>
        <w:rPr>
          <w:rFonts w:ascii="Times New Roman" w:cs="Times New Roman" w:eastAsia="Times New Roman" w:hAnsi="Times New Roman"/>
          <w:sz w:val="18"/>
          <w:szCs w:val="18"/>
          <w:u w:val="single" w:color="auto"/>
          <w:color w:val="0000FF"/>
        </w:rPr>
        <w:t>333-285725</w:t>
      </w:r>
      <w:r>
        <w:rPr>
          <w:rFonts w:ascii="Times New Roman" w:cs="Times New Roman" w:eastAsia="Times New Roman" w:hAnsi="Times New Roman"/>
          <w:sz w:val="18"/>
          <w:szCs w:val="18"/>
          <w:color w:val="auto"/>
        </w:rPr>
        <w:t>), including any amendments thereto, filed with the Securities and Exchange Commission, relating to the Incentive Plan, are incorporated by reference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3" w:lineRule="exact"/>
        <w:rPr>
          <w:sz w:val="20"/>
          <w:szCs w:val="20"/>
          <w:color w:val="auto"/>
        </w:rPr>
      </w:pPr>
    </w:p>
    <w:p>
      <w:pPr>
        <w:ind w:left="80"/>
        <w:spacing w:after="0"/>
        <w:tabs>
          <w:tab w:leader="none" w:pos="564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41910</wp:posOffset>
            </wp:positionV>
            <wp:extent cx="6626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57" w:lineRule="exact"/>
        <w:rPr>
          <w:sz w:val="20"/>
          <w:szCs w:val="20"/>
          <w:color w:val="auto"/>
        </w:rPr>
      </w:pPr>
    </w:p>
    <w:p>
      <w:pPr>
        <w:ind w:left="820" w:right="140" w:hanging="796"/>
        <w:spacing w:after="0" w:line="282"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10">
        <w:r>
          <w:rPr>
            <w:rFonts w:ascii="Times New Roman" w:cs="Times New Roman" w:eastAsia="Times New Roman" w:hAnsi="Times New Roman"/>
            <w:sz w:val="18"/>
            <w:szCs w:val="18"/>
            <w:u w:val="single" w:color="auto"/>
            <w:color w:val="0000FF"/>
          </w:rPr>
          <w:t>Restated Certificate of Incorporation of Vroom, Inc. (incorporated by reference to Exhibit 3.2 to the Registrant’s Annual Report on Form 10-K</w:t>
        </w:r>
      </w:hyperlink>
      <w:r>
        <w:rPr>
          <w:rFonts w:ascii="Times New Roman" w:cs="Times New Roman" w:eastAsia="Times New Roman" w:hAnsi="Times New Roman"/>
          <w:sz w:val="18"/>
          <w:szCs w:val="18"/>
          <w:u w:val="single" w:color="auto"/>
          <w:color w:val="0000FF"/>
        </w:rPr>
        <w:t xml:space="preserve"> </w:t>
      </w:r>
      <w:hyperlink r:id="rId10">
        <w:r>
          <w:rPr>
            <w:rFonts w:ascii="Times New Roman" w:cs="Times New Roman" w:eastAsia="Times New Roman" w:hAnsi="Times New Roman"/>
            <w:sz w:val="18"/>
            <w:szCs w:val="18"/>
            <w:u w:val="single" w:color="auto"/>
            <w:color w:val="0000FF"/>
          </w:rPr>
          <w:t>(File No. 001-39315) filed on March 26, 2026)</w:t>
        </w:r>
      </w:hyperlink>
    </w:p>
    <w:p>
      <w:pPr>
        <w:spacing w:after="0" w:line="162" w:lineRule="exact"/>
        <w:rPr>
          <w:sz w:val="20"/>
          <w:szCs w:val="20"/>
          <w:color w:val="auto"/>
        </w:rPr>
      </w:pPr>
    </w:p>
    <w:p>
      <w:pPr>
        <w:ind w:left="820" w:right="200" w:hanging="796"/>
        <w:spacing w:after="0" w:line="282"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w:t>
      </w:r>
      <w:r>
        <w:rPr>
          <w:sz w:val="20"/>
          <w:szCs w:val="20"/>
          <w:color w:val="auto"/>
        </w:rPr>
        <w:tab/>
      </w:r>
      <w:hyperlink r:id="rId11">
        <w:r>
          <w:rPr>
            <w:rFonts w:ascii="Times New Roman" w:cs="Times New Roman" w:eastAsia="Times New Roman" w:hAnsi="Times New Roman"/>
            <w:sz w:val="18"/>
            <w:szCs w:val="18"/>
            <w:u w:val="single" w:color="auto"/>
            <w:color w:val="0000FF"/>
          </w:rPr>
          <w:t>Amended and Restated Bylaws of Vroom, Inc. (incorporated by reference to Exhibit 3.2 to the Registrant’s Current Report on Form 8-K (File</w:t>
        </w:r>
      </w:hyperlink>
      <w:r>
        <w:rPr>
          <w:rFonts w:ascii="Times New Roman" w:cs="Times New Roman" w:eastAsia="Times New Roman" w:hAnsi="Times New Roman"/>
          <w:sz w:val="18"/>
          <w:szCs w:val="18"/>
          <w:u w:val="single" w:color="auto"/>
          <w:color w:val="0000FF"/>
        </w:rPr>
        <w:t xml:space="preserve"> </w:t>
      </w:r>
      <w:hyperlink r:id="rId11">
        <w:r>
          <w:rPr>
            <w:rFonts w:ascii="Times New Roman" w:cs="Times New Roman" w:eastAsia="Times New Roman" w:hAnsi="Times New Roman"/>
            <w:sz w:val="18"/>
            <w:szCs w:val="18"/>
            <w:u w:val="single" w:color="auto"/>
            <w:color w:val="0000FF"/>
          </w:rPr>
          <w:t>No. 001-39315) filed on January 15, 2025)</w:t>
        </w:r>
      </w:hyperlink>
    </w:p>
    <w:p>
      <w:pPr>
        <w:spacing w:after="0" w:line="162"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FF"/>
        </w:rPr>
        <w:t>Opinion of Latham &amp; Watkins LLP, counsel to the Registrant</w:t>
      </w:r>
    </w:p>
    <w:p>
      <w:pPr>
        <w:spacing w:after="0" w:line="225"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FF"/>
        </w:rPr>
        <w:t>Consent of RSM US LLP, Independent Registered Public Accounting Firm</w:t>
      </w:r>
    </w:p>
    <w:p>
      <w:pPr>
        <w:spacing w:after="0" w:line="225"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FF"/>
        </w:rPr>
        <w:t>Consent of Latham &amp; Watkins LLP (included in Exhibit 5.1)</w:t>
      </w:r>
    </w:p>
    <w:p>
      <w:pPr>
        <w:spacing w:after="0" w:line="225"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u w:val="single" w:color="auto"/>
          <w:color w:val="0000FF"/>
        </w:rPr>
        <w:t>Power of attorney (included on signature pages below)</w:t>
      </w:r>
    </w:p>
    <w:p>
      <w:pPr>
        <w:spacing w:after="0" w:line="225" w:lineRule="exact"/>
        <w:rPr>
          <w:sz w:val="20"/>
          <w:szCs w:val="20"/>
          <w:color w:val="auto"/>
        </w:rPr>
      </w:pPr>
    </w:p>
    <w:p>
      <w:pPr>
        <w:ind w:left="820" w:right="40" w:hanging="796"/>
        <w:spacing w:after="0" w:line="282"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99.1</w:t>
      </w:r>
      <w:r>
        <w:rPr>
          <w:sz w:val="20"/>
          <w:szCs w:val="20"/>
          <w:color w:val="auto"/>
        </w:rPr>
        <w:tab/>
      </w:r>
      <w:hyperlink r:id="rId12">
        <w:r>
          <w:rPr>
            <w:rFonts w:ascii="Times New Roman" w:cs="Times New Roman" w:eastAsia="Times New Roman" w:hAnsi="Times New Roman"/>
            <w:sz w:val="18"/>
            <w:szCs w:val="18"/>
            <w:u w:val="single" w:color="auto"/>
            <w:color w:val="0000FF"/>
          </w:rPr>
          <w:t>Vroom, Inc. Amended and Restated 2020 Incentive Award Plan (incorporated by reference to Exhibit 10.7 to the Registrant’s Annual Report on</w:t>
        </w:r>
      </w:hyperlink>
      <w:r>
        <w:rPr>
          <w:rFonts w:ascii="Times New Roman" w:cs="Times New Roman" w:eastAsia="Times New Roman" w:hAnsi="Times New Roman"/>
          <w:sz w:val="18"/>
          <w:szCs w:val="18"/>
          <w:u w:val="single" w:color="auto"/>
          <w:color w:val="0000FF"/>
        </w:rPr>
        <w:t xml:space="preserve"> </w:t>
      </w:r>
      <w:hyperlink r:id="rId12">
        <w:r>
          <w:rPr>
            <w:rFonts w:ascii="Times New Roman" w:cs="Times New Roman" w:eastAsia="Times New Roman" w:hAnsi="Times New Roman"/>
            <w:sz w:val="18"/>
            <w:szCs w:val="18"/>
            <w:u w:val="single" w:color="auto"/>
            <w:color w:val="0000FF"/>
          </w:rPr>
          <w:t>Form 10-K (File No. 001-39315) filed on March 11, 2025)</w:t>
        </w:r>
      </w:hyperlink>
    </w:p>
    <w:p>
      <w:pPr>
        <w:spacing w:after="0" w:line="162" w:lineRule="exact"/>
        <w:rPr>
          <w:sz w:val="20"/>
          <w:szCs w:val="20"/>
          <w:color w:val="auto"/>
        </w:rPr>
      </w:pPr>
    </w:p>
    <w:p>
      <w:pPr>
        <w:ind w:left="820" w:right="180" w:hanging="796"/>
        <w:spacing w:after="0" w:line="282"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99.2</w:t>
      </w:r>
      <w:r>
        <w:rPr>
          <w:sz w:val="20"/>
          <w:szCs w:val="20"/>
          <w:color w:val="auto"/>
        </w:rPr>
        <w:tab/>
      </w:r>
      <w:hyperlink r:id="rId13">
        <w:r>
          <w:rPr>
            <w:rFonts w:ascii="Times New Roman" w:cs="Times New Roman" w:eastAsia="Times New Roman" w:hAnsi="Times New Roman"/>
            <w:sz w:val="18"/>
            <w:szCs w:val="18"/>
            <w:u w:val="single" w:color="auto"/>
            <w:color w:val="0000FF"/>
          </w:rPr>
          <w:t>Form of Restricted Stock Unit Agreement pursuant to the Vroom, Inc. 2020 Incentive Award Plan (incorporated by reference to Exhibit 10.58</w:t>
        </w:r>
      </w:hyperlink>
      <w:r>
        <w:rPr>
          <w:rFonts w:ascii="Times New Roman" w:cs="Times New Roman" w:eastAsia="Times New Roman" w:hAnsi="Times New Roman"/>
          <w:sz w:val="18"/>
          <w:szCs w:val="18"/>
          <w:u w:val="single" w:color="auto"/>
          <w:color w:val="0000FF"/>
        </w:rPr>
        <w:t xml:space="preserve"> </w:t>
      </w:r>
      <w:hyperlink r:id="rId13">
        <w:r>
          <w:rPr>
            <w:rFonts w:ascii="Times New Roman" w:cs="Times New Roman" w:eastAsia="Times New Roman" w:hAnsi="Times New Roman"/>
            <w:sz w:val="18"/>
            <w:szCs w:val="18"/>
            <w:u w:val="single" w:color="auto"/>
            <w:color w:val="0000FF"/>
          </w:rPr>
          <w:t>to the Registrant’s Annual Report on Form 10-K (File No. 001-39315) filed on March 26, 2026)</w:t>
        </w:r>
      </w:hyperlink>
    </w:p>
    <w:p>
      <w:pPr>
        <w:spacing w:after="0" w:line="162" w:lineRule="exact"/>
        <w:rPr>
          <w:sz w:val="20"/>
          <w:szCs w:val="20"/>
          <w:color w:val="auto"/>
        </w:rPr>
      </w:pPr>
    </w:p>
    <w:p>
      <w:pPr>
        <w:ind w:left="820" w:right="420" w:hanging="796"/>
        <w:spacing w:after="0" w:line="282" w:lineRule="auto"/>
        <w:tabs>
          <w:tab w:leader="none" w:pos="8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99.3</w:t>
      </w:r>
      <w:r>
        <w:rPr>
          <w:sz w:val="20"/>
          <w:szCs w:val="20"/>
          <w:color w:val="auto"/>
        </w:rPr>
        <w:tab/>
      </w:r>
      <w:hyperlink r:id="rId14">
        <w:r>
          <w:rPr>
            <w:rFonts w:ascii="Times New Roman" w:cs="Times New Roman" w:eastAsia="Times New Roman" w:hAnsi="Times New Roman"/>
            <w:sz w:val="18"/>
            <w:szCs w:val="18"/>
            <w:u w:val="single" w:color="auto"/>
            <w:color w:val="0000FF"/>
          </w:rPr>
          <w:t>Form of Stock Option Grant Notice and Stock Option Agreement pursuant to the Vroom, Inc. 2020 Incentive Award Plan (incorporated by</w:t>
        </w:r>
      </w:hyperlink>
      <w:r>
        <w:rPr>
          <w:rFonts w:ascii="Times New Roman" w:cs="Times New Roman" w:eastAsia="Times New Roman" w:hAnsi="Times New Roman"/>
          <w:sz w:val="18"/>
          <w:szCs w:val="18"/>
          <w:u w:val="single" w:color="auto"/>
          <w:color w:val="0000FF"/>
        </w:rPr>
        <w:t xml:space="preserve"> </w:t>
      </w:r>
      <w:hyperlink r:id="rId14">
        <w:r>
          <w:rPr>
            <w:rFonts w:ascii="Times New Roman" w:cs="Times New Roman" w:eastAsia="Times New Roman" w:hAnsi="Times New Roman"/>
            <w:sz w:val="18"/>
            <w:szCs w:val="18"/>
            <w:u w:val="single" w:color="auto"/>
            <w:color w:val="0000FF"/>
          </w:rPr>
          <w:t>reference to Exhibit 10.4 to the Registrant’s Quarterly Report on Form 10-Q (File No. 001-39315) filed on August 8, 2022)</w:t>
        </w:r>
      </w:hyperlink>
    </w:p>
    <w:p>
      <w:pPr>
        <w:spacing w:after="0" w:line="162"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FF"/>
        </w:rPr>
        <w:t>Filing Fee Table</w:t>
      </w:r>
    </w:p>
    <w:p>
      <w:pPr>
        <w:spacing w:after="0" w:line="225" w:lineRule="exact"/>
        <w:rPr>
          <w:sz w:val="20"/>
          <w:szCs w:val="20"/>
          <w:color w:val="auto"/>
        </w:rPr>
      </w:pPr>
    </w:p>
    <w:p>
      <w:pPr>
        <w:ind w:left="1240" w:hanging="1219"/>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Fort Worth, state of Texas, on this 26th day of March, 2026.</w:t>
      </w: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VROOM, INC.</w:t>
            </w:r>
          </w:p>
        </w:tc>
        <w:tc>
          <w:tcPr>
            <w:tcW w:w="9320" w:type="dxa"/>
            <w:vAlign w:val="bottom"/>
          </w:tcPr>
          <w:p>
            <w:pPr>
              <w:spacing w:after="0"/>
              <w:rPr>
                <w:sz w:val="20"/>
                <w:szCs w:val="20"/>
                <w:color w:val="auto"/>
              </w:rPr>
            </w:pPr>
          </w:p>
        </w:tc>
      </w:tr>
      <w:tr>
        <w:trPr>
          <w:trHeight w:val="432"/>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H. Shortt</w:t>
            </w:r>
          </w:p>
        </w:tc>
      </w:tr>
      <w:tr>
        <w:trPr>
          <w:trHeight w:val="191"/>
        </w:trPr>
        <w:tc>
          <w:tcPr>
            <w:tcW w:w="1880" w:type="dxa"/>
            <w:vAlign w:val="bottom"/>
          </w:tcPr>
          <w:p>
            <w:pPr>
              <w:spacing w:after="0"/>
              <w:rPr>
                <w:sz w:val="16"/>
                <w:szCs w:val="16"/>
                <w:color w:val="auto"/>
              </w:rPr>
            </w:pPr>
          </w:p>
        </w:tc>
        <w:tc>
          <w:tcPr>
            <w:tcW w:w="9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H. Shortt</w:t>
            </w:r>
          </w:p>
        </w:tc>
      </w:tr>
      <w:tr>
        <w:trPr>
          <w:trHeight w:val="234"/>
        </w:trPr>
        <w:tc>
          <w:tcPr>
            <w:tcW w:w="1880" w:type="dxa"/>
            <w:vAlign w:val="bottom"/>
          </w:tcPr>
          <w:p>
            <w:pPr>
              <w:spacing w:after="0"/>
              <w:rPr>
                <w:sz w:val="20"/>
                <w:szCs w:val="20"/>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Thomas H. Shortt and Anna-Lisa Corrales, or either of them, as his or her true and lawful attorneys-in-fact and agents, with full power of substitution and resubstitution, for him or her and in his or her name, place and stead, in any and all capacities, to file and sign any and all amendments, including post-effective amendments, to this registration statement,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3" w:lineRule="exact"/>
        <w:rPr>
          <w:sz w:val="20"/>
          <w:szCs w:val="20"/>
          <w:color w:val="auto"/>
        </w:rPr>
      </w:pPr>
    </w:p>
    <w:p>
      <w:pPr>
        <w:ind w:right="700"/>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594360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3080" w:type="dxa"/>
            <w:vAlign w:val="bottom"/>
          </w:tcPr>
          <w:p>
            <w:pPr>
              <w:ind w:left="14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42"/>
        </w:trPr>
        <w:tc>
          <w:tcPr>
            <w:tcW w:w="20" w:type="dxa"/>
            <w:vAlign w:val="bottom"/>
          </w:tcPr>
          <w:p>
            <w:pPr>
              <w:spacing w:after="0"/>
              <w:rPr>
                <w:sz w:val="24"/>
                <w:szCs w:val="24"/>
                <w:color w:val="auto"/>
              </w:rPr>
            </w:pPr>
          </w:p>
        </w:tc>
        <w:tc>
          <w:tcPr>
            <w:tcW w:w="6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H. Shortt</w:t>
            </w:r>
          </w:p>
        </w:tc>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March 26, 2026</w:t>
            </w:r>
          </w:p>
        </w:tc>
      </w:tr>
      <w:tr>
        <w:trPr>
          <w:trHeight w:val="263"/>
        </w:trPr>
        <w:tc>
          <w:tcPr>
            <w:tcW w:w="20" w:type="dxa"/>
            <w:vAlign w:val="bottom"/>
          </w:tcPr>
          <w:p>
            <w:pPr>
              <w:spacing w:after="0"/>
              <w:rPr>
                <w:sz w:val="22"/>
                <w:szCs w:val="22"/>
                <w:color w:val="auto"/>
              </w:rPr>
            </w:pPr>
          </w:p>
        </w:tc>
        <w:tc>
          <w:tcPr>
            <w:tcW w:w="6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Thomas H. Shortt</w:t>
            </w:r>
          </w:p>
        </w:tc>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2000" w:type="dxa"/>
            <w:vAlign w:val="bottom"/>
          </w:tcPr>
          <w:p>
            <w:pPr>
              <w:spacing w:after="0"/>
              <w:rPr>
                <w:sz w:val="22"/>
                <w:szCs w:val="22"/>
                <w:color w:val="auto"/>
              </w:rPr>
            </w:pPr>
          </w:p>
        </w:tc>
      </w:tr>
      <w:tr>
        <w:trPr>
          <w:trHeight w:val="459"/>
        </w:trPr>
        <w:tc>
          <w:tcPr>
            <w:tcW w:w="20" w:type="dxa"/>
            <w:vAlign w:val="bottom"/>
          </w:tcPr>
          <w:p>
            <w:pPr>
              <w:spacing w:after="0"/>
              <w:rPr>
                <w:sz w:val="24"/>
                <w:szCs w:val="24"/>
                <w:color w:val="auto"/>
              </w:rPr>
            </w:pPr>
          </w:p>
        </w:tc>
        <w:tc>
          <w:tcPr>
            <w:tcW w:w="6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Jonathan Sandison</w:t>
            </w:r>
          </w:p>
        </w:tc>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2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March 26, 2026</w:t>
            </w:r>
          </w:p>
        </w:tc>
      </w:tr>
      <w:tr>
        <w:trPr>
          <w:trHeight w:val="228"/>
        </w:trPr>
        <w:tc>
          <w:tcPr>
            <w:tcW w:w="20" w:type="dxa"/>
            <w:vAlign w:val="bottom"/>
          </w:tcPr>
          <w:p>
            <w:pPr>
              <w:spacing w:after="0"/>
              <w:rPr>
                <w:sz w:val="19"/>
                <w:szCs w:val="19"/>
                <w:color w:val="auto"/>
              </w:rPr>
            </w:pPr>
          </w:p>
        </w:tc>
        <w:tc>
          <w:tcPr>
            <w:tcW w:w="6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Jonathan Sandison</w:t>
            </w:r>
          </w:p>
        </w:tc>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c>
          <w:tcPr>
            <w:tcW w:w="200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6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Jacob Benzaquen</w:t>
            </w:r>
          </w:p>
        </w:tc>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Accounting</w:t>
            </w:r>
          </w:p>
        </w:tc>
        <w:tc>
          <w:tcPr>
            <w:tcW w:w="2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March 26, 2026</w:t>
            </w:r>
          </w:p>
        </w:tc>
      </w:tr>
      <w:tr>
        <w:trPr>
          <w:trHeight w:val="228"/>
        </w:trPr>
        <w:tc>
          <w:tcPr>
            <w:tcW w:w="20" w:type="dxa"/>
            <w:vAlign w:val="bottom"/>
          </w:tcPr>
          <w:p>
            <w:pPr>
              <w:spacing w:after="0"/>
              <w:rPr>
                <w:sz w:val="19"/>
                <w:szCs w:val="19"/>
                <w:color w:val="auto"/>
              </w:rPr>
            </w:pPr>
          </w:p>
        </w:tc>
        <w:tc>
          <w:tcPr>
            <w:tcW w:w="6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Jacob Benzaquen</w:t>
            </w:r>
          </w:p>
        </w:tc>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tc>
        <w:tc>
          <w:tcPr>
            <w:tcW w:w="2000" w:type="dxa"/>
            <w:vAlign w:val="bottom"/>
          </w:tcPr>
          <w:p>
            <w:pPr>
              <w:spacing w:after="0"/>
              <w:rPr>
                <w:sz w:val="19"/>
                <w:szCs w:val="19"/>
                <w:color w:val="auto"/>
              </w:rPr>
            </w:pPr>
          </w:p>
        </w:tc>
      </w:tr>
      <w:tr>
        <w:trPr>
          <w:trHeight w:val="441"/>
        </w:trPr>
        <w:tc>
          <w:tcPr>
            <w:tcW w:w="20" w:type="dxa"/>
            <w:vAlign w:val="bottom"/>
          </w:tcPr>
          <w:p>
            <w:pPr>
              <w:spacing w:after="0"/>
              <w:rPr>
                <w:sz w:val="24"/>
                <w:szCs w:val="24"/>
                <w:color w:val="auto"/>
              </w:rPr>
            </w:pPr>
          </w:p>
        </w:tc>
        <w:tc>
          <w:tcPr>
            <w:tcW w:w="6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Robert J. Mylod, Jr.</w:t>
            </w:r>
          </w:p>
        </w:tc>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Chairperson of the Board</w:t>
            </w:r>
          </w:p>
        </w:tc>
        <w:tc>
          <w:tcPr>
            <w:tcW w:w="2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March 26, 2026</w:t>
            </w:r>
          </w:p>
        </w:tc>
      </w:tr>
      <w:tr>
        <w:trPr>
          <w:trHeight w:val="228"/>
        </w:trPr>
        <w:tc>
          <w:tcPr>
            <w:tcW w:w="20" w:type="dxa"/>
            <w:vAlign w:val="bottom"/>
          </w:tcPr>
          <w:p>
            <w:pPr>
              <w:spacing w:after="0"/>
              <w:rPr>
                <w:sz w:val="19"/>
                <w:szCs w:val="19"/>
                <w:color w:val="auto"/>
              </w:rPr>
            </w:pPr>
          </w:p>
        </w:tc>
        <w:tc>
          <w:tcPr>
            <w:tcW w:w="6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J. Mylod, Jr.</w:t>
            </w:r>
          </w:p>
        </w:tc>
        <w:tc>
          <w:tcPr>
            <w:tcW w:w="30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41"/>
        </w:trPr>
        <w:tc>
          <w:tcPr>
            <w:tcW w:w="20" w:type="dxa"/>
            <w:vAlign w:val="bottom"/>
          </w:tcPr>
          <w:p>
            <w:pPr>
              <w:spacing w:after="0"/>
              <w:rPr>
                <w:sz w:val="24"/>
                <w:szCs w:val="24"/>
                <w:color w:val="auto"/>
              </w:rPr>
            </w:pPr>
          </w:p>
        </w:tc>
        <w:tc>
          <w:tcPr>
            <w:tcW w:w="6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R. Krakowiak</w:t>
            </w:r>
          </w:p>
        </w:tc>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Chair of the Board</w:t>
            </w:r>
          </w:p>
        </w:tc>
        <w:tc>
          <w:tcPr>
            <w:tcW w:w="2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March 26, 2026</w:t>
            </w:r>
          </w:p>
        </w:tc>
      </w:tr>
      <w:tr>
        <w:trPr>
          <w:trHeight w:val="228"/>
        </w:trPr>
        <w:tc>
          <w:tcPr>
            <w:tcW w:w="20" w:type="dxa"/>
            <w:vAlign w:val="bottom"/>
          </w:tcPr>
          <w:p>
            <w:pPr>
              <w:spacing w:after="0"/>
              <w:rPr>
                <w:sz w:val="19"/>
                <w:szCs w:val="19"/>
                <w:color w:val="auto"/>
              </w:rPr>
            </w:pPr>
          </w:p>
        </w:tc>
        <w:tc>
          <w:tcPr>
            <w:tcW w:w="614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Robert R. Krakowiak</w:t>
            </w:r>
          </w:p>
        </w:tc>
        <w:tc>
          <w:tcPr>
            <w:tcW w:w="30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68"/>
        </w:trPr>
        <w:tc>
          <w:tcPr>
            <w:tcW w:w="20" w:type="dxa"/>
            <w:vAlign w:val="bottom"/>
          </w:tcPr>
          <w:p>
            <w:pPr>
              <w:spacing w:after="0"/>
              <w:rPr>
                <w:sz w:val="24"/>
                <w:szCs w:val="24"/>
                <w:color w:val="auto"/>
              </w:rPr>
            </w:pPr>
          </w:p>
        </w:tc>
        <w:tc>
          <w:tcPr>
            <w:tcW w:w="6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Timothy M. Crow</w:t>
            </w:r>
          </w:p>
        </w:tc>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March 26, 2026</w:t>
            </w:r>
          </w:p>
        </w:tc>
      </w:tr>
      <w:tr>
        <w:trPr>
          <w:trHeight w:val="228"/>
        </w:trPr>
        <w:tc>
          <w:tcPr>
            <w:tcW w:w="20" w:type="dxa"/>
            <w:vAlign w:val="bottom"/>
          </w:tcPr>
          <w:p>
            <w:pPr>
              <w:spacing w:after="0"/>
              <w:rPr>
                <w:sz w:val="19"/>
                <w:szCs w:val="19"/>
                <w:color w:val="auto"/>
              </w:rPr>
            </w:pPr>
          </w:p>
        </w:tc>
        <w:tc>
          <w:tcPr>
            <w:tcW w:w="6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Timothy M. Crow</w:t>
            </w:r>
          </w:p>
        </w:tc>
        <w:tc>
          <w:tcPr>
            <w:tcW w:w="30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41"/>
        </w:trPr>
        <w:tc>
          <w:tcPr>
            <w:tcW w:w="20" w:type="dxa"/>
            <w:vAlign w:val="bottom"/>
          </w:tcPr>
          <w:p>
            <w:pPr>
              <w:spacing w:after="0"/>
              <w:rPr>
                <w:sz w:val="24"/>
                <w:szCs w:val="24"/>
                <w:color w:val="auto"/>
              </w:rPr>
            </w:pPr>
          </w:p>
        </w:tc>
        <w:tc>
          <w:tcPr>
            <w:tcW w:w="6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J. Farello</w:t>
            </w:r>
          </w:p>
        </w:tc>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March 26, 2026</w:t>
            </w:r>
          </w:p>
        </w:tc>
      </w:tr>
      <w:tr>
        <w:trPr>
          <w:trHeight w:val="228"/>
        </w:trPr>
        <w:tc>
          <w:tcPr>
            <w:tcW w:w="20" w:type="dxa"/>
            <w:vAlign w:val="bottom"/>
          </w:tcPr>
          <w:p>
            <w:pPr>
              <w:spacing w:after="0"/>
              <w:rPr>
                <w:sz w:val="19"/>
                <w:szCs w:val="19"/>
                <w:color w:val="auto"/>
              </w:rPr>
            </w:pPr>
          </w:p>
        </w:tc>
        <w:tc>
          <w:tcPr>
            <w:tcW w:w="6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J. Farello</w:t>
            </w:r>
          </w:p>
        </w:tc>
        <w:tc>
          <w:tcPr>
            <w:tcW w:w="30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41"/>
        </w:trPr>
        <w:tc>
          <w:tcPr>
            <w:tcW w:w="20" w:type="dxa"/>
            <w:vAlign w:val="bottom"/>
          </w:tcPr>
          <w:p>
            <w:pPr>
              <w:spacing w:after="0"/>
              <w:rPr>
                <w:sz w:val="24"/>
                <w:szCs w:val="24"/>
                <w:color w:val="auto"/>
              </w:rPr>
            </w:pPr>
          </w:p>
        </w:tc>
        <w:tc>
          <w:tcPr>
            <w:tcW w:w="6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Laura G. O’Shaughnessy</w:t>
            </w:r>
          </w:p>
        </w:tc>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March 26, 2026</w:t>
            </w:r>
          </w:p>
        </w:tc>
      </w:tr>
      <w:tr>
        <w:trPr>
          <w:trHeight w:val="228"/>
        </w:trPr>
        <w:tc>
          <w:tcPr>
            <w:tcW w:w="20" w:type="dxa"/>
            <w:vAlign w:val="bottom"/>
          </w:tcPr>
          <w:p>
            <w:pPr>
              <w:spacing w:after="0"/>
              <w:rPr>
                <w:sz w:val="19"/>
                <w:szCs w:val="19"/>
                <w:color w:val="auto"/>
              </w:rPr>
            </w:pPr>
          </w:p>
        </w:tc>
        <w:tc>
          <w:tcPr>
            <w:tcW w:w="6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Laura G. O’Shaughnessy</w:t>
            </w:r>
          </w:p>
        </w:tc>
        <w:tc>
          <w:tcPr>
            <w:tcW w:w="30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41"/>
        </w:trPr>
        <w:tc>
          <w:tcPr>
            <w:tcW w:w="20" w:type="dxa"/>
            <w:vAlign w:val="bottom"/>
          </w:tcPr>
          <w:p>
            <w:pPr>
              <w:spacing w:after="0"/>
              <w:rPr>
                <w:sz w:val="24"/>
                <w:szCs w:val="24"/>
                <w:color w:val="auto"/>
              </w:rPr>
            </w:pPr>
          </w:p>
        </w:tc>
        <w:tc>
          <w:tcPr>
            <w:tcW w:w="6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Nikul Patel</w:t>
            </w:r>
          </w:p>
        </w:tc>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March 26, 2026</w:t>
            </w:r>
          </w:p>
        </w:tc>
      </w:tr>
      <w:tr>
        <w:trPr>
          <w:trHeight w:val="228"/>
        </w:trPr>
        <w:tc>
          <w:tcPr>
            <w:tcW w:w="20" w:type="dxa"/>
            <w:vAlign w:val="bottom"/>
          </w:tcPr>
          <w:p>
            <w:pPr>
              <w:spacing w:after="0"/>
              <w:rPr>
                <w:sz w:val="19"/>
                <w:szCs w:val="19"/>
                <w:color w:val="auto"/>
              </w:rPr>
            </w:pPr>
          </w:p>
        </w:tc>
        <w:tc>
          <w:tcPr>
            <w:tcW w:w="6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Nikul Patel</w:t>
            </w:r>
          </w:p>
        </w:tc>
        <w:tc>
          <w:tcPr>
            <w:tcW w:w="30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41"/>
        </w:trPr>
        <w:tc>
          <w:tcPr>
            <w:tcW w:w="20" w:type="dxa"/>
            <w:vAlign w:val="bottom"/>
          </w:tcPr>
          <w:p>
            <w:pPr>
              <w:spacing w:after="0"/>
              <w:rPr>
                <w:sz w:val="24"/>
                <w:szCs w:val="24"/>
                <w:color w:val="auto"/>
              </w:rPr>
            </w:pPr>
          </w:p>
        </w:tc>
        <w:tc>
          <w:tcPr>
            <w:tcW w:w="6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Matthew Pietroforte</w:t>
            </w:r>
          </w:p>
        </w:tc>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2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March 26, 2026</w:t>
            </w:r>
          </w:p>
        </w:tc>
      </w:tr>
      <w:tr>
        <w:trPr>
          <w:trHeight w:val="228"/>
        </w:trPr>
        <w:tc>
          <w:tcPr>
            <w:tcW w:w="20" w:type="dxa"/>
            <w:vAlign w:val="bottom"/>
          </w:tcPr>
          <w:p>
            <w:pPr>
              <w:spacing w:after="0"/>
              <w:rPr>
                <w:sz w:val="19"/>
                <w:szCs w:val="19"/>
                <w:color w:val="auto"/>
              </w:rPr>
            </w:pPr>
          </w:p>
        </w:tc>
        <w:tc>
          <w:tcPr>
            <w:tcW w:w="6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Matthew Pietroforte</w:t>
            </w:r>
          </w:p>
        </w:tc>
        <w:tc>
          <w:tcPr>
            <w:tcW w:w="308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961"/>
        </w:trPr>
        <w:tc>
          <w:tcPr>
            <w:tcW w:w="20" w:type="dxa"/>
            <w:vAlign w:val="bottom"/>
            <w:tcBorders>
              <w:bottom w:val="single" w:sz="8" w:color="9A9A9A"/>
            </w:tcBorders>
          </w:tcPr>
          <w:p>
            <w:pPr>
              <w:spacing w:after="0"/>
              <w:rPr>
                <w:sz w:val="24"/>
                <w:szCs w:val="24"/>
                <w:color w:val="auto"/>
              </w:rPr>
            </w:pPr>
          </w:p>
        </w:tc>
        <w:tc>
          <w:tcPr>
            <w:tcW w:w="614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4" w:name="page5"/>
    <w:bookmarkEnd w:id="4"/>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3"/>
          <w:szCs w:val="13"/>
          <w:color w:val="auto"/>
        </w:rPr>
        <w:t>1271 Avenue of the Americas</w:t>
      </w:r>
    </w:p>
    <w:p>
      <w:pPr>
        <w:spacing w:after="0" w:line="216" w:lineRule="auto"/>
        <w:rPr>
          <w:sz w:val="20"/>
          <w:szCs w:val="20"/>
          <w:color w:val="auto"/>
        </w:rPr>
      </w:pPr>
      <w:r>
        <w:rPr>
          <w:rFonts w:ascii="Arial" w:cs="Arial" w:eastAsia="Arial" w:hAnsi="Arial"/>
          <w:sz w:val="13"/>
          <w:szCs w:val="13"/>
          <w:color w:val="auto"/>
        </w:rPr>
        <w:t>New York, New York 10020-1401</w:t>
      </w:r>
    </w:p>
    <w:p>
      <w:pPr>
        <w:spacing w:after="0" w:line="217" w:lineRule="auto"/>
        <w:rPr>
          <w:sz w:val="20"/>
          <w:szCs w:val="20"/>
          <w:color w:val="auto"/>
        </w:rPr>
      </w:pPr>
      <w:r>
        <w:rPr>
          <w:rFonts w:ascii="Arial" w:cs="Arial" w:eastAsia="Arial" w:hAnsi="Arial"/>
          <w:sz w:val="13"/>
          <w:szCs w:val="13"/>
          <w:color w:val="auto"/>
        </w:rPr>
        <w:t>Tel: +1.212.906.1200 Fax: +1.212.751.4864</w:t>
      </w:r>
    </w:p>
    <w:p>
      <w:pPr>
        <w:spacing w:after="0"/>
        <w:rPr>
          <w:sz w:val="20"/>
          <w:szCs w:val="20"/>
          <w:color w:val="auto"/>
        </w:rPr>
      </w:pPr>
      <w:r>
        <w:rPr>
          <w:rFonts w:ascii="Arial" w:cs="Arial" w:eastAsia="Arial" w:hAnsi="Arial"/>
          <w:sz w:val="13"/>
          <w:szCs w:val="13"/>
          <w:color w:val="auto"/>
        </w:rPr>
        <w:t>www.lw.com</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FIRM / AFFILIATE OFFICES</w:t>
      </w:r>
    </w:p>
    <w:tbl>
      <w:tblPr>
        <w:tblLayout w:type="fixed"/>
        <w:tblInd w:w="0" w:type="dxa"/>
        <w:tblCellMar>
          <w:top w:w="0" w:type="dxa"/>
          <w:left w:w="0" w:type="dxa"/>
          <w:bottom w:w="0" w:type="dxa"/>
          <w:right w:w="0" w:type="dxa"/>
        </w:tblCellMar>
      </w:tblPr>
      <w:tr>
        <w:trPr>
          <w:trHeight w:val="123"/>
        </w:trPr>
        <w:tc>
          <w:tcPr>
            <w:tcW w:w="520" w:type="dxa"/>
            <w:vAlign w:val="bottom"/>
          </w:tcPr>
          <w:p>
            <w:pPr>
              <w:spacing w:after="0" w:line="123" w:lineRule="exact"/>
              <w:rPr>
                <w:sz w:val="20"/>
                <w:szCs w:val="20"/>
                <w:color w:val="auto"/>
              </w:rPr>
            </w:pPr>
            <w:r>
              <w:rPr>
                <w:rFonts w:ascii="Arial" w:cs="Arial" w:eastAsia="Arial" w:hAnsi="Arial"/>
                <w:sz w:val="13"/>
                <w:szCs w:val="13"/>
                <w:color w:val="auto"/>
              </w:rPr>
              <w:t>Austin</w:t>
            </w:r>
          </w:p>
        </w:tc>
        <w:tc>
          <w:tcPr>
            <w:tcW w:w="1080" w:type="dxa"/>
            <w:vAlign w:val="bottom"/>
            <w:gridSpan w:val="2"/>
          </w:tcPr>
          <w:p>
            <w:pPr>
              <w:ind w:left="40"/>
              <w:spacing w:after="0" w:line="123" w:lineRule="exact"/>
              <w:rPr>
                <w:sz w:val="20"/>
                <w:szCs w:val="20"/>
                <w:color w:val="auto"/>
              </w:rPr>
            </w:pPr>
            <w:r>
              <w:rPr>
                <w:rFonts w:ascii="Arial" w:cs="Arial" w:eastAsia="Arial" w:hAnsi="Arial"/>
                <w:sz w:val="13"/>
                <w:szCs w:val="13"/>
                <w:color w:val="auto"/>
              </w:rPr>
              <w:t>Milan</w:t>
            </w:r>
          </w:p>
        </w:tc>
      </w:tr>
      <w:tr>
        <w:trPr>
          <w:trHeight w:val="135"/>
        </w:trPr>
        <w:tc>
          <w:tcPr>
            <w:tcW w:w="520" w:type="dxa"/>
            <w:vAlign w:val="bottom"/>
          </w:tcPr>
          <w:p>
            <w:pPr>
              <w:spacing w:after="0" w:line="135" w:lineRule="exact"/>
              <w:rPr>
                <w:sz w:val="20"/>
                <w:szCs w:val="20"/>
                <w:color w:val="auto"/>
              </w:rPr>
            </w:pPr>
            <w:r>
              <w:rPr>
                <w:rFonts w:ascii="Arial" w:cs="Arial" w:eastAsia="Arial" w:hAnsi="Arial"/>
                <w:sz w:val="13"/>
                <w:szCs w:val="13"/>
                <w:color w:val="auto"/>
              </w:rPr>
              <w:t>Beijing</w:t>
            </w:r>
          </w:p>
        </w:tc>
        <w:tc>
          <w:tcPr>
            <w:tcW w:w="10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Munich</w:t>
            </w:r>
          </w:p>
        </w:tc>
      </w:tr>
      <w:tr>
        <w:trPr>
          <w:trHeight w:val="135"/>
        </w:trPr>
        <w:tc>
          <w:tcPr>
            <w:tcW w:w="520" w:type="dxa"/>
            <w:vAlign w:val="bottom"/>
          </w:tcPr>
          <w:p>
            <w:pPr>
              <w:spacing w:after="0" w:line="135" w:lineRule="exact"/>
              <w:rPr>
                <w:sz w:val="20"/>
                <w:szCs w:val="20"/>
                <w:color w:val="auto"/>
              </w:rPr>
            </w:pPr>
            <w:r>
              <w:rPr>
                <w:rFonts w:ascii="Arial" w:cs="Arial" w:eastAsia="Arial" w:hAnsi="Arial"/>
                <w:sz w:val="13"/>
                <w:szCs w:val="13"/>
                <w:color w:val="auto"/>
              </w:rPr>
              <w:t>Boston</w:t>
            </w:r>
          </w:p>
        </w:tc>
        <w:tc>
          <w:tcPr>
            <w:tcW w:w="10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New York</w:t>
            </w:r>
          </w:p>
        </w:tc>
      </w:tr>
      <w:tr>
        <w:trPr>
          <w:trHeight w:val="135"/>
        </w:trPr>
        <w:tc>
          <w:tcPr>
            <w:tcW w:w="520" w:type="dxa"/>
            <w:vAlign w:val="bottom"/>
          </w:tcPr>
          <w:p>
            <w:pPr>
              <w:spacing w:after="0" w:line="135" w:lineRule="exact"/>
              <w:rPr>
                <w:sz w:val="20"/>
                <w:szCs w:val="20"/>
                <w:color w:val="auto"/>
              </w:rPr>
            </w:pPr>
            <w:r>
              <w:rPr>
                <w:rFonts w:ascii="Arial" w:cs="Arial" w:eastAsia="Arial" w:hAnsi="Arial"/>
                <w:sz w:val="13"/>
                <w:szCs w:val="13"/>
                <w:color w:val="auto"/>
              </w:rPr>
              <w:t>Brussels</w:t>
            </w:r>
          </w:p>
        </w:tc>
        <w:tc>
          <w:tcPr>
            <w:tcW w:w="10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Orange County</w:t>
            </w:r>
          </w:p>
        </w:tc>
      </w:tr>
      <w:tr>
        <w:trPr>
          <w:trHeight w:val="135"/>
        </w:trPr>
        <w:tc>
          <w:tcPr>
            <w:tcW w:w="520" w:type="dxa"/>
            <w:vAlign w:val="bottom"/>
          </w:tcPr>
          <w:p>
            <w:pPr>
              <w:spacing w:after="0" w:line="135" w:lineRule="exact"/>
              <w:rPr>
                <w:sz w:val="20"/>
                <w:szCs w:val="20"/>
                <w:color w:val="auto"/>
              </w:rPr>
            </w:pPr>
            <w:r>
              <w:rPr>
                <w:rFonts w:ascii="Arial" w:cs="Arial" w:eastAsia="Arial" w:hAnsi="Arial"/>
                <w:sz w:val="13"/>
                <w:szCs w:val="13"/>
                <w:color w:val="auto"/>
              </w:rPr>
              <w:t>Chicago</w:t>
            </w:r>
          </w:p>
        </w:tc>
        <w:tc>
          <w:tcPr>
            <w:tcW w:w="10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Paris</w:t>
            </w:r>
          </w:p>
        </w:tc>
      </w:tr>
      <w:tr>
        <w:trPr>
          <w:trHeight w:val="135"/>
        </w:trPr>
        <w:tc>
          <w:tcPr>
            <w:tcW w:w="520" w:type="dxa"/>
            <w:vAlign w:val="bottom"/>
          </w:tcPr>
          <w:p>
            <w:pPr>
              <w:spacing w:after="0" w:line="135" w:lineRule="exact"/>
              <w:rPr>
                <w:sz w:val="20"/>
                <w:szCs w:val="20"/>
                <w:color w:val="auto"/>
              </w:rPr>
            </w:pPr>
            <w:r>
              <w:rPr>
                <w:rFonts w:ascii="Arial" w:cs="Arial" w:eastAsia="Arial" w:hAnsi="Arial"/>
                <w:sz w:val="13"/>
                <w:szCs w:val="13"/>
                <w:color w:val="auto"/>
              </w:rPr>
              <w:t>Dubai</w:t>
            </w:r>
          </w:p>
        </w:tc>
        <w:tc>
          <w:tcPr>
            <w:tcW w:w="10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Riyadh</w:t>
            </w:r>
          </w:p>
        </w:tc>
      </w:tr>
      <w:tr>
        <w:trPr>
          <w:trHeight w:val="135"/>
        </w:trPr>
        <w:tc>
          <w:tcPr>
            <w:tcW w:w="780" w:type="dxa"/>
            <w:vAlign w:val="bottom"/>
            <w:gridSpan w:val="2"/>
          </w:tcPr>
          <w:p>
            <w:pPr>
              <w:spacing w:after="0" w:line="135" w:lineRule="exact"/>
              <w:rPr>
                <w:sz w:val="20"/>
                <w:szCs w:val="20"/>
                <w:color w:val="auto"/>
              </w:rPr>
            </w:pPr>
            <w:r>
              <w:rPr>
                <w:rFonts w:ascii="Arial" w:cs="Arial" w:eastAsia="Arial" w:hAnsi="Arial"/>
                <w:sz w:val="13"/>
                <w:szCs w:val="13"/>
                <w:color w:val="auto"/>
              </w:rPr>
              <w:t>Düsseldorf</w:t>
            </w:r>
          </w:p>
        </w:tc>
        <w:tc>
          <w:tcPr>
            <w:tcW w:w="820" w:type="dxa"/>
            <w:vAlign w:val="bottom"/>
          </w:tcPr>
          <w:p>
            <w:pPr>
              <w:ind w:left="60"/>
              <w:spacing w:after="0" w:line="135" w:lineRule="exact"/>
              <w:rPr>
                <w:sz w:val="20"/>
                <w:szCs w:val="20"/>
                <w:color w:val="auto"/>
              </w:rPr>
            </w:pPr>
            <w:r>
              <w:rPr>
                <w:rFonts w:ascii="Arial" w:cs="Arial" w:eastAsia="Arial" w:hAnsi="Arial"/>
                <w:sz w:val="13"/>
                <w:szCs w:val="13"/>
                <w:color w:val="auto"/>
              </w:rPr>
              <w:t>San Diego</w:t>
            </w:r>
          </w:p>
        </w:tc>
      </w:tr>
      <w:tr>
        <w:trPr>
          <w:trHeight w:val="135"/>
        </w:trPr>
        <w:tc>
          <w:tcPr>
            <w:tcW w:w="1600" w:type="dxa"/>
            <w:vAlign w:val="bottom"/>
            <w:gridSpan w:val="3"/>
          </w:tcPr>
          <w:p>
            <w:pPr>
              <w:spacing w:after="0" w:line="135" w:lineRule="exact"/>
              <w:rPr>
                <w:sz w:val="20"/>
                <w:szCs w:val="20"/>
                <w:color w:val="auto"/>
              </w:rPr>
            </w:pPr>
            <w:r>
              <w:rPr>
                <w:rFonts w:ascii="Arial" w:cs="Arial" w:eastAsia="Arial" w:hAnsi="Arial"/>
                <w:sz w:val="13"/>
                <w:szCs w:val="13"/>
                <w:color w:val="auto"/>
              </w:rPr>
              <w:t>Frankfurt San Francisco</w:t>
            </w:r>
          </w:p>
        </w:tc>
      </w:tr>
      <w:tr>
        <w:trPr>
          <w:trHeight w:val="135"/>
        </w:trPr>
        <w:tc>
          <w:tcPr>
            <w:tcW w:w="1600" w:type="dxa"/>
            <w:vAlign w:val="bottom"/>
            <w:gridSpan w:val="3"/>
          </w:tcPr>
          <w:p>
            <w:pPr>
              <w:spacing w:after="0" w:line="135" w:lineRule="exact"/>
              <w:rPr>
                <w:sz w:val="20"/>
                <w:szCs w:val="20"/>
                <w:color w:val="auto"/>
              </w:rPr>
            </w:pPr>
            <w:r>
              <w:rPr>
                <w:rFonts w:ascii="Arial" w:cs="Arial" w:eastAsia="Arial" w:hAnsi="Arial"/>
                <w:sz w:val="13"/>
                <w:szCs w:val="13"/>
                <w:color w:val="auto"/>
              </w:rPr>
              <w:t>Hamburg Seoul</w:t>
            </w:r>
          </w:p>
        </w:tc>
      </w:tr>
      <w:tr>
        <w:trPr>
          <w:trHeight w:val="135"/>
        </w:trPr>
        <w:tc>
          <w:tcPr>
            <w:tcW w:w="780" w:type="dxa"/>
            <w:vAlign w:val="bottom"/>
            <w:gridSpan w:val="2"/>
          </w:tcPr>
          <w:p>
            <w:pPr>
              <w:spacing w:after="0" w:line="135" w:lineRule="exact"/>
              <w:rPr>
                <w:sz w:val="20"/>
                <w:szCs w:val="20"/>
                <w:color w:val="auto"/>
              </w:rPr>
            </w:pPr>
            <w:r>
              <w:rPr>
                <w:rFonts w:ascii="Arial" w:cs="Arial" w:eastAsia="Arial" w:hAnsi="Arial"/>
                <w:sz w:val="13"/>
                <w:szCs w:val="13"/>
                <w:color w:val="auto"/>
              </w:rPr>
              <w:t>Hong Kong</w:t>
            </w:r>
          </w:p>
        </w:tc>
        <w:tc>
          <w:tcPr>
            <w:tcW w:w="820" w:type="dxa"/>
            <w:vAlign w:val="bottom"/>
          </w:tcPr>
          <w:p>
            <w:pPr>
              <w:ind w:left="60"/>
              <w:spacing w:after="0" w:line="135" w:lineRule="exact"/>
              <w:rPr>
                <w:sz w:val="20"/>
                <w:szCs w:val="20"/>
                <w:color w:val="auto"/>
              </w:rPr>
            </w:pPr>
            <w:r>
              <w:rPr>
                <w:rFonts w:ascii="Arial" w:cs="Arial" w:eastAsia="Arial" w:hAnsi="Arial"/>
                <w:sz w:val="13"/>
                <w:szCs w:val="13"/>
                <w:color w:val="auto"/>
                <w:w w:val="95"/>
              </w:rPr>
              <w:t>Silicon Valley</w:t>
            </w:r>
          </w:p>
        </w:tc>
      </w:tr>
      <w:tr>
        <w:trPr>
          <w:trHeight w:val="135"/>
        </w:trPr>
        <w:tc>
          <w:tcPr>
            <w:tcW w:w="520" w:type="dxa"/>
            <w:vAlign w:val="bottom"/>
          </w:tcPr>
          <w:p>
            <w:pPr>
              <w:spacing w:after="0" w:line="135" w:lineRule="exact"/>
              <w:rPr>
                <w:sz w:val="20"/>
                <w:szCs w:val="20"/>
                <w:color w:val="auto"/>
              </w:rPr>
            </w:pPr>
            <w:r>
              <w:rPr>
                <w:rFonts w:ascii="Arial" w:cs="Arial" w:eastAsia="Arial" w:hAnsi="Arial"/>
                <w:sz w:val="13"/>
                <w:szCs w:val="13"/>
                <w:color w:val="auto"/>
              </w:rPr>
              <w:t>Houston</w:t>
            </w:r>
          </w:p>
        </w:tc>
        <w:tc>
          <w:tcPr>
            <w:tcW w:w="10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Singapore</w:t>
            </w:r>
          </w:p>
        </w:tc>
      </w:tr>
      <w:tr>
        <w:trPr>
          <w:trHeight w:val="135"/>
        </w:trPr>
        <w:tc>
          <w:tcPr>
            <w:tcW w:w="520" w:type="dxa"/>
            <w:vAlign w:val="bottom"/>
          </w:tcPr>
          <w:p>
            <w:pPr>
              <w:spacing w:after="0" w:line="135" w:lineRule="exact"/>
              <w:rPr>
                <w:sz w:val="20"/>
                <w:szCs w:val="20"/>
                <w:color w:val="auto"/>
              </w:rPr>
            </w:pPr>
            <w:r>
              <w:rPr>
                <w:rFonts w:ascii="Arial" w:cs="Arial" w:eastAsia="Arial" w:hAnsi="Arial"/>
                <w:sz w:val="13"/>
                <w:szCs w:val="13"/>
                <w:color w:val="auto"/>
              </w:rPr>
              <w:t>London</w:t>
            </w:r>
          </w:p>
        </w:tc>
        <w:tc>
          <w:tcPr>
            <w:tcW w:w="10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Tel Aviv</w:t>
            </w:r>
          </w:p>
        </w:tc>
      </w:tr>
      <w:tr>
        <w:trPr>
          <w:trHeight w:val="135"/>
        </w:trPr>
        <w:tc>
          <w:tcPr>
            <w:tcW w:w="780" w:type="dxa"/>
            <w:vAlign w:val="bottom"/>
            <w:gridSpan w:val="2"/>
          </w:tcPr>
          <w:p>
            <w:pPr>
              <w:spacing w:after="0" w:line="135" w:lineRule="exact"/>
              <w:rPr>
                <w:sz w:val="20"/>
                <w:szCs w:val="20"/>
                <w:color w:val="auto"/>
              </w:rPr>
            </w:pPr>
            <w:r>
              <w:rPr>
                <w:rFonts w:ascii="Arial" w:cs="Arial" w:eastAsia="Arial" w:hAnsi="Arial"/>
                <w:sz w:val="13"/>
                <w:szCs w:val="13"/>
                <w:color w:val="auto"/>
              </w:rPr>
              <w:t>Los Angeles</w:t>
            </w:r>
          </w:p>
        </w:tc>
        <w:tc>
          <w:tcPr>
            <w:tcW w:w="820" w:type="dxa"/>
            <w:vAlign w:val="bottom"/>
          </w:tcPr>
          <w:p>
            <w:pPr>
              <w:ind w:left="60"/>
              <w:spacing w:after="0" w:line="135" w:lineRule="exact"/>
              <w:rPr>
                <w:sz w:val="20"/>
                <w:szCs w:val="20"/>
                <w:color w:val="auto"/>
              </w:rPr>
            </w:pPr>
            <w:r>
              <w:rPr>
                <w:rFonts w:ascii="Arial" w:cs="Arial" w:eastAsia="Arial" w:hAnsi="Arial"/>
                <w:sz w:val="13"/>
                <w:szCs w:val="13"/>
                <w:color w:val="auto"/>
              </w:rPr>
              <w:t>Tokyo</w:t>
            </w:r>
          </w:p>
        </w:tc>
      </w:tr>
      <w:tr>
        <w:trPr>
          <w:trHeight w:val="166"/>
        </w:trPr>
        <w:tc>
          <w:tcPr>
            <w:tcW w:w="520" w:type="dxa"/>
            <w:vAlign w:val="bottom"/>
          </w:tcPr>
          <w:p>
            <w:pPr>
              <w:spacing w:after="0"/>
              <w:rPr>
                <w:sz w:val="20"/>
                <w:szCs w:val="20"/>
                <w:color w:val="auto"/>
              </w:rPr>
            </w:pPr>
            <w:r>
              <w:rPr>
                <w:rFonts w:ascii="Arial" w:cs="Arial" w:eastAsia="Arial" w:hAnsi="Arial"/>
                <w:sz w:val="13"/>
                <w:szCs w:val="13"/>
                <w:color w:val="auto"/>
              </w:rPr>
              <w:t>Madrid</w:t>
            </w:r>
          </w:p>
        </w:tc>
        <w:tc>
          <w:tcPr>
            <w:tcW w:w="1080" w:type="dxa"/>
            <w:vAlign w:val="bottom"/>
            <w:gridSpan w:val="2"/>
          </w:tcPr>
          <w:p>
            <w:pPr>
              <w:ind w:left="40"/>
              <w:spacing w:after="0"/>
              <w:rPr>
                <w:sz w:val="20"/>
                <w:szCs w:val="20"/>
                <w:color w:val="auto"/>
              </w:rPr>
            </w:pPr>
            <w:r>
              <w:rPr>
                <w:rFonts w:ascii="Arial" w:cs="Arial" w:eastAsia="Arial" w:hAnsi="Arial"/>
                <w:sz w:val="13"/>
                <w:szCs w:val="13"/>
                <w:color w:val="auto"/>
              </w:rPr>
              <w:t>Washington, D.C.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2031365"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03136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26, 2026</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Vroom,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4700 Mercantile Dr.</w:t>
      </w:r>
    </w:p>
    <w:p>
      <w:pPr>
        <w:spacing w:after="0"/>
        <w:rPr>
          <w:sz w:val="20"/>
          <w:szCs w:val="20"/>
          <w:color w:val="auto"/>
        </w:rPr>
      </w:pPr>
      <w:r>
        <w:rPr>
          <w:rFonts w:ascii="Times New Roman" w:cs="Times New Roman" w:eastAsia="Times New Roman" w:hAnsi="Times New Roman"/>
          <w:sz w:val="22"/>
          <w:szCs w:val="22"/>
          <w:color w:val="auto"/>
        </w:rPr>
        <w:t>Fort Worth, TX 76137</w:t>
      </w:r>
    </w:p>
    <w:p>
      <w:pPr>
        <w:spacing w:after="0" w:line="209" w:lineRule="exact"/>
        <w:rPr>
          <w:sz w:val="20"/>
          <w:szCs w:val="20"/>
          <w:color w:val="auto"/>
        </w:rPr>
      </w:pPr>
    </w:p>
    <w:p>
      <w:pPr>
        <w:ind w:left="1500" w:right="140"/>
        <w:spacing w:after="0" w:line="258" w:lineRule="auto"/>
        <w:rPr>
          <w:sz w:val="20"/>
          <w:szCs w:val="20"/>
          <w:color w:val="auto"/>
        </w:rPr>
      </w:pPr>
      <w:r>
        <w:rPr>
          <w:rFonts w:ascii="Times New Roman" w:cs="Times New Roman" w:eastAsia="Times New Roman" w:hAnsi="Times New Roman"/>
          <w:sz w:val="22"/>
          <w:szCs w:val="22"/>
          <w:color w:val="auto"/>
        </w:rPr>
        <w:t>Re: Registration Statement on Form S-8; 207,985 shares of Vroom, Inc. Common Stock, $0.001 par value per share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the addressee set forth above:</w:t>
      </w:r>
    </w:p>
    <w:p>
      <w:pPr>
        <w:spacing w:after="0" w:line="227" w:lineRule="exact"/>
        <w:rPr>
          <w:sz w:val="20"/>
          <w:szCs w:val="20"/>
          <w:color w:val="auto"/>
        </w:rPr>
      </w:pPr>
    </w:p>
    <w:p>
      <w:pPr>
        <w:jc w:val="both"/>
        <w:ind w:firstLine="432"/>
        <w:spacing w:after="0" w:line="235" w:lineRule="auto"/>
        <w:rPr>
          <w:sz w:val="20"/>
          <w:szCs w:val="20"/>
          <w:color w:val="auto"/>
        </w:rPr>
      </w:pPr>
      <w:r>
        <w:rPr>
          <w:rFonts w:ascii="Times New Roman" w:cs="Times New Roman" w:eastAsia="Times New Roman" w:hAnsi="Times New Roman"/>
          <w:sz w:val="22"/>
          <w:szCs w:val="22"/>
          <w:color w:val="auto"/>
        </w:rPr>
        <w:t xml:space="preserve">We have acted as special counsel to Vroom, Inc., a Delaware corporation (the “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in connection with the preparation and filing by the Company with the Securities and Exchange Commission (the “</w:t>
      </w:r>
      <w:r>
        <w:rPr>
          <w:rFonts w:ascii="Times New Roman" w:cs="Times New Roman" w:eastAsia="Times New Roman" w:hAnsi="Times New Roman"/>
          <w:sz w:val="22"/>
          <w:szCs w:val="22"/>
          <w:b w:val="1"/>
          <w:bCs w:val="1"/>
          <w:i w:val="1"/>
          <w:iCs w:val="1"/>
          <w:color w:val="auto"/>
        </w:rPr>
        <w:t>Commission</w:t>
      </w:r>
      <w:r>
        <w:rPr>
          <w:rFonts w:ascii="Times New Roman" w:cs="Times New Roman" w:eastAsia="Times New Roman" w:hAnsi="Times New Roman"/>
          <w:sz w:val="22"/>
          <w:szCs w:val="22"/>
          <w:color w:val="auto"/>
        </w:rPr>
        <w:t>”) of a registration statement on Form S-8 (the “</w:t>
      </w:r>
      <w:r>
        <w:rPr>
          <w:rFonts w:ascii="Times New Roman" w:cs="Times New Roman" w:eastAsia="Times New Roman" w:hAnsi="Times New Roman"/>
          <w:sz w:val="22"/>
          <w:szCs w:val="22"/>
          <w:b w:val="1"/>
          <w:bCs w:val="1"/>
          <w:i w:val="1"/>
          <w:iCs w:val="1"/>
          <w:color w:val="auto"/>
        </w:rPr>
        <w:t>Registration Statement</w:t>
      </w:r>
      <w:r>
        <w:rPr>
          <w:rFonts w:ascii="Times New Roman" w:cs="Times New Roman" w:eastAsia="Times New Roman" w:hAnsi="Times New Roman"/>
          <w:sz w:val="22"/>
          <w:szCs w:val="22"/>
          <w:color w:val="auto"/>
        </w:rPr>
        <w:t>”) under the Securities Act of 1933, as amended (the “</w:t>
      </w:r>
      <w:r>
        <w:rPr>
          <w:rFonts w:ascii="Times New Roman" w:cs="Times New Roman" w:eastAsia="Times New Roman" w:hAnsi="Times New Roman"/>
          <w:sz w:val="22"/>
          <w:szCs w:val="22"/>
          <w:b w:val="1"/>
          <w:bCs w:val="1"/>
          <w:i w:val="1"/>
          <w:iCs w:val="1"/>
          <w:color w:val="auto"/>
        </w:rPr>
        <w:t>Act</w:t>
      </w:r>
      <w:r>
        <w:rPr>
          <w:rFonts w:ascii="Times New Roman" w:cs="Times New Roman" w:eastAsia="Times New Roman" w:hAnsi="Times New Roman"/>
          <w:sz w:val="22"/>
          <w:szCs w:val="22"/>
          <w:color w:val="auto"/>
        </w:rPr>
        <w:t>”), relating to the issuance by the Company of up to an aggregate of 207,985 shares of common stock of the Company, $0.001 par value per share (the “</w:t>
      </w:r>
      <w:r>
        <w:rPr>
          <w:rFonts w:ascii="Times New Roman" w:cs="Times New Roman" w:eastAsia="Times New Roman" w:hAnsi="Times New Roman"/>
          <w:sz w:val="22"/>
          <w:szCs w:val="22"/>
          <w:b w:val="1"/>
          <w:bCs w:val="1"/>
          <w:i w:val="1"/>
          <w:iCs w:val="1"/>
          <w:color w:val="auto"/>
        </w:rPr>
        <w:t>Shares</w:t>
      </w:r>
      <w:r>
        <w:rPr>
          <w:rFonts w:ascii="Times New Roman" w:cs="Times New Roman" w:eastAsia="Times New Roman" w:hAnsi="Times New Roman"/>
          <w:sz w:val="22"/>
          <w:szCs w:val="22"/>
          <w:color w:val="auto"/>
        </w:rPr>
        <w:t>”), issuable under the Vroom, Inc. Amended and Restated 2020 Incentive Award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This opinion is being furnished in connection with the requirements of Item 601(b)(5) of Regulation S-K under the Act, and no opinion is expressed herein as to any matter pertaining to the contents of the Registration Statement or the prospectus forming a part thereof, other than as expressly stated herein with respect to the issuance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13"/>
          <w:szCs w:val="13"/>
          <w:b w:val="1"/>
          <w:bCs w:val="1"/>
          <w:color w:val="auto"/>
        </w:rPr>
        <w:t>March 26, 2026</w:t>
      </w:r>
    </w:p>
    <w:p>
      <w:pPr>
        <w:spacing w:after="0"/>
        <w:rPr>
          <w:sz w:val="20"/>
          <w:szCs w:val="20"/>
          <w:color w:val="auto"/>
        </w:rPr>
      </w:pPr>
      <w:r>
        <w:rPr>
          <w:rFonts w:ascii="Arial" w:cs="Arial" w:eastAsia="Arial" w:hAnsi="Arial"/>
          <w:sz w:val="13"/>
          <w:szCs w:val="13"/>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1388745" cy="946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88745"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432"/>
        <w:spacing w:after="0" w:line="239" w:lineRule="auto"/>
        <w:rPr>
          <w:sz w:val="20"/>
          <w:szCs w:val="20"/>
          <w:color w:val="auto"/>
        </w:rPr>
      </w:pPr>
      <w:r>
        <w:rPr>
          <w:rFonts w:ascii="Times New Roman" w:cs="Times New Roman" w:eastAsia="Times New Roman" w:hAnsi="Times New Roman"/>
          <w:sz w:val="22"/>
          <w:szCs w:val="22"/>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 w:cs="Times New Roman" w:eastAsia="Times New Roman" w:hAnsi="Times New Roman"/>
          <w:sz w:val="22"/>
          <w:szCs w:val="22"/>
          <w:b w:val="1"/>
          <w:bCs w:val="1"/>
          <w:i w:val="1"/>
          <w:iCs w:val="1"/>
          <w:color w:val="auto"/>
        </w:rPr>
        <w:t>DGCL</w:t>
      </w:r>
      <w:r>
        <w:rPr>
          <w:rFonts w:ascii="Times New Roman" w:cs="Times New Roman" w:eastAsia="Times New Roman" w:hAnsi="Times New Roman"/>
          <w:sz w:val="22"/>
          <w:szCs w:val="22"/>
          <w:color w:val="auto"/>
        </w:rPr>
        <w:t>”), and we express no opinion with respect to any other laws.</w:t>
      </w:r>
    </w:p>
    <w:p>
      <w:pPr>
        <w:spacing w:after="0" w:line="207" w:lineRule="exact"/>
        <w:rPr>
          <w:sz w:val="20"/>
          <w:szCs w:val="20"/>
          <w:color w:val="auto"/>
        </w:rPr>
      </w:pPr>
    </w:p>
    <w:p>
      <w:pPr>
        <w:jc w:val="both"/>
        <w:ind w:firstLine="432"/>
        <w:spacing w:after="0" w:line="234" w:lineRule="auto"/>
        <w:rPr>
          <w:sz w:val="20"/>
          <w:szCs w:val="20"/>
          <w:color w:val="auto"/>
        </w:rPr>
      </w:pPr>
      <w:r>
        <w:rPr>
          <w:rFonts w:ascii="Times New Roman" w:cs="Times New Roman" w:eastAsia="Times New Roman" w:hAnsi="Times New Roman"/>
          <w:sz w:val="22"/>
          <w:szCs w:val="22"/>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for legal consideration in excess of par value in the circumstances contemplated by the Plan, assuming that the individual grants or awards under the Plan are duly authorized by all necessary corporate action and duly granted or awarded and exercised in accordance with the requirements of law and the Plan (and the agreements and awards duly adopted thereunder and in accordance therewith),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w:t>
      </w:r>
    </w:p>
    <w:p>
      <w:pPr>
        <w:spacing w:after="0" w:line="210" w:lineRule="exact"/>
        <w:rPr>
          <w:sz w:val="20"/>
          <w:szCs w:val="20"/>
          <w:color w:val="auto"/>
        </w:rPr>
      </w:pPr>
    </w:p>
    <w:p>
      <w:pPr>
        <w:jc w:val="both"/>
        <w:ind w:firstLine="432"/>
        <w:spacing w:after="0" w:line="239" w:lineRule="auto"/>
        <w:rPr>
          <w:sz w:val="20"/>
          <w:szCs w:val="20"/>
          <w:color w:val="auto"/>
        </w:rPr>
      </w:pPr>
      <w:r>
        <w:rPr>
          <w:rFonts w:ascii="Times New Roman" w:cs="Times New Roman" w:eastAsia="Times New Roman" w:hAnsi="Times New Roman"/>
          <w:sz w:val="22"/>
          <w:szCs w:val="22"/>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200" w:lineRule="exact"/>
        <w:rPr>
          <w:sz w:val="20"/>
          <w:szCs w:val="20"/>
          <w:color w:val="auto"/>
        </w:rPr>
      </w:pPr>
    </w:p>
    <w:p>
      <w:pPr>
        <w:spacing w:after="0" w:line="2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Sincerely,</w:t>
      </w:r>
    </w:p>
    <w:p>
      <w:pPr>
        <w:spacing w:after="0" w:line="2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1D1C1D"/>
        </w:rPr>
        <w:t>/s/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consent to the incorporation by reference in this Registration Statement on Form S-8 of Vroom, Inc. of our reports dated March 26, 2026, relating to the consolidated financial statements of Vroom, Inc., appearing in the Annual Report on Form 10-K of Vroom, Inc.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1228090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 w:name="page8"/>
    <w:bookmarkEnd w:id="7"/>
    <w:p>
      <w:pPr>
        <w:ind w:left="1036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CALCULATION OF FILING FEE TABLE</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Type)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VROOM,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Table I: Newly Registered Securities</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164"/>
        </w:trPr>
        <w:tc>
          <w:tcPr>
            <w:tcW w:w="1520" w:type="dxa"/>
            <w:vAlign w:val="bottom"/>
            <w:tcBorders>
              <w:top w:val="single" w:sz="8" w:color="auto"/>
              <w:left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Plan</w:t>
            </w:r>
          </w:p>
        </w:tc>
        <w:tc>
          <w:tcPr>
            <w:tcW w:w="88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 Class</w:t>
            </w:r>
          </w:p>
        </w:tc>
        <w:tc>
          <w:tcPr>
            <w:tcW w:w="1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 Calculation</w:t>
            </w:r>
          </w:p>
        </w:tc>
        <w:tc>
          <w:tcPr>
            <w:tcW w:w="1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Proposed Maximum</w:t>
            </w:r>
          </w:p>
        </w:tc>
        <w:tc>
          <w:tcPr>
            <w:tcW w:w="1500" w:type="dxa"/>
            <w:vAlign w:val="bottom"/>
            <w:tcBorders>
              <w:top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Maximum Aggregate</w:t>
            </w:r>
          </w:p>
        </w:tc>
        <w:tc>
          <w:tcPr>
            <w:tcW w:w="1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300" w:type="dxa"/>
            <w:vAlign w:val="bottom"/>
            <w:tcBorders>
              <w:top w:val="single" w:sz="8" w:color="auto"/>
              <w:right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Amount of</w:t>
            </w:r>
          </w:p>
        </w:tc>
      </w:tr>
      <w:tr>
        <w:trPr>
          <w:trHeight w:val="148"/>
        </w:trPr>
        <w:tc>
          <w:tcPr>
            <w:tcW w:w="152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Type</w:t>
            </w:r>
          </w:p>
        </w:tc>
        <w:tc>
          <w:tcPr>
            <w:tcW w:w="12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Title</w:t>
            </w:r>
          </w:p>
        </w:tc>
        <w:tc>
          <w:tcPr>
            <w:tcW w:w="11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Rule</w:t>
            </w:r>
          </w:p>
        </w:tc>
        <w:tc>
          <w:tcPr>
            <w:tcW w:w="12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Registered</w:t>
            </w:r>
            <w:r>
              <w:rPr>
                <w:rFonts w:ascii="Times New Roman" w:cs="Times New Roman" w:eastAsia="Times New Roman" w:hAnsi="Times New Roman"/>
                <w:sz w:val="8"/>
                <w:szCs w:val="8"/>
                <w:color w:val="auto"/>
              </w:rPr>
              <w:t>(1)</w:t>
            </w:r>
          </w:p>
        </w:tc>
        <w:tc>
          <w:tcPr>
            <w:tcW w:w="14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 Price Per</w:t>
            </w:r>
          </w:p>
        </w:tc>
        <w:tc>
          <w:tcPr>
            <w:tcW w:w="1500" w:type="dxa"/>
            <w:vAlign w:val="bottom"/>
            <w:tcBorders>
              <w:right w:val="single" w:sz="8" w:color="auto"/>
            </w:tcBorders>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00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 Fee</w:t>
            </w:r>
          </w:p>
        </w:tc>
      </w:tr>
      <w:tr>
        <w:trPr>
          <w:trHeight w:val="187"/>
        </w:trPr>
        <w:tc>
          <w:tcPr>
            <w:tcW w:w="1520" w:type="dxa"/>
            <w:vAlign w:val="bottom"/>
            <w:tcBorders>
              <w:left w:val="single" w:sz="8" w:color="auto"/>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w:t>
            </w:r>
          </w:p>
        </w:tc>
        <w:tc>
          <w:tcPr>
            <w:tcW w:w="15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c>
          <w:tcPr>
            <w:tcW w:w="1300" w:type="dxa"/>
            <w:vAlign w:val="bottom"/>
            <w:tcBorders>
              <w:bottom w:val="single" w:sz="8" w:color="auto"/>
              <w:right w:val="single" w:sz="8" w:color="auto"/>
            </w:tcBorders>
          </w:tcPr>
          <w:p>
            <w:pPr>
              <w:spacing w:after="0"/>
              <w:rPr>
                <w:sz w:val="16"/>
                <w:szCs w:val="16"/>
                <w:color w:val="auto"/>
              </w:rPr>
            </w:pPr>
          </w:p>
        </w:tc>
      </w:tr>
      <w:tr>
        <w:trPr>
          <w:trHeight w:val="142"/>
        </w:trPr>
        <w:tc>
          <w:tcPr>
            <w:tcW w:w="1520" w:type="dxa"/>
            <w:vAlign w:val="bottom"/>
            <w:tcBorders>
              <w:left w:val="single" w:sz="8" w:color="auto"/>
              <w:right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rPr>
              <w:t>Vroom, Inc. Amended</w:t>
            </w:r>
          </w:p>
        </w:tc>
        <w:tc>
          <w:tcPr>
            <w:tcW w:w="880" w:type="dxa"/>
            <w:vAlign w:val="bottom"/>
            <w:tcBorders>
              <w:right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color w:val="auto"/>
              </w:rPr>
              <w:t>Equity</w:t>
            </w:r>
          </w:p>
        </w:tc>
        <w:tc>
          <w:tcPr>
            <w:tcW w:w="1240" w:type="dxa"/>
            <w:vAlign w:val="bottom"/>
            <w:tcBorders>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Stock, par</w:t>
            </w:r>
          </w:p>
        </w:tc>
        <w:tc>
          <w:tcPr>
            <w:tcW w:w="118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Rule 457(c)</w:t>
            </w:r>
          </w:p>
        </w:tc>
        <w:tc>
          <w:tcPr>
            <w:tcW w:w="1240" w:type="dxa"/>
            <w:vAlign w:val="bottom"/>
            <w:tcBorders>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 xml:space="preserve">207,985 </w:t>
            </w:r>
            <w:r>
              <w:rPr>
                <w:rFonts w:ascii="Times New Roman" w:cs="Times New Roman" w:eastAsia="Times New Roman" w:hAnsi="Times New Roman"/>
                <w:sz w:val="8"/>
                <w:szCs w:val="8"/>
                <w:color w:val="auto"/>
              </w:rPr>
              <w:t>(2)</w:t>
            </w:r>
          </w:p>
        </w:tc>
        <w:tc>
          <w:tcPr>
            <w:tcW w:w="14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$11.31</w:t>
            </w:r>
            <w:r>
              <w:rPr>
                <w:rFonts w:ascii="Times New Roman" w:cs="Times New Roman" w:eastAsia="Times New Roman" w:hAnsi="Times New Roman"/>
                <w:sz w:val="8"/>
                <w:szCs w:val="8"/>
                <w:color w:val="auto"/>
              </w:rPr>
              <w:t>(3)</w:t>
            </w:r>
          </w:p>
        </w:tc>
        <w:tc>
          <w:tcPr>
            <w:tcW w:w="1500" w:type="dxa"/>
            <w:vAlign w:val="bottom"/>
            <w:tcBorders>
              <w:right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$2,352,310.35</w:t>
            </w:r>
          </w:p>
        </w:tc>
        <w:tc>
          <w:tcPr>
            <w:tcW w:w="1000" w:type="dxa"/>
            <w:vAlign w:val="bottom"/>
            <w:tcBorders>
              <w:right w:val="single" w:sz="8" w:color="auto"/>
            </w:tcBorders>
          </w:tcPr>
          <w:p>
            <w:pPr>
              <w:jc w:val="center"/>
              <w:ind w:right="8"/>
              <w:spacing w:after="0" w:line="142" w:lineRule="exact"/>
              <w:rPr>
                <w:sz w:val="20"/>
                <w:szCs w:val="20"/>
                <w:color w:val="auto"/>
              </w:rPr>
            </w:pPr>
            <w:r>
              <w:rPr>
                <w:rFonts w:ascii="Times New Roman" w:cs="Times New Roman" w:eastAsia="Times New Roman" w:hAnsi="Times New Roman"/>
                <w:sz w:val="14"/>
                <w:szCs w:val="14"/>
                <w:color w:val="auto"/>
              </w:rPr>
              <w:t>$138.10 per</w:t>
            </w:r>
          </w:p>
        </w:tc>
        <w:tc>
          <w:tcPr>
            <w:tcW w:w="1300" w:type="dxa"/>
            <w:vAlign w:val="bottom"/>
            <w:tcBorders>
              <w:right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$324.86</w:t>
            </w:r>
          </w:p>
        </w:tc>
      </w:tr>
      <w:tr>
        <w:trPr>
          <w:trHeight w:val="148"/>
        </w:trPr>
        <w:tc>
          <w:tcPr>
            <w:tcW w:w="1520" w:type="dxa"/>
            <w:vAlign w:val="bottom"/>
            <w:tcBorders>
              <w:left w:val="single" w:sz="8" w:color="auto"/>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color w:val="auto"/>
              </w:rPr>
              <w:t>and Restated 2020</w:t>
            </w:r>
          </w:p>
        </w:tc>
        <w:tc>
          <w:tcPr>
            <w:tcW w:w="88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value $0.001 per</w:t>
            </w:r>
          </w:p>
        </w:tc>
        <w:tc>
          <w:tcPr>
            <w:tcW w:w="11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and 457(h)</w:t>
            </w:r>
          </w:p>
        </w:tc>
        <w:tc>
          <w:tcPr>
            <w:tcW w:w="1240" w:type="dxa"/>
            <w:vAlign w:val="bottom"/>
            <w:tcBorders>
              <w:right w:val="single" w:sz="8" w:color="auto"/>
            </w:tcBorders>
          </w:tcPr>
          <w:p>
            <w:pPr>
              <w:spacing w:after="0"/>
              <w:rPr>
                <w:sz w:val="12"/>
                <w:szCs w:val="12"/>
                <w:color w:val="auto"/>
              </w:rPr>
            </w:pPr>
          </w:p>
        </w:tc>
        <w:tc>
          <w:tcPr>
            <w:tcW w:w="1400" w:type="dxa"/>
            <w:vAlign w:val="bottom"/>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million dollars</w:t>
            </w:r>
          </w:p>
        </w:tc>
        <w:tc>
          <w:tcPr>
            <w:tcW w:w="1300" w:type="dxa"/>
            <w:vAlign w:val="bottom"/>
            <w:tcBorders>
              <w:right w:val="single" w:sz="8" w:color="auto"/>
            </w:tcBorders>
          </w:tcPr>
          <w:p>
            <w:pPr>
              <w:spacing w:after="0"/>
              <w:rPr>
                <w:sz w:val="12"/>
                <w:szCs w:val="12"/>
                <w:color w:val="auto"/>
              </w:rPr>
            </w:pPr>
          </w:p>
        </w:tc>
      </w:tr>
      <w:tr>
        <w:trPr>
          <w:trHeight w:val="193"/>
        </w:trPr>
        <w:tc>
          <w:tcPr>
            <w:tcW w:w="15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Incentive Award Plan</w:t>
            </w:r>
          </w:p>
        </w:tc>
        <w:tc>
          <w:tcPr>
            <w:tcW w:w="88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share</w:t>
            </w:r>
          </w:p>
        </w:tc>
        <w:tc>
          <w:tcPr>
            <w:tcW w:w="118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r>
      <w:tr>
        <w:trPr>
          <w:trHeight w:val="43"/>
        </w:trPr>
        <w:tc>
          <w:tcPr>
            <w:tcW w:w="1520" w:type="dxa"/>
            <w:vAlign w:val="bottom"/>
            <w:tcBorders>
              <w:left w:val="single" w:sz="8" w:color="auto"/>
              <w:bottom w:val="single" w:sz="8" w:color="auto"/>
              <w:right w:val="single" w:sz="8" w:color="auto"/>
            </w:tcBorders>
          </w:tcPr>
          <w:p>
            <w:pPr>
              <w:spacing w:after="0"/>
              <w:rPr>
                <w:sz w:val="3"/>
                <w:szCs w:val="3"/>
                <w:color w:val="auto"/>
              </w:rPr>
            </w:pPr>
          </w:p>
        </w:tc>
        <w:tc>
          <w:tcPr>
            <w:tcW w:w="880" w:type="dxa"/>
            <w:vAlign w:val="bottom"/>
            <w:tcBorders>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500" w:type="dxa"/>
            <w:vAlign w:val="bottom"/>
            <w:tcBorders>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r>
      <w:tr>
        <w:trPr>
          <w:trHeight w:val="204"/>
        </w:trPr>
        <w:tc>
          <w:tcPr>
            <w:tcW w:w="1520" w:type="dxa"/>
            <w:vAlign w:val="bottom"/>
            <w:tcBorders>
              <w:left w:val="single" w:sz="8" w:color="auto"/>
              <w:right w:val="single" w:sz="8" w:color="auto"/>
            </w:tcBorders>
          </w:tcPr>
          <w:p>
            <w:pPr>
              <w:spacing w:after="0"/>
              <w:rPr>
                <w:sz w:val="17"/>
                <w:szCs w:val="17"/>
                <w:color w:val="auto"/>
              </w:rPr>
            </w:pPr>
          </w:p>
        </w:tc>
        <w:tc>
          <w:tcPr>
            <w:tcW w:w="2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 Offering Amounts</w:t>
            </w:r>
          </w:p>
        </w:tc>
        <w:tc>
          <w:tcPr>
            <w:tcW w:w="118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400" w:type="dxa"/>
            <w:vAlign w:val="bottom"/>
          </w:tcPr>
          <w:p>
            <w:pPr>
              <w:spacing w:after="0"/>
              <w:rPr>
                <w:sz w:val="17"/>
                <w:szCs w:val="17"/>
                <w:color w:val="auto"/>
              </w:rPr>
            </w:pPr>
          </w:p>
        </w:tc>
        <w:tc>
          <w:tcPr>
            <w:tcW w:w="1500" w:type="dxa"/>
            <w:vAlign w:val="bottom"/>
            <w:tcBorders>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$2,352,310.35</w:t>
            </w:r>
          </w:p>
        </w:tc>
        <w:tc>
          <w:tcPr>
            <w:tcW w:w="100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$324.86</w:t>
            </w:r>
          </w:p>
        </w:tc>
      </w:tr>
      <w:tr>
        <w:trPr>
          <w:trHeight w:val="228"/>
        </w:trPr>
        <w:tc>
          <w:tcPr>
            <w:tcW w:w="152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212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 Fee Offsets</w:t>
            </w:r>
          </w:p>
        </w:tc>
        <w:tc>
          <w:tcPr>
            <w:tcW w:w="11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000" w:type="dxa"/>
            <w:vAlign w:val="bottom"/>
            <w:tcBorders>
              <w:top w:val="single" w:sz="8" w:color="auto"/>
              <w:bottom w:val="single" w:sz="8" w:color="auto"/>
              <w:right w:val="single" w:sz="8" w:color="auto"/>
            </w:tcBorders>
          </w:tcPr>
          <w:p>
            <w:pPr>
              <w:spacing w:after="0"/>
              <w:rPr>
                <w:sz w:val="19"/>
                <w:szCs w:val="19"/>
                <w:color w:val="auto"/>
              </w:rPr>
            </w:pPr>
          </w:p>
        </w:tc>
        <w:tc>
          <w:tcPr>
            <w:tcW w:w="130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6"/>
        </w:trPr>
        <w:tc>
          <w:tcPr>
            <w:tcW w:w="1520" w:type="dxa"/>
            <w:vAlign w:val="bottom"/>
            <w:tcBorders>
              <w:left w:val="single" w:sz="8" w:color="auto"/>
              <w:right w:val="single" w:sz="8" w:color="auto"/>
            </w:tcBorders>
          </w:tcPr>
          <w:p>
            <w:pPr>
              <w:spacing w:after="0"/>
              <w:rPr>
                <w:sz w:val="14"/>
                <w:szCs w:val="14"/>
                <w:color w:val="auto"/>
              </w:rPr>
            </w:pPr>
          </w:p>
        </w:tc>
        <w:tc>
          <w:tcPr>
            <w:tcW w:w="88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b w:val="1"/>
                <w:bCs w:val="1"/>
                <w:color w:val="auto"/>
              </w:rPr>
              <w:t>Net Fee Due</w:t>
            </w: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$324.86</w:t>
            </w:r>
          </w:p>
        </w:tc>
      </w:tr>
      <w:tr>
        <w:trPr>
          <w:trHeight w:val="34"/>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4715510</wp:posOffset>
            </wp:positionH>
            <wp:positionV relativeFrom="paragraph">
              <wp:posOffset>-811530</wp:posOffset>
            </wp:positionV>
            <wp:extent cx="34290" cy="513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34290" cy="513715"/>
                    </a:xfrm>
                    <a:prstGeom prst="rect">
                      <a:avLst/>
                    </a:prstGeom>
                    <a:noFill/>
                  </pic:spPr>
                </pic:pic>
              </a:graphicData>
            </a:graphic>
          </wp:anchor>
        </w:drawing>
        <w:drawing>
          <wp:anchor simplePos="0" relativeHeight="251657728" behindDoc="1" locked="0" layoutInCell="0" allowOverlap="1">
            <wp:simplePos x="0" y="0"/>
            <wp:positionH relativeFrom="column">
              <wp:posOffset>3823970</wp:posOffset>
            </wp:positionH>
            <wp:positionV relativeFrom="paragraph">
              <wp:posOffset>-322580</wp:posOffset>
            </wp:positionV>
            <wp:extent cx="3365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33655" cy="171450"/>
                    </a:xfrm>
                    <a:prstGeom prst="rect">
                      <a:avLst/>
                    </a:prstGeom>
                    <a:noFill/>
                  </pic:spPr>
                </pic:pic>
              </a:graphicData>
            </a:graphic>
          </wp:anchor>
        </w:drawing>
      </w:r>
    </w:p>
    <w:p>
      <w:pPr>
        <w:spacing w:after="0" w:line="197" w:lineRule="exact"/>
        <w:rPr>
          <w:sz w:val="20"/>
          <w:szCs w:val="20"/>
          <w:color w:val="auto"/>
        </w:rPr>
      </w:pPr>
    </w:p>
    <w:p>
      <w:pPr>
        <w:jc w:val="both"/>
        <w:ind w:firstLine="8"/>
        <w:spacing w:after="0" w:line="227" w:lineRule="auto"/>
        <w:tabs>
          <w:tab w:leader="none" w:pos="209"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Rule 416(a) under the Securities Act of 1933, as amended (“</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this registration statement shall be deemed to cover any additional securities that may from time to time be offered or issued under the Vroom, Inc. Amended and Restated 2020 Incentive Award Plan (the “</w:t>
      </w:r>
      <w:r>
        <w:rPr>
          <w:rFonts w:ascii="Times New Roman" w:cs="Times New Roman" w:eastAsia="Times New Roman" w:hAnsi="Times New Roman"/>
          <w:sz w:val="14"/>
          <w:szCs w:val="14"/>
          <w:u w:val="single" w:color="auto"/>
          <w:color w:val="auto"/>
        </w:rPr>
        <w:t>Incentive Plan</w:t>
      </w:r>
      <w:r>
        <w:rPr>
          <w:rFonts w:ascii="Times New Roman" w:cs="Times New Roman" w:eastAsia="Times New Roman" w:hAnsi="Times New Roman"/>
          <w:sz w:val="14"/>
          <w:szCs w:val="14"/>
          <w:color w:val="auto"/>
        </w:rPr>
        <w:t>”) to prevent dilution resulting from stock splits, stock dividends or similar transactions. In addition, pursuant to Rule 416(c) under the Securities Act, this registration statement also covers an indeterminate amount of interests to be offered or sold pursuant to the Incentive Plan.</w:t>
      </w:r>
    </w:p>
    <w:p>
      <w:pPr>
        <w:ind w:left="220" w:hanging="212"/>
        <w:spacing w:after="0" w:line="221" w:lineRule="auto"/>
        <w:tabs>
          <w:tab w:leader="none" w:pos="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207,985 shares of Common Stock authorized to be issued under the Incentive Plan.</w:t>
      </w:r>
    </w:p>
    <w:p>
      <w:pPr>
        <w:ind w:firstLine="8"/>
        <w:spacing w:after="0" w:line="239" w:lineRule="auto"/>
        <w:tabs>
          <w:tab w:leader="none" w:pos="214"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 of calculating the registration fee pursuant to Rules 457(c) and 457(h) of the Securities Act, and based upon the average of the high and low prices of the Common Stock as reported on the Nasdaq Global Market on March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2059940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jpeg"/><Relationship Id="rId20" Type="http://schemas.openxmlformats.org/officeDocument/2006/relationships/image" Target="media/image8.png"/><Relationship Id="rId21" Type="http://schemas.openxmlformats.org/officeDocument/2006/relationships/image" Target="media/image9.jpe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10" Type="http://schemas.openxmlformats.org/officeDocument/2006/relationships/hyperlink" Target="https://www.sec.gov/Archives/edgar/data/1580864/000095017025037265/vrm-ex3_2.htm" TargetMode="External"/><Relationship Id="rId11" Type="http://schemas.openxmlformats.org/officeDocument/2006/relationships/hyperlink" Target="https://www.sec.gov/Archives/edgar/data/1580864/000095017025005647/vrm-ex3_2.htm" TargetMode="External"/><Relationship Id="rId12" Type="http://schemas.openxmlformats.org/officeDocument/2006/relationships/hyperlink" Target="https://www.sec.gov/Archives/edgar/data/1580864/000095017025037265/vrm-ex10_7.htm" TargetMode="External"/><Relationship Id="rId13" Type="http://schemas.openxmlformats.org/officeDocument/2006/relationships/hyperlink" Target="https://www.sec.gov/Archives/edgar/data/1580864/000119312526126253/vrm-ex10_58.htm" TargetMode="External"/><Relationship Id="rId14" Type="http://schemas.openxmlformats.org/officeDocument/2006/relationships/hyperlink" Target="https://www.sec.gov/ix?doc=/Archives/edgar/data/0001580864/000095017022015563/vrm-202206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2026-03-27T05:16:02Z</dcterms:created>
  <dcterms:modified xsi:type="dcterms:W3CDTF">2026-03-27T05:16:02Z</dcterms:modified>
</cp:coreProperties>
</file>