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07" w:right="339" w:bottom="1440" w:gutter="0" w:footer="0" w:header="0"/>
        </w:sectPr>
      </w:pPr>
    </w:p>
    <w:p>
      <w:pPr>
        <w:spacing w:after="0" w:line="144"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4" w:lineRule="exact"/>
        <w:rPr>
          <w:sz w:val="24"/>
          <w:szCs w:val="24"/>
          <w:color w:val="auto"/>
        </w:rPr>
      </w:pPr>
    </w:p>
    <w:p>
      <w:pPr>
        <w:sectPr>
          <w:pgSz w:w="11900" w:h="16838" w:orient="portrait"/>
          <w:cols w:equalWidth="0" w:num="2">
            <w:col w:w="6300" w:space="700"/>
            <w:col w:w="4240"/>
          </w:cols>
          <w:pgMar w:left="320" w:top="20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113030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type w:val="continuous"/>
        </w:sectPr>
      </w:pPr>
    </w:p>
    <w:p>
      <w:pPr>
        <w:spacing w:after="0" w:line="252" w:lineRule="exact"/>
        <w:rPr>
          <w:sz w:val="24"/>
          <w:szCs w:val="24"/>
          <w:color w:val="auto"/>
        </w:rPr>
      </w:pPr>
    </w:p>
    <w:tbl>
      <w:tblPr>
        <w:tblLayout w:type="fixed"/>
        <w:tblInd w:w="900" w:type="dxa"/>
        <w:tblCellMar>
          <w:top w:w="0" w:type="dxa"/>
          <w:left w:w="0" w:type="dxa"/>
          <w:bottom w:w="0" w:type="dxa"/>
          <w:right w:w="0" w:type="dxa"/>
        </w:tblCellMar>
      </w:tblPr>
      <w:tr>
        <w:trPr>
          <w:trHeight w:val="453"/>
        </w:trPr>
        <w:tc>
          <w:tcPr>
            <w:tcW w:w="2500" w:type="dxa"/>
            <w:vAlign w:val="bottom"/>
          </w:tcPr>
          <w:p>
            <w:pPr>
              <w:spacing w:after="0"/>
              <w:rPr>
                <w:sz w:val="24"/>
                <w:szCs w:val="24"/>
                <w:color w:val="auto"/>
              </w:rPr>
            </w:pPr>
          </w:p>
        </w:tc>
        <w:tc>
          <w:tcPr>
            <w:tcW w:w="6760" w:type="dxa"/>
            <w:vAlign w:val="bottom"/>
            <w:gridSpan w:val="3"/>
          </w:tcPr>
          <w:p>
            <w:pPr>
              <w:jc w:val="center"/>
              <w:ind w:right="224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0"/>
        </w:trPr>
        <w:tc>
          <w:tcPr>
            <w:tcW w:w="2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r>
      <w:tr>
        <w:trPr>
          <w:trHeight w:val="292"/>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760" w:type="dxa"/>
            <w:vAlign w:val="bottom"/>
            <w:gridSpan w:val="3"/>
          </w:tcPr>
          <w:p>
            <w:pPr>
              <w:jc w:val="center"/>
              <w:ind w:left="5141"/>
              <w:spacing w:after="0"/>
              <w:rPr>
                <w:sz w:val="20"/>
                <w:szCs w:val="20"/>
                <w:color w:val="auto"/>
              </w:rPr>
            </w:pPr>
            <w:r>
              <w:rPr>
                <w:rFonts w:ascii="Arial" w:cs="Arial" w:eastAsia="Arial" w:hAnsi="Arial"/>
                <w:sz w:val="14"/>
                <w:szCs w:val="14"/>
                <w:b w:val="1"/>
                <w:bCs w:val="1"/>
                <w:color w:val="auto"/>
              </w:rPr>
              <w:t>901112566</w:t>
            </w:r>
          </w:p>
        </w:tc>
      </w:tr>
      <w:tr>
        <w:trPr>
          <w:trHeight w:val="174"/>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Identification Number)</w:t>
            </w:r>
          </w:p>
        </w:tc>
      </w:tr>
      <w:tr>
        <w:trPr>
          <w:trHeight w:val="282"/>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1375 Broadway, Floor 11</w:t>
            </w:r>
          </w:p>
        </w:tc>
      </w:tr>
      <w:tr>
        <w:trPr>
          <w:trHeight w:val="162"/>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New York, New York 10018</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424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$0.001 par value</w:t>
            </w:r>
          </w:p>
        </w:tc>
        <w:tc>
          <w:tcPr>
            <w:tcW w:w="2900" w:type="dxa"/>
            <w:vAlign w:val="bottom"/>
            <w:gridSpan w:val="2"/>
          </w:tcPr>
          <w:p>
            <w:pPr>
              <w:jc w:val="center"/>
              <w:ind w:right="60"/>
              <w:spacing w:after="0"/>
              <w:rPr>
                <w:sz w:val="20"/>
                <w:szCs w:val="20"/>
                <w:color w:val="auto"/>
              </w:rPr>
            </w:pPr>
            <w:r>
              <w:rPr>
                <w:rFonts w:ascii="Arial" w:cs="Arial" w:eastAsia="Arial" w:hAnsi="Arial"/>
                <w:sz w:val="16"/>
                <w:szCs w:val="16"/>
                <w:color w:val="auto"/>
              </w:rPr>
              <w:t>VRM</w:t>
            </w:r>
          </w:p>
        </w:tc>
        <w:tc>
          <w:tcPr>
            <w:tcW w:w="410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16" w:lineRule="exact"/>
        <w:rPr>
          <w:sz w:val="24"/>
          <w:szCs w:val="24"/>
          <w:color w:val="auto"/>
        </w:rPr>
      </w:pPr>
    </w:p>
    <w:p>
      <w:pPr>
        <w:ind w:right="8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10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20" w:firstLine="37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8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280" w:firstLine="37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380" w:right="17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12, 2020, 130,241,341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80" w:type="dxa"/>
            <w:vAlign w:val="bottom"/>
            <w:gridSpan w:val="4"/>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398"/>
        </w:trPr>
        <w:tc>
          <w:tcPr>
            <w:tcW w:w="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76"/>
        </w:trPr>
        <w:tc>
          <w:tcPr>
            <w:tcW w:w="40" w:type="dxa"/>
            <w:vAlign w:val="bottom"/>
          </w:tcPr>
          <w:p>
            <w:pPr>
              <w:spacing w:after="0"/>
              <w:rPr>
                <w:sz w:val="15"/>
                <w:szCs w:val="15"/>
                <w:color w:val="auto"/>
              </w:rPr>
            </w:pPr>
          </w:p>
        </w:tc>
        <w:tc>
          <w:tcPr>
            <w:tcW w:w="148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9000" w:type="dxa"/>
            <w:vAlign w:val="bottom"/>
            <w:gridSpan w:val="6"/>
          </w:tcPr>
          <w:p>
            <w:pPr>
              <w:spacing w:after="0" w:line="17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7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5</w:t>
            </w:r>
          </w:p>
        </w:tc>
      </w:tr>
      <w:tr>
        <w:trPr>
          <w:trHeight w:val="209"/>
        </w:trPr>
        <w:tc>
          <w:tcPr>
            <w:tcW w:w="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December 31, 2019 and September 30, 2020 (unaudited)</w:t>
              </w:r>
            </w:hyperlink>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76"/>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for the Three and Nine Months Ended September 30, 2019</w:t>
              </w:r>
            </w:hyperlink>
          </w:p>
        </w:tc>
        <w:tc>
          <w:tcPr>
            <w:tcW w:w="1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and 2020 (unaudited)</w:t>
              </w:r>
            </w:hyperlink>
          </w:p>
        </w:tc>
        <w:tc>
          <w:tcPr>
            <w:tcW w:w="7280" w:type="dxa"/>
            <w:vAlign w:val="bottom"/>
            <w:gridSpan w:val="4"/>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0" w:type="dxa"/>
            <w:vAlign w:val="bottom"/>
            <w:gridSpan w:val="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Redeemable Convertible Preferred Stock and Stockholders'</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4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(Deficit) Equity for the Three and Nine Months Ended September 30, 2019 and 2020 (unaudited)</w:t>
              </w:r>
            </w:hyperlink>
          </w:p>
        </w:tc>
        <w:tc>
          <w:tcPr>
            <w:tcW w:w="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176"/>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0" w:type="dxa"/>
            <w:vAlign w:val="bottom"/>
            <w:gridSpan w:val="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2019 and 2020</w:t>
              </w:r>
            </w:hyperlink>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(unaudited)</w:t>
              </w:r>
            </w:hyperlink>
          </w:p>
        </w:tc>
        <w:tc>
          <w:tcPr>
            <w:tcW w:w="7920" w:type="dxa"/>
            <w:vAlign w:val="bottom"/>
            <w:tcBorders>
              <w:top w:val="single" w:sz="8" w:color="0000EE"/>
            </w:tcBorders>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r>
      <w:tr>
        <w:trPr>
          <w:trHeight w:val="209"/>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0" w:type="dxa"/>
            <w:vAlign w:val="bottom"/>
            <w:gridSpan w:val="6"/>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176"/>
        </w:trPr>
        <w:tc>
          <w:tcPr>
            <w:tcW w:w="40" w:type="dxa"/>
            <w:vAlign w:val="bottom"/>
          </w:tcPr>
          <w:p>
            <w:pPr>
              <w:spacing w:after="0"/>
              <w:rPr>
                <w:sz w:val="15"/>
                <w:szCs w:val="15"/>
                <w:color w:val="auto"/>
              </w:rPr>
            </w:pPr>
          </w:p>
        </w:tc>
        <w:tc>
          <w:tcPr>
            <w:tcW w:w="148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6"/>
          </w:tcPr>
          <w:p>
            <w:pPr>
              <w:spacing w:after="0" w:line="176"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7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26</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3.</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51</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4.</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Controls and Procedures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51</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2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1"/>
        </w:trPr>
        <w:tc>
          <w:tcPr>
            <w:tcW w:w="40" w:type="dxa"/>
            <w:vAlign w:val="bottom"/>
          </w:tcPr>
          <w:p>
            <w:pPr>
              <w:spacing w:after="0"/>
              <w:rPr>
                <w:sz w:val="24"/>
                <w:szCs w:val="24"/>
                <w:color w:val="auto"/>
              </w:rPr>
            </w:pPr>
          </w:p>
        </w:tc>
        <w:tc>
          <w:tcPr>
            <w:tcW w:w="10480" w:type="dxa"/>
            <w:vAlign w:val="bottom"/>
            <w:gridSpan w:val="9"/>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Part II - Other Information</w:t>
              </w:r>
            </w:hyperlink>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176"/>
        </w:trPr>
        <w:tc>
          <w:tcPr>
            <w:tcW w:w="40" w:type="dxa"/>
            <w:vAlign w:val="bottom"/>
          </w:tcPr>
          <w:p>
            <w:pPr>
              <w:spacing w:after="0"/>
              <w:rPr>
                <w:sz w:val="15"/>
                <w:szCs w:val="15"/>
                <w:color w:val="auto"/>
              </w:rPr>
            </w:pPr>
          </w:p>
        </w:tc>
        <w:tc>
          <w:tcPr>
            <w:tcW w:w="148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9000" w:type="dxa"/>
            <w:vAlign w:val="bottom"/>
            <w:gridSpan w:val="6"/>
          </w:tcPr>
          <w:p>
            <w:pPr>
              <w:spacing w:after="0" w:line="176"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7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53</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1A.</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53</w:t>
            </w:r>
          </w:p>
        </w:tc>
      </w:tr>
      <w:tr>
        <w:trPr>
          <w:trHeight w:val="183"/>
        </w:trPr>
        <w:tc>
          <w:tcPr>
            <w:tcW w:w="40" w:type="dxa"/>
            <w:vAlign w:val="bottom"/>
          </w:tcPr>
          <w:p>
            <w:pPr>
              <w:spacing w:after="0"/>
              <w:rPr>
                <w:sz w:val="15"/>
                <w:szCs w:val="15"/>
                <w:color w:val="auto"/>
              </w:rPr>
            </w:pPr>
          </w:p>
        </w:tc>
        <w:tc>
          <w:tcPr>
            <w:tcW w:w="6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Pr>
          <w:p>
            <w:pPr>
              <w:spacing w:after="0"/>
              <w:rPr>
                <w:sz w:val="15"/>
                <w:szCs w:val="15"/>
                <w:color w:val="auto"/>
              </w:rPr>
            </w:pP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3.</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Defaults Upon Senior Securities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4.</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5.</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Other Information</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auto"/>
              </w:rPr>
              <w:t>Item 6.</w:t>
            </w:r>
          </w:p>
        </w:tc>
        <w:tc>
          <w:tcPr>
            <w:tcW w:w="9000" w:type="dxa"/>
            <w:vAlign w:val="bottom"/>
            <w:gridSpan w:val="6"/>
          </w:tcPr>
          <w:p>
            <w:pPr>
              <w:spacing w:after="0" w:line="18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Exhibits</w:t>
              </w:r>
            </w:hyperlink>
          </w:p>
        </w:tc>
        <w:tc>
          <w:tcPr>
            <w:tcW w:w="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56</w:t>
            </w:r>
          </w:p>
        </w:tc>
      </w:tr>
      <w:tr>
        <w:trPr>
          <w:trHeight w:val="223"/>
        </w:trPr>
        <w:tc>
          <w:tcPr>
            <w:tcW w:w="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0" w:type="dxa"/>
            <w:vAlign w:val="bottom"/>
            <w:gridSpan w:val="6"/>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66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40" w:type="dxa"/>
            <w:vAlign w:val="bottom"/>
            <w:gridSpan w:val="3"/>
          </w:tcPr>
          <w:p>
            <w:pPr>
              <w:ind w:left="40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spacing w:after="0" w:line="207"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 regarding, among other things:</w:t>
      </w:r>
    </w:p>
    <w:p>
      <w:pPr>
        <w:spacing w:after="0" w:line="205" w:lineRule="exact"/>
        <w:rPr>
          <w:sz w:val="20"/>
          <w:szCs w:val="20"/>
          <w:color w:val="auto"/>
        </w:rPr>
      </w:pPr>
    </w:p>
    <w:p>
      <w:pPr>
        <w:ind w:left="1000" w:hanging="23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caused by the novel coronavirus;</w:t>
      </w:r>
    </w:p>
    <w:p>
      <w:pPr>
        <w:spacing w:after="0" w:line="225" w:lineRule="exact"/>
        <w:rPr>
          <w:rFonts w:ascii="Arial" w:cs="Arial" w:eastAsia="Arial" w:hAnsi="Arial"/>
          <w:sz w:val="18"/>
          <w:szCs w:val="18"/>
          <w:color w:val="auto"/>
        </w:rPr>
      </w:pPr>
    </w:p>
    <w:p>
      <w:pPr>
        <w:ind w:left="1000" w:hanging="23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5" w:lineRule="exact"/>
        <w:rPr>
          <w:rFonts w:ascii="Arial" w:cs="Arial" w:eastAsia="Arial" w:hAnsi="Arial"/>
          <w:sz w:val="18"/>
          <w:szCs w:val="18"/>
          <w:color w:val="auto"/>
        </w:rPr>
      </w:pPr>
    </w:p>
    <w:p>
      <w:pPr>
        <w:ind w:left="1000" w:right="14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196" w:lineRule="exact"/>
        <w:rPr>
          <w:rFonts w:ascii="Arial" w:cs="Arial" w:eastAsia="Arial" w:hAnsi="Arial"/>
          <w:sz w:val="18"/>
          <w:szCs w:val="18"/>
          <w:color w:val="auto"/>
        </w:rPr>
      </w:pPr>
    </w:p>
    <w:p>
      <w:pPr>
        <w:ind w:left="1000" w:hanging="23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25" w:lineRule="exact"/>
        <w:rPr>
          <w:rFonts w:ascii="Arial" w:cs="Arial" w:eastAsia="Arial" w:hAnsi="Arial"/>
          <w:sz w:val="18"/>
          <w:szCs w:val="18"/>
          <w:color w:val="auto"/>
        </w:rPr>
      </w:pPr>
    </w:p>
    <w:p>
      <w:pPr>
        <w:ind w:left="1000" w:right="36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and, if we continue to grow rapidly, we may not be able to manage our growth effectively;</w:t>
      </w:r>
    </w:p>
    <w:p>
      <w:pPr>
        <w:spacing w:after="0" w:line="196" w:lineRule="exact"/>
        <w:rPr>
          <w:rFonts w:ascii="Arial" w:cs="Arial" w:eastAsia="Arial" w:hAnsi="Arial"/>
          <w:sz w:val="18"/>
          <w:szCs w:val="18"/>
          <w:color w:val="auto"/>
        </w:rPr>
      </w:pPr>
    </w:p>
    <w:p>
      <w:pPr>
        <w:ind w:left="100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and concentration of our revenues and gross profit from, Texas Direct Auto;</w:t>
      </w:r>
    </w:p>
    <w:p>
      <w:pPr>
        <w:spacing w:after="0" w:line="196" w:lineRule="exact"/>
        <w:rPr>
          <w:rFonts w:ascii="Arial" w:cs="Arial" w:eastAsia="Arial" w:hAnsi="Arial"/>
          <w:sz w:val="18"/>
          <w:szCs w:val="18"/>
          <w:color w:val="auto"/>
        </w:rPr>
      </w:pPr>
    </w:p>
    <w:p>
      <w:pPr>
        <w:ind w:left="1000" w:right="200" w:hanging="236"/>
        <w:spacing w:after="0" w:line="274"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174" w:lineRule="exact"/>
        <w:rPr>
          <w:rFonts w:ascii="Arial" w:cs="Arial" w:eastAsia="Arial" w:hAnsi="Arial"/>
          <w:sz w:val="17"/>
          <w:szCs w:val="17"/>
          <w:color w:val="auto"/>
        </w:rPr>
      </w:pPr>
    </w:p>
    <w:p>
      <w:pPr>
        <w:ind w:left="1000" w:right="4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 variety of risks associated with the operation of our proprietary vehicle reconditioning centers by us and our third-party service providers, any of which could materially and adversely affect our business, financial condition and results of operations;</w:t>
      </w:r>
    </w:p>
    <w:p>
      <w:pPr>
        <w:spacing w:after="0" w:line="196" w:lineRule="exact"/>
        <w:rPr>
          <w:rFonts w:ascii="Arial" w:cs="Arial" w:eastAsia="Arial" w:hAnsi="Arial"/>
          <w:sz w:val="18"/>
          <w:szCs w:val="18"/>
          <w:color w:val="auto"/>
        </w:rPr>
      </w:pPr>
    </w:p>
    <w:p>
      <w:pPr>
        <w:ind w:left="1000" w:right="80" w:hanging="236"/>
        <w:spacing w:after="0" w:line="274"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4" w:lineRule="exact"/>
        <w:rPr>
          <w:rFonts w:ascii="Arial" w:cs="Arial" w:eastAsia="Arial" w:hAnsi="Arial"/>
          <w:sz w:val="17"/>
          <w:szCs w:val="17"/>
          <w:color w:val="auto"/>
        </w:rPr>
      </w:pPr>
    </w:p>
    <w:p>
      <w:pPr>
        <w:ind w:left="1000" w:right="40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which will further expose us to increased risks related to ownership of infrastructure and the transportation of vehicles;</w:t>
      </w:r>
    </w:p>
    <w:p>
      <w:pPr>
        <w:spacing w:after="0" w:line="196" w:lineRule="exact"/>
        <w:rPr>
          <w:rFonts w:ascii="Arial" w:cs="Arial" w:eastAsia="Arial" w:hAnsi="Arial"/>
          <w:sz w:val="18"/>
          <w:szCs w:val="18"/>
          <w:color w:val="auto"/>
        </w:rPr>
      </w:pPr>
    </w:p>
    <w:p>
      <w:pPr>
        <w:ind w:left="1000" w:right="80" w:hanging="23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202" w:lineRule="exact"/>
        <w:rPr>
          <w:rFonts w:ascii="Arial" w:cs="Arial" w:eastAsia="Arial" w:hAnsi="Arial"/>
          <w:sz w:val="18"/>
          <w:szCs w:val="18"/>
          <w:color w:val="auto"/>
        </w:rPr>
      </w:pPr>
    </w:p>
    <w:p>
      <w:pPr>
        <w:ind w:left="1000" w:right="280" w:hanging="236"/>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 and</w:t>
      </w:r>
    </w:p>
    <w:p>
      <w:pPr>
        <w:spacing w:after="0" w:line="196" w:lineRule="exact"/>
        <w:rPr>
          <w:rFonts w:ascii="Arial" w:cs="Arial" w:eastAsia="Arial" w:hAnsi="Arial"/>
          <w:sz w:val="18"/>
          <w:szCs w:val="18"/>
          <w:color w:val="auto"/>
        </w:rPr>
      </w:pPr>
    </w:p>
    <w:p>
      <w:pPr>
        <w:ind w:left="1000" w:hanging="236"/>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firstLine="761"/>
        <w:spacing w:after="0" w:line="238"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5"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5"/>
                <w:szCs w:val="15"/>
                <w:color w:val="auto"/>
              </w:rPr>
            </w:pPr>
          </w:p>
        </w:tc>
        <w:tc>
          <w:tcPr>
            <w:tcW w:w="1560" w:type="dxa"/>
            <w:vAlign w:val="bottom"/>
          </w:tcPr>
          <w:p>
            <w:pPr>
              <w:jc w:val="center"/>
              <w:ind w:right="244"/>
              <w:spacing w:after="0"/>
              <w:rPr>
                <w:sz w:val="20"/>
                <w:szCs w:val="20"/>
                <w:color w:val="auto"/>
              </w:rPr>
            </w:pPr>
            <w:r>
              <w:rPr>
                <w:rFonts w:ascii="Arial" w:cs="Arial" w:eastAsia="Arial" w:hAnsi="Arial"/>
                <w:sz w:val="14"/>
                <w:szCs w:val="14"/>
                <w:b w:val="1"/>
                <w:bCs w:val="1"/>
                <w:color w:val="auto"/>
              </w:rPr>
              <w:t>As of</w:t>
            </w:r>
          </w:p>
        </w:tc>
      </w:tr>
      <w:tr>
        <w:trPr>
          <w:trHeight w:val="175"/>
        </w:trPr>
        <w:tc>
          <w:tcPr>
            <w:tcW w:w="6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560" w:type="dxa"/>
            <w:vAlign w:val="bottom"/>
          </w:tcPr>
          <w:p>
            <w:pPr>
              <w:jc w:val="center"/>
              <w:ind w:right="264"/>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69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2020</w:t>
            </w: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75"/>
        </w:trPr>
        <w:tc>
          <w:tcPr>
            <w:tcW w:w="6920" w:type="dxa"/>
            <w:vAlign w:val="bottom"/>
          </w:tcPr>
          <w:p>
            <w:pPr>
              <w:spacing w:after="0"/>
              <w:rPr>
                <w:sz w:val="20"/>
                <w:szCs w:val="20"/>
                <w:color w:val="auto"/>
              </w:rPr>
            </w:pPr>
            <w:r>
              <w:rPr>
                <w:rFonts w:ascii="Arial" w:cs="Arial" w:eastAsia="Arial" w:hAnsi="Arial"/>
                <w:sz w:val="15"/>
                <w:szCs w:val="15"/>
                <w:color w:val="auto"/>
              </w:rPr>
              <w:t>Current Assets: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217,734</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1,161,362</w:t>
            </w: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1,853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27,961</w:t>
            </w:r>
          </w:p>
        </w:tc>
      </w:tr>
      <w:tr>
        <w:trPr>
          <w:trHeight w:val="175"/>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net of allowance of $789 and $1,809, respectively</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30,848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33,799</w:t>
            </w: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Inventory</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205,746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299,411</w:t>
            </w:r>
          </w:p>
        </w:tc>
      </w:tr>
      <w:tr>
        <w:trPr>
          <w:trHeight w:val="175"/>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6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9,149</w:t>
            </w:r>
          </w:p>
        </w:tc>
        <w:tc>
          <w:tcPr>
            <w:tcW w:w="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16,257</w:t>
            </w:r>
          </w:p>
        </w:tc>
      </w:tr>
      <w:tr>
        <w:trPr>
          <w:trHeight w:val="169"/>
        </w:trPr>
        <w:tc>
          <w:tcPr>
            <w:tcW w:w="692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44"/>
              <w:spacing w:after="0" w:line="169" w:lineRule="exact"/>
              <w:rPr>
                <w:sz w:val="20"/>
                <w:szCs w:val="20"/>
                <w:color w:val="auto"/>
              </w:rPr>
            </w:pPr>
            <w:r>
              <w:rPr>
                <w:rFonts w:ascii="Arial" w:cs="Arial" w:eastAsia="Arial" w:hAnsi="Arial"/>
                <w:sz w:val="15"/>
                <w:szCs w:val="15"/>
                <w:color w:val="auto"/>
              </w:rPr>
              <w:t>465,330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64"/>
              <w:spacing w:after="0" w:line="169" w:lineRule="exact"/>
              <w:rPr>
                <w:sz w:val="20"/>
                <w:szCs w:val="20"/>
                <w:color w:val="auto"/>
              </w:rPr>
            </w:pPr>
            <w:r>
              <w:rPr>
                <w:rFonts w:ascii="Arial" w:cs="Arial" w:eastAsia="Arial" w:hAnsi="Arial"/>
                <w:sz w:val="15"/>
                <w:szCs w:val="15"/>
                <w:color w:val="auto"/>
              </w:rPr>
              <w:t>1,538,790</w:t>
            </w: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7,828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10,051</w:t>
            </w:r>
          </w:p>
        </w:tc>
      </w:tr>
      <w:tr>
        <w:trPr>
          <w:trHeight w:val="175"/>
        </w:trPr>
        <w:tc>
          <w:tcPr>
            <w:tcW w:w="6920" w:type="dxa"/>
            <w:vAlign w:val="bottom"/>
          </w:tcPr>
          <w:p>
            <w:pPr>
              <w:spacing w:after="0"/>
              <w:rPr>
                <w:sz w:val="20"/>
                <w:szCs w:val="20"/>
                <w:color w:val="auto"/>
              </w:rPr>
            </w:pPr>
            <w:r>
              <w:rPr>
                <w:rFonts w:ascii="Arial" w:cs="Arial" w:eastAsia="Arial" w:hAnsi="Arial"/>
                <w:sz w:val="15"/>
                <w:szCs w:val="15"/>
                <w:color w:val="auto"/>
              </w:rPr>
              <w:t>Intangible assets, net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572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160</w:t>
            </w: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78,172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78,172</w:t>
            </w:r>
          </w:p>
        </w:tc>
      </w:tr>
      <w:tr>
        <w:trPr>
          <w:trHeight w:val="175"/>
        </w:trPr>
        <w:tc>
          <w:tcPr>
            <w:tcW w:w="692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14,337</w:t>
            </w:r>
          </w:p>
        </w:tc>
      </w:tr>
      <w:tr>
        <w:trPr>
          <w:trHeight w:val="176"/>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6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11,485</w:t>
            </w:r>
          </w:p>
        </w:tc>
        <w:tc>
          <w:tcPr>
            <w:tcW w:w="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13,433</w:t>
            </w:r>
          </w:p>
        </w:tc>
      </w:tr>
      <w:tr>
        <w:trPr>
          <w:trHeight w:val="209"/>
        </w:trPr>
        <w:tc>
          <w:tcPr>
            <w:tcW w:w="6920" w:type="dxa"/>
            <w:vAlign w:val="bottom"/>
          </w:tcPr>
          <w:p>
            <w:pPr>
              <w:ind w:left="500"/>
              <w:spacing w:after="0" w:line="169" w:lineRule="exact"/>
              <w:rPr>
                <w:sz w:val="20"/>
                <w:szCs w:val="20"/>
                <w:color w:val="auto"/>
              </w:rPr>
            </w:pPr>
            <w:r>
              <w:rPr>
                <w:rFonts w:ascii="Arial" w:cs="Arial" w:eastAsia="Arial" w:hAnsi="Arial"/>
                <w:sz w:val="15"/>
                <w:szCs w:val="15"/>
                <w:color w:val="auto"/>
              </w:rPr>
              <w:t>Total assets</w:t>
            </w:r>
          </w:p>
        </w:tc>
        <w:tc>
          <w:tcPr>
            <w:tcW w:w="8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500" w:type="dxa"/>
            <w:vAlign w:val="bottom"/>
          </w:tcPr>
          <w:p>
            <w:pPr>
              <w:jc w:val="right"/>
              <w:ind w:right="44"/>
              <w:spacing w:after="0" w:line="169" w:lineRule="exact"/>
              <w:rPr>
                <w:sz w:val="20"/>
                <w:szCs w:val="20"/>
                <w:color w:val="auto"/>
              </w:rPr>
            </w:pPr>
            <w:r>
              <w:rPr>
                <w:rFonts w:ascii="Arial" w:cs="Arial" w:eastAsia="Arial" w:hAnsi="Arial"/>
                <w:sz w:val="15"/>
                <w:szCs w:val="15"/>
                <w:color w:val="auto"/>
              </w:rPr>
              <w:t>563,387</w:t>
            </w:r>
          </w:p>
        </w:tc>
        <w:tc>
          <w:tcPr>
            <w:tcW w:w="180" w:type="dxa"/>
            <w:vAlign w:val="bottom"/>
          </w:tcPr>
          <w:p>
            <w:pPr>
              <w:spacing w:after="0"/>
              <w:rPr>
                <w:sz w:val="18"/>
                <w:szCs w:val="18"/>
                <w:color w:val="auto"/>
              </w:rPr>
            </w:pPr>
          </w:p>
        </w:tc>
        <w:tc>
          <w:tcPr>
            <w:tcW w:w="200" w:type="dxa"/>
            <w:vAlign w:val="bottom"/>
          </w:tcPr>
          <w:p>
            <w:pPr>
              <w:jc w:val="right"/>
              <w:ind w:right="24"/>
              <w:spacing w:after="0" w:line="169" w:lineRule="exact"/>
              <w:rPr>
                <w:sz w:val="20"/>
                <w:szCs w:val="20"/>
                <w:color w:val="auto"/>
              </w:rPr>
            </w:pPr>
            <w:r>
              <w:rPr>
                <w:rFonts w:ascii="Arial" w:cs="Arial" w:eastAsia="Arial" w:hAnsi="Arial"/>
                <w:sz w:val="15"/>
                <w:szCs w:val="15"/>
                <w:color w:val="auto"/>
                <w:w w:val="95"/>
              </w:rPr>
              <w:t>$</w:t>
            </w:r>
          </w:p>
        </w:tc>
        <w:tc>
          <w:tcPr>
            <w:tcW w:w="1560" w:type="dxa"/>
            <w:vAlign w:val="bottom"/>
          </w:tcPr>
          <w:p>
            <w:pPr>
              <w:jc w:val="right"/>
              <w:ind w:right="64"/>
              <w:spacing w:after="0" w:line="169" w:lineRule="exact"/>
              <w:rPr>
                <w:sz w:val="20"/>
                <w:szCs w:val="20"/>
                <w:color w:val="auto"/>
              </w:rPr>
            </w:pPr>
            <w:r>
              <w:rPr>
                <w:rFonts w:ascii="Arial" w:cs="Arial" w:eastAsia="Arial" w:hAnsi="Arial"/>
                <w:sz w:val="15"/>
                <w:szCs w:val="15"/>
                <w:color w:val="auto"/>
              </w:rPr>
              <w:t>1,654,943</w:t>
            </w:r>
          </w:p>
        </w:tc>
      </w:tr>
      <w:tr>
        <w:trPr>
          <w:trHeight w:val="135"/>
        </w:trPr>
        <w:tc>
          <w:tcPr>
            <w:tcW w:w="6920" w:type="dxa"/>
            <w:vAlign w:val="bottom"/>
            <w:tcBorders>
              <w:top w:val="single" w:sz="8" w:color="CFF0FC"/>
            </w:tcBorders>
            <w:shd w:val="clear" w:color="auto" w:fill="CFF0FC"/>
          </w:tcPr>
          <w:p>
            <w:pPr>
              <w:spacing w:after="0" w:line="135" w:lineRule="exact"/>
              <w:rPr>
                <w:sz w:val="20"/>
                <w:szCs w:val="20"/>
                <w:color w:val="auto"/>
              </w:rPr>
            </w:pPr>
            <w:r>
              <w:rPr>
                <w:rFonts w:ascii="Arial" w:cs="Arial" w:eastAsia="Arial" w:hAnsi="Arial"/>
                <w:sz w:val="15"/>
                <w:szCs w:val="15"/>
                <w:b w:val="1"/>
                <w:bCs w:val="1"/>
                <w:color w:val="auto"/>
              </w:rPr>
              <w:t>LIABILITIES, REDEEMABLE CONVERTIBLE PREFERRED STOCK</w:t>
            </w:r>
          </w:p>
        </w:tc>
        <w:tc>
          <w:tcPr>
            <w:tcW w:w="6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560" w:type="dxa"/>
            <w:vAlign w:val="bottom"/>
            <w:tcBorders>
              <w:top w:val="single" w:sz="8" w:color="auto"/>
            </w:tcBorders>
            <w:shd w:val="clear" w:color="auto" w:fill="CFF0FC"/>
          </w:tcPr>
          <w:p>
            <w:pPr>
              <w:spacing w:after="0"/>
              <w:rPr>
                <w:sz w:val="11"/>
                <w:szCs w:val="11"/>
                <w:color w:val="auto"/>
              </w:rPr>
            </w:pPr>
          </w:p>
        </w:tc>
      </w:tr>
      <w:tr>
        <w:trPr>
          <w:trHeight w:val="183"/>
        </w:trPr>
        <w:tc>
          <w:tcPr>
            <w:tcW w:w="692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AND STOCKHOLDERS’ (DEFICIT) EQUITY</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Current Liabilities: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18,987</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29,630</w:t>
            </w:r>
          </w:p>
        </w:tc>
      </w:tr>
      <w:tr>
        <w:trPr>
          <w:trHeight w:val="176"/>
        </w:trPr>
        <w:tc>
          <w:tcPr>
            <w:tcW w:w="692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38,491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47,641</w:t>
            </w: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Vehicle floorplan</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173,461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248,967</w:t>
            </w:r>
          </w:p>
        </w:tc>
      </w:tr>
      <w:tr>
        <w:trPr>
          <w:trHeight w:val="175"/>
        </w:trPr>
        <w:tc>
          <w:tcPr>
            <w:tcW w:w="692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Arial" w:cs="Arial" w:eastAsia="Arial" w:hAnsi="Arial"/>
                <w:sz w:val="15"/>
                <w:szCs w:val="15"/>
                <w:color w:val="auto"/>
              </w:rPr>
              <w:t>17,323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17,299</w:t>
            </w: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 current</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4,621</w:t>
            </w:r>
          </w:p>
        </w:tc>
      </w:tr>
      <w:tr>
        <w:trPr>
          <w:trHeight w:val="175"/>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current liabilities</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11,572</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16,375</w:t>
            </w:r>
          </w:p>
        </w:tc>
      </w:tr>
      <w:tr>
        <w:trPr>
          <w:trHeight w:val="169"/>
        </w:trPr>
        <w:tc>
          <w:tcPr>
            <w:tcW w:w="69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259,834</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364,533</w:t>
            </w:r>
          </w:p>
        </w:tc>
      </w:tr>
      <w:tr>
        <w:trPr>
          <w:trHeight w:val="176"/>
        </w:trPr>
        <w:tc>
          <w:tcPr>
            <w:tcW w:w="6920" w:type="dxa"/>
            <w:vAlign w:val="bottom"/>
          </w:tcPr>
          <w:p>
            <w:pPr>
              <w:spacing w:after="0"/>
              <w:rPr>
                <w:sz w:val="20"/>
                <w:szCs w:val="20"/>
                <w:color w:val="auto"/>
              </w:rPr>
            </w:pPr>
            <w:r>
              <w:rPr>
                <w:rFonts w:ascii="Arial" w:cs="Arial" w:eastAsia="Arial" w:hAnsi="Arial"/>
                <w:sz w:val="15"/>
                <w:szCs w:val="15"/>
                <w:color w:val="auto"/>
              </w:rPr>
              <w:t>Operating lease liabilities, excluding current portion</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560" w:type="dxa"/>
            <w:vAlign w:val="bottom"/>
          </w:tcPr>
          <w:p>
            <w:pPr>
              <w:jc w:val="right"/>
              <w:ind w:right="64"/>
              <w:spacing w:after="0"/>
              <w:rPr>
                <w:sz w:val="20"/>
                <w:szCs w:val="20"/>
                <w:color w:val="auto"/>
              </w:rPr>
            </w:pPr>
            <w:r>
              <w:rPr>
                <w:rFonts w:ascii="Arial" w:cs="Arial" w:eastAsia="Arial" w:hAnsi="Arial"/>
                <w:sz w:val="15"/>
                <w:szCs w:val="15"/>
                <w:color w:val="auto"/>
              </w:rPr>
              <w:t>10,674</w:t>
            </w:r>
          </w:p>
        </w:tc>
      </w:tr>
      <w:tr>
        <w:trPr>
          <w:trHeight w:val="175"/>
        </w:trPr>
        <w:tc>
          <w:tcPr>
            <w:tcW w:w="692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6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3,073</w:t>
            </w:r>
          </w:p>
        </w:tc>
        <w:tc>
          <w:tcPr>
            <w:tcW w:w="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1,886</w:t>
            </w:r>
          </w:p>
        </w:tc>
      </w:tr>
      <w:tr>
        <w:trPr>
          <w:trHeight w:val="169"/>
        </w:trPr>
        <w:tc>
          <w:tcPr>
            <w:tcW w:w="69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6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262,907</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rPr>
              <w:t>377,093</w:t>
            </w: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Commitments and contingencies (Note 8)</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72"/>
        </w:trPr>
        <w:tc>
          <w:tcPr>
            <w:tcW w:w="6920" w:type="dxa"/>
            <w:vAlign w:val="bottom"/>
          </w:tcPr>
          <w:p>
            <w:pPr>
              <w:ind w:left="260"/>
              <w:spacing w:after="0"/>
              <w:rPr>
                <w:sz w:val="20"/>
                <w:szCs w:val="20"/>
                <w:color w:val="auto"/>
              </w:rPr>
            </w:pPr>
            <w:r>
              <w:rPr>
                <w:rFonts w:ascii="Arial" w:cs="Arial" w:eastAsia="Arial" w:hAnsi="Arial"/>
                <w:sz w:val="15"/>
                <w:szCs w:val="15"/>
                <w:color w:val="auto"/>
              </w:rPr>
              <w:t>Redeemable convertible preferred stock, $0.001 par value; 86,123,364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6920" w:type="dxa"/>
            <w:vAlign w:val="bottom"/>
          </w:tcPr>
          <w:p>
            <w:pPr>
              <w:ind w:left="380"/>
              <w:spacing w:after="0" w:line="162" w:lineRule="exact"/>
              <w:rPr>
                <w:sz w:val="20"/>
                <w:szCs w:val="20"/>
                <w:color w:val="auto"/>
              </w:rPr>
            </w:pPr>
            <w:r>
              <w:rPr>
                <w:rFonts w:ascii="Arial" w:cs="Arial" w:eastAsia="Arial" w:hAnsi="Arial"/>
                <w:sz w:val="15"/>
                <w:szCs w:val="15"/>
                <w:color w:val="auto"/>
              </w:rPr>
              <w:t>and 10,000,000 shares authorized as of December 31, 2019 and September 30, 2020,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6920" w:type="dxa"/>
            <w:vAlign w:val="bottom"/>
          </w:tcPr>
          <w:p>
            <w:pPr>
              <w:ind w:left="380"/>
              <w:spacing w:after="0" w:line="162" w:lineRule="exact"/>
              <w:rPr>
                <w:sz w:val="20"/>
                <w:szCs w:val="20"/>
                <w:color w:val="auto"/>
              </w:rPr>
            </w:pPr>
            <w:r>
              <w:rPr>
                <w:rFonts w:ascii="Arial" w:cs="Arial" w:eastAsia="Arial" w:hAnsi="Arial"/>
                <w:sz w:val="15"/>
                <w:szCs w:val="15"/>
                <w:color w:val="auto"/>
              </w:rPr>
              <w:t>respectively; 83,568,628 and zero shares issued and outstanding as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5"/>
        </w:trPr>
        <w:tc>
          <w:tcPr>
            <w:tcW w:w="692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December 31, 2019 and September 30, 2020, respectively</w:t>
            </w:r>
          </w:p>
        </w:tc>
        <w:tc>
          <w:tcPr>
            <w:tcW w:w="6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color w:val="auto"/>
              </w:rPr>
              <w:t>874,332</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
              <w:spacing w:after="0" w:line="166" w:lineRule="exact"/>
              <w:rPr>
                <w:sz w:val="20"/>
                <w:szCs w:val="20"/>
                <w:color w:val="auto"/>
              </w:rPr>
            </w:pPr>
            <w:r>
              <w:rPr>
                <w:rFonts w:ascii="Arial" w:cs="Arial" w:eastAsia="Arial" w:hAnsi="Arial"/>
                <w:sz w:val="15"/>
                <w:szCs w:val="15"/>
                <w:color w:val="auto"/>
              </w:rPr>
              <w:t>—</w:t>
            </w:r>
          </w:p>
        </w:tc>
      </w:tr>
      <w:tr>
        <w:trPr>
          <w:trHeight w:val="169"/>
        </w:trPr>
        <w:tc>
          <w:tcPr>
            <w:tcW w:w="6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Stockholders’ (deficit) equity:</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72"/>
        </w:trPr>
        <w:tc>
          <w:tcPr>
            <w:tcW w:w="6920" w:type="dxa"/>
            <w:vAlign w:val="bottom"/>
          </w:tcPr>
          <w:p>
            <w:pPr>
              <w:ind w:left="260"/>
              <w:spacing w:after="0"/>
              <w:rPr>
                <w:sz w:val="20"/>
                <w:szCs w:val="20"/>
                <w:color w:val="auto"/>
              </w:rPr>
            </w:pPr>
            <w:r>
              <w:rPr>
                <w:rFonts w:ascii="Arial" w:cs="Arial" w:eastAsia="Arial" w:hAnsi="Arial"/>
                <w:sz w:val="15"/>
                <w:szCs w:val="15"/>
                <w:color w:val="auto"/>
              </w:rPr>
              <w:t>Common stock, $0.001 par value; 113,443,854 and 500,000,000 shares authorized as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6920" w:type="dxa"/>
            <w:vAlign w:val="bottom"/>
          </w:tcPr>
          <w:p>
            <w:pPr>
              <w:ind w:left="380"/>
              <w:spacing w:after="0" w:line="162" w:lineRule="exact"/>
              <w:rPr>
                <w:sz w:val="20"/>
                <w:szCs w:val="20"/>
                <w:color w:val="auto"/>
              </w:rPr>
            </w:pPr>
            <w:r>
              <w:rPr>
                <w:rFonts w:ascii="Arial" w:cs="Arial" w:eastAsia="Arial" w:hAnsi="Arial"/>
                <w:sz w:val="15"/>
                <w:szCs w:val="15"/>
                <w:color w:val="auto"/>
              </w:rPr>
              <w:t>December 31, 2019 and September 30, 2020, respectively; 8,650,922 and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6920" w:type="dxa"/>
            <w:vAlign w:val="bottom"/>
          </w:tcPr>
          <w:p>
            <w:pPr>
              <w:ind w:left="380"/>
              <w:spacing w:after="0" w:line="162" w:lineRule="exact"/>
              <w:rPr>
                <w:sz w:val="20"/>
                <w:szCs w:val="20"/>
                <w:color w:val="auto"/>
              </w:rPr>
            </w:pPr>
            <w:r>
              <w:rPr>
                <w:rFonts w:ascii="Arial" w:cs="Arial" w:eastAsia="Arial" w:hAnsi="Arial"/>
                <w:sz w:val="15"/>
                <w:szCs w:val="15"/>
                <w:color w:val="auto"/>
              </w:rPr>
              <w:t>130,230,591 shares issued and outstanding as of December 31, 2019 and September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5"/>
        </w:trPr>
        <w:tc>
          <w:tcPr>
            <w:tcW w:w="6920" w:type="dxa"/>
            <w:vAlign w:val="bottom"/>
          </w:tcPr>
          <w:p>
            <w:pPr>
              <w:ind w:left="380"/>
              <w:spacing w:after="0" w:line="166" w:lineRule="exact"/>
              <w:rPr>
                <w:sz w:val="20"/>
                <w:szCs w:val="20"/>
                <w:color w:val="auto"/>
              </w:rPr>
            </w:pPr>
            <w:r>
              <w:rPr>
                <w:rFonts w:ascii="Arial" w:cs="Arial" w:eastAsia="Arial" w:hAnsi="Arial"/>
                <w:sz w:val="15"/>
                <w:szCs w:val="15"/>
                <w:color w:val="auto"/>
              </w:rPr>
              <w:t>30, 2020, respectively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44"/>
              <w:spacing w:after="0" w:line="166" w:lineRule="exact"/>
              <w:rPr>
                <w:sz w:val="20"/>
                <w:szCs w:val="20"/>
                <w:color w:val="auto"/>
              </w:rPr>
            </w:pPr>
            <w:r>
              <w:rPr>
                <w:rFonts w:ascii="Arial" w:cs="Arial" w:eastAsia="Arial" w:hAnsi="Arial"/>
                <w:sz w:val="15"/>
                <w:szCs w:val="15"/>
                <w:color w:val="auto"/>
              </w:rPr>
              <w:t>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64"/>
              <w:spacing w:after="0" w:line="166" w:lineRule="exact"/>
              <w:rPr>
                <w:sz w:val="20"/>
                <w:szCs w:val="20"/>
                <w:color w:val="auto"/>
              </w:rPr>
            </w:pPr>
            <w:r>
              <w:rPr>
                <w:rFonts w:ascii="Arial" w:cs="Arial" w:eastAsia="Arial" w:hAnsi="Arial"/>
                <w:sz w:val="15"/>
                <w:szCs w:val="15"/>
                <w:color w:val="auto"/>
              </w:rPr>
              <w:t>130</w:t>
            </w:r>
          </w:p>
        </w:tc>
      </w:tr>
      <w:tr>
        <w:trPr>
          <w:trHeight w:val="176"/>
        </w:trPr>
        <w:tc>
          <w:tcPr>
            <w:tcW w:w="6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Additional paid-in-capital</w:t>
            </w: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1,994,929</w:t>
            </w:r>
          </w:p>
        </w:tc>
      </w:tr>
      <w:tr>
        <w:trPr>
          <w:trHeight w:val="175"/>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Accumulated deficit</w:t>
            </w: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(573,860)</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(717,209)</w:t>
            </w:r>
          </w:p>
        </w:tc>
      </w:tr>
      <w:tr>
        <w:trPr>
          <w:trHeight w:val="169"/>
        </w:trPr>
        <w:tc>
          <w:tcPr>
            <w:tcW w:w="69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stockholders’ (deficit) equity</w:t>
            </w:r>
          </w:p>
        </w:tc>
        <w:tc>
          <w:tcPr>
            <w:tcW w:w="6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(573,852)</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1,277,850</w:t>
            </w: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5"/>
                <w:szCs w:val="15"/>
                <w:color w:val="auto"/>
              </w:rPr>
              <w:t>Total liabilities, redeemable convertible preferred stock and stockholders’ (deficit) equity</w:t>
            </w:r>
          </w:p>
        </w:tc>
        <w:tc>
          <w:tcPr>
            <w:tcW w:w="8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500" w:type="dxa"/>
            <w:vAlign w:val="bottom"/>
          </w:tcPr>
          <w:p>
            <w:pPr>
              <w:jc w:val="right"/>
              <w:ind w:right="44"/>
              <w:spacing w:after="0" w:line="169" w:lineRule="exact"/>
              <w:rPr>
                <w:sz w:val="20"/>
                <w:szCs w:val="20"/>
                <w:color w:val="auto"/>
              </w:rPr>
            </w:pPr>
            <w:r>
              <w:rPr>
                <w:rFonts w:ascii="Arial" w:cs="Arial" w:eastAsia="Arial" w:hAnsi="Arial"/>
                <w:sz w:val="15"/>
                <w:szCs w:val="15"/>
                <w:color w:val="auto"/>
              </w:rPr>
              <w:t>563,387</w:t>
            </w:r>
          </w:p>
        </w:tc>
        <w:tc>
          <w:tcPr>
            <w:tcW w:w="180" w:type="dxa"/>
            <w:vAlign w:val="bottom"/>
          </w:tcPr>
          <w:p>
            <w:pPr>
              <w:spacing w:after="0"/>
              <w:rPr>
                <w:sz w:val="14"/>
                <w:szCs w:val="14"/>
                <w:color w:val="auto"/>
              </w:rPr>
            </w:pPr>
          </w:p>
        </w:tc>
        <w:tc>
          <w:tcPr>
            <w:tcW w:w="200" w:type="dxa"/>
            <w:vAlign w:val="bottom"/>
          </w:tcPr>
          <w:p>
            <w:pPr>
              <w:jc w:val="right"/>
              <w:ind w:right="24"/>
              <w:spacing w:after="0" w:line="169" w:lineRule="exact"/>
              <w:rPr>
                <w:sz w:val="20"/>
                <w:szCs w:val="20"/>
                <w:color w:val="auto"/>
              </w:rPr>
            </w:pPr>
            <w:r>
              <w:rPr>
                <w:rFonts w:ascii="Arial" w:cs="Arial" w:eastAsia="Arial" w:hAnsi="Arial"/>
                <w:sz w:val="15"/>
                <w:szCs w:val="15"/>
                <w:color w:val="auto"/>
                <w:w w:val="95"/>
              </w:rPr>
              <w:t>$</w:t>
            </w:r>
          </w:p>
        </w:tc>
        <w:tc>
          <w:tcPr>
            <w:tcW w:w="1560" w:type="dxa"/>
            <w:vAlign w:val="bottom"/>
          </w:tcPr>
          <w:p>
            <w:pPr>
              <w:jc w:val="right"/>
              <w:ind w:right="64"/>
              <w:spacing w:after="0" w:line="169" w:lineRule="exact"/>
              <w:rPr>
                <w:sz w:val="20"/>
                <w:szCs w:val="20"/>
                <w:color w:val="auto"/>
              </w:rPr>
            </w:pPr>
            <w:r>
              <w:rPr>
                <w:rFonts w:ascii="Arial" w:cs="Arial" w:eastAsia="Arial" w:hAnsi="Arial"/>
                <w:sz w:val="15"/>
                <w:szCs w:val="15"/>
                <w:color w:val="auto"/>
              </w:rPr>
              <w:t>1,654,943</w:t>
            </w:r>
          </w:p>
        </w:tc>
      </w:tr>
      <w:tr>
        <w:trPr>
          <w:trHeight w:val="20"/>
        </w:trPr>
        <w:tc>
          <w:tcPr>
            <w:tcW w:w="6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7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196"/>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5760" w:type="dxa"/>
            <w:vAlign w:val="bottom"/>
          </w:tcPr>
          <w:p>
            <w:pPr>
              <w:ind w:left="260"/>
              <w:spacing w:after="0"/>
              <w:rPr>
                <w:sz w:val="20"/>
                <w:szCs w:val="20"/>
                <w:color w:val="auto"/>
              </w:rPr>
            </w:pPr>
            <w:r>
              <w:rPr>
                <w:rFonts w:ascii="Arial" w:cs="Arial" w:eastAsia="Arial" w:hAnsi="Arial"/>
                <w:sz w:val="16"/>
                <w:szCs w:val="16"/>
                <w:color w:val="auto"/>
              </w:rPr>
              <w:t>Retail vehicle, net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273,743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249,518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652,895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754,380</w:t>
            </w:r>
          </w:p>
        </w:tc>
      </w:tr>
      <w:tr>
        <w:trPr>
          <w:trHeight w:val="203"/>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Wholesale vehicle</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59,054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63,972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165,705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170,469</w:t>
            </w:r>
          </w:p>
        </w:tc>
      </w:tr>
      <w:tr>
        <w:trPr>
          <w:trHeight w:val="203"/>
        </w:trPr>
        <w:tc>
          <w:tcPr>
            <w:tcW w:w="5760" w:type="dxa"/>
            <w:vAlign w:val="bottom"/>
          </w:tcPr>
          <w:p>
            <w:pPr>
              <w:ind w:left="260"/>
              <w:spacing w:after="0"/>
              <w:rPr>
                <w:sz w:val="20"/>
                <w:szCs w:val="20"/>
                <w:color w:val="auto"/>
              </w:rPr>
            </w:pPr>
            <w:r>
              <w:rPr>
                <w:rFonts w:ascii="Arial" w:cs="Arial" w:eastAsia="Arial" w:hAnsi="Arial"/>
                <w:sz w:val="16"/>
                <w:szCs w:val="16"/>
                <w:color w:val="auto"/>
              </w:rPr>
              <w:t>Product, net</w:t>
            </w: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7,029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9,198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16,265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25,979</w:t>
            </w:r>
          </w:p>
        </w:tc>
      </w:tr>
      <w:tr>
        <w:trPr>
          <w:trHeight w:val="203"/>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317</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1,364</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1,043</w:t>
            </w: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340,273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323,005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836,229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951,871</w:t>
            </w: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324,602</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297,560</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794,701</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900,432</w:t>
            </w: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Total gross profit</w:t>
            </w: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15,671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25,445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41,528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51,439</w:t>
            </w: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50,934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61,127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131,209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167,418</w:t>
            </w:r>
          </w:p>
        </w:tc>
      </w:tr>
      <w:tr>
        <w:trPr>
          <w:trHeight w:val="203"/>
        </w:trPr>
        <w:tc>
          <w:tcPr>
            <w:tcW w:w="5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1,517</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1,191</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4,551</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3,239</w:t>
            </w:r>
          </w:p>
        </w:tc>
      </w:tr>
      <w:tr>
        <w:trPr>
          <w:trHeight w:val="196"/>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(36,780)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(36,873)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(94,232)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(119,218)</w:t>
            </w:r>
          </w:p>
        </w:tc>
      </w:tr>
      <w:tr>
        <w:trPr>
          <w:trHeight w:val="203"/>
        </w:trPr>
        <w:tc>
          <w:tcPr>
            <w:tcW w:w="57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3,797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2,259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9,903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6,382</w:t>
            </w: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(3,960)</w:t>
            </w:r>
          </w:p>
        </w:tc>
      </w:tr>
      <w:tr>
        <w:trPr>
          <w:trHeight w:val="203"/>
        </w:trPr>
        <w:tc>
          <w:tcPr>
            <w:tcW w:w="5760" w:type="dxa"/>
            <w:vAlign w:val="bottom"/>
          </w:tcPr>
          <w:p>
            <w:pPr>
              <w:spacing w:after="0"/>
              <w:rPr>
                <w:sz w:val="20"/>
                <w:szCs w:val="20"/>
                <w:color w:val="auto"/>
              </w:rPr>
            </w:pPr>
            <w:r>
              <w:rPr>
                <w:rFonts w:ascii="Arial" w:cs="Arial" w:eastAsia="Arial" w:hAnsi="Arial"/>
                <w:sz w:val="16"/>
                <w:szCs w:val="16"/>
                <w:color w:val="auto"/>
              </w:rPr>
              <w:t>Revaluation of preferred stock warrant</w:t>
            </w: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20,470</w:t>
            </w: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r>
      <w:tr>
        <w:trPr>
          <w:trHeight w:val="196"/>
        </w:trPr>
        <w:tc>
          <w:tcPr>
            <w:tcW w:w="576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(37,817)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(100,121)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(141,999)</w:t>
            </w: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122</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138</w:t>
            </w:r>
          </w:p>
        </w:tc>
      </w:tr>
      <w:tr>
        <w:trPr>
          <w:trHeight w:val="236"/>
        </w:trPr>
        <w:tc>
          <w:tcPr>
            <w:tcW w:w="576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(39,764)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(37,850)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(100,243)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(142,137)</w:t>
            </w:r>
          </w:p>
        </w:tc>
      </w:tr>
      <w:tr>
        <w:trPr>
          <w:trHeight w:val="18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Accretion of redeemable convertible preferred stock</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(65,686)</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(109,529)</w:t>
            </w: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36"/>
        </w:trPr>
        <w:tc>
          <w:tcPr>
            <w:tcW w:w="57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(105,450)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(37,850)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(209,772)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(142,137)</w:t>
            </w:r>
          </w:p>
        </w:tc>
      </w:tr>
      <w:tr>
        <w:trPr>
          <w:trHeight w:val="185"/>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w:t>
            </w: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r>
      <w:tr>
        <w:trPr>
          <w:trHeight w:val="187"/>
        </w:trPr>
        <w:tc>
          <w:tcPr>
            <w:tcW w:w="5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(24.42)</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r>
      <w:tr>
        <w:trPr>
          <w:trHeight w:val="198"/>
        </w:trPr>
        <w:tc>
          <w:tcPr>
            <w:tcW w:w="5760" w:type="dxa"/>
            <w:vAlign w:val="bottom"/>
          </w:tcPr>
          <w:p>
            <w:pPr>
              <w:spacing w:after="0"/>
              <w:rPr>
                <w:sz w:val="20"/>
                <w:szCs w:val="20"/>
                <w:color w:val="auto"/>
              </w:rPr>
            </w:pPr>
            <w:r>
              <w:rPr>
                <w:rFonts w:ascii="Arial" w:cs="Arial" w:eastAsia="Arial" w:hAnsi="Arial"/>
                <w:sz w:val="16"/>
                <w:szCs w:val="16"/>
                <w:color w:val="auto"/>
              </w:rPr>
              <w:t>Weighted-average number of shares outstanding used</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189"/>
        </w:trPr>
        <w:tc>
          <w:tcPr>
            <w:tcW w:w="5760" w:type="dxa"/>
            <w:vAlign w:val="bottom"/>
          </w:tcPr>
          <w:p>
            <w:pPr>
              <w:ind w:left="140"/>
              <w:spacing w:after="0"/>
              <w:rPr>
                <w:sz w:val="20"/>
                <w:szCs w:val="20"/>
                <w:color w:val="auto"/>
              </w:rPr>
            </w:pPr>
            <w:r>
              <w:rPr>
                <w:rFonts w:ascii="Arial" w:cs="Arial" w:eastAsia="Arial" w:hAnsi="Arial"/>
                <w:sz w:val="16"/>
                <w:szCs w:val="16"/>
                <w:color w:val="auto"/>
              </w:rPr>
              <w:t>to compute net loss per share attributable to common</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5760" w:type="dxa"/>
            <w:vAlign w:val="bottom"/>
          </w:tcPr>
          <w:p>
            <w:pPr>
              <w:ind w:left="140"/>
              <w:spacing w:after="0"/>
              <w:rPr>
                <w:sz w:val="20"/>
                <w:szCs w:val="20"/>
                <w:color w:val="auto"/>
              </w:rPr>
            </w:pPr>
            <w:r>
              <w:rPr>
                <w:rFonts w:ascii="Arial" w:cs="Arial" w:eastAsia="Arial" w:hAnsi="Arial"/>
                <w:sz w:val="16"/>
                <w:szCs w:val="16"/>
                <w:color w:val="auto"/>
              </w:rPr>
              <w:t>stockholders, basic and diluted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8,615,682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121,123,472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8,591,554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53,731,475</w:t>
            </w: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VROOM,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CONVERTIBLE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 AND STOCKHOLDERS’ (DEFICIT)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4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6"/>
              </w:rPr>
              <w:t>Redeemable Convertible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37"/>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21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24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7"/>
              </w:rPr>
              <w:t>Preferred Stock</w:t>
            </w:r>
          </w:p>
        </w:tc>
        <w:tc>
          <w:tcPr>
            <w:tcW w:w="100" w:type="dxa"/>
            <w:vAlign w:val="bottom"/>
          </w:tcPr>
          <w:p>
            <w:pPr>
              <w:spacing w:after="0"/>
              <w:rPr>
                <w:sz w:val="13"/>
                <w:szCs w:val="13"/>
                <w:color w:val="auto"/>
              </w:rPr>
            </w:pPr>
          </w:p>
        </w:tc>
        <w:tc>
          <w:tcPr>
            <w:tcW w:w="194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gridSpan w:val="2"/>
          </w:tcPr>
          <w:p>
            <w:pPr>
              <w:jc w:val="center"/>
              <w:ind w:right="17"/>
              <w:spacing w:after="0" w:line="142" w:lineRule="exact"/>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31, 2018</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66,825,300</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519,100</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8,571,386</w:t>
            </w:r>
          </w:p>
        </w:tc>
        <w:tc>
          <w:tcPr>
            <w:tcW w:w="880" w:type="dxa"/>
            <w:vAlign w:val="bottom"/>
            <w:gridSpan w:val="2"/>
            <w:shd w:val="clear" w:color="auto" w:fill="CFF0FC"/>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(296,874)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(296,866)</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tcPr>
          <w:p>
            <w:pPr>
              <w:spacing w:after="0"/>
              <w:rPr>
                <w:sz w:val="11"/>
                <w:szCs w:val="11"/>
                <w:color w:val="auto"/>
              </w:rPr>
            </w:pPr>
          </w:p>
        </w:tc>
        <w:tc>
          <w:tcPr>
            <w:tcW w:w="110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37"/>
              <w:spacing w:after="0" w:line="129"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869</w:t>
            </w: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101,950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(93,186)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(1,216)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Accretion of redeemable convertible preferred</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stock</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17,964</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(17,964)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(17,964)</w:t>
            </w:r>
          </w:p>
        </w:tc>
        <w:tc>
          <w:tcPr>
            <w:tcW w:w="0" w:type="dxa"/>
            <w:vAlign w:val="bottom"/>
          </w:tcPr>
          <w:p>
            <w:pPr>
              <w:spacing w:after="0"/>
              <w:rPr>
                <w:sz w:val="1"/>
                <w:szCs w:val="1"/>
                <w:color w:val="auto"/>
              </w:rPr>
            </w:pPr>
          </w:p>
        </w:tc>
      </w:tr>
      <w:tr>
        <w:trPr>
          <w:trHeight w:val="149"/>
        </w:trPr>
        <w:tc>
          <w:tcPr>
            <w:tcW w:w="29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(27,139)</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(27,139)</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March 31, 2019</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66,825,300</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537,064</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8,580,150</w:t>
            </w:r>
          </w:p>
        </w:tc>
        <w:tc>
          <w:tcPr>
            <w:tcW w:w="880" w:type="dxa"/>
            <w:vAlign w:val="bottom"/>
            <w:gridSpan w:val="2"/>
            <w:shd w:val="clear" w:color="auto" w:fill="CFF0FC"/>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(341,303)</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(341,295)</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tcPr>
          <w:p>
            <w:pPr>
              <w:spacing w:after="0"/>
              <w:rPr>
                <w:sz w:val="11"/>
                <w:szCs w:val="11"/>
                <w:color w:val="auto"/>
              </w:rPr>
            </w:pPr>
          </w:p>
        </w:tc>
        <w:tc>
          <w:tcPr>
            <w:tcW w:w="110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37"/>
              <w:spacing w:after="0" w:line="129"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667</w:t>
            </w: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common stock</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(667)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667</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960" w:type="dxa"/>
            <w:vAlign w:val="bottom"/>
          </w:tcPr>
          <w:p>
            <w:pPr>
              <w:ind w:left="260"/>
              <w:spacing w:after="0" w:line="143" w:lineRule="exact"/>
              <w:rPr>
                <w:sz w:val="20"/>
                <w:szCs w:val="20"/>
                <w:color w:val="auto"/>
              </w:rPr>
            </w:pPr>
            <w:r>
              <w:rPr>
                <w:rFonts w:ascii="Arial" w:cs="Arial" w:eastAsia="Arial" w:hAnsi="Arial"/>
                <w:sz w:val="13"/>
                <w:szCs w:val="13"/>
                <w:color w:val="auto"/>
              </w:rPr>
              <w:t>Accretion of redeemable convertible preferred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tcPr>
          <w:p>
            <w:pPr>
              <w:ind w:left="260"/>
              <w:spacing w:after="0" w:line="141" w:lineRule="exact"/>
              <w:rPr>
                <w:sz w:val="20"/>
                <w:szCs w:val="20"/>
                <w:color w:val="auto"/>
              </w:rPr>
            </w:pPr>
            <w:r>
              <w:rPr>
                <w:rFonts w:ascii="Arial" w:cs="Arial" w:eastAsia="Arial" w:hAnsi="Arial"/>
                <w:sz w:val="13"/>
                <w:szCs w:val="13"/>
                <w:color w:val="auto"/>
              </w:rPr>
              <w:t>stock</w:t>
            </w:r>
          </w:p>
        </w:tc>
        <w:tc>
          <w:tcPr>
            <w:tcW w:w="11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57"/>
              <w:spacing w:after="0" w:line="141" w:lineRule="exact"/>
              <w:rPr>
                <w:sz w:val="20"/>
                <w:szCs w:val="20"/>
                <w:color w:val="auto"/>
              </w:rPr>
            </w:pPr>
            <w:r>
              <w:rPr>
                <w:rFonts w:ascii="Arial" w:cs="Arial" w:eastAsia="Arial" w:hAnsi="Arial"/>
                <w:sz w:val="13"/>
                <w:szCs w:val="13"/>
                <w:color w:val="auto"/>
              </w:rPr>
              <w:t>25,879</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(25,879)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(25,879)</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(33,340)</w:t>
            </w:r>
          </w:p>
        </w:tc>
        <w:tc>
          <w:tcPr>
            <w:tcW w:w="1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(33,340)</w:t>
            </w:r>
          </w:p>
        </w:tc>
        <w:tc>
          <w:tcPr>
            <w:tcW w:w="0" w:type="dxa"/>
            <w:vAlign w:val="bottom"/>
          </w:tcPr>
          <w:p>
            <w:pPr>
              <w:spacing w:after="0"/>
              <w:rPr>
                <w:sz w:val="1"/>
                <w:szCs w:val="1"/>
                <w:color w:val="auto"/>
              </w:rPr>
            </w:pPr>
          </w:p>
        </w:tc>
      </w:tr>
      <w:tr>
        <w:trPr>
          <w:trHeight w:val="162"/>
        </w:trPr>
        <w:tc>
          <w:tcPr>
            <w:tcW w:w="2960" w:type="dxa"/>
            <w:vAlign w:val="bottom"/>
          </w:tcPr>
          <w:p>
            <w:pPr>
              <w:spacing w:after="0" w:line="142" w:lineRule="exact"/>
              <w:rPr>
                <w:sz w:val="20"/>
                <w:szCs w:val="20"/>
                <w:color w:val="auto"/>
              </w:rPr>
            </w:pPr>
            <w:r>
              <w:rPr>
                <w:rFonts w:ascii="Arial" w:cs="Arial" w:eastAsia="Arial" w:hAnsi="Arial"/>
                <w:sz w:val="13"/>
                <w:szCs w:val="13"/>
                <w:color w:val="auto"/>
              </w:rPr>
              <w:t>Balance at June 30, 2019</w:t>
            </w:r>
          </w:p>
        </w:tc>
        <w:tc>
          <w:tcPr>
            <w:tcW w:w="11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66,825,300</w:t>
            </w:r>
          </w:p>
        </w:tc>
        <w:tc>
          <w:tcPr>
            <w:tcW w:w="2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562,943</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8,580,150</w:t>
            </w:r>
          </w:p>
        </w:tc>
        <w:tc>
          <w:tcPr>
            <w:tcW w:w="880" w:type="dxa"/>
            <w:vAlign w:val="bottom"/>
            <w:gridSpan w:val="2"/>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(399,855)</w:t>
            </w:r>
          </w:p>
        </w:tc>
        <w:tc>
          <w:tcPr>
            <w:tcW w:w="120" w:type="dxa"/>
            <w:vAlign w:val="bottom"/>
          </w:tcPr>
          <w:p>
            <w:pPr>
              <w:spacing w:after="0"/>
              <w:rPr>
                <w:sz w:val="14"/>
                <w:szCs w:val="14"/>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(399,847)</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shd w:val="clear" w:color="auto" w:fill="CFF0FC"/>
          </w:tcPr>
          <w:p>
            <w:pPr>
              <w:spacing w:after="0"/>
              <w:rPr>
                <w:sz w:val="11"/>
                <w:szCs w:val="11"/>
                <w:color w:val="auto"/>
              </w:rPr>
            </w:pPr>
          </w:p>
        </w:tc>
        <w:tc>
          <w:tcPr>
            <w:tcW w:w="1100" w:type="dxa"/>
            <w:vAlign w:val="bottom"/>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637"/>
              <w:spacing w:after="0" w:line="12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619</w:t>
            </w:r>
          </w:p>
        </w:tc>
        <w:tc>
          <w:tcPr>
            <w:tcW w:w="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36,772</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Accretion of redeemable convertible preferred</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stock</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65,686</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(65,686)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(65,686)</w:t>
            </w:r>
          </w:p>
        </w:tc>
        <w:tc>
          <w:tcPr>
            <w:tcW w:w="0" w:type="dxa"/>
            <w:vAlign w:val="bottom"/>
          </w:tcPr>
          <w:p>
            <w:pPr>
              <w:spacing w:after="0"/>
              <w:rPr>
                <w:sz w:val="1"/>
                <w:szCs w:val="1"/>
                <w:color w:val="auto"/>
              </w:rPr>
            </w:pPr>
          </w:p>
        </w:tc>
      </w:tr>
      <w:tr>
        <w:trPr>
          <w:trHeight w:val="148"/>
        </w:trPr>
        <w:tc>
          <w:tcPr>
            <w:tcW w:w="29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(39,764)</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(39,764)</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September 30, 2019</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66,825,300</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628,629</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8,620,922</w:t>
            </w:r>
          </w:p>
        </w:tc>
        <w:tc>
          <w:tcPr>
            <w:tcW w:w="880" w:type="dxa"/>
            <w:vAlign w:val="bottom"/>
            <w:gridSpan w:val="2"/>
            <w:shd w:val="clear" w:color="auto" w:fill="CFF0FC"/>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(504,668)</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(504,660)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4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6"/>
              </w:rPr>
              <w:t>Redeemable Convertible</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37"/>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21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24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7"/>
              </w:rPr>
              <w:t>Preferred Stock</w:t>
            </w:r>
          </w:p>
        </w:tc>
        <w:tc>
          <w:tcPr>
            <w:tcW w:w="100" w:type="dxa"/>
            <w:vAlign w:val="bottom"/>
          </w:tcPr>
          <w:p>
            <w:pPr>
              <w:spacing w:after="0"/>
              <w:rPr>
                <w:sz w:val="13"/>
                <w:szCs w:val="13"/>
                <w:color w:val="auto"/>
              </w:rPr>
            </w:pPr>
          </w:p>
        </w:tc>
        <w:tc>
          <w:tcPr>
            <w:tcW w:w="1900" w:type="dxa"/>
            <w:vAlign w:val="bottom"/>
            <w:gridSpan w:val="3"/>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gridSpan w:val="2"/>
          </w:tcPr>
          <w:p>
            <w:pPr>
              <w:jc w:val="center"/>
              <w:ind w:right="17"/>
              <w:spacing w:after="0" w:line="142" w:lineRule="exact"/>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31, 2019</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83,568,628</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874,332</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8,650,922</w:t>
            </w:r>
          </w:p>
        </w:tc>
        <w:tc>
          <w:tcPr>
            <w:tcW w:w="840" w:type="dxa"/>
            <w:vAlign w:val="bottom"/>
            <w:gridSpan w:val="2"/>
            <w:shd w:val="clear" w:color="auto" w:fill="CFF0FC"/>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(573,860)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(573,852)</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tcPr>
          <w:p>
            <w:pPr>
              <w:spacing w:after="0"/>
              <w:rPr>
                <w:sz w:val="11"/>
                <w:szCs w:val="11"/>
                <w:color w:val="auto"/>
              </w:rPr>
            </w:pPr>
          </w:p>
        </w:tc>
        <w:tc>
          <w:tcPr>
            <w:tcW w:w="110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97"/>
              <w:spacing w:after="0" w:line="129"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600</w:t>
            </w: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2,774</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Issuance of Series H redeemable convertible</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preferred stock, net of issuance costs</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1,964,766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26,714</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(41,059)</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(41,059)</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March 31, 2020</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85,533,394</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901,046</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8,453,696</w:t>
            </w:r>
          </w:p>
        </w:tc>
        <w:tc>
          <w:tcPr>
            <w:tcW w:w="840" w:type="dxa"/>
            <w:vAlign w:val="bottom"/>
            <w:gridSpan w:val="2"/>
            <w:shd w:val="clear" w:color="auto" w:fill="CFF0FC"/>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(616,131)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(616,123)</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Issuance of common stock</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tcPr>
          <w:p>
            <w:pPr>
              <w:spacing w:after="0"/>
              <w:rPr>
                <w:sz w:val="11"/>
                <w:szCs w:val="11"/>
                <w:color w:val="auto"/>
              </w:rPr>
            </w:pPr>
          </w:p>
        </w:tc>
        <w:tc>
          <w:tcPr>
            <w:tcW w:w="110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183,870</w:t>
            </w:r>
          </w:p>
        </w:tc>
        <w:tc>
          <w:tcPr>
            <w:tcW w:w="840" w:type="dxa"/>
            <w:vAlign w:val="bottom"/>
            <w:gridSpan w:val="2"/>
          </w:tcPr>
          <w:p>
            <w:pPr>
              <w:jc w:val="right"/>
              <w:ind w:right="597"/>
              <w:spacing w:after="0" w:line="129"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2,127</w:t>
            </w: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Conversion of redeemable convertible</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preferred stock to common stock</w:t>
            </w:r>
          </w:p>
        </w:tc>
        <w:tc>
          <w:tcPr>
            <w:tcW w:w="110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(85,533,394)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(901,046)</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85,533,394</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86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900,960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901,046</w:t>
            </w:r>
          </w:p>
        </w:tc>
        <w:tc>
          <w:tcPr>
            <w:tcW w:w="0" w:type="dxa"/>
            <w:vAlign w:val="bottom"/>
          </w:tcPr>
          <w:p>
            <w:pPr>
              <w:spacing w:after="0"/>
              <w:rPr>
                <w:sz w:val="1"/>
                <w:szCs w:val="1"/>
                <w:color w:val="auto"/>
              </w:rPr>
            </w:pPr>
          </w:p>
        </w:tc>
      </w:tr>
      <w:tr>
        <w:trPr>
          <w:trHeight w:val="143"/>
        </w:trPr>
        <w:tc>
          <w:tcPr>
            <w:tcW w:w="2960" w:type="dxa"/>
            <w:vAlign w:val="bottom"/>
          </w:tcPr>
          <w:p>
            <w:pPr>
              <w:ind w:left="260"/>
              <w:spacing w:after="0" w:line="143" w:lineRule="exact"/>
              <w:rPr>
                <w:sz w:val="20"/>
                <w:szCs w:val="20"/>
                <w:color w:val="auto"/>
              </w:rPr>
            </w:pPr>
            <w:r>
              <w:rPr>
                <w:rFonts w:ascii="Arial" w:cs="Arial" w:eastAsia="Arial" w:hAnsi="Arial"/>
                <w:sz w:val="13"/>
                <w:szCs w:val="13"/>
                <w:color w:val="auto"/>
              </w:rPr>
              <w:t>Conversion of redeemable convertible</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60"/>
              <w:spacing w:after="0" w:line="135" w:lineRule="exact"/>
              <w:rPr>
                <w:sz w:val="20"/>
                <w:szCs w:val="20"/>
                <w:color w:val="auto"/>
              </w:rPr>
            </w:pPr>
            <w:r>
              <w:rPr>
                <w:rFonts w:ascii="Arial" w:cs="Arial" w:eastAsia="Arial" w:hAnsi="Arial"/>
                <w:sz w:val="13"/>
                <w:szCs w:val="13"/>
                <w:color w:val="auto"/>
              </w:rPr>
              <w:t>preferred stock warrant to common stock</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60" w:type="dxa"/>
            <w:vAlign w:val="bottom"/>
          </w:tcPr>
          <w:p>
            <w:pPr>
              <w:ind w:left="260"/>
              <w:spacing w:after="0" w:line="141" w:lineRule="exact"/>
              <w:rPr>
                <w:sz w:val="20"/>
                <w:szCs w:val="20"/>
                <w:color w:val="auto"/>
              </w:rPr>
            </w:pPr>
            <w:r>
              <w:rPr>
                <w:rFonts w:ascii="Arial" w:cs="Arial" w:eastAsia="Arial" w:hAnsi="Arial"/>
                <w:sz w:val="13"/>
                <w:szCs w:val="13"/>
                <w:color w:val="auto"/>
              </w:rPr>
              <w:t>warrant</w:t>
            </w:r>
          </w:p>
        </w:tc>
        <w:tc>
          <w:tcPr>
            <w:tcW w:w="11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line="141" w:lineRule="exact"/>
              <w:rPr>
                <w:sz w:val="20"/>
                <w:szCs w:val="20"/>
                <w:color w:val="auto"/>
              </w:rPr>
            </w:pPr>
            <w:r>
              <w:rPr>
                <w:rFonts w:ascii="Arial" w:cs="Arial" w:eastAsia="Arial" w:hAnsi="Arial"/>
                <w:sz w:val="13"/>
                <w:szCs w:val="13"/>
                <w:color w:val="auto"/>
              </w:rPr>
              <w:t>21,873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21,873</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Issuance of common stock in IPO, net of</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offering costs</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24,437,500</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496,486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496,510</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4,100</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rPr>
                <w:sz w:val="20"/>
                <w:szCs w:val="20"/>
                <w:color w:val="auto"/>
              </w:rPr>
            </w:pPr>
            <w:r>
              <w:rPr>
                <w:rFonts w:ascii="Arial" w:cs="Arial" w:eastAsia="Arial" w:hAnsi="Arial"/>
                <w:sz w:val="13"/>
                <w:szCs w:val="13"/>
                <w:color w:val="auto"/>
              </w:rPr>
              <w:t>Exercise of common stock warrants</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636,112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133,334</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960" w:type="dxa"/>
            <w:vAlign w:val="bottom"/>
          </w:tcPr>
          <w:p>
            <w:pPr>
              <w:ind w:left="260"/>
              <w:spacing w:after="0" w:line="143" w:lineRule="exact"/>
              <w:rPr>
                <w:sz w:val="20"/>
                <w:szCs w:val="20"/>
                <w:color w:val="auto"/>
              </w:rPr>
            </w:pPr>
            <w:r>
              <w:rPr>
                <w:rFonts w:ascii="Arial" w:cs="Arial" w:eastAsia="Arial" w:hAnsi="Arial"/>
                <w:sz w:val="13"/>
                <w:szCs w:val="13"/>
                <w:color w:val="auto"/>
              </w:rPr>
              <w:t>Common stock shares withheld to satisfy</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tcPr>
          <w:p>
            <w:pPr>
              <w:ind w:left="260"/>
              <w:spacing w:after="0" w:line="141" w:lineRule="exact"/>
              <w:rPr>
                <w:sz w:val="20"/>
                <w:szCs w:val="20"/>
                <w:color w:val="auto"/>
              </w:rPr>
            </w:pPr>
            <w:r>
              <w:rPr>
                <w:rFonts w:ascii="Arial" w:cs="Arial" w:eastAsia="Arial" w:hAnsi="Arial"/>
                <w:sz w:val="13"/>
                <w:szCs w:val="13"/>
                <w:color w:val="auto"/>
              </w:rPr>
              <w:t>employee tax withholding obligations</w:t>
            </w:r>
          </w:p>
        </w:tc>
        <w:tc>
          <w:tcPr>
            <w:tcW w:w="11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3"/>
                <w:szCs w:val="13"/>
                <w:color w:val="auto"/>
              </w:rPr>
              <w:t>(41,818)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(878)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(63,228)</w:t>
            </w:r>
          </w:p>
        </w:tc>
        <w:tc>
          <w:tcPr>
            <w:tcW w:w="1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(63,228)</w:t>
            </w:r>
          </w:p>
        </w:tc>
        <w:tc>
          <w:tcPr>
            <w:tcW w:w="0" w:type="dxa"/>
            <w:vAlign w:val="bottom"/>
          </w:tcPr>
          <w:p>
            <w:pPr>
              <w:spacing w:after="0"/>
              <w:rPr>
                <w:sz w:val="1"/>
                <w:szCs w:val="1"/>
                <w:color w:val="auto"/>
              </w:rPr>
            </w:pPr>
          </w:p>
        </w:tc>
      </w:tr>
      <w:tr>
        <w:trPr>
          <w:trHeight w:val="182"/>
        </w:trPr>
        <w:tc>
          <w:tcPr>
            <w:tcW w:w="2960" w:type="dxa"/>
            <w:vAlign w:val="bottom"/>
          </w:tcPr>
          <w:p>
            <w:pPr>
              <w:spacing w:after="0" w:line="142" w:lineRule="exact"/>
              <w:rPr>
                <w:sz w:val="20"/>
                <w:szCs w:val="20"/>
                <w:color w:val="auto"/>
              </w:rPr>
            </w:pPr>
            <w:r>
              <w:rPr>
                <w:rFonts w:ascii="Arial" w:cs="Arial" w:eastAsia="Arial" w:hAnsi="Arial"/>
                <w:sz w:val="13"/>
                <w:szCs w:val="13"/>
                <w:color w:val="auto"/>
              </w:rPr>
              <w:t>Balance at June 30, 2020</w:t>
            </w:r>
          </w:p>
        </w:tc>
        <w:tc>
          <w:tcPr>
            <w:tcW w:w="11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119,336,588</w:t>
            </w:r>
          </w:p>
        </w:tc>
        <w:tc>
          <w:tcPr>
            <w:tcW w:w="840" w:type="dxa"/>
            <w:vAlign w:val="bottom"/>
            <w:gridSpan w:val="2"/>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jc w:val="right"/>
              <w:ind w:right="57"/>
              <w:spacing w:after="0" w:line="142" w:lineRule="exact"/>
              <w:rPr>
                <w:sz w:val="20"/>
                <w:szCs w:val="20"/>
                <w:color w:val="auto"/>
              </w:rPr>
            </w:pPr>
            <w:r>
              <w:rPr>
                <w:rFonts w:ascii="Arial" w:cs="Arial" w:eastAsia="Arial" w:hAnsi="Arial"/>
                <w:sz w:val="13"/>
                <w:szCs w:val="13"/>
                <w:color w:val="auto"/>
                <w:w w:val="92"/>
              </w:rPr>
              <w:t>119</w:t>
            </w:r>
          </w:p>
        </w:tc>
        <w:tc>
          <w:tcPr>
            <w:tcW w:w="100" w:type="dxa"/>
            <w:vAlign w:val="bottom"/>
          </w:tcPr>
          <w:p>
            <w:pPr>
              <w:spacing w:after="0"/>
              <w:rPr>
                <w:sz w:val="15"/>
                <w:szCs w:val="15"/>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1,424,675</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(679,359)</w:t>
            </w:r>
          </w:p>
        </w:tc>
        <w:tc>
          <w:tcPr>
            <w:tcW w:w="120" w:type="dxa"/>
            <w:vAlign w:val="bottom"/>
          </w:tcPr>
          <w:p>
            <w:pPr>
              <w:spacing w:after="0"/>
              <w:rPr>
                <w:sz w:val="15"/>
                <w:szCs w:val="15"/>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7"/>
              <w:spacing w:after="0" w:line="142" w:lineRule="exact"/>
              <w:rPr>
                <w:sz w:val="20"/>
                <w:szCs w:val="20"/>
                <w:color w:val="auto"/>
              </w:rPr>
            </w:pPr>
            <w:r>
              <w:rPr>
                <w:rFonts w:ascii="Arial" w:cs="Arial" w:eastAsia="Arial" w:hAnsi="Arial"/>
                <w:sz w:val="13"/>
                <w:szCs w:val="13"/>
                <w:color w:val="auto"/>
              </w:rPr>
              <w:t>745,435</w:t>
            </w:r>
          </w:p>
        </w:tc>
        <w:tc>
          <w:tcPr>
            <w:tcW w:w="0" w:type="dxa"/>
            <w:vAlign w:val="bottom"/>
          </w:tcPr>
          <w:p>
            <w:pPr>
              <w:spacing w:after="0"/>
              <w:rPr>
                <w:sz w:val="1"/>
                <w:szCs w:val="1"/>
                <w:color w:val="auto"/>
              </w:rPr>
            </w:pPr>
          </w:p>
        </w:tc>
      </w:tr>
      <w:tr>
        <w:trPr>
          <w:trHeight w:val="123"/>
        </w:trPr>
        <w:tc>
          <w:tcPr>
            <w:tcW w:w="2960" w:type="dxa"/>
            <w:vAlign w:val="bottom"/>
            <w:tcBorders>
              <w:top w:val="single" w:sz="8" w:color="CFF0FC"/>
            </w:tcBorders>
            <w:shd w:val="clear" w:color="auto" w:fill="CFF0FC"/>
          </w:tcPr>
          <w:p>
            <w:pPr>
              <w:ind w:left="260"/>
              <w:spacing w:after="0" w:line="123" w:lineRule="exact"/>
              <w:rPr>
                <w:sz w:val="20"/>
                <w:szCs w:val="20"/>
                <w:color w:val="auto"/>
              </w:rPr>
            </w:pPr>
            <w:r>
              <w:rPr>
                <w:rFonts w:ascii="Arial" w:cs="Arial" w:eastAsia="Arial" w:hAnsi="Arial"/>
                <w:sz w:val="13"/>
                <w:szCs w:val="13"/>
                <w:color w:val="auto"/>
              </w:rPr>
              <w:t>Issuance of common stock in follow-on public</w:t>
            </w:r>
          </w:p>
        </w:tc>
        <w:tc>
          <w:tcPr>
            <w:tcW w:w="11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right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offering,</w:t>
            </w: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net of offering costs</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shd w:val="clear" w:color="auto" w:fill="CFF0FC"/>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10,800,000</w:t>
            </w:r>
          </w:p>
        </w:tc>
        <w:tc>
          <w:tcPr>
            <w:tcW w:w="840" w:type="dxa"/>
            <w:vAlign w:val="bottom"/>
            <w:gridSpan w:val="2"/>
            <w:shd w:val="clear" w:color="auto" w:fill="CFF0FC"/>
          </w:tcPr>
          <w:p>
            <w:pPr>
              <w:jc w:val="right"/>
              <w:ind w:right="597"/>
              <w:spacing w:after="0" w:line="141"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line="141" w:lineRule="exact"/>
              <w:rPr>
                <w:sz w:val="20"/>
                <w:szCs w:val="20"/>
                <w:color w:val="auto"/>
              </w:rPr>
            </w:pPr>
            <w:r>
              <w:rPr>
                <w:rFonts w:ascii="Arial" w:cs="Arial" w:eastAsia="Arial" w:hAnsi="Arial"/>
                <w:sz w:val="13"/>
                <w:szCs w:val="13"/>
                <w:color w:val="auto"/>
              </w:rPr>
              <w:t>567,941</w:t>
            </w:r>
          </w:p>
        </w:tc>
        <w:tc>
          <w:tcPr>
            <w:tcW w:w="180" w:type="dxa"/>
            <w:vAlign w:val="bottom"/>
            <w:gridSpan w:val="2"/>
            <w:shd w:val="clear" w:color="auto" w:fill="CFF0FC"/>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567,952</w:t>
            </w:r>
          </w:p>
        </w:tc>
        <w:tc>
          <w:tcPr>
            <w:tcW w:w="0" w:type="dxa"/>
            <w:vAlign w:val="bottom"/>
          </w:tcPr>
          <w:p>
            <w:pPr>
              <w:spacing w:after="0"/>
              <w:rPr>
                <w:sz w:val="1"/>
                <w:szCs w:val="1"/>
                <w:color w:val="auto"/>
              </w:rPr>
            </w:pPr>
          </w:p>
        </w:tc>
      </w:tr>
      <w:tr>
        <w:trPr>
          <w:trHeight w:val="149"/>
        </w:trPr>
        <w:tc>
          <w:tcPr>
            <w:tcW w:w="296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4,230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4,230</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31,100</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104,000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Common stock shares withheld to satisfy</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FF0FC"/>
          </w:tcPr>
          <w:p>
            <w:pPr>
              <w:ind w:left="260"/>
              <w:spacing w:after="0" w:line="141" w:lineRule="exact"/>
              <w:rPr>
                <w:sz w:val="20"/>
                <w:szCs w:val="20"/>
                <w:color w:val="auto"/>
              </w:rPr>
            </w:pPr>
            <w:r>
              <w:rPr>
                <w:rFonts w:ascii="Arial" w:cs="Arial" w:eastAsia="Arial" w:hAnsi="Arial"/>
                <w:sz w:val="13"/>
                <w:szCs w:val="13"/>
                <w:color w:val="auto"/>
              </w:rPr>
              <w:t>employee tax withholding obligations</w:t>
            </w:r>
          </w:p>
        </w:tc>
        <w:tc>
          <w:tcPr>
            <w:tcW w:w="1100" w:type="dxa"/>
            <w:vAlign w:val="bottom"/>
            <w:shd w:val="clear" w:color="auto" w:fill="CFF0FC"/>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tcBorders>
              <w:right w:val="single" w:sz="8" w:color="auto"/>
            </w:tcBorders>
            <w:gridSpan w:val="2"/>
            <w:shd w:val="clear" w:color="auto" w:fill="CFF0FC"/>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(41,097)</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7"/>
              <w:spacing w:after="0" w:line="141" w:lineRule="exact"/>
              <w:rPr>
                <w:sz w:val="20"/>
                <w:szCs w:val="20"/>
                <w:color w:val="auto"/>
              </w:rPr>
            </w:pPr>
            <w:r>
              <w:rPr>
                <w:rFonts w:ascii="Arial" w:cs="Arial" w:eastAsia="Arial" w:hAnsi="Arial"/>
                <w:sz w:val="13"/>
                <w:szCs w:val="13"/>
                <w:color w:val="auto"/>
              </w:rPr>
              <w:t>(2,037)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(2,037)</w:t>
            </w:r>
          </w:p>
        </w:tc>
        <w:tc>
          <w:tcPr>
            <w:tcW w:w="0" w:type="dxa"/>
            <w:vAlign w:val="bottom"/>
          </w:tcPr>
          <w:p>
            <w:pPr>
              <w:spacing w:after="0"/>
              <w:rPr>
                <w:sz w:val="1"/>
                <w:szCs w:val="1"/>
                <w:color w:val="auto"/>
              </w:rPr>
            </w:pPr>
          </w:p>
        </w:tc>
      </w:tr>
      <w:tr>
        <w:trPr>
          <w:trHeight w:val="148"/>
        </w:trPr>
        <w:tc>
          <w:tcPr>
            <w:tcW w:w="29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(37,850)</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(37,850)</w:t>
            </w: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September 30, 2020</w:t>
            </w:r>
          </w:p>
        </w:tc>
        <w:tc>
          <w:tcPr>
            <w:tcW w:w="11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130,230,591</w:t>
            </w:r>
          </w:p>
        </w:tc>
        <w:tc>
          <w:tcPr>
            <w:tcW w:w="840" w:type="dxa"/>
            <w:vAlign w:val="bottom"/>
            <w:gridSpan w:val="2"/>
            <w:shd w:val="clear" w:color="auto" w:fill="CFF0FC"/>
          </w:tcPr>
          <w:p>
            <w:pPr>
              <w:jc w:val="right"/>
              <w:ind w:right="597"/>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2"/>
              </w:rPr>
              <w:t>130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1,994,929</w:t>
            </w:r>
          </w:p>
        </w:tc>
        <w:tc>
          <w:tcPr>
            <w:tcW w:w="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(717,209)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1,277,850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8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1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Net loss</w:t>
            </w:r>
          </w:p>
        </w:tc>
        <w:tc>
          <w:tcPr>
            <w:tcW w:w="4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(100,243)</w:t>
            </w:r>
          </w:p>
        </w:tc>
        <w:tc>
          <w:tcPr>
            <w:tcW w:w="4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(142,137)</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4,683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3,255</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debt issuance costs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269</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175"/>
        </w:trPr>
        <w:tc>
          <w:tcPr>
            <w:tcW w:w="810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2,155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8,930</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Loss on disposal of property and equipment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824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76"/>
        </w:trPr>
        <w:tc>
          <w:tcPr>
            <w:tcW w:w="8100" w:type="dxa"/>
            <w:vAlign w:val="bottom"/>
          </w:tcPr>
          <w:p>
            <w:pPr>
              <w:ind w:left="260"/>
              <w:spacing w:after="0"/>
              <w:rPr>
                <w:sz w:val="20"/>
                <w:szCs w:val="20"/>
                <w:color w:val="auto"/>
              </w:rPr>
            </w:pPr>
            <w:r>
              <w:rPr>
                <w:rFonts w:ascii="Arial" w:cs="Arial" w:eastAsia="Arial" w:hAnsi="Arial"/>
                <w:sz w:val="15"/>
                <w:szCs w:val="15"/>
                <w:color w:val="auto"/>
              </w:rPr>
              <w:t>Provision for inventory obsolescence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3,872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2,917</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Revaluation of preferred stock warrant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515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20,470</w:t>
            </w:r>
          </w:p>
        </w:tc>
        <w:tc>
          <w:tcPr>
            <w:tcW w:w="0" w:type="dxa"/>
            <w:vAlign w:val="bottom"/>
          </w:tcPr>
          <w:p>
            <w:pPr>
              <w:spacing w:after="0"/>
              <w:rPr>
                <w:sz w:val="1"/>
                <w:szCs w:val="1"/>
                <w:color w:val="auto"/>
              </w:rPr>
            </w:pPr>
          </w:p>
        </w:tc>
      </w:tr>
      <w:tr>
        <w:trPr>
          <w:trHeight w:val="176"/>
        </w:trPr>
        <w:tc>
          <w:tcPr>
            <w:tcW w:w="8100" w:type="dxa"/>
            <w:vAlign w:val="bottom"/>
          </w:tcPr>
          <w:p>
            <w:pPr>
              <w:ind w:left="26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226</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1,285</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260"/>
              <w:spacing w:after="0"/>
              <w:rPr>
                <w:sz w:val="20"/>
                <w:szCs w:val="20"/>
                <w:color w:val="auto"/>
              </w:rPr>
            </w:pPr>
            <w:r>
              <w:rPr>
                <w:rFonts w:ascii="Arial" w:cs="Arial" w:eastAsia="Arial" w:hAnsi="Arial"/>
                <w:sz w:val="15"/>
                <w:szCs w:val="15"/>
                <w:color w:val="auto"/>
              </w:rPr>
              <w:t>Accounts receivable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(15,029)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(4,297)</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Inventory</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(97,524)</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(96,582)</w:t>
            </w:r>
          </w:p>
        </w:tc>
        <w:tc>
          <w:tcPr>
            <w:tcW w:w="0" w:type="dxa"/>
            <w:vAlign w:val="bottom"/>
          </w:tcPr>
          <w:p>
            <w:pPr>
              <w:spacing w:after="0"/>
              <w:rPr>
                <w:sz w:val="1"/>
                <w:szCs w:val="1"/>
                <w:color w:val="auto"/>
              </w:rPr>
            </w:pPr>
          </w:p>
        </w:tc>
      </w:tr>
      <w:tr>
        <w:trPr>
          <w:trHeight w:val="175"/>
        </w:trPr>
        <w:tc>
          <w:tcPr>
            <w:tcW w:w="8100" w:type="dxa"/>
            <w:vAlign w:val="bottom"/>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(3,168)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(6,639)</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(2,389)</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(2,246)</w:t>
            </w:r>
          </w:p>
        </w:tc>
        <w:tc>
          <w:tcPr>
            <w:tcW w:w="0" w:type="dxa"/>
            <w:vAlign w:val="bottom"/>
          </w:tcPr>
          <w:p>
            <w:pPr>
              <w:spacing w:after="0"/>
              <w:rPr>
                <w:sz w:val="1"/>
                <w:szCs w:val="1"/>
                <w:color w:val="auto"/>
              </w:rPr>
            </w:pPr>
          </w:p>
        </w:tc>
      </w:tr>
      <w:tr>
        <w:trPr>
          <w:trHeight w:val="175"/>
        </w:trPr>
        <w:tc>
          <w:tcPr>
            <w:tcW w:w="810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8,769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10,478</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expenses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9,995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15,679</w:t>
            </w:r>
          </w:p>
        </w:tc>
        <w:tc>
          <w:tcPr>
            <w:tcW w:w="0" w:type="dxa"/>
            <w:vAlign w:val="bottom"/>
          </w:tcPr>
          <w:p>
            <w:pPr>
              <w:spacing w:after="0"/>
              <w:rPr>
                <w:sz w:val="1"/>
                <w:szCs w:val="1"/>
                <w:color w:val="auto"/>
              </w:rPr>
            </w:pPr>
          </w:p>
        </w:tc>
      </w:tr>
      <w:tr>
        <w:trPr>
          <w:trHeight w:val="175"/>
        </w:trPr>
        <w:tc>
          <w:tcPr>
            <w:tcW w:w="810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2,530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liabilities</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4,487</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5,335</w:t>
            </w:r>
          </w:p>
        </w:tc>
        <w:tc>
          <w:tcPr>
            <w:tcW w:w="0" w:type="dxa"/>
            <w:vAlign w:val="bottom"/>
          </w:tcPr>
          <w:p>
            <w:pPr>
              <w:spacing w:after="0"/>
              <w:rPr>
                <w:sz w:val="1"/>
                <w:szCs w:val="1"/>
                <w:color w:val="auto"/>
              </w:rPr>
            </w:pPr>
          </w:p>
        </w:tc>
      </w:tr>
      <w:tr>
        <w:trPr>
          <w:trHeight w:val="169"/>
        </w:trPr>
        <w:tc>
          <w:tcPr>
            <w:tcW w:w="8100" w:type="dxa"/>
            <w:vAlign w:val="bottom"/>
          </w:tcPr>
          <w:p>
            <w:pPr>
              <w:ind w:left="500"/>
              <w:spacing w:after="0" w:line="169" w:lineRule="exact"/>
              <w:rPr>
                <w:sz w:val="20"/>
                <w:szCs w:val="20"/>
                <w:color w:val="auto"/>
              </w:rPr>
            </w:pPr>
            <w:r>
              <w:rPr>
                <w:rFonts w:ascii="Arial" w:cs="Arial" w:eastAsia="Arial" w:hAnsi="Arial"/>
                <w:sz w:val="15"/>
                <w:szCs w:val="15"/>
                <w:color w:val="auto"/>
              </w:rPr>
              <w:t>Net cash used in operating activities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(180,028)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(182,874)</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Investing activities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Purchase of property and equipment</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(5,057)</w:t>
            </w:r>
          </w:p>
        </w:tc>
        <w:tc>
          <w:tcPr>
            <w:tcW w:w="0" w:type="dxa"/>
            <w:vAlign w:val="bottom"/>
          </w:tcPr>
          <w:p>
            <w:pPr>
              <w:spacing w:after="0"/>
              <w:rPr>
                <w:sz w:val="1"/>
                <w:szCs w:val="1"/>
                <w:color w:val="auto"/>
              </w:rPr>
            </w:pPr>
          </w:p>
        </w:tc>
      </w:tr>
      <w:tr>
        <w:trPr>
          <w:trHeight w:val="169"/>
        </w:trPr>
        <w:tc>
          <w:tcPr>
            <w:tcW w:w="810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used in investing activities</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(2,024)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(5,057)</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Repayments of long-term debt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(5,835)</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20"/>
                <w:szCs w:val="20"/>
                <w:color w:val="auto"/>
              </w:rPr>
            </w:pPr>
            <w:r>
              <w:rPr>
                <w:rFonts w:ascii="Arial" w:cs="Arial" w:eastAsia="Arial" w:hAnsi="Arial"/>
                <w:sz w:val="15"/>
                <w:szCs w:val="15"/>
                <w:color w:val="auto"/>
              </w:rPr>
              <w:t>Proceeds from vehicle floorplan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705,281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842,865</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Repayments of vehicle floorplan</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(611,838)</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(767,359)</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Payment of vehicle floorplan upfront commitment fees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the issuance of redeemable convertible preferred stock, net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21,694</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Repurchase of common stock</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Common stock shares withheld to satisfy employee tax withholding obligations</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(2,915)</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Proceeds from the issuance of common stock in connection with IPO, net of underwriting discount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504,023</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Payments of costs related to IPO</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(6,791)</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Proceeds from the issuance of common stock in connection with follow-on public offering, net of underwriting discount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569,471</w:t>
            </w:r>
          </w:p>
        </w:tc>
        <w:tc>
          <w:tcPr>
            <w:tcW w:w="0" w:type="dxa"/>
            <w:vAlign w:val="bottom"/>
          </w:tcPr>
          <w:p>
            <w:pPr>
              <w:spacing w:after="0"/>
              <w:rPr>
                <w:sz w:val="1"/>
                <w:szCs w:val="1"/>
                <w:color w:val="auto"/>
              </w:rPr>
            </w:pPr>
          </w:p>
        </w:tc>
      </w:tr>
      <w:tr>
        <w:trPr>
          <w:trHeight w:val="176"/>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Payments of costs related to follow-on public offering</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20"/>
                <w:szCs w:val="20"/>
                <w:color w:val="auto"/>
              </w:rPr>
            </w:pPr>
            <w:r>
              <w:rPr>
                <w:rFonts w:ascii="Arial" w:cs="Arial" w:eastAsia="Arial" w:hAnsi="Arial"/>
                <w:sz w:val="15"/>
                <w:szCs w:val="15"/>
                <w:color w:val="auto"/>
              </w:rPr>
              <w:t>Proceeds from exercise of stock options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365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75"/>
        </w:trPr>
        <w:tc>
          <w:tcPr>
            <w:tcW w:w="8100" w:type="dxa"/>
            <w:vAlign w:val="bottom"/>
            <w:shd w:val="clear" w:color="auto" w:fill="CFF0FC"/>
          </w:tcPr>
          <w:p>
            <w:pPr>
              <w:spacing w:after="0"/>
              <w:rPr>
                <w:sz w:val="20"/>
                <w:szCs w:val="20"/>
                <w:color w:val="auto"/>
              </w:rPr>
            </w:pPr>
            <w:r>
              <w:rPr>
                <w:rFonts w:ascii="Arial" w:cs="Arial" w:eastAsia="Arial" w:hAnsi="Arial"/>
                <w:sz w:val="15"/>
                <w:szCs w:val="15"/>
                <w:color w:val="auto"/>
              </w:rPr>
              <w:t>Other financing activities</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221</w:t>
            </w:r>
          </w:p>
        </w:tc>
        <w:tc>
          <w:tcPr>
            <w:tcW w:w="1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87,652</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1,157,667</w:t>
            </w:r>
          </w:p>
        </w:tc>
        <w:tc>
          <w:tcPr>
            <w:tcW w:w="0" w:type="dxa"/>
            <w:vAlign w:val="bottom"/>
          </w:tcPr>
          <w:p>
            <w:pPr>
              <w:spacing w:after="0"/>
              <w:rPr>
                <w:sz w:val="1"/>
                <w:szCs w:val="1"/>
                <w:color w:val="auto"/>
              </w:rPr>
            </w:pPr>
          </w:p>
        </w:tc>
      </w:tr>
      <w:tr>
        <w:trPr>
          <w:trHeight w:val="169"/>
        </w:trPr>
        <w:tc>
          <w:tcPr>
            <w:tcW w:w="81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(decrease) increase in cash, cash equivalents and restricted cash</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(94,400)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969,736</w:t>
            </w:r>
          </w:p>
        </w:tc>
        <w:tc>
          <w:tcPr>
            <w:tcW w:w="0" w:type="dxa"/>
            <w:vAlign w:val="bottom"/>
          </w:tcPr>
          <w:p>
            <w:pPr>
              <w:spacing w:after="0"/>
              <w:rPr>
                <w:sz w:val="1"/>
                <w:szCs w:val="1"/>
                <w:color w:val="auto"/>
              </w:rPr>
            </w:pPr>
          </w:p>
        </w:tc>
      </w:tr>
      <w:tr>
        <w:trPr>
          <w:trHeight w:val="175"/>
        </w:trPr>
        <w:tc>
          <w:tcPr>
            <w:tcW w:w="81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at the beginning of period</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163,509</w:t>
            </w:r>
          </w:p>
        </w:tc>
        <w:tc>
          <w:tcPr>
            <w:tcW w:w="1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219,587</w:t>
            </w:r>
          </w:p>
        </w:tc>
        <w:tc>
          <w:tcPr>
            <w:tcW w:w="0" w:type="dxa"/>
            <w:vAlign w:val="bottom"/>
          </w:tcPr>
          <w:p>
            <w:pPr>
              <w:spacing w:after="0"/>
              <w:rPr>
                <w:sz w:val="1"/>
                <w:szCs w:val="1"/>
                <w:color w:val="auto"/>
              </w:rPr>
            </w:pPr>
          </w:p>
        </w:tc>
      </w:tr>
      <w:tr>
        <w:trPr>
          <w:trHeight w:val="169"/>
        </w:trPr>
        <w:tc>
          <w:tcPr>
            <w:tcW w:w="81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cash equivalents and restricted cash at the end of period</w:t>
            </w:r>
          </w:p>
        </w:tc>
        <w:tc>
          <w:tcPr>
            <w:tcW w:w="42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69,109</w:t>
            </w:r>
          </w:p>
        </w:tc>
        <w:tc>
          <w:tcPr>
            <w:tcW w:w="46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1,189,323</w:t>
            </w:r>
          </w:p>
        </w:tc>
        <w:tc>
          <w:tcPr>
            <w:tcW w:w="0" w:type="dxa"/>
            <w:vAlign w:val="bottom"/>
          </w:tcPr>
          <w:p>
            <w:pPr>
              <w:spacing w:after="0"/>
              <w:rPr>
                <w:sz w:val="1"/>
                <w:szCs w:val="1"/>
                <w:color w:val="auto"/>
              </w:rPr>
            </w:pPr>
          </w:p>
        </w:tc>
      </w:tr>
      <w:tr>
        <w:trPr>
          <w:trHeight w:val="20"/>
        </w:trPr>
        <w:tc>
          <w:tcPr>
            <w:tcW w:w="8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Cash paid for interest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8,713</w:t>
            </w:r>
          </w:p>
        </w:tc>
        <w:tc>
          <w:tcPr>
            <w:tcW w:w="1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5,340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Pr>
          <w:p>
            <w:pPr>
              <w:ind w:left="260"/>
              <w:spacing w:after="0" w:line="156" w:lineRule="exact"/>
              <w:rPr>
                <w:sz w:val="20"/>
                <w:szCs w:val="20"/>
                <w:color w:val="auto"/>
              </w:rPr>
            </w:pPr>
            <w:r>
              <w:rPr>
                <w:rFonts w:ascii="Arial" w:cs="Arial" w:eastAsia="Arial" w:hAnsi="Arial"/>
                <w:sz w:val="15"/>
                <w:szCs w:val="15"/>
                <w:color w:val="auto"/>
              </w:rPr>
              <w:t>Cash paid for income taxes</w:t>
            </w:r>
          </w:p>
        </w:tc>
        <w:tc>
          <w:tcPr>
            <w:tcW w:w="420" w:type="dxa"/>
            <w:vAlign w:val="bottom"/>
            <w:gridSpan w:val="2"/>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209</w:t>
            </w:r>
          </w:p>
        </w:tc>
        <w:tc>
          <w:tcPr>
            <w:tcW w:w="460" w:type="dxa"/>
            <w:vAlign w:val="bottom"/>
            <w:gridSpan w:val="2"/>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56"/>
        </w:trPr>
        <w:tc>
          <w:tcPr>
            <w:tcW w:w="81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1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Accretion of redeemable convertible preferred stock</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109,529</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810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Costs related to IPO included in accrued expenses and accounts payable</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113</w:t>
            </w:r>
          </w:p>
        </w:tc>
        <w:tc>
          <w:tcPr>
            <w:tcW w:w="1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CFF0FC"/>
            </w:tcBorders>
          </w:tcPr>
          <w:p>
            <w:pPr>
              <w:ind w:left="260"/>
              <w:spacing w:after="0" w:line="156" w:lineRule="exact"/>
              <w:rPr>
                <w:sz w:val="20"/>
                <w:szCs w:val="20"/>
                <w:color w:val="auto"/>
              </w:rPr>
            </w:pPr>
            <w:r>
              <w:rPr>
                <w:rFonts w:ascii="Arial" w:cs="Arial" w:eastAsia="Arial" w:hAnsi="Arial"/>
                <w:sz w:val="15"/>
                <w:szCs w:val="15"/>
                <w:color w:val="auto"/>
              </w:rPr>
              <w:t>Costs related to follow-on public offering included in accrued expenses and accounts payable</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156"/>
        </w:trPr>
        <w:tc>
          <w:tcPr>
            <w:tcW w:w="810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Conversion of redeemable convertible preferred stock warrant to common stock warrant</w:t>
            </w: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21,873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tcBorders>
              <w:bottom w:val="single" w:sz="8" w:color="CFF0FC"/>
            </w:tcBorders>
          </w:tcPr>
          <w:p>
            <w:pPr>
              <w:ind w:left="260"/>
              <w:spacing w:after="0" w:line="156" w:lineRule="exact"/>
              <w:rPr>
                <w:sz w:val="20"/>
                <w:szCs w:val="20"/>
                <w:color w:val="auto"/>
              </w:rPr>
            </w:pPr>
            <w:r>
              <w:rPr>
                <w:rFonts w:ascii="Arial" w:cs="Arial" w:eastAsia="Arial" w:hAnsi="Arial"/>
                <w:sz w:val="15"/>
                <w:szCs w:val="15"/>
                <w:color w:val="auto"/>
              </w:rPr>
              <w:t>Issuance of common stock as upfront payment to nonemployee</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2,127</w:t>
            </w:r>
          </w:p>
        </w:tc>
        <w:tc>
          <w:tcPr>
            <w:tcW w:w="0" w:type="dxa"/>
            <w:vAlign w:val="bottom"/>
          </w:tcPr>
          <w:p>
            <w:pPr>
              <w:spacing w:after="0"/>
              <w:rPr>
                <w:sz w:val="1"/>
                <w:szCs w:val="1"/>
                <w:color w:val="auto"/>
              </w:rPr>
            </w:pPr>
          </w:p>
        </w:tc>
      </w:tr>
      <w:tr>
        <w:trPr>
          <w:trHeight w:val="169"/>
        </w:trPr>
        <w:tc>
          <w:tcPr>
            <w:tcW w:w="81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Accrued property and equipment expenditures</w:t>
            </w:r>
          </w:p>
        </w:tc>
        <w:tc>
          <w:tcPr>
            <w:tcW w:w="42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342</w:t>
            </w:r>
          </w:p>
        </w:tc>
        <w:tc>
          <w:tcPr>
            <w:tcW w:w="46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right="6720" w:firstLine="8"/>
        <w:spacing w:after="0" w:line="394"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97"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which operates the Company’s sole physical retail location under the Texas Direct Auto brand (“TDA”).</w:t>
      </w:r>
    </w:p>
    <w:p>
      <w:pPr>
        <w:spacing w:after="0" w:line="197"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currently is organized into three reportable segments: Ecommerce, TDA, and Wholesale. The Ecommerce reportable segment represents retail sales of used vehicles through the Company’s ecommerce platform and fees earned on sales of value-added products associated with those vehicles sales. The TDA reportable segment represents retail sales of used vehicles from TDA and fees earned on sales of value-added products associated with those vehicles sales. The Wholesale reportable segment represents sales of used vehicles through wholesale auctions.</w:t>
      </w:r>
    </w:p>
    <w:p>
      <w:pPr>
        <w:spacing w:after="0" w:line="202"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w:t>
      </w:r>
    </w:p>
    <w:p>
      <w:pPr>
        <w:spacing w:after="0" w:line="234" w:lineRule="auto"/>
        <w:rPr>
          <w:sz w:val="20"/>
          <w:szCs w:val="20"/>
          <w:color w:val="auto"/>
        </w:rPr>
      </w:pPr>
      <w:r>
        <w:rPr>
          <w:rFonts w:ascii="Arial" w:cs="Arial" w:eastAsia="Arial" w:hAnsi="Arial"/>
          <w:sz w:val="18"/>
          <w:szCs w:val="18"/>
          <w:color w:val="auto"/>
        </w:rPr>
        <w:t>of $22.00 per share, including 3,187,500 shares sold pursuant to exercise by the underwriters of their option to purchase additional shares.</w:t>
      </w:r>
    </w:p>
    <w:p>
      <w:pPr>
        <w:spacing w:after="0" w:line="235" w:lineRule="auto"/>
        <w:rPr>
          <w:sz w:val="20"/>
          <w:szCs w:val="20"/>
          <w:color w:val="auto"/>
        </w:rPr>
      </w:pPr>
      <w:r>
        <w:rPr>
          <w:rFonts w:ascii="Arial" w:cs="Arial" w:eastAsia="Arial" w:hAnsi="Arial"/>
          <w:sz w:val="18"/>
          <w:szCs w:val="18"/>
          <w:color w:val="auto"/>
        </w:rPr>
        <w:t>The Company received proceeds of $504.0 million from the IPO, net of the underwriting discount and before deducting offering expenses of</w:t>
      </w:r>
    </w:p>
    <w:p>
      <w:pPr>
        <w:spacing w:after="0" w:line="235" w:lineRule="auto"/>
        <w:rPr>
          <w:sz w:val="20"/>
          <w:szCs w:val="20"/>
          <w:color w:val="auto"/>
        </w:rPr>
      </w:pPr>
      <w:r>
        <w:rPr>
          <w:rFonts w:ascii="Arial" w:cs="Arial" w:eastAsia="Arial" w:hAnsi="Arial"/>
          <w:sz w:val="18"/>
          <w:szCs w:val="18"/>
          <w:color w:val="auto"/>
        </w:rPr>
        <w:t>$7.5 million. In addition, in accordance with their terms and consistent with the conversion rates discussed in Note 10 - Redeemable</w:t>
      </w:r>
    </w:p>
    <w:p>
      <w:pPr>
        <w:spacing w:after="0" w:line="235" w:lineRule="auto"/>
        <w:rPr>
          <w:sz w:val="20"/>
          <w:szCs w:val="20"/>
          <w:color w:val="auto"/>
        </w:rPr>
      </w:pPr>
      <w:r>
        <w:rPr>
          <w:rFonts w:ascii="Arial" w:cs="Arial" w:eastAsia="Arial" w:hAnsi="Arial"/>
          <w:sz w:val="18"/>
          <w:szCs w:val="18"/>
          <w:color w:val="auto"/>
        </w:rPr>
        <w:t>Convertible Preferred Stock and Stockholders’ (Deficit) Equity, all shares of the Company’s outstanding redeemable convertible preferred</w:t>
      </w:r>
    </w:p>
    <w:p>
      <w:pPr>
        <w:spacing w:after="0"/>
        <w:rPr>
          <w:sz w:val="20"/>
          <w:szCs w:val="20"/>
          <w:color w:val="auto"/>
        </w:rPr>
      </w:pPr>
      <w:r>
        <w:rPr>
          <w:rFonts w:ascii="Arial" w:cs="Arial" w:eastAsia="Arial" w:hAnsi="Arial"/>
          <w:sz w:val="18"/>
          <w:szCs w:val="18"/>
          <w:color w:val="auto"/>
        </w:rPr>
        <w:t>stock were automatically converted into common stock upon the closing of the IPO.</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39"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interim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2019,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interim condensed consolidated financial statements should be read in conjunction with the consolidated financial statements and notes included in the final prospectus dated September 10, 2020 and filed with the SEC pursuant to Rule 424(b)(4) under the Securities Act of 1933, as amended, (the "Securities Act"), on September 11, 2020 (the "Prospectus").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2020 and its results of operations for the three and nine months ended September 30, 2019 and 2020. The results for the three and nine months ended September 30, 2020 are not necessarily indicative of the results expected for the current fiscal year or any other future periods. Certain prior year amounts have been reclassified to conform to the current year presentation.</w:t>
      </w:r>
    </w:p>
    <w:p>
      <w:pPr>
        <w:spacing w:after="0" w:line="205"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Except as described elsewhere in Note 2 to the condensed consolidated financial statements, there have been no material changes to the Company's significant accounting policies as described in the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600" w:firstLine="761"/>
        <w:spacing w:after="0" w:line="246"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283" w:lineRule="exact"/>
        <w:rPr>
          <w:sz w:val="20"/>
          <w:szCs w:val="20"/>
          <w:color w:val="auto"/>
        </w:rPr>
      </w:pPr>
    </w:p>
    <w:p>
      <w:pPr>
        <w:ind w:right="7260" w:firstLine="8"/>
        <w:spacing w:after="0" w:line="372"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205"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Beginning in the first quarter of 2020, the COVID-19 pandemic caused by the novel coronavirus has negatively impacted, and may continue to negatively impact, the macroeconomic environment in the United States and globally, as well as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The Company did not have any other comprehensive income or loss for the three and nine months ended September 30, 2019 and 2020. Accordingly, net loss and comprehensive loss are the same for the periods presented.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right="360" w:firstLine="761"/>
        <w:spacing w:after="0"/>
        <w:rPr>
          <w:sz w:val="20"/>
          <w:szCs w:val="20"/>
          <w:color w:val="auto"/>
        </w:rPr>
      </w:pPr>
      <w:r>
        <w:rPr>
          <w:rFonts w:ascii="Arial" w:cs="Arial" w:eastAsia="Arial" w:hAnsi="Arial"/>
          <w:sz w:val="18"/>
          <w:szCs w:val="18"/>
          <w:color w:val="auto"/>
        </w:rPr>
        <w:t>Restricted cash includes cash deposits required under letter of credit agreements as explained in Note 8 – Commitments and Contingencies. As of September 30, 2020, restricted cash also includes a $26.1 million cash deposit required under the Company’s 2020 Vehicle Floorplan Facility as explained in Note 7 – Vehicle Floorplan Facilities.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$ 14.6 million and $15.3 million for the three months ended September 30, 2019 and 2020, respectively, and $34.4 million and $44.8 million for the nine months ended September 30, 2019 and 2020,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condensed consolidated statements of operations and were $ 4.3 million and $8.5 million for the three months ended September 30, 2019 and 2020, respectively, and $9.2 million and $19.8 million for the nine months ended September 30, 2019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Concentration of credit risk with respect to accounts receivable is generally mitigated by a large customer base.</w:t>
      </w:r>
    </w:p>
    <w:p>
      <w:pPr>
        <w:spacing w:after="0" w:line="205"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For the three and nine months ended September 30, 2019 and 2020, no customer represented 10% or more of the Company’s revenues and no customer represented more than 10% of the Company’s accounts receivable as of December 31, 2019 and September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6"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The Company has had negative cash flows and losses from operations since inception which it has funded primarily through issuances of common and preferred stock. The Company has historically funded vehicle inventory purchases through a vehicle floorplan facility. As further discussed in Note 7 – Vehicle Floorplan Facilities, the Company entered into a new facility in March 2020 which increased the borrowing capacity up to $450.0 million. In October 2020, the Vehicle Floorplan Facility was amended to extend the maturity date to September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26"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the first quarter of the year ending December 31, 2021 and,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 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8" w:lineRule="exact"/>
        <w:rPr>
          <w:sz w:val="20"/>
          <w:szCs w:val="20"/>
          <w:color w:val="auto"/>
        </w:rPr>
      </w:pPr>
    </w:p>
    <w:p>
      <w:pPr>
        <w:ind w:firstLine="761"/>
        <w:spacing w:after="0" w:line="242"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 The FASB also subsequently issued amendments to the standard to provide additional practical expedients and an additional transition method option.</w:t>
      </w:r>
    </w:p>
    <w:p>
      <w:pPr>
        <w:spacing w:after="0" w:line="203"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The Company adopted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205" w:lineRule="exact"/>
        <w:rPr>
          <w:sz w:val="20"/>
          <w:szCs w:val="20"/>
          <w:color w:val="auto"/>
        </w:rPr>
      </w:pPr>
    </w:p>
    <w:p>
      <w:pPr>
        <w:jc w:val="both"/>
        <w:ind w:right="400" w:firstLine="761"/>
        <w:spacing w:after="0" w:line="261" w:lineRule="auto"/>
        <w:rPr>
          <w:sz w:val="20"/>
          <w:szCs w:val="20"/>
          <w:color w:val="auto"/>
        </w:rPr>
      </w:pPr>
      <w:r>
        <w:rPr>
          <w:rFonts w:ascii="Arial" w:cs="Arial" w:eastAsia="Arial" w:hAnsi="Arial"/>
          <w:sz w:val="17"/>
          <w:szCs w:val="17"/>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186" w:lineRule="exact"/>
        <w:rPr>
          <w:sz w:val="20"/>
          <w:szCs w:val="20"/>
          <w:color w:val="auto"/>
        </w:rPr>
      </w:pPr>
    </w:p>
    <w:p>
      <w:pPr>
        <w:jc w:val="both"/>
        <w:ind w:right="40" w:firstLine="761"/>
        <w:spacing w:after="0" w:line="274" w:lineRule="auto"/>
        <w:rPr>
          <w:sz w:val="20"/>
          <w:szCs w:val="20"/>
          <w:color w:val="auto"/>
        </w:rPr>
      </w:pPr>
      <w:r>
        <w:rPr>
          <w:rFonts w:ascii="Arial" w:cs="Arial" w:eastAsia="Arial" w:hAnsi="Arial"/>
          <w:sz w:val="17"/>
          <w:szCs w:val="17"/>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84" w:lineRule="exact"/>
        <w:rPr>
          <w:sz w:val="20"/>
          <w:szCs w:val="20"/>
          <w:color w:val="auto"/>
        </w:rPr>
      </w:pPr>
    </w:p>
    <w:p>
      <w:pPr>
        <w:ind w:right="240" w:firstLine="761"/>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225" w:lineRule="exact"/>
        <w:rPr>
          <w:sz w:val="20"/>
          <w:szCs w:val="20"/>
          <w:color w:val="auto"/>
        </w:rPr>
      </w:pPr>
    </w:p>
    <w:p>
      <w:pPr>
        <w:ind w:right="120" w:firstLine="761"/>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08"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2020, with early adoption permitted. The Company is currently evaluating the impact that the adoption of this guidance will have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6"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205" w:lineRule="exact"/>
        <w:rPr>
          <w:sz w:val="20"/>
          <w:szCs w:val="20"/>
          <w:color w:val="auto"/>
        </w:rPr>
      </w:pPr>
    </w:p>
    <w:p>
      <w:pPr>
        <w:ind w:right="520" w:firstLine="761"/>
        <w:spacing w:after="0" w:line="246"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26" w:lineRule="exact"/>
        <w:rPr>
          <w:sz w:val="20"/>
          <w:szCs w:val="20"/>
          <w:color w:val="auto"/>
        </w:rPr>
      </w:pPr>
    </w:p>
    <w:p>
      <w:pPr>
        <w:ind w:right="240"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208"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condensed consolidated balance sheets.</w:t>
      </w:r>
    </w:p>
    <w:p>
      <w:pPr>
        <w:spacing w:after="0" w:line="203"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The Company offers a return policy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third-party wholesale auctions. Vehicles sold at auction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that is determined at the auction. The Company satisfies its performance obligation and recognizes revenue for wholesale vehicle sales at a point in time when the vehicle is sold at auction. The transaction price is typically due and collected within a short period of time following the vehicle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Company’s product revenue consists of fees earned on selling extended warranty contracts, guaranteed asset protection (“GAP”) and wheel and tire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202" w:lineRule="exact"/>
        <w:rPr>
          <w:sz w:val="20"/>
          <w:szCs w:val="20"/>
          <w:color w:val="auto"/>
        </w:rPr>
      </w:pPr>
    </w:p>
    <w:p>
      <w:pPr>
        <w:ind w:right="340" w:firstLine="761"/>
        <w:spacing w:after="0" w:line="23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20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2019 and September 30, 2020, the Company’s reserve for chargebacks was $3.3 million and $4.0 million, respectively, of which $1.8 million and $2.1 million, respectively, are included within “Accrued expenses” and $1.5 million and $1.9 million, respectively, are included in “Other long-term liabilities.”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20" w:firstLine="761"/>
        <w:spacing w:after="0" w:line="234"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extended warranty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2019 and September 30, 2020, the Company recognized $6.9 million and $9.4 million, respectively, related to cumulative profit-sharing payments to which it expects to be entitled, of which</w:t>
      </w:r>
    </w:p>
    <w:p>
      <w:pPr>
        <w:spacing w:after="0" w:line="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$0.3 million and $0.8 million, respectively, are included within “Prepaid expenses and other current assets” and $6.6 million and $8.6 million, respectively, are included within “Other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primarily consists of labor and parts revenue earned by the Company for vehicle repair services at TDA.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7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203,290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297,512</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Parts and accessories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2,456</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1,899</w:t>
            </w: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inventory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205,746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299,411</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980" w:firstLine="761"/>
        <w:spacing w:after="0" w:line="246" w:lineRule="auto"/>
        <w:rPr>
          <w:sz w:val="20"/>
          <w:szCs w:val="20"/>
          <w:color w:val="auto"/>
        </w:rPr>
      </w:pPr>
      <w:r>
        <w:rPr>
          <w:rFonts w:ascii="Arial" w:cs="Arial" w:eastAsia="Arial" w:hAnsi="Arial"/>
          <w:sz w:val="18"/>
          <w:szCs w:val="18"/>
          <w:color w:val="auto"/>
        </w:rPr>
        <w:t>As of December 31, 2019 and September 30, 2020, “Inventory” includes an adjustment of $6.3 million, and $9.2 million, respectively, to record the balances at the lower of cost or net realizable value.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7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930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991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1,646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Company vehicles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1,151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6,556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6,431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9,234</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2,580</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2,759</w:t>
            </w:r>
          </w:p>
        </w:tc>
      </w:tr>
      <w:tr>
        <w:trPr>
          <w:trHeight w:val="210"/>
        </w:trPr>
        <w:tc>
          <w:tcPr>
            <w:tcW w:w="7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17,348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22,212</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(12,161)</w:t>
            </w: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7,828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10,051</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Depreciation and amortization expense was $ 0.6 million and $ 1.1 million for the three months ended September 30, 2019 and 2020, respectively, and $2.0 million and $2.8 million for the nine months ended September 30, 2019 and 2020, respectively. Depreciation and amortization expense of $0.1 million was included within “Cost of sales” in the condensed consolidated statements of operations for the nine months ended September 30, 2019. For the three months ended September 30, 2019 and the three and nine months ended September 30, 2020, depreciation and amortization expense included within “Cost of sales” was immaterial.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3,158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Vehicle related expenses</w:t>
            </w: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8,923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Sales taxes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7,455</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3,386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2,964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Series H preferred stock issuance costs</w:t>
            </w:r>
          </w:p>
        </w:tc>
        <w:tc>
          <w:tcPr>
            <w:tcW w:w="200" w:type="dxa"/>
            <w:vAlign w:val="bottom"/>
          </w:tcPr>
          <w:p>
            <w:pPr>
              <w:spacing w:after="0"/>
              <w:rPr>
                <w:sz w:val="18"/>
                <w:szCs w:val="18"/>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5,020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7,585</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38,491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47,641</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Vehicle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8,904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2,668</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current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11,572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16,375</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Vehicle Floorplan Facilities</w:t>
      </w:r>
    </w:p>
    <w:p>
      <w:pPr>
        <w:spacing w:after="0" w:line="126" w:lineRule="exact"/>
        <w:rPr>
          <w:sz w:val="20"/>
          <w:szCs w:val="20"/>
          <w:color w:val="auto"/>
        </w:rPr>
      </w:pPr>
    </w:p>
    <w:p>
      <w:pPr>
        <w:ind w:right="20" w:firstLine="765"/>
        <w:spacing w:after="0" w:line="234"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which replaced the Company’s previous vehicle floorplan facility. The 2020 Vehicle Floorplan Facility provides a committed credit line of up to $450.0 million which originally expires in March 2021.The amount of credit available is determined on a monthly basis based on a calculation that considers average outstanding borrowings and vehicle units paid off by the Company within the immediately preceding three-month period. The Company may elect to increase its monthly credit line availability by an additional</w:t>
      </w:r>
    </w:p>
    <w:p>
      <w:pPr>
        <w:spacing w:after="0" w:line="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$25.0 million during any three months of each year. As of September 30, 2020, the borrowing capacity of the 2020 Vehicle Floorplan Facility was $261.1 million, of which $12.1 million was unutilized.</w:t>
      </w:r>
    </w:p>
    <w:p>
      <w:pPr>
        <w:spacing w:after="0" w:line="197" w:lineRule="exact"/>
        <w:rPr>
          <w:sz w:val="20"/>
          <w:szCs w:val="20"/>
          <w:color w:val="auto"/>
        </w:rPr>
      </w:pPr>
    </w:p>
    <w:p>
      <w:pPr>
        <w:ind w:right="80" w:firstLine="765"/>
        <w:spacing w:after="0" w:line="236"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 The Company was required to pay an upfront commitment fee of $1.1 million upon execution of the 2020 Vehicle Floorplan Facility.</w:t>
      </w:r>
    </w:p>
    <w:p>
      <w:pPr>
        <w:spacing w:after="0" w:line="235" w:lineRule="exact"/>
        <w:rPr>
          <w:sz w:val="20"/>
          <w:szCs w:val="20"/>
          <w:color w:val="auto"/>
        </w:rPr>
      </w:pPr>
    </w:p>
    <w:p>
      <w:pPr>
        <w:ind w:right="20" w:firstLine="765"/>
        <w:spacing w:after="0" w:line="241" w:lineRule="auto"/>
        <w:rPr>
          <w:sz w:val="20"/>
          <w:szCs w:val="20"/>
          <w:color w:val="auto"/>
        </w:rPr>
      </w:pPr>
      <w:r>
        <w:rPr>
          <w:rFonts w:ascii="Arial" w:cs="Arial" w:eastAsia="Arial" w:hAnsi="Arial"/>
          <w:sz w:val="18"/>
          <w:szCs w:val="18"/>
          <w:color w:val="auto"/>
        </w:rPr>
        <w:t>In October 2020, the Company amended its 2020 Vehicle Floorplan Facility to extend the maturity date to September 30, 2022. The amendment requires the Company to pay an availability fee each quarter on the average unused capacity from the prior quarter if it was greater than 50% of the calculated floorplan allowance, as defined. The amendment reduces the minimum liquidity requirement to maintain in cash and cash equivalents a percentage of the credit line from 10.0% to 7.5%. The amendment eliminated the minimum tangible adjusted net worth covenant. The Company was required to pay an upfront commitment fee upon execution of the amendment.</w:t>
      </w:r>
    </w:p>
    <w:p>
      <w:pPr>
        <w:spacing w:after="0" w:line="203" w:lineRule="exact"/>
        <w:rPr>
          <w:sz w:val="20"/>
          <w:szCs w:val="20"/>
          <w:color w:val="auto"/>
        </w:rPr>
      </w:pPr>
    </w:p>
    <w:p>
      <w:pPr>
        <w:jc w:val="both"/>
        <w:ind w:right="100" w:firstLine="761"/>
        <w:spacing w:after="0"/>
        <w:rPr>
          <w:sz w:val="20"/>
          <w:szCs w:val="20"/>
          <w:color w:val="auto"/>
        </w:rPr>
      </w:pPr>
      <w:r>
        <w:rPr>
          <w:rFonts w:ascii="Arial" w:cs="Arial" w:eastAsia="Arial" w:hAnsi="Arial"/>
          <w:sz w:val="18"/>
          <w:szCs w:val="18"/>
          <w:color w:val="auto"/>
        </w:rPr>
        <w:t>The Company previously entered into a vehicle floorplan (the “2016 Vehicle Floorplan Facility”) with Ally Bank and Ally Financial in April 2016, as subsequently amended. The 2016 Vehicle Floorplan Facility consisted of a revolving line of credit with a borrowing capacity of $220.0 million as of December 31, 2019, which could be used to finance the Company’s vehicle inventory.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740" w:firstLine="761"/>
        <w:spacing w:after="0" w:line="246" w:lineRule="auto"/>
        <w:rPr>
          <w:sz w:val="20"/>
          <w:szCs w:val="20"/>
          <w:color w:val="auto"/>
        </w:rPr>
      </w:pPr>
      <w:r>
        <w:rPr>
          <w:rFonts w:ascii="Arial" w:cs="Arial" w:eastAsia="Arial" w:hAnsi="Arial"/>
          <w:sz w:val="18"/>
          <w:szCs w:val="18"/>
          <w:color w:val="auto"/>
        </w:rPr>
        <w:t>The interest rate on the 2016 Vehicle Floorplan Facility was equal to the 1-Month LIBOR rate applicable in the immediately preceding month plus a spread of 425 basis points and was payable on a monthly basis.</w:t>
      </w:r>
    </w:p>
    <w:p>
      <w:pPr>
        <w:spacing w:after="0" w:line="197"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As of December 31, 2019 and September 30, 2020, outstanding borrowings on the vehicle floorplan facilities were $173.5 million and $249.0 million, respectively.</w:t>
      </w:r>
    </w:p>
    <w:p>
      <w:pPr>
        <w:spacing w:after="0" w:line="197"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Interest expense incurred by the Company for the vehicle floorplan facilities was $ 3.0 million and $2.0 million for the three months ended September 30, 2019 and 2020, respectively, and $7.4 million and $5.7 million for the nine months ended September 30, 2019 and 2020, respectively, which are recorded within “Interest expense” in the condensed consolidated statements of operations. The weighted average interest rate on the vehicle floorplan borrowings was 6.00% and 4.41% as of December 31, 2019 and September 30, 2020, respectively.</w:t>
      </w:r>
    </w:p>
    <w:p>
      <w:pPr>
        <w:spacing w:after="0" w:line="202" w:lineRule="exact"/>
        <w:rPr>
          <w:sz w:val="20"/>
          <w:szCs w:val="20"/>
          <w:color w:val="auto"/>
        </w:rPr>
      </w:pPr>
    </w:p>
    <w:p>
      <w:pPr>
        <w:ind w:right="520" w:firstLine="761"/>
        <w:spacing w:after="0" w:line="246" w:lineRule="auto"/>
        <w:rPr>
          <w:sz w:val="20"/>
          <w:szCs w:val="20"/>
          <w:color w:val="auto"/>
        </w:rPr>
      </w:pPr>
      <w:r>
        <w:rPr>
          <w:rFonts w:ascii="Arial" w:cs="Arial" w:eastAsia="Arial" w:hAnsi="Arial"/>
          <w:sz w:val="18"/>
          <w:szCs w:val="18"/>
          <w:color w:val="auto"/>
        </w:rPr>
        <w:t>As of December 31, 2019 and September 30, 2020, the Company was in compliance with all covenants related to the vehicle floorplan facilities.</w:t>
      </w:r>
    </w:p>
    <w:p>
      <w:pPr>
        <w:spacing w:after="0" w:line="197"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$1.2 million and $1.2 million for the three months ended September 30, 2019 and 2020, respectively, and $4.0 million and $3.6 million for the nine months ended September 30, 2019 and 2020, respectively, which are recorded within “Interest income” in the condensed consolidated statements of operations.</w:t>
      </w:r>
    </w:p>
    <w:p>
      <w:pPr>
        <w:spacing w:after="0" w:line="329" w:lineRule="exact"/>
        <w:rPr>
          <w:sz w:val="20"/>
          <w:szCs w:val="20"/>
          <w:color w:val="auto"/>
        </w:rPr>
      </w:pPr>
    </w:p>
    <w:p>
      <w:pPr>
        <w:ind w:right="8180" w:firstLine="8"/>
        <w:spacing w:after="0" w:line="372"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As of December 31, 2019 and September 30, 2020, the Company was not a party to any legal proceedings 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Company has obtained stand-by letters of credit totaling $1.9 million to satisfy conditions under two lease agreements. The Company is required to maintain a cash deposit of $ 1.9 million with the financial institution that issued the stand-by letters of credit, which is classified as “Restricted cash” within the condensed consolidated balance sheets as of December 31, 2019 and September 30,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26"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6" w:lineRule="exact"/>
        <w:rPr>
          <w:sz w:val="20"/>
          <w:szCs w:val="20"/>
          <w:color w:val="auto"/>
        </w:rPr>
      </w:pPr>
    </w:p>
    <w:p>
      <w:pPr>
        <w:ind w:firstLine="761"/>
        <w:spacing w:after="0" w:line="255" w:lineRule="auto"/>
        <w:rPr>
          <w:sz w:val="20"/>
          <w:szCs w:val="20"/>
          <w:color w:val="auto"/>
        </w:rPr>
      </w:pPr>
      <w:r>
        <w:rPr>
          <w:rFonts w:ascii="Arial" w:cs="Arial" w:eastAsia="Arial" w:hAnsi="Arial"/>
          <w:sz w:val="17"/>
          <w:szCs w:val="17"/>
          <w:color w:val="auto"/>
        </w:rPr>
        <w:t>The Company’s leasing activities primarily consist of real estate leases for its operations, including office space, the Company’s reconditioning facility, the TDA retail location, the Company’s Sell Us Your Car centers, parking lots and other facilities. The real estate leases have terms ranging from six months to eight years. The Company also has leases for various types of equipment, which are not material, individually or in the aggregate. The Company assesses whether each lease is an operating or finance lease at the lease commencement date. The Company does not have any material leases, individually or in the aggregate, classified as a finance leasing arrangement.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440" w:firstLine="761"/>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203"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205" w:lineRule="exact"/>
        <w:rPr>
          <w:sz w:val="20"/>
          <w:szCs w:val="20"/>
          <w:color w:val="auto"/>
        </w:rPr>
      </w:pPr>
    </w:p>
    <w:p>
      <w:pPr>
        <w:ind w:right="320" w:firstLine="761"/>
        <w:spacing w:after="0" w:line="246"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26"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26"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As of September 30, 2020, the weighted-average remaining lease term and discount rate for the Company’s operating leases were 3.8 years and 3.4%, excluding short-term operating leases.</w:t>
      </w:r>
    </w:p>
    <w:p>
      <w:pPr>
        <w:spacing w:after="0" w:line="197"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determines its incremental borrowing rate based on a synthetic credit rating that was developed with the assistance of a third-party specialist.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three and nine months ended September 30, 2020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17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Lease Cost</w:t>
            </w: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44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1,308</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Short-term lease cost</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37"/>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income</w:t>
            </w:r>
          </w:p>
        </w:tc>
        <w:tc>
          <w:tcPr>
            <w:tcW w:w="27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lease cost</w:t>
            </w:r>
          </w:p>
        </w:tc>
        <w:tc>
          <w:tcPr>
            <w:tcW w:w="2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2,343</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8" w:right="319" w:bottom="1440" w:gutter="0" w:footer="0" w:header="0"/>
        </w:sectPr>
      </w:pPr>
    </w:p>
    <w:p>
      <w:pPr>
        <w:spacing w:after="0" w:line="16"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-1905</wp:posOffset>
            </wp:positionV>
            <wp:extent cx="1234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79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wp:posOffset>
            </wp:positionV>
            <wp:extent cx="1243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2020</w:t>
      </w:r>
    </w:p>
    <w:p>
      <w:pPr>
        <w:spacing w:after="0" w:line="13" w:lineRule="exact"/>
        <w:rPr>
          <w:sz w:val="20"/>
          <w:szCs w:val="20"/>
          <w:color w:val="auto"/>
        </w:rPr>
      </w:pPr>
    </w:p>
    <w:p>
      <w:pPr>
        <w:sectPr>
          <w:pgSz w:w="11900" w:h="16838" w:orient="portrait"/>
          <w:cols w:equalWidth="0" w:num="2">
            <w:col w:w="8800" w:space="720"/>
            <w:col w:w="1740"/>
          </w:cols>
          <w:pgMar w:left="320" w:top="118"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7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4,146</w:t>
            </w:r>
          </w:p>
        </w:tc>
        <w:tc>
          <w:tcPr>
            <w:tcW w:w="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4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r>
      <w:tr>
        <w:trPr>
          <w:trHeight w:val="675"/>
        </w:trPr>
        <w:tc>
          <w:tcPr>
            <w:tcW w:w="6460" w:type="dxa"/>
            <w:vAlign w:val="bottom"/>
          </w:tcPr>
          <w:p>
            <w:pPr>
              <w:ind w:left="552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6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26" w:lineRule="exact"/>
        <w:rPr>
          <w:sz w:val="20"/>
          <w:szCs w:val="20"/>
          <w:color w:val="auto"/>
        </w:rPr>
      </w:pPr>
    </w:p>
    <w:p>
      <w:pPr>
        <w:ind w:right="320" w:firstLine="761"/>
        <w:spacing w:after="0" w:line="246"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condensed consolidated balance sheet as of September 30, 2020 were as follows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For remainder of 2020</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5,034</w:t>
            </w:r>
          </w:p>
        </w:tc>
      </w:tr>
      <w:tr>
        <w:trPr>
          <w:trHeight w:val="216"/>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3,152</w:t>
            </w:r>
          </w:p>
        </w:tc>
      </w:tr>
      <w:tr>
        <w:trPr>
          <w:trHeight w:val="216"/>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2,872</w:t>
            </w:r>
          </w:p>
        </w:tc>
      </w:tr>
      <w:tr>
        <w:trPr>
          <w:trHeight w:val="216"/>
        </w:trPr>
        <w:tc>
          <w:tcPr>
            <w:tcW w:w="9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r>
      <w:tr>
        <w:trPr>
          <w:trHeight w:val="210"/>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16,399</w:t>
            </w:r>
          </w:p>
        </w:tc>
      </w:tr>
      <w:tr>
        <w:trPr>
          <w:trHeight w:val="216"/>
        </w:trPr>
        <w:tc>
          <w:tcPr>
            <w:tcW w:w="9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09"/>
        </w:trPr>
        <w:tc>
          <w:tcPr>
            <w:tcW w:w="9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15,295</w:t>
            </w:r>
          </w:p>
        </w:tc>
      </w:tr>
      <w:tr>
        <w:trPr>
          <w:trHeight w:val="20"/>
        </w:trPr>
        <w:tc>
          <w:tcPr>
            <w:tcW w:w="9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9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4,621</w:t>
            </w:r>
          </w:p>
        </w:tc>
      </w:tr>
      <w:tr>
        <w:trPr>
          <w:trHeight w:val="216"/>
        </w:trPr>
        <w:tc>
          <w:tcPr>
            <w:tcW w:w="9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noncurrent</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10,674</w:t>
            </w:r>
          </w:p>
        </w:tc>
      </w:tr>
      <w:tr>
        <w:trPr>
          <w:trHeight w:val="209"/>
        </w:trPr>
        <w:tc>
          <w:tcPr>
            <w:tcW w:w="9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15,295</w:t>
            </w:r>
          </w:p>
        </w:tc>
      </w:tr>
      <w:tr>
        <w:trPr>
          <w:trHeight w:val="20"/>
        </w:trPr>
        <w:tc>
          <w:tcPr>
            <w:tcW w:w="9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Future minimum payments under non-cancelable operating leases with initial terms of one year or more consisted of the following as of December 31, 2019 in accordance with ASC Topic 840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74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5,509</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2021</w:t>
            </w:r>
          </w:p>
        </w:tc>
        <w:tc>
          <w:tcPr>
            <w:tcW w:w="7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4,909</w:t>
            </w:r>
          </w:p>
        </w:tc>
      </w:tr>
      <w:tr>
        <w:trPr>
          <w:trHeight w:val="216"/>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2023</w:t>
            </w:r>
          </w:p>
        </w:tc>
        <w:tc>
          <w:tcPr>
            <w:tcW w:w="7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3,026</w:t>
            </w:r>
          </w:p>
        </w:tc>
      </w:tr>
      <w:tr>
        <w:trPr>
          <w:trHeight w:val="216"/>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2,746</w:t>
            </w:r>
          </w:p>
        </w:tc>
      </w:tr>
      <w:tr>
        <w:trPr>
          <w:trHeight w:val="216"/>
        </w:trPr>
        <w:tc>
          <w:tcPr>
            <w:tcW w:w="9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w:t>
            </w:r>
          </w:p>
        </w:tc>
      </w:tr>
      <w:tr>
        <w:trPr>
          <w:trHeight w:val="210"/>
        </w:trPr>
        <w:tc>
          <w:tcPr>
            <w:tcW w:w="9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20,093</w:t>
            </w:r>
          </w:p>
        </w:tc>
      </w:tr>
      <w:tr>
        <w:trPr>
          <w:trHeight w:val="20"/>
        </w:trPr>
        <w:tc>
          <w:tcPr>
            <w:tcW w:w="18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In accordance with ASC Topic 840, rent expense was $1.8 million and $5.2 million for the three and nine months ended September 30, 2019. Certain of the Company’s lease agreements contain escalation clauses, and accordingly, the Company records the rent expense on a straight-line basis over the lease term. Deferred rent under ASC Topic ASC 840 is recorded within “Accrued expenses” in the condensed consolidated balance sheet.</w:t>
      </w:r>
    </w:p>
    <w:p>
      <w:pPr>
        <w:spacing w:after="0" w:line="331" w:lineRule="exact"/>
        <w:rPr>
          <w:sz w:val="20"/>
          <w:szCs w:val="20"/>
          <w:color w:val="auto"/>
        </w:rPr>
      </w:pPr>
    </w:p>
    <w:p>
      <w:pPr>
        <w:ind w:right="4520" w:firstLine="8"/>
        <w:spacing w:after="0" w:line="372"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Equity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As of December 31, 2019, the Company had eight outstanding series of redeemable convertible preferred stock (collectively the “Series Preferred”). The Company classified its Series B through H Preferred Stock (collectively the “Senior Preferred Stock”) as temporary equity within the Company’s consolidated balance sheet as of December 31, 2019 because the instruments contained redemption rights. The Company concluded that the Senior Preferred Stock were considered probable of becoming redeemable through November 2019 and therefore recorded accretion to their redemption values of $132.8 million during the year ended December 31, 2019. During December 2019, the Company ceased accretion of the Senior Preferred Stock to their redemption values due to a sufficiently high likelihood of an IPO requiring a conversion of the instruments into common stock.</w:t>
      </w:r>
    </w:p>
    <w:p>
      <w:pPr>
        <w:spacing w:after="0" w:line="203"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As of December 31, 2019, the Company classified its Series A Preferred Stock as temporary equity within the Company’s consolidated balance sheets because the instrument contained liquidation features, including a liquidation preference in the event of a deemed liquidation event, that were not solely within the Company’s control. The Company did not adjust the carrying value of the Series A Preferred Stock to its redemption value because it was not probable that the Series A Preferred Stock would become redeemable.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203" w:lineRule="exact"/>
        <w:rPr>
          <w:sz w:val="20"/>
          <w:szCs w:val="20"/>
          <w:color w:val="auto"/>
        </w:rPr>
      </w:pPr>
    </w:p>
    <w:p>
      <w:pPr>
        <w:ind w:right="100" w:firstLine="761"/>
        <w:spacing w:after="0" w:line="261"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September 30, 2020, there was no preferred stock issued or outstanding.</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authorized, issued and outstanding shares, issue price, conversion price, liquidation preference, and carrying value of the</w:t>
      </w:r>
    </w:p>
    <w:p>
      <w:pPr>
        <w:spacing w:after="0"/>
        <w:rPr>
          <w:sz w:val="20"/>
          <w:szCs w:val="20"/>
          <w:color w:val="auto"/>
        </w:rPr>
      </w:pPr>
      <w:r>
        <w:rPr>
          <w:rFonts w:ascii="Arial" w:cs="Arial" w:eastAsia="Arial" w:hAnsi="Arial"/>
          <w:sz w:val="18"/>
          <w:szCs w:val="18"/>
          <w:color w:val="auto"/>
        </w:rPr>
        <w:t>Series Preferred as of December 31, 2019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1"/>
          </w:tcPr>
          <w:p>
            <w:pPr>
              <w:ind w:left="10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ind w:right="36"/>
              <w:spacing w:after="0"/>
              <w:rPr>
                <w:sz w:val="20"/>
                <w:szCs w:val="20"/>
                <w:color w:val="auto"/>
              </w:rPr>
            </w:pPr>
            <w:r>
              <w:rPr>
                <w:rFonts w:ascii="Arial" w:cs="Arial" w:eastAsia="Arial" w:hAnsi="Arial"/>
                <w:sz w:val="14"/>
                <w:szCs w:val="14"/>
                <w:b w:val="1"/>
                <w:bCs w:val="1"/>
                <w:color w:val="auto"/>
              </w:rPr>
              <w:t>issued and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4"/>
                <w:szCs w:val="14"/>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rPr>
              <w:t>conversion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4"/>
                <w:szCs w:val="14"/>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260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authorized</w:t>
            </w: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price</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preference</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value</w:t>
            </w:r>
          </w:p>
        </w:tc>
      </w:tr>
      <w:tr>
        <w:trPr>
          <w:trHeight w:val="21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3,983,996</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3,983,996</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6,167</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Series B</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4,716,484</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4,716,484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11,709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42,425</w:t>
            </w:r>
          </w:p>
        </w:tc>
      </w:tr>
      <w:tr>
        <w:trPr>
          <w:trHeight w:val="216"/>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9,134,242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9,134,242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54,209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88,739</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Series 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14,431,136</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14,431,136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142,724</w:t>
            </w:r>
          </w:p>
        </w:tc>
      </w:tr>
      <w:tr>
        <w:trPr>
          <w:trHeight w:val="216"/>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6,163,792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6,163,792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64,042</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Series F</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12,705,580</w:t>
            </w:r>
          </w:p>
        </w:tc>
        <w:tc>
          <w:tcPr>
            <w:tcW w:w="14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12,115,610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103,346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127,820</w:t>
            </w:r>
          </w:p>
        </w:tc>
      </w:tr>
      <w:tr>
        <w:trPr>
          <w:trHeight w:val="216"/>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Series G</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16,280,040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16,280,040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146,113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174,764</w:t>
            </w:r>
          </w:p>
        </w:tc>
      </w:tr>
      <w:tr>
        <w:trPr>
          <w:trHeight w:val="216"/>
        </w:trPr>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H</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18,708,094</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16,743,328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13.60</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227,651</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227,651</w:t>
            </w:r>
          </w:p>
        </w:tc>
      </w:tr>
      <w:tr>
        <w:trPr>
          <w:trHeight w:val="209"/>
        </w:trPr>
        <w:tc>
          <w:tcPr>
            <w:tcW w:w="26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86,123,364</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83,568,628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694,447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874,332</w:t>
            </w: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jc w:val="both"/>
        <w:ind w:right="360" w:firstLine="761"/>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cashless by the holder which resulted in the net issuance of 155,862 shares of the Company’s common stock.</w:t>
      </w:r>
    </w:p>
    <w:p>
      <w:pPr>
        <w:spacing w:after="0" w:line="202" w:lineRule="exact"/>
        <w:rPr>
          <w:sz w:val="20"/>
          <w:szCs w:val="20"/>
          <w:color w:val="auto"/>
        </w:rPr>
      </w:pPr>
    </w:p>
    <w:p>
      <w:pPr>
        <w:ind w:right="100" w:firstLine="761"/>
        <w:spacing w:after="0" w:line="253" w:lineRule="auto"/>
        <w:rPr>
          <w:sz w:val="20"/>
          <w:szCs w:val="20"/>
          <w:color w:val="auto"/>
        </w:rPr>
      </w:pPr>
      <w:r>
        <w:rPr>
          <w:rFonts w:ascii="Arial" w:cs="Arial" w:eastAsia="Arial" w:hAnsi="Arial"/>
          <w:sz w:val="17"/>
          <w:szCs w:val="17"/>
          <w:color w:val="auto"/>
        </w:rPr>
        <w:t>In August 2017, the Company issued a warrant (the “Series F Preferred Stock Warrant”) which allowed the holders to purchase up to 589,970 shares of the Company’s Series F Preferred Stock, or common stock upon conversion of the Company’s preferred stock into common stock, with an exercise price of $ 8.53 per share. The holders exercised the warrant on June 23, 2020 cashless,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 Refer to Note 12 – Financial Instruments and Fair Value Measurements.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6" w:lineRule="exact"/>
        <w:rPr>
          <w:sz w:val="20"/>
          <w:szCs w:val="20"/>
          <w:color w:val="auto"/>
        </w:rPr>
      </w:pPr>
    </w:p>
    <w:p>
      <w:pPr>
        <w:jc w:val="both"/>
        <w:ind w:right="12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As of September 30, 2020, there were 3,145,828 shares available for future issuance under the 2020 Plan.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jc w:val="center"/>
              <w:ind w:right="19"/>
              <w:spacing w:after="0"/>
              <w:rPr>
                <w:sz w:val="20"/>
                <w:szCs w:val="20"/>
                <w:color w:val="auto"/>
              </w:rPr>
            </w:pPr>
            <w:r>
              <w:rPr>
                <w:rFonts w:ascii="Arial" w:cs="Arial" w:eastAsia="Arial" w:hAnsi="Arial"/>
                <w:sz w:val="14"/>
                <w:szCs w:val="14"/>
                <w:b w:val="1"/>
                <w:bCs w:val="1"/>
                <w:color w:val="auto"/>
              </w:rPr>
              <w:t>Remaining</w:t>
            </w:r>
          </w:p>
        </w:tc>
      </w:tr>
      <w:tr>
        <w:trPr>
          <w:trHeight w:val="175"/>
        </w:trPr>
        <w:tc>
          <w:tcPr>
            <w:tcW w:w="6640" w:type="dxa"/>
            <w:vAlign w:val="bottom"/>
          </w:tcPr>
          <w:p>
            <w:pPr>
              <w:spacing w:after="0"/>
              <w:rPr>
                <w:sz w:val="15"/>
                <w:szCs w:val="15"/>
                <w:color w:val="auto"/>
              </w:rPr>
            </w:pP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 Price</w:t>
            </w:r>
          </w:p>
        </w:tc>
        <w:tc>
          <w:tcPr>
            <w:tcW w:w="1440" w:type="dxa"/>
            <w:vAlign w:val="bottom"/>
          </w:tcPr>
          <w:p>
            <w:pPr>
              <w:jc w:val="center"/>
              <w:ind w:right="19"/>
              <w:spacing w:after="0"/>
              <w:rPr>
                <w:sz w:val="20"/>
                <w:szCs w:val="20"/>
                <w:color w:val="auto"/>
              </w:rPr>
            </w:pPr>
            <w:r>
              <w:rPr>
                <w:rFonts w:ascii="Arial" w:cs="Arial" w:eastAsia="Arial" w:hAnsi="Arial"/>
                <w:sz w:val="14"/>
                <w:szCs w:val="14"/>
                <w:b w:val="1"/>
                <w:bCs w:val="1"/>
                <w:color w:val="auto"/>
              </w:rPr>
              <w:t>Contractual Life</w:t>
            </w:r>
          </w:p>
        </w:tc>
      </w:tr>
      <w:tr>
        <w:trPr>
          <w:trHeight w:val="209"/>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4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6,340,000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8.22</w:t>
            </w: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420,500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10.46</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(474,900)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2020</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6,251,226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7.53</w:t>
            </w: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6"/>
        </w:trPr>
        <w:tc>
          <w:tcPr>
            <w:tcW w:w="664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Vested and exercisable as of December 31, 2019</w:t>
            </w: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2,684,160</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3.58</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7.41</w:t>
            </w:r>
          </w:p>
        </w:tc>
      </w:tr>
      <w:tr>
        <w:trPr>
          <w:trHeight w:val="197"/>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Vested and exercisable as of September 30, 2020</w:t>
            </w:r>
          </w:p>
        </w:tc>
        <w:tc>
          <w:tcPr>
            <w:tcW w:w="14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3,643,514</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3.72</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6.88</w:t>
            </w: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The Company recognized $0.6 million and $0.5 million of stock-based compensation expense related to stock options for the three months ended September 30, 2019 and 2020, respectively, and $ 2.1 million and $1.7 million for the nine months ended September 30, 2019 and 2020, respectively. As of December 31, 2019 and September 30, 2020, the Company had $5.2 million, and $4.1 million, respectively, of unrecognized stock-based compensation expense that is expected to be recognized over a weighted-average period of 2.6 years, and 2.5 years, respectively.</w:t>
      </w:r>
    </w:p>
    <w:p>
      <w:pPr>
        <w:spacing w:after="0" w:line="202"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grant date fair value of stock options granted during the nine months ended September 30, 2020 was estimated at the time of grant using the Black-Scholes option-pricing model and utilized the following weighted average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jc w:val="center"/>
              <w:ind w:right="77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100" w:type="dxa"/>
            <w:vAlign w:val="bottom"/>
            <w:tcBorders>
              <w:bottom w:val="single" w:sz="8" w:color="CFF0FC"/>
            </w:tcBorders>
          </w:tcPr>
          <w:p>
            <w:pPr>
              <w:spacing w:after="0"/>
              <w:rPr>
                <w:sz w:val="15"/>
                <w:szCs w:val="15"/>
                <w:color w:val="auto"/>
              </w:rPr>
            </w:pPr>
          </w:p>
        </w:tc>
        <w:tc>
          <w:tcPr>
            <w:tcW w:w="196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jc w:val="center"/>
              <w:ind w:right="775"/>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common stock (per share)</w:t>
            </w:r>
          </w:p>
        </w:tc>
        <w:tc>
          <w:tcPr>
            <w:tcW w:w="27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3440" w:type="dxa"/>
            <w:vAlign w:val="bottom"/>
            <w:shd w:val="clear" w:color="auto" w:fill="CFF0FC"/>
          </w:tcPr>
          <w:p>
            <w:pPr>
              <w:jc w:val="right"/>
              <w:ind w:right="1775"/>
              <w:spacing w:after="0"/>
              <w:rPr>
                <w:sz w:val="20"/>
                <w:szCs w:val="20"/>
                <w:color w:val="auto"/>
              </w:rPr>
            </w:pPr>
            <w:r>
              <w:rPr>
                <w:rFonts w:ascii="Arial" w:cs="Arial" w:eastAsia="Arial" w:hAnsi="Arial"/>
                <w:sz w:val="18"/>
                <w:szCs w:val="18"/>
                <w:color w:val="auto"/>
              </w:rPr>
              <w:t>10.46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40" w:type="dxa"/>
            <w:vAlign w:val="bottom"/>
          </w:tcPr>
          <w:p>
            <w:pPr>
              <w:jc w:val="center"/>
              <w:ind w:right="775"/>
              <w:spacing w:after="0"/>
              <w:rPr>
                <w:sz w:val="20"/>
                <w:szCs w:val="20"/>
                <w:color w:val="auto"/>
              </w:rPr>
            </w:pPr>
            <w:r>
              <w:rPr>
                <w:rFonts w:ascii="Arial" w:cs="Arial" w:eastAsia="Arial" w:hAnsi="Arial"/>
                <w:sz w:val="18"/>
                <w:szCs w:val="18"/>
                <w:color w:val="auto"/>
                <w:w w:val="99"/>
              </w:rPr>
              <w:t>5.9 — 6.3</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40" w:type="dxa"/>
            <w:vAlign w:val="bottom"/>
            <w:shd w:val="clear" w:color="auto" w:fill="CFF0FC"/>
          </w:tcPr>
          <w:p>
            <w:pPr>
              <w:jc w:val="center"/>
              <w:ind w:right="775"/>
              <w:spacing w:after="0"/>
              <w:rPr>
                <w:sz w:val="20"/>
                <w:szCs w:val="20"/>
                <w:color w:val="auto"/>
              </w:rPr>
            </w:pPr>
            <w:r>
              <w:rPr>
                <w:rFonts w:ascii="Arial" w:cs="Arial" w:eastAsia="Arial" w:hAnsi="Arial"/>
                <w:sz w:val="18"/>
                <w:szCs w:val="18"/>
                <w:color w:val="auto"/>
              </w:rPr>
              <w:t>1.7%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40" w:type="dxa"/>
            <w:vAlign w:val="bottom"/>
          </w:tcPr>
          <w:p>
            <w:pPr>
              <w:jc w:val="center"/>
              <w:ind w:right="775"/>
              <w:spacing w:after="0"/>
              <w:rPr>
                <w:sz w:val="20"/>
                <w:szCs w:val="20"/>
                <w:color w:val="auto"/>
              </w:rPr>
            </w:pPr>
            <w:r>
              <w:rPr>
                <w:rFonts w:ascii="Arial" w:cs="Arial" w:eastAsia="Arial" w:hAnsi="Arial"/>
                <w:sz w:val="18"/>
                <w:szCs w:val="18"/>
                <w:color w:val="auto"/>
                <w:w w:val="99"/>
              </w:rPr>
              <w:t>36.3% — 36.6%</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40" w:type="dxa"/>
            <w:vAlign w:val="bottom"/>
            <w:shd w:val="clear" w:color="auto" w:fill="CFF0FC"/>
          </w:tcPr>
          <w:p>
            <w:pPr>
              <w:jc w:val="center"/>
              <w:ind w:right="775"/>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right="160" w:firstLine="761"/>
        <w:spacing w:after="0" w:line="254" w:lineRule="auto"/>
        <w:rPr>
          <w:sz w:val="20"/>
          <w:szCs w:val="20"/>
          <w:color w:val="auto"/>
        </w:rPr>
      </w:pPr>
      <w:r>
        <w:rPr>
          <w:rFonts w:ascii="Arial" w:cs="Arial" w:eastAsia="Arial" w:hAnsi="Arial"/>
          <w:sz w:val="18"/>
          <w:szCs w:val="18"/>
          <w:color w:val="auto"/>
        </w:rPr>
        <w:t>The weighted average fair value of stock options granted during the nine months ended September 30, 2020 was estimated to be $3.97 per share. The aggregate intrinsic value of options exercised during the nine months ended September 30, 2020 was $1.5 million, and the aggregate intrinsic value of options outstanding and options exercisable as of September 30, 2020 was $296.7 million and $175.1 million,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activity for restricted stock units (“RSUs”) for the nine months ended September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75"/>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7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rPr>
              <w:t>Grant Date Fair Value</w:t>
            </w:r>
          </w:p>
        </w:tc>
      </w:tr>
      <w:tr>
        <w:trPr>
          <w:trHeight w:val="175"/>
        </w:trPr>
        <w:tc>
          <w:tcPr>
            <w:tcW w:w="772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per Share</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and outstanding as of December 31, 2019</w:t>
            </w: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408,000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4.01</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tcPr>
          <w:p>
            <w:pPr>
              <w:spacing w:after="0" w:line="196" w:lineRule="exact"/>
              <w:rPr>
                <w:sz w:val="20"/>
                <w:szCs w:val="20"/>
                <w:color w:val="auto"/>
              </w:rPr>
            </w:pPr>
            <w:r>
              <w:rPr>
                <w:rFonts w:ascii="Arial" w:cs="Arial" w:eastAsia="Arial" w:hAnsi="Arial"/>
                <w:sz w:val="18"/>
                <w:szCs w:val="18"/>
                <w:color w:val="auto"/>
              </w:rPr>
              <w:t>Granted</w:t>
            </w:r>
          </w:p>
        </w:tc>
        <w:tc>
          <w:tcPr>
            <w:tcW w:w="16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2,042,286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5"/>
              <w:spacing w:after="0" w:line="196" w:lineRule="exact"/>
              <w:rPr>
                <w:sz w:val="20"/>
                <w:szCs w:val="20"/>
                <w:color w:val="auto"/>
              </w:rPr>
            </w:pPr>
            <w:r>
              <w:rPr>
                <w:rFonts w:ascii="Arial" w:cs="Arial" w:eastAsia="Arial" w:hAnsi="Arial"/>
                <w:sz w:val="18"/>
                <w:szCs w:val="18"/>
                <w:color w:val="auto"/>
              </w:rPr>
              <w:t>11.56</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3.86</w:t>
            </w: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11.57</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and outstanding as of September 30, 2020</w:t>
            </w: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2,205,952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10.99</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recognized $0.0 million and $3.7 million of stock-based compensation expense related to RSUs for the three months ended September 30, 2019 and 2020, respectively, and $0.1 million and $7.0 million for the nine months ended September 30, 2019 and 2020, respectively. As of December 31, 2019 and September 30, 2020, the Company had $ 1.3 million and $17.9 million, respectively, of unrecognized stock-based compensation expense that is expected to be recognized over a weighted-average period of 2.4 years and 1.8 years, respectively.</w:t>
      </w:r>
    </w:p>
    <w:p>
      <w:pPr>
        <w:spacing w:after="0" w:line="202" w:lineRule="exact"/>
        <w:rPr>
          <w:sz w:val="20"/>
          <w:szCs w:val="20"/>
          <w:color w:val="auto"/>
        </w:rPr>
      </w:pPr>
    </w:p>
    <w:p>
      <w:pPr>
        <w:ind w:right="200" w:firstLine="761"/>
        <w:spacing w:after="0"/>
        <w:rPr>
          <w:sz w:val="20"/>
          <w:szCs w:val="20"/>
          <w:color w:val="auto"/>
        </w:rPr>
      </w:pPr>
      <w:r>
        <w:rPr>
          <w:rFonts w:ascii="Arial" w:cs="Arial" w:eastAsia="Arial" w:hAnsi="Arial"/>
          <w:sz w:val="18"/>
          <w:szCs w:val="18"/>
          <w:color w:val="auto"/>
        </w:rPr>
        <w:t>As a result of completing its IPO in June 2020, the Company commenced the recognition of compensation expense for 510,278 RSUs that vest upon the occurrence of a liquidity event, which includes an IPO, and continuous service that generally ranges from 12 to 48 months.</w:t>
      </w:r>
    </w:p>
    <w:p>
      <w:pPr>
        <w:spacing w:after="0" w:line="203" w:lineRule="exact"/>
        <w:rPr>
          <w:sz w:val="20"/>
          <w:szCs w:val="20"/>
          <w:color w:val="auto"/>
        </w:rPr>
      </w:pPr>
    </w:p>
    <w:p>
      <w:pPr>
        <w:ind w:right="240" w:firstLine="761"/>
        <w:spacing w:after="0" w:line="238" w:lineRule="auto"/>
        <w:rPr>
          <w:sz w:val="20"/>
          <w:szCs w:val="20"/>
          <w:color w:val="auto"/>
        </w:rPr>
      </w:pPr>
      <w:r>
        <w:rPr>
          <w:rFonts w:ascii="Arial" w:cs="Arial" w:eastAsia="Arial" w:hAnsi="Arial"/>
          <w:sz w:val="18"/>
          <w:szCs w:val="18"/>
          <w:color w:val="auto"/>
        </w:rPr>
        <w:t>In February 2020, the Company granted 367,782 RSUs to its chief executive officer that vest upon the achievement of performance-based conditions, which includes Revenue and EBITDA targets for fiscal year 2022, and the achievement of a liquidity event, which includes a change of control or an IPO. As a result of completing its IPO in June 2020, and the probability of achieving the performance-based conditions, the Company commenced recognition of compensation expense.</w:t>
      </w:r>
    </w:p>
    <w:p>
      <w:pPr>
        <w:spacing w:after="0" w:line="205"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RSAs</w:t>
      </w:r>
    </w:p>
    <w:p>
      <w:pPr>
        <w:spacing w:after="0" w:line="126"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During the years ended December 31, 2014 and 2015, the Company granted awards of 4,751,874 shares of restricted common stock (the “RSAs”).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activity related to the Company’s RSAs for the nine months ended September 30,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Borders>
              <w:bottom w:val="single" w:sz="8" w:color="CFF0FC"/>
            </w:tcBorders>
          </w:tcPr>
          <w:p>
            <w:pPr>
              <w:spacing w:after="0"/>
              <w:rPr>
                <w:sz w:val="15"/>
                <w:szCs w:val="15"/>
                <w:color w:val="auto"/>
              </w:rPr>
            </w:pPr>
          </w:p>
        </w:tc>
        <w:tc>
          <w:tcPr>
            <w:tcW w:w="19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Shares</w:t>
            </w:r>
          </w:p>
        </w:tc>
      </w:tr>
      <w:tr>
        <w:trPr>
          <w:trHeight w:val="210"/>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272,868</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96"/>
        </w:trPr>
        <w:tc>
          <w:tcPr>
            <w:tcW w:w="926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Vested</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(272,868)</w:t>
            </w:r>
          </w:p>
        </w:tc>
      </w:tr>
      <w:tr>
        <w:trPr>
          <w:trHeight w:val="210"/>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761"/>
        <w:spacing w:after="0" w:line="246" w:lineRule="auto"/>
        <w:rPr>
          <w:sz w:val="20"/>
          <w:szCs w:val="20"/>
          <w:color w:val="auto"/>
        </w:rPr>
      </w:pPr>
      <w:r>
        <w:rPr>
          <w:rFonts w:ascii="Arial" w:cs="Arial" w:eastAsia="Arial" w:hAnsi="Arial"/>
          <w:sz w:val="18"/>
          <w:szCs w:val="18"/>
          <w:color w:val="auto"/>
        </w:rPr>
        <w:t>For the three and nine months ended September 30, 2019, the expense related to the RSAs was immaterial. For the three and nine months ended September 30, 2020, the expense related to the RSAs was $0.0 and $0.2 million, respectively. As of September 30,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remaining unrecognized stock-based compensation expense related to the RSAs.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4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ind w:left="282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70,059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6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70,059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5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F Preferred Stock Warrant</w:t>
            </w:r>
          </w:p>
        </w:tc>
        <w:tc>
          <w:tcPr>
            <w:tcW w:w="15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60" w:type="dxa"/>
            <w:vAlign w:val="bottom"/>
          </w:tcPr>
          <w:p>
            <w:pPr>
              <w:ind w:left="282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September 30, 2020</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490,031</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ind w:left="500"/>
              <w:spacing w:after="0"/>
              <w:rPr>
                <w:sz w:val="20"/>
                <w:szCs w:val="20"/>
                <w:color w:val="auto"/>
              </w:rPr>
            </w:pPr>
            <w:r>
              <w:rPr>
                <w:rFonts w:ascii="Arial" w:cs="Arial" w:eastAsia="Arial" w:hAnsi="Arial"/>
                <w:sz w:val="18"/>
                <w:szCs w:val="18"/>
                <w:color w:val="auto"/>
              </w:rPr>
              <w:t>Total financial assets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490,031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240" w:type="dxa"/>
            <w:vAlign w:val="bottom"/>
            <w:gridSpan w:val="14"/>
          </w:tcPr>
          <w:p>
            <w:pPr>
              <w:ind w:left="760"/>
              <w:spacing w:after="0"/>
              <w:rPr>
                <w:sz w:val="20"/>
                <w:szCs w:val="20"/>
                <w:color w:val="auto"/>
              </w:rPr>
            </w:pPr>
            <w:r>
              <w:rPr>
                <w:rFonts w:ascii="Arial" w:cs="Arial" w:eastAsia="Arial" w:hAnsi="Arial"/>
                <w:sz w:val="18"/>
                <w:szCs w:val="18"/>
                <w:color w:val="auto"/>
              </w:rPr>
              <w:t>The following table presents a reconciliation of the Series F Preferred Stock Warrant, which is measured at fair value using 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inputs: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center"/>
              <w:ind w:right="33"/>
              <w:spacing w:after="0"/>
              <w:rPr>
                <w:sz w:val="20"/>
                <w:szCs w:val="20"/>
                <w:color w:val="auto"/>
              </w:rPr>
            </w:pPr>
            <w:r>
              <w:rPr>
                <w:rFonts w:ascii="Arial" w:cs="Arial" w:eastAsia="Arial" w:hAnsi="Arial"/>
                <w:sz w:val="14"/>
                <w:szCs w:val="14"/>
                <w:b w:val="1"/>
                <w:bCs w:val="1"/>
                <w:color w:val="auto"/>
              </w:rPr>
              <w:t>Series F Preferred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bottom w:val="single" w:sz="8" w:color="auto"/>
            </w:tcBorders>
            <w:gridSpan w:val="5"/>
          </w:tcPr>
          <w:p>
            <w:pPr>
              <w:jc w:val="center"/>
              <w:ind w:right="33"/>
              <w:spacing w:after="0"/>
              <w:rPr>
                <w:sz w:val="20"/>
                <w:szCs w:val="20"/>
                <w:color w:val="auto"/>
              </w:rPr>
            </w:pPr>
            <w:r>
              <w:rPr>
                <w:rFonts w:ascii="Arial" w:cs="Arial" w:eastAsia="Arial" w:hAnsi="Arial"/>
                <w:sz w:val="14"/>
                <w:szCs w:val="14"/>
                <w:b w:val="1"/>
                <w:bCs w:val="1"/>
                <w:color w:val="auto"/>
              </w:rPr>
              <w:t>Stock Warrant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520" w:type="dxa"/>
            <w:vAlign w:val="bottom"/>
            <w:tcBorders>
              <w:bottom w:val="single" w:sz="8" w:color="auto"/>
            </w:tcBorders>
            <w:gridSpan w:val="5"/>
          </w:tcPr>
          <w:p>
            <w:pPr>
              <w:jc w:val="center"/>
              <w:ind w:right="33"/>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37"/>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Change in fair value</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20,470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Conversion to common stock warrant</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Prior to the closing of the IPO on June 11, 2020 and the related conversion of the Company’s preferred stock into common stock, the Company estimated the fair value of the Series F Preferred Stock Warrant based on the Black-Scholes option-pricing model which utilized the value of shares sold in the Company’s latest preferred stock financing and allocated the estimated equity value of the Company to each class of the Company’s outstanding securities using an option-pricing back-solve model. Upon the closing of the IPO, the Series F Preferred Stock Warrant converted into a common stock warrant and the warrant liability was remeasured at fair value for the last time based on the quoted price of the Company’s publicly traded common stock. On June 23, 2020, the holders exercised the Series F Preferred Stock Warrant.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 duration and variable interest rate that approximates prevailing interest rates as of each reporting period.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Company has three reportable segments: Ecommerce, TDA, and Wholesale.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2019 and September 30, 2020, the Company did not have any assets located outside of the United States.</w:t>
      </w:r>
    </w:p>
    <w:p>
      <w:pPr>
        <w:spacing w:after="0" w:line="203"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TDA reportable segment represents retail sales of used vehicles from TDA and fees earned on sales of value-added products associated with those vehicle sales. The Wholesale reportable segment represents sales of used vehicles through wholesale auctions.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September 30, 2019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6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Ecommerce</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TDA</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Wholesale</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4"/>
                <w:szCs w:val="14"/>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178,113</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103,106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59,054</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340,273</w:t>
            </w: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8,774</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6,650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15,671</w:t>
            </w:r>
          </w:p>
        </w:tc>
        <w:tc>
          <w:tcPr>
            <w:tcW w:w="20" w:type="dxa"/>
            <w:vAlign w:val="bottom"/>
          </w:tcPr>
          <w:p>
            <w:pPr>
              <w:spacing w:after="0"/>
              <w:rPr>
                <w:sz w:val="19"/>
                <w:szCs w:val="19"/>
                <w:color w:val="auto"/>
              </w:rPr>
            </w:pPr>
          </w:p>
        </w:tc>
      </w:tr>
      <w:tr>
        <w:trPr>
          <w:trHeight w:val="405"/>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September 30, 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16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Ecommerce</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TDA</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Wholesale</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4"/>
                <w:szCs w:val="14"/>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221,761</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37,272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63,972</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323,005</w:t>
            </w: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19,304</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3,343</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25,445</w:t>
            </w:r>
          </w:p>
        </w:tc>
        <w:tc>
          <w:tcPr>
            <w:tcW w:w="20" w:type="dxa"/>
            <w:vAlign w:val="bottom"/>
          </w:tcPr>
          <w:p>
            <w:pPr>
              <w:spacing w:after="0"/>
              <w:rPr>
                <w:sz w:val="19"/>
                <w:szCs w:val="19"/>
                <w:color w:val="auto"/>
              </w:rPr>
            </w:pPr>
          </w:p>
        </w:tc>
      </w:tr>
      <w:tr>
        <w:trPr>
          <w:trHeight w:val="378"/>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Nine Months Ended September 30,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16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Ecommerce</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TDA</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Wholesale</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4"/>
                <w:szCs w:val="14"/>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388,921</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281,603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165,705</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836,229</w:t>
            </w: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21,823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18,830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41,528</w:t>
            </w:r>
          </w:p>
        </w:tc>
        <w:tc>
          <w:tcPr>
            <w:tcW w:w="20" w:type="dxa"/>
            <w:vAlign w:val="bottom"/>
          </w:tcPr>
          <w:p>
            <w:pPr>
              <w:spacing w:after="0"/>
              <w:rPr>
                <w:sz w:val="19"/>
                <w:szCs w:val="19"/>
                <w:color w:val="auto"/>
              </w:rPr>
            </w:pPr>
          </w:p>
        </w:tc>
      </w:tr>
      <w:tr>
        <w:trPr>
          <w:trHeight w:val="378"/>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Nine Months Ended September 30, 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16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Ecommerce</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TDA</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Wholesale</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4"/>
                <w:szCs w:val="14"/>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630,501</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150,901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170,469</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951,871</w:t>
            </w: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40,789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9,144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51,439</w:t>
            </w:r>
          </w:p>
        </w:tc>
        <w:tc>
          <w:tcPr>
            <w:tcW w:w="20" w:type="dxa"/>
            <w:vAlign w:val="bottom"/>
          </w:tcPr>
          <w:p>
            <w:pPr>
              <w:spacing w:after="0"/>
              <w:rPr>
                <w:sz w:val="19"/>
                <w:szCs w:val="19"/>
                <w:color w:val="auto"/>
              </w:rPr>
            </w:pPr>
          </w:p>
        </w:tc>
      </w:tr>
      <w:tr>
        <w:trPr>
          <w:trHeight w:val="661"/>
        </w:trPr>
        <w:tc>
          <w:tcPr>
            <w:tcW w:w="416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69"/>
        </w:trPr>
        <w:tc>
          <w:tcPr>
            <w:tcW w:w="58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Segment gross profit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15,671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25,445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41,528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51,439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50,934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61,127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131,209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167,418</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4,551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3,239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3,797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9,903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6,382</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Revaluation of preferred stock warrant</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20,470</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(39,716)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(37,817)</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(100,121)</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(141,999)</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effective tax rate for the three months ended September 30, 2019 and 2020 was (0.12)% and 0.09%, respectively.</w:t>
      </w:r>
    </w:p>
    <w:p>
      <w:pPr>
        <w:spacing w:after="0"/>
        <w:rPr>
          <w:sz w:val="20"/>
          <w:szCs w:val="20"/>
          <w:color w:val="auto"/>
        </w:rPr>
      </w:pPr>
      <w:r>
        <w:rPr>
          <w:rFonts w:ascii="Arial" w:cs="Arial" w:eastAsia="Arial" w:hAnsi="Arial"/>
          <w:sz w:val="18"/>
          <w:szCs w:val="18"/>
          <w:color w:val="auto"/>
        </w:rPr>
        <w:t>The effective tax rate for the nine months ended September 30, 2019 and 2020 was (0.12)% and (0.10)%, respectively.</w:t>
      </w:r>
    </w:p>
    <w:p>
      <w:pPr>
        <w:spacing w:after="0" w:line="212"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197" w:lineRule="exact"/>
        <w:rPr>
          <w:sz w:val="20"/>
          <w:szCs w:val="20"/>
          <w:color w:val="auto"/>
        </w:rPr>
      </w:pPr>
    </w:p>
    <w:p>
      <w:pPr>
        <w:ind w:right="460" w:firstLine="761"/>
        <w:spacing w:after="0" w:line="238"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were ownership changes in July 2013, November 2014 and July 2015 which substantially limit the use of the net operating losses generated before the change in control.</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December 31, 2019 or September 30,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VROOM,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00" w:type="dxa"/>
            <w:vAlign w:val="bottom"/>
          </w:tcPr>
          <w:p>
            <w:pPr>
              <w:spacing w:after="0"/>
              <w:rPr>
                <w:sz w:val="15"/>
                <w:szCs w:val="15"/>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42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(100,243)</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(65,686)</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(209,772)</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Weighted-average number of shares outstanding used to compute net</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loss per share attributable to common stockholders, basic and diluted</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
              <w:spacing w:after="0" w:line="203" w:lineRule="exact"/>
              <w:rPr>
                <w:sz w:val="20"/>
                <w:szCs w:val="20"/>
                <w:color w:val="auto"/>
              </w:rPr>
            </w:pPr>
            <w:r>
              <w:rPr>
                <w:rFonts w:ascii="Arial" w:cs="Arial" w:eastAsia="Arial" w:hAnsi="Arial"/>
                <w:sz w:val="18"/>
                <w:szCs w:val="18"/>
                <w:color w:val="auto"/>
              </w:rPr>
              <w:t>8,615,682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w w:val="99"/>
              </w:rPr>
              <w:t>121,123,472</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
              <w:spacing w:after="0" w:line="203" w:lineRule="exact"/>
              <w:rPr>
                <w:sz w:val="20"/>
                <w:szCs w:val="20"/>
                <w:color w:val="auto"/>
              </w:rPr>
            </w:pPr>
            <w:r>
              <w:rPr>
                <w:rFonts w:ascii="Arial" w:cs="Arial" w:eastAsia="Arial" w:hAnsi="Arial"/>
                <w:sz w:val="18"/>
                <w:szCs w:val="18"/>
                <w:color w:val="auto"/>
              </w:rPr>
              <w:t>8,591,554</w:t>
            </w:r>
          </w:p>
        </w:tc>
        <w:tc>
          <w:tcPr>
            <w:tcW w:w="1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53,731,475</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(12.24)</w:t>
            </w:r>
          </w:p>
        </w:tc>
        <w:tc>
          <w:tcPr>
            <w:tcW w:w="2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(24.42)</w:t>
            </w:r>
          </w:p>
        </w:tc>
        <w:tc>
          <w:tcPr>
            <w:tcW w:w="3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As of September 30,</w:t>
            </w:r>
          </w:p>
        </w:tc>
        <w:tc>
          <w:tcPr>
            <w:tcW w:w="1100" w:type="dxa"/>
            <w:vAlign w:val="bottom"/>
            <w:tcBorders>
              <w:bottom w:val="single" w:sz="8" w:color="auto"/>
            </w:tcBorders>
          </w:tcPr>
          <w:p>
            <w:pPr>
              <w:spacing w:after="0"/>
              <w:rPr>
                <w:sz w:val="15"/>
                <w:szCs w:val="15"/>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66,825,300</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Warrants</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161,136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6,144,500</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6,251,226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3,836,442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3,249,382</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408,000</w:t>
            </w:r>
          </w:p>
        </w:tc>
        <w:tc>
          <w:tcPr>
            <w:tcW w:w="1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2,205,952</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77,375,378</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11,706,560</w:t>
            </w: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8360" w:firstLine="8"/>
        <w:spacing w:after="0" w:line="394" w:lineRule="auto"/>
        <w:tabs>
          <w:tab w:leader="none" w:pos="3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140" w:firstLine="761"/>
        <w:spacing w:after="0" w:line="234"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w:t>
      </w:r>
    </w:p>
    <w:p>
      <w:pPr>
        <w:spacing w:after="0" w:line="3" w:lineRule="exact"/>
        <w:rPr>
          <w:sz w:val="20"/>
          <w:szCs w:val="20"/>
          <w:color w:val="auto"/>
        </w:rPr>
      </w:pPr>
    </w:p>
    <w:p>
      <w:pPr>
        <w:ind w:right="420" w:firstLine="8"/>
        <w:spacing w:after="0"/>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by mutual consent of the parties and (ii) such time that Catterton and/or its affiliates cease to be one of the Company’s stockholders. For the years ended December 31, 2019 and 2020, payments of the annual fees were waived. In May 2020, the MSA was terminated.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26" w:lineRule="exact"/>
        <w:rPr>
          <w:sz w:val="20"/>
          <w:szCs w:val="20"/>
          <w:color w:val="auto"/>
        </w:rPr>
      </w:pPr>
    </w:p>
    <w:p>
      <w:pPr>
        <w:ind w:right="60" w:firstLine="761"/>
        <w:spacing w:after="0" w:line="259"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supplied and services performed by AutoNation become due and payable as they accrued. For the three and nine months ended September 30, 2019, the Company incurred $0.3 million and $0.7 million, respectively, of costs under the Vendor Agreement. The Vendor Agreement was terminated in February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II, Item 1A of this Quarterly Report on Form 10-Q. Additionally, our historical results are not necessarily indicative of the results that may be expected for any period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97" w:lineRule="exact"/>
        <w:rPr>
          <w:sz w:val="20"/>
          <w:szCs w:val="20"/>
          <w:color w:val="auto"/>
        </w:rPr>
      </w:pPr>
    </w:p>
    <w:p>
      <w:pPr>
        <w:ind w:right="440" w:firstLine="761"/>
        <w:spacing w:after="0"/>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73" w:lineRule="exact"/>
        <w:rPr>
          <w:sz w:val="20"/>
          <w:szCs w:val="20"/>
          <w:color w:val="auto"/>
        </w:rPr>
      </w:pPr>
    </w:p>
    <w:p>
      <w:pPr>
        <w:ind w:left="1000" w:hanging="236"/>
        <w:spacing w:after="0" w:line="24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70" w:lineRule="exact"/>
        <w:rPr>
          <w:rFonts w:ascii="Arial" w:cs="Arial" w:eastAsia="Arial" w:hAnsi="Arial"/>
          <w:sz w:val="18"/>
          <w:szCs w:val="18"/>
          <w:color w:val="auto"/>
        </w:rPr>
      </w:pPr>
    </w:p>
    <w:p>
      <w:pPr>
        <w:ind w:left="1000" w:right="140" w:hanging="236"/>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6" w:lineRule="exact"/>
        <w:rPr>
          <w:rFonts w:ascii="Arial" w:cs="Arial" w:eastAsia="Arial" w:hAnsi="Arial"/>
          <w:sz w:val="18"/>
          <w:szCs w:val="18"/>
          <w:color w:val="auto"/>
        </w:rPr>
      </w:pPr>
    </w:p>
    <w:p>
      <w:pPr>
        <w:ind w:left="1000" w:right="120" w:hanging="236"/>
        <w:spacing w:after="0" w:line="24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1" w:lineRule="exact"/>
        <w:rPr>
          <w:sz w:val="20"/>
          <w:szCs w:val="20"/>
          <w:color w:val="auto"/>
        </w:rPr>
      </w:pPr>
    </w:p>
    <w:p>
      <w:pPr>
        <w:ind w:right="20" w:firstLine="761"/>
        <w:spacing w:after="0" w:line="234" w:lineRule="auto"/>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 disruption as an industry that is notorious for consumer dissatisfaction and has one of the lowest levels of ecommerce penetration at only 0.9%. Industry reports estimate that ecommerce penetration will grow to as much as half of all used vehicle sales by</w:t>
      </w:r>
    </w:p>
    <w:p>
      <w:pPr>
        <w:spacing w:after="0" w:line="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3"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December 2015, we acquired Houston-based Texas Direct Auto, or TDA, which included our proprietary vehicle reconditioning center, or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 w:name="page27"/>
    <w:bookmarkEnd w:id="26"/>
    <w:p>
      <w:pPr>
        <w:ind w:firstLine="761"/>
        <w:spacing w:after="0" w:line="238" w:lineRule="auto"/>
        <w:rPr>
          <w:sz w:val="20"/>
          <w:szCs w:val="20"/>
          <w:color w:val="auto"/>
        </w:rPr>
      </w:pPr>
      <w:r>
        <w:rPr>
          <w:rFonts w:ascii="Arial" w:cs="Arial" w:eastAsia="Arial" w:hAnsi="Arial"/>
          <w:sz w:val="18"/>
          <w:szCs w:val="18"/>
          <w:color w:val="auto"/>
        </w:rPr>
        <w:t>For the three and nine months ended September 30, 2020, we generated $323.0 million and $951.9 million in total revenue, respectively, representing a 5.1% decrease and a 13.8% increase, respectively, over $340.3 million and $836.2 million for the three and nine months ended September 30, 2019. Our business generated a net loss of $39.8 million and $37.9 million for the three months ended September 30, 2019 and 2020, and a net loss of $100.2 million and $142.1 million for the nine months ended September 30, 2019 and 2020, respectively. We intend to continue to invest in growth to scale our company responsibly and drive towards profitability.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Model</w:t>
      </w:r>
    </w:p>
    <w:p>
      <w:pPr>
        <w:spacing w:after="0" w:line="234"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the largest segment in our business, Ecommerce revenue grew 24.5% from the three months ended September 30, 2019 to the three months ended September 30, 2020 and 62.1% from the nine months ended September 30, 2019 to the nine months ended September 30, 2020, and we expect Ecommerce to continue to outgrow our other segments as it is the core focus of our growth strategy.</w:t>
      </w:r>
    </w:p>
    <w:p>
      <w:pPr>
        <w:spacing w:after="0" w:line="202"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We also sell vehicles through wholesale auctions, which provide a revenue source for vehicles that do not meet our Vroom retail sales criteria. Additionally, we generate revenue through the retail sale of used vehicles and value-added products at Houston-based Texas Direct Auto, or TDA.</w:t>
      </w:r>
    </w:p>
    <w:p>
      <w:pPr>
        <w:spacing w:after="0" w:line="203"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For the three months ended September 30, 2020, our Ecommerce, TDA and Wholesale segments represented 68.7%, 11.5% and 19.8% of our total revenue, respectively. For the nine months ended September 30, 2020, our Ecommerce, TDA and Wholesale segments represented 66.2%, 15.9% and 17.9% of our total revenue, respectively.</w:t>
      </w:r>
    </w:p>
    <w:p>
      <w:pPr>
        <w:spacing w:after="0" w:line="203"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value-added products sold as part of a vehicle sale. Because we are paid fees on the value-added products we sell, our gross profit on such products is equal to the revenue we generate. See “—Key Operating and Financial Metrics.”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151765</wp:posOffset>
            </wp:positionV>
            <wp:extent cx="5271770" cy="214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7177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126"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data derived from market demand, pricing dynamics, vehicle acquisitions and subsequent sales, and we leverage that data to optimize future vehicle acquisitions. As we scale, we expect to continue to leverage the data at our disposal to optimize and enhance the volume and selection of vehicles in our inventory and, in turn, drive revenue growth and profitability. We also have begun to offer third party inventory listings, which expand our sourcing channels through third party sellers while offering us attractive revenue models in an asset light, debt free structure. See “—Key Factors and Trends Affecting our Operating Results—Ability to drive growth by cost effectively increasing the volume and selection of vehicles in our inventory.”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We intend to continue to expand our network of third-party VRCs and going forward intend to make capital investments in additional Vroom VRCs. Utilizing this hybrid approach, we have increased our total reconditioning capacity to approximately 400 units per day as of September 30, 2020, with more than half from our third-party VRCs. As we increase the number of vehicles in our inventory and expand our reconditioning capacity, we expect that reconditioning costs per unit will decrease as we benefit from economies of scale and operating leverage in reconditioning costs. See “— Key Factors and Trends Affecting our Operating Results—Ability to expand and optimize our reconditioning capacity to satisfy increasing demand.”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126"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enhances the flexibility, agility and speed of our growth while reducing the need for additional capital commitments as we scale our business. Recently, as a result of the continued prevalence of the COVID-19 pandemic, we have experienced a reduced supply of carriers, increased shipping prices and deteriorating service levels. Thus, we are accelerating our strategy to optimize our hybrid approach by expanding our proprietary logistics network. Currently, we are prioritizing investment in our last-mile delivery operations where we can have the greatest impact on the customer experience and expect over time to expand our operations to include hub-to-hub shipments. Consistent with our hybrid approach, as we continue to scale our business, we intend to strategically combine the operation of our expanded proprietary fleet with the use of third-party carriers, which we expect will enable us to both accommodate our growth and provide the highest level of customer service. See “—Key Factors and Trends Affecting our Operating Results—Ability to expand and develop our logistics network.”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extended warranty contracts, GAP protection and wheel and tire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“—Key Factors and Trends Affecting our Operating Results—Ability to increase and better monetize value-added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82" w:lineRule="exact"/>
        <w:rPr>
          <w:sz w:val="20"/>
          <w:szCs w:val="20"/>
          <w:color w:val="auto"/>
        </w:rPr>
      </w:pPr>
    </w:p>
    <w:p>
      <w:pPr>
        <w:ind w:left="1000" w:right="460" w:hanging="236"/>
        <w:spacing w:after="0" w:line="25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(68.7% and 66.2% of revenue for the three and nine months ended September 30, 2020,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Ecommerce segment represents retail sales of used vehicles through our ecommerce platform and fees earned on sales of value-added products associated with those vehicle sales.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ind w:left="1000" w:right="160" w:hanging="236"/>
        <w:spacing w:after="0" w:line="25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(11.5% and 15.9% of revenue for the three and nine months ended September 30, 2020, respectively): The TDA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from TDA and fees earned on sales of value-added products associated with those vehicle sales.</w:t>
      </w:r>
    </w:p>
    <w:p>
      <w:pPr>
        <w:spacing w:after="0" w:line="60" w:lineRule="exact"/>
        <w:rPr>
          <w:rFonts w:ascii="Arial" w:cs="Arial" w:eastAsia="Arial" w:hAnsi="Arial"/>
          <w:sz w:val="18"/>
          <w:szCs w:val="18"/>
          <w:color w:val="auto"/>
        </w:rPr>
      </w:pPr>
    </w:p>
    <w:p>
      <w:pPr>
        <w:ind w:left="1000" w:right="200" w:hanging="236"/>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(19.8% and 17.9% of revenue for three and nine months ended September 30, 2020, respectively):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auctions.</w:t>
      </w:r>
    </w:p>
    <w:p>
      <w:pPr>
        <w:spacing w:after="0" w:line="176" w:lineRule="exact"/>
        <w:rPr>
          <w:sz w:val="20"/>
          <w:szCs w:val="20"/>
          <w:color w:val="auto"/>
        </w:rPr>
      </w:pPr>
    </w:p>
    <w:p>
      <w:pPr>
        <w:ind w:right="640" w:firstLine="761"/>
        <w:spacing w:after="0" w:line="246"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reportable segment revenue and reportable segment gross profit for the three and nine months ended September 30, 2019 and 2020:</w:t>
      </w:r>
    </w:p>
    <w:p>
      <w:pPr>
        <w:sectPr>
          <w:pgSz w:w="11900" w:h="16838" w:orient="portrait"/>
          <w:cols w:equalWidth="0" w:num="1">
            <w:col w:w="11260"/>
          </w:cols>
          <w:pgMar w:left="320" w:top="468" w:right="319" w:bottom="1440" w:gutter="0" w:footer="0" w:header="0"/>
        </w:sectPr>
      </w:pPr>
    </w:p>
    <w:p>
      <w:pPr>
        <w:spacing w:after="0" w:line="225"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-1905</wp:posOffset>
            </wp:positionV>
            <wp:extent cx="16802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8255</wp:posOffset>
            </wp:positionV>
            <wp:extent cx="1680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-1905</wp:posOffset>
            </wp:positionV>
            <wp:extent cx="16802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8255</wp:posOffset>
            </wp:positionV>
            <wp:extent cx="1680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 thousands)</w:t>
      </w:r>
    </w:p>
    <w:p>
      <w:pPr>
        <w:spacing w:after="0" w:line="13" w:lineRule="exact"/>
        <w:rPr>
          <w:sz w:val="20"/>
          <w:szCs w:val="20"/>
          <w:color w:val="auto"/>
        </w:rPr>
      </w:pPr>
    </w:p>
    <w:p>
      <w:pPr>
        <w:sectPr>
          <w:pgSz w:w="11900" w:h="16838" w:orient="portrait"/>
          <w:cols w:equalWidth="0" w:num="2">
            <w:col w:w="8280" w:space="720"/>
            <w:col w:w="2260"/>
          </w:cols>
          <w:pgMar w:left="320" w:top="468" w:right="3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Ecommerce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178,113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221,761</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388,921</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630,501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TDA</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103,106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37,272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281,603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150,901</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Wholesale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59,054</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63,972</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165,705</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170,469</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340,273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323,005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836,229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951,871</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Ecommerce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8,774</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19,304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21,823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40,789</w:t>
            </w: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TDA</w:t>
            </w: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15,671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25,445</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41,528</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4" w:lineRule="exact"/>
        <w:rPr>
          <w:sz w:val="20"/>
          <w:szCs w:val="20"/>
          <w:color w:val="auto"/>
        </w:rPr>
      </w:pPr>
    </w:p>
    <w:p>
      <w:pPr>
        <w:ind w:right="280" w:firstLine="761"/>
        <w:spacing w:after="0" w:line="237"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203"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5"/>
        </w:trPr>
        <w:tc>
          <w:tcPr>
            <w:tcW w:w="4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52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5,563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8,823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12,606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23,466</w:t>
            </w:r>
          </w:p>
        </w:tc>
        <w:tc>
          <w:tcPr>
            <w:tcW w:w="20" w:type="dxa"/>
            <w:vAlign w:val="bottom"/>
          </w:tcPr>
          <w:p>
            <w:pPr>
              <w:spacing w:after="0"/>
              <w:rPr>
                <w:sz w:val="18"/>
                <w:szCs w:val="18"/>
                <w:color w:val="auto"/>
              </w:rPr>
            </w:pPr>
          </w:p>
        </w:tc>
      </w:tr>
      <w:tr>
        <w:trPr>
          <w:trHeight w:val="216"/>
        </w:trPr>
        <w:tc>
          <w:tcPr>
            <w:tcW w:w="452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929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r>
      <w:tr>
        <w:trPr>
          <w:trHeight w:val="216"/>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1,577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1,731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Average monthly unique visitors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777,313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928,277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605,820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958,397</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Listed Vehicles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12,302</w:t>
            </w:r>
          </w:p>
        </w:tc>
        <w:tc>
          <w:tcPr>
            <w:tcW w:w="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Ecommerce average days to sale</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675"/>
        </w:trPr>
        <w:tc>
          <w:tcPr>
            <w:tcW w:w="45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5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26" w:lineRule="exact"/>
        <w:rPr>
          <w:sz w:val="20"/>
          <w:szCs w:val="20"/>
          <w:color w:val="auto"/>
        </w:rPr>
      </w:pPr>
    </w:p>
    <w:p>
      <w:pPr>
        <w:jc w:val="both"/>
        <w:ind w:right="60" w:firstLine="761"/>
        <w:spacing w:after="0" w:line="234"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Policy. Ecommerce units sold excludes sales of vehicles through the TDA and Wholesale segments. As we continue to expand our ecommerce business, we expect that ecommerce units sold will be the primary driver of our revenue growth.</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at wholesale auctions.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26"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 added products. We plan to introduce initiatives to increase the attachment rates of value-added products and expand our offerings of value-added products which will grow our Product GPPU.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26"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26"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2"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126"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both vehicles that are available for sale and “coming soon” vehicles.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26"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and the one-time, IPO related non-cash revaluation of a preferred stock warrant. 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 The following table presents a reconciliation of EBITDA and Adjusted EBITDA to net loss, which is the most directly comparable U.S. GAAP measure: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(39,764)</w:t>
            </w:r>
          </w:p>
        </w:tc>
        <w:tc>
          <w:tcPr>
            <w:tcW w:w="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(100,243)</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3,797</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2,259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9,903</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1,537</w:t>
            </w:r>
          </w:p>
        </w:tc>
        <w:tc>
          <w:tcPr>
            <w:tcW w:w="1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1,196</w:t>
            </w: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4,683</w:t>
            </w:r>
          </w:p>
        </w:tc>
        <w:tc>
          <w:tcPr>
            <w:tcW w:w="1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(35,572)</w:t>
            </w:r>
          </w:p>
        </w:tc>
        <w:tc>
          <w:tcPr>
            <w:tcW w:w="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(89,989)</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(136,322)</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One-time IPO related acceleration of non-cash stock-based</w:t>
            </w: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line="203"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60" w:type="dxa"/>
            <w:vAlign w:val="bottom"/>
          </w:tcPr>
          <w:p>
            <w:pPr>
              <w:jc w:val="right"/>
              <w:ind w:right="52"/>
              <w:spacing w:after="0" w:line="203"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One-time IPO related non-cash revaluation of preferred stock</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warrant</w:t>
            </w:r>
          </w:p>
        </w:tc>
        <w:tc>
          <w:tcPr>
            <w:tcW w:w="2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Adjusted EBITDA</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(35,572)</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(35,651)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(89,989)</w:t>
            </w:r>
          </w:p>
        </w:tc>
        <w:tc>
          <w:tcPr>
            <w:tcW w:w="1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(114,590)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126"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The following table presents a reconciliation of Adjusted loss from operations to loss from operations, which is the most directly comparable U.S. GAAP measure: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(36,780)</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(119,218)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Add: One-time IPO related acceleration of non-cash stock based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compensation</w:t>
            </w:r>
          </w:p>
        </w:tc>
        <w:tc>
          <w:tcPr>
            <w:tcW w:w="4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1,262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Adjusted loss from operations</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(36,780)</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(117,956)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CFF0FC"/>
            </w:tcBorders>
            <w:vMerge w:val="restart"/>
          </w:tcPr>
          <w:p>
            <w:pPr>
              <w:jc w:val="right"/>
              <w:ind w:right="110"/>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12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and the one-time, IPO related non-cash revaluation of a preferred stock warrant.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3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gridSpan w:val="10"/>
          </w:tcPr>
          <w:p>
            <w:pPr>
              <w:jc w:val="right"/>
              <w:ind w:right="852"/>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(100,243)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(65,686)</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(105,450)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(209,772)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Add: One-time IPO related acceleration of non-cash stock based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40"/>
              <w:spacing w:after="0" w:line="203"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7"/>
                <w:szCs w:val="17"/>
                <w:color w:val="auto"/>
              </w:rPr>
            </w:pPr>
          </w:p>
        </w:tc>
        <w:tc>
          <w:tcPr>
            <w:tcW w:w="1000" w:type="dxa"/>
            <w:vAlign w:val="bottom"/>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5"/>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 One-time IPO related non-cash revaluation of preferred stock</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warrant</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Non-GAAP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(105,450)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(37,850)</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(209,772)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(120,405)</w:t>
            </w:r>
          </w:p>
        </w:tc>
        <w:tc>
          <w:tcPr>
            <w:tcW w:w="0" w:type="dxa"/>
            <w:vAlign w:val="bottom"/>
          </w:tcPr>
          <w:p>
            <w:pPr>
              <w:spacing w:after="0"/>
              <w:rPr>
                <w:sz w:val="1"/>
                <w:szCs w:val="1"/>
                <w:color w:val="auto"/>
              </w:rPr>
            </w:pPr>
          </w:p>
        </w:tc>
      </w:tr>
      <w:tr>
        <w:trPr>
          <w:trHeight w:val="197"/>
        </w:trPr>
        <w:tc>
          <w:tcPr>
            <w:tcW w:w="5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Weighted-average number of shares outstanding used to compute net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8,615,682</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w w:val="99"/>
              </w:rPr>
              <w:t>121,123,472</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8,591,554</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53,731,475</w:t>
            </w:r>
          </w:p>
        </w:tc>
        <w:tc>
          <w:tcPr>
            <w:tcW w:w="0" w:type="dxa"/>
            <w:vAlign w:val="bottom"/>
          </w:tcPr>
          <w:p>
            <w:pPr>
              <w:spacing w:after="0"/>
              <w:rPr>
                <w:sz w:val="1"/>
                <w:szCs w:val="1"/>
                <w:color w:val="auto"/>
              </w:rPr>
            </w:pPr>
          </w:p>
        </w:tc>
      </w:tr>
      <w:tr>
        <w:trPr>
          <w:trHeight w:val="197"/>
        </w:trPr>
        <w:tc>
          <w:tcPr>
            <w:tcW w:w="5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96"/>
        </w:trPr>
        <w:tc>
          <w:tcPr>
            <w:tcW w:w="59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Impact of one-time IPO related acceleration of non-cash stock based</w:t>
            </w: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compensation</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Impact of one-time IPO related non-cash revaluation of preferred stock</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warrant</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 per share,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Non-GAAP net loss per share, as adjusted, basic and diluted</w:t>
            </w:r>
            <w:r>
              <w:rPr>
                <w:rFonts w:ascii="Arial" w:cs="Arial" w:eastAsia="Arial" w:hAnsi="Arial"/>
                <w:sz w:val="15"/>
                <w:szCs w:val="15"/>
                <w:color w:val="auto"/>
              </w:rPr>
              <w: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(0.31)</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(0.29)</w:t>
            </w:r>
          </w:p>
        </w:tc>
        <w:tc>
          <w:tcPr>
            <w:tcW w:w="1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(0.77)</w:t>
            </w:r>
          </w:p>
        </w:tc>
        <w:tc>
          <w:tcPr>
            <w:tcW w:w="1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80"/>
        <w:spacing w:after="0" w:line="202" w:lineRule="auto"/>
        <w:rPr>
          <w:sz w:val="20"/>
          <w:szCs w:val="20"/>
          <w:color w:val="auto"/>
        </w:rPr>
      </w:pPr>
      <w:r>
        <w:rPr>
          <w:rFonts w:ascii="Arial" w:cs="Arial" w:eastAsia="Arial" w:hAnsi="Arial"/>
          <w:sz w:val="24"/>
          <w:szCs w:val="24"/>
          <w:color w:val="auto"/>
          <w:vertAlign w:val="superscript"/>
        </w:rPr>
        <w:t>(a)</w:t>
      </w:r>
      <w:r>
        <w:rPr>
          <w:rFonts w:ascii="Arial" w:cs="Arial" w:eastAsia="Arial" w:hAnsi="Arial"/>
          <w:sz w:val="14"/>
          <w:szCs w:val="14"/>
          <w:color w:val="auto"/>
        </w:rPr>
        <w:t>Non-GAAP net loss per share, as adjusted has been computed to give effect to, as of the beginning of each period presented, (i) the shares of common stock issued in connection with our IPO and (ii) the automatic conversion of all outstanding shares of redeemable convertible preferred stock into shares of common stock that occurred upon the consummation of our IPO. The computation of Non-GAAP net loss per share, as adjusted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4"/>
          </w:tcPr>
          <w:p>
            <w:pPr>
              <w:jc w:val="right"/>
              <w:ind w:right="629"/>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4"/>
          </w:tcPr>
          <w:p>
            <w:pPr>
              <w:jc w:val="right"/>
              <w:ind w:right="689"/>
              <w:spacing w:after="0"/>
              <w:rPr>
                <w:sz w:val="20"/>
                <w:szCs w:val="20"/>
                <w:color w:val="auto"/>
              </w:rPr>
            </w:pPr>
            <w:r>
              <w:rPr>
                <w:rFonts w:ascii="Arial" w:cs="Arial" w:eastAsia="Arial" w:hAnsi="Arial"/>
                <w:sz w:val="13"/>
                <w:szCs w:val="13"/>
                <w:b w:val="1"/>
                <w:bCs w:val="1"/>
                <w:color w:val="auto"/>
              </w:rPr>
              <w:t>Nine Months Ended</w:t>
            </w:r>
          </w:p>
        </w:tc>
      </w:tr>
      <w:tr>
        <w:trPr>
          <w:trHeight w:val="157"/>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849"/>
              <w:spacing w:after="0"/>
              <w:rPr>
                <w:sz w:val="20"/>
                <w:szCs w:val="20"/>
                <w:color w:val="auto"/>
              </w:rPr>
            </w:pPr>
            <w:r>
              <w:rPr>
                <w:rFonts w:ascii="Arial" w:cs="Arial" w:eastAsia="Arial" w:hAnsi="Arial"/>
                <w:sz w:val="13"/>
                <w:szCs w:val="13"/>
                <w:b w:val="1"/>
                <w:bCs w:val="1"/>
                <w:color w:val="auto"/>
              </w:rPr>
              <w:t>September 30,</w:t>
            </w:r>
          </w:p>
        </w:tc>
      </w:tr>
      <w:tr>
        <w:trPr>
          <w:trHeight w:val="169"/>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2020</w:t>
            </w:r>
          </w:p>
        </w:tc>
      </w:tr>
      <w:tr>
        <w:trPr>
          <w:trHeight w:val="169"/>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40" w:type="dxa"/>
            <w:vAlign w:val="bottom"/>
            <w:gridSpan w:val="9"/>
          </w:tcPr>
          <w:p>
            <w:pPr>
              <w:jc w:val="right"/>
              <w:ind w:right="8"/>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1040" w:type="dxa"/>
            <w:vAlign w:val="bottom"/>
          </w:tcPr>
          <w:p>
            <w:pPr>
              <w:spacing w:after="0"/>
              <w:rPr>
                <w:sz w:val="14"/>
                <w:szCs w:val="14"/>
                <w:color w:val="auto"/>
              </w:rPr>
            </w:pPr>
          </w:p>
        </w:tc>
      </w:tr>
      <w:tr>
        <w:trPr>
          <w:trHeight w:val="175"/>
        </w:trPr>
        <w:tc>
          <w:tcPr>
            <w:tcW w:w="590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(105,450)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(37,850)</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(209,772)</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(120,405)</w:t>
            </w:r>
          </w:p>
        </w:tc>
      </w:tr>
      <w:tr>
        <w:trPr>
          <w:trHeight w:val="175"/>
        </w:trPr>
        <w:tc>
          <w:tcPr>
            <w:tcW w:w="5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Add: Accretion of redeemable convertible preferred stock</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65,686</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109,529</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r>
      <w:tr>
        <w:trPr>
          <w:trHeight w:val="169"/>
        </w:trPr>
        <w:tc>
          <w:tcPr>
            <w:tcW w:w="5900" w:type="dxa"/>
            <w:vAlign w:val="bottom"/>
            <w:shd w:val="clear" w:color="auto" w:fill="CFF0FC"/>
          </w:tcPr>
          <w:p>
            <w:pPr>
              <w:spacing w:after="0"/>
              <w:rPr>
                <w:sz w:val="20"/>
                <w:szCs w:val="20"/>
                <w:color w:val="auto"/>
              </w:rPr>
            </w:pPr>
            <w:r>
              <w:rPr>
                <w:rFonts w:ascii="Arial" w:cs="Arial" w:eastAsia="Arial" w:hAnsi="Arial"/>
                <w:sz w:val="14"/>
                <w:szCs w:val="14"/>
                <w:color w:val="auto"/>
              </w:rPr>
              <w:t>Non-GAAP net loss, as adjusted</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(39,764)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(37,850)</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(100,243)</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(120,405)</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590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shares outstanding used to compute net loss per share,</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57"/>
        </w:trPr>
        <w:tc>
          <w:tcPr>
            <w:tcW w:w="590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basic and diluted</w:t>
            </w: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1"/>
              <w:spacing w:after="0" w:line="157" w:lineRule="exact"/>
              <w:rPr>
                <w:sz w:val="20"/>
                <w:szCs w:val="20"/>
                <w:color w:val="auto"/>
              </w:rPr>
            </w:pPr>
            <w:r>
              <w:rPr>
                <w:rFonts w:ascii="Arial" w:cs="Arial" w:eastAsia="Arial" w:hAnsi="Arial"/>
                <w:sz w:val="14"/>
                <w:szCs w:val="14"/>
                <w:color w:val="auto"/>
              </w:rPr>
              <w:t>8,615,682</w:t>
            </w: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9"/>
              <w:spacing w:after="0" w:line="157" w:lineRule="exact"/>
              <w:rPr>
                <w:sz w:val="20"/>
                <w:szCs w:val="20"/>
                <w:color w:val="auto"/>
              </w:rPr>
            </w:pPr>
            <w:r>
              <w:rPr>
                <w:rFonts w:ascii="Arial" w:cs="Arial" w:eastAsia="Arial" w:hAnsi="Arial"/>
                <w:sz w:val="14"/>
                <w:szCs w:val="14"/>
                <w:color w:val="auto"/>
              </w:rPr>
              <w:t>121,123,472</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50"/>
              <w:spacing w:after="0" w:line="157" w:lineRule="exact"/>
              <w:rPr>
                <w:sz w:val="20"/>
                <w:szCs w:val="20"/>
                <w:color w:val="auto"/>
              </w:rPr>
            </w:pPr>
            <w:r>
              <w:rPr>
                <w:rFonts w:ascii="Arial" w:cs="Arial" w:eastAsia="Arial" w:hAnsi="Arial"/>
                <w:sz w:val="14"/>
                <w:szCs w:val="14"/>
                <w:color w:val="auto"/>
              </w:rPr>
              <w:t>8,591,554</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9"/>
              <w:spacing w:after="0" w:line="157" w:lineRule="exact"/>
              <w:rPr>
                <w:sz w:val="20"/>
                <w:szCs w:val="20"/>
                <w:color w:val="auto"/>
              </w:rPr>
            </w:pPr>
            <w:r>
              <w:rPr>
                <w:rFonts w:ascii="Arial" w:cs="Arial" w:eastAsia="Arial" w:hAnsi="Arial"/>
                <w:sz w:val="14"/>
                <w:szCs w:val="14"/>
                <w:color w:val="auto"/>
              </w:rPr>
              <w:t>53,731,475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5900" w:type="dxa"/>
            <w:vAlign w:val="bottom"/>
          </w:tcPr>
          <w:p>
            <w:pPr>
              <w:ind w:left="140"/>
              <w:spacing w:after="0" w:line="156" w:lineRule="exact"/>
              <w:rPr>
                <w:sz w:val="20"/>
                <w:szCs w:val="20"/>
                <w:color w:val="auto"/>
              </w:rPr>
            </w:pPr>
            <w:r>
              <w:rPr>
                <w:rFonts w:ascii="Arial" w:cs="Arial" w:eastAsia="Arial" w:hAnsi="Arial"/>
                <w:sz w:val="14"/>
                <w:szCs w:val="14"/>
                <w:color w:val="auto"/>
              </w:rPr>
              <w:t>Add: unweighted adjustment for common stock issued in connection with IPO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51"/>
              <w:spacing w:after="0" w:line="156" w:lineRule="exact"/>
              <w:rPr>
                <w:sz w:val="20"/>
                <w:szCs w:val="20"/>
                <w:color w:val="auto"/>
              </w:rPr>
            </w:pPr>
            <w:r>
              <w:rPr>
                <w:rFonts w:ascii="Arial" w:cs="Arial" w:eastAsia="Arial" w:hAnsi="Arial"/>
                <w:sz w:val="14"/>
                <w:szCs w:val="14"/>
                <w:color w:val="auto"/>
              </w:rPr>
              <w:t>24,437,500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9"/>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50"/>
              <w:spacing w:after="0" w:line="156" w:lineRule="exact"/>
              <w:rPr>
                <w:sz w:val="20"/>
                <w:szCs w:val="20"/>
                <w:color w:val="auto"/>
              </w:rPr>
            </w:pPr>
            <w:r>
              <w:rPr>
                <w:rFonts w:ascii="Arial" w:cs="Arial" w:eastAsia="Arial" w:hAnsi="Arial"/>
                <w:sz w:val="14"/>
                <w:szCs w:val="14"/>
                <w:color w:val="auto"/>
              </w:rPr>
              <w:t>24,437,500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69"/>
              <w:spacing w:after="0" w:line="156" w:lineRule="exact"/>
              <w:rPr>
                <w:sz w:val="20"/>
                <w:szCs w:val="20"/>
                <w:color w:val="auto"/>
              </w:rPr>
            </w:pPr>
            <w:r>
              <w:rPr>
                <w:rFonts w:ascii="Arial" w:cs="Arial" w:eastAsia="Arial" w:hAnsi="Arial"/>
                <w:sz w:val="14"/>
                <w:szCs w:val="14"/>
                <w:color w:val="auto"/>
              </w:rPr>
              <w:t>24,437,500</w:t>
            </w:r>
          </w:p>
        </w:tc>
      </w:tr>
      <w:tr>
        <w:trPr>
          <w:trHeight w:val="180"/>
        </w:trPr>
        <w:tc>
          <w:tcPr>
            <w:tcW w:w="5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Add: unweighted adjustment for conversion of redeemable convertible preferred stock in</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57"/>
        </w:trPr>
        <w:tc>
          <w:tcPr>
            <w:tcW w:w="590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connection with IPO</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1"/>
              <w:spacing w:after="0" w:line="157" w:lineRule="exact"/>
              <w:rPr>
                <w:sz w:val="20"/>
                <w:szCs w:val="20"/>
                <w:color w:val="auto"/>
              </w:rPr>
            </w:pPr>
            <w:r>
              <w:rPr>
                <w:rFonts w:ascii="Arial" w:cs="Arial" w:eastAsia="Arial" w:hAnsi="Arial"/>
                <w:sz w:val="14"/>
                <w:szCs w:val="14"/>
                <w:color w:val="auto"/>
              </w:rPr>
              <w:t>85,533,394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0"/>
              <w:spacing w:after="0" w:line="157" w:lineRule="exact"/>
              <w:rPr>
                <w:sz w:val="20"/>
                <w:szCs w:val="20"/>
                <w:color w:val="auto"/>
              </w:rPr>
            </w:pPr>
            <w:r>
              <w:rPr>
                <w:rFonts w:ascii="Arial" w:cs="Arial" w:eastAsia="Arial" w:hAnsi="Arial"/>
                <w:sz w:val="14"/>
                <w:szCs w:val="14"/>
                <w:color w:val="auto"/>
              </w:rPr>
              <w:t>85,533,394</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69"/>
              <w:spacing w:after="0" w:line="157" w:lineRule="exact"/>
              <w:rPr>
                <w:sz w:val="20"/>
                <w:szCs w:val="20"/>
                <w:color w:val="auto"/>
              </w:rPr>
            </w:pPr>
            <w:r>
              <w:rPr>
                <w:rFonts w:ascii="Arial" w:cs="Arial" w:eastAsia="Arial" w:hAnsi="Arial"/>
                <w:sz w:val="14"/>
                <w:szCs w:val="14"/>
                <w:color w:val="auto"/>
              </w:rPr>
              <w:t>85,533,394</w:t>
            </w:r>
          </w:p>
        </w:tc>
      </w:tr>
      <w:tr>
        <w:trPr>
          <w:trHeight w:val="180"/>
        </w:trPr>
        <w:tc>
          <w:tcPr>
            <w:tcW w:w="5900" w:type="dxa"/>
            <w:vAlign w:val="bottom"/>
          </w:tcPr>
          <w:p>
            <w:pPr>
              <w:ind w:left="140"/>
              <w:spacing w:after="0"/>
              <w:rPr>
                <w:sz w:val="20"/>
                <w:szCs w:val="20"/>
                <w:color w:val="auto"/>
              </w:rPr>
            </w:pPr>
            <w:r>
              <w:rPr>
                <w:rFonts w:ascii="Arial" w:cs="Arial" w:eastAsia="Arial" w:hAnsi="Arial"/>
                <w:sz w:val="14"/>
                <w:szCs w:val="14"/>
                <w:color w:val="auto"/>
              </w:rPr>
              <w:t>Add: unweighted adjustment for common stock issued in connection with follow-on public</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7"/>
        </w:trPr>
        <w:tc>
          <w:tcPr>
            <w:tcW w:w="5900" w:type="dxa"/>
            <w:vAlign w:val="bottom"/>
          </w:tcPr>
          <w:p>
            <w:pPr>
              <w:ind w:left="140"/>
              <w:spacing w:after="0" w:line="157" w:lineRule="exact"/>
              <w:rPr>
                <w:sz w:val="20"/>
                <w:szCs w:val="20"/>
                <w:color w:val="auto"/>
              </w:rPr>
            </w:pPr>
            <w:r>
              <w:rPr>
                <w:rFonts w:ascii="Arial" w:cs="Arial" w:eastAsia="Arial" w:hAnsi="Arial"/>
                <w:sz w:val="14"/>
                <w:szCs w:val="14"/>
                <w:color w:val="auto"/>
              </w:rPr>
              <w:t>offering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51"/>
              <w:spacing w:after="0" w:line="157" w:lineRule="exact"/>
              <w:rPr>
                <w:sz w:val="20"/>
                <w:szCs w:val="20"/>
                <w:color w:val="auto"/>
              </w:rPr>
            </w:pPr>
            <w:r>
              <w:rPr>
                <w:rFonts w:ascii="Arial" w:cs="Arial" w:eastAsia="Arial" w:hAnsi="Arial"/>
                <w:sz w:val="14"/>
                <w:szCs w:val="14"/>
                <w:color w:val="auto"/>
              </w:rPr>
              <w:t>10,800,000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10,800,000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10,800,000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10,800,000</w:t>
            </w:r>
          </w:p>
        </w:tc>
      </w:tr>
      <w:tr>
        <w:trPr>
          <w:trHeight w:val="180"/>
        </w:trPr>
        <w:tc>
          <w:tcPr>
            <w:tcW w:w="5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Less: Adjustment for the impact of the above items already included in weighted-average</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57"/>
        </w:trPr>
        <w:tc>
          <w:tcPr>
            <w:tcW w:w="590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number of shares outstanding for the periods presented</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(1,760,869)</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
              <w:spacing w:after="0" w:line="157" w:lineRule="exact"/>
              <w:rPr>
                <w:sz w:val="20"/>
                <w:szCs w:val="20"/>
                <w:color w:val="auto"/>
              </w:rPr>
            </w:pPr>
            <w:r>
              <w:rPr>
                <w:rFonts w:ascii="Arial" w:cs="Arial" w:eastAsia="Arial" w:hAnsi="Arial"/>
                <w:sz w:val="14"/>
                <w:szCs w:val="14"/>
                <w:color w:val="auto"/>
              </w:rPr>
              <w:t>(44,897,573)</w:t>
            </w:r>
          </w:p>
        </w:tc>
      </w:tr>
      <w:tr>
        <w:trPr>
          <w:trHeight w:val="174"/>
        </w:trPr>
        <w:tc>
          <w:tcPr>
            <w:tcW w:w="5900" w:type="dxa"/>
            <w:vAlign w:val="bottom"/>
          </w:tcPr>
          <w:p>
            <w:pPr>
              <w:spacing w:after="0"/>
              <w:rPr>
                <w:sz w:val="20"/>
                <w:szCs w:val="20"/>
                <w:color w:val="auto"/>
              </w:rPr>
            </w:pPr>
            <w:r>
              <w:rPr>
                <w:rFonts w:ascii="Arial" w:cs="Arial" w:eastAsia="Arial" w:hAnsi="Arial"/>
                <w:sz w:val="14"/>
                <w:szCs w:val="14"/>
                <w:color w:val="auto"/>
              </w:rPr>
              <w:t>Weighted-average number of shares outstanding used to compute net loss per share, as</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97"/>
        </w:trPr>
        <w:tc>
          <w:tcPr>
            <w:tcW w:w="5900" w:type="dxa"/>
            <w:vAlign w:val="bottom"/>
            <w:tcBorders>
              <w:bottom w:val="single" w:sz="8" w:color="CFF0FC"/>
            </w:tcBorders>
          </w:tcPr>
          <w:p>
            <w:pPr>
              <w:spacing w:after="0" w:line="157" w:lineRule="exact"/>
              <w:rPr>
                <w:sz w:val="20"/>
                <w:szCs w:val="20"/>
                <w:color w:val="auto"/>
              </w:rPr>
            </w:pPr>
            <w:r>
              <w:rPr>
                <w:rFonts w:ascii="Arial" w:cs="Arial" w:eastAsia="Arial" w:hAnsi="Arial"/>
                <w:sz w:val="14"/>
                <w:szCs w:val="14"/>
                <w:color w:val="auto"/>
              </w:rPr>
              <w:t>adjusted, basic and diluted</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129,386,576</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130,162,603</w:t>
            </w:r>
          </w:p>
        </w:tc>
        <w:tc>
          <w:tcPr>
            <w:tcW w:w="1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129,362,448</w:t>
            </w:r>
          </w:p>
        </w:tc>
        <w:tc>
          <w:tcPr>
            <w:tcW w:w="1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129,604,796</w:t>
            </w:r>
          </w:p>
        </w:tc>
      </w:tr>
      <w:tr>
        <w:trPr>
          <w:trHeight w:val="156"/>
        </w:trPr>
        <w:tc>
          <w:tcPr>
            <w:tcW w:w="5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Non-GAAP net loss per share, as adjusted, basic and diluted</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(0.29)</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(0.77)</w:t>
            </w:r>
          </w:p>
        </w:tc>
        <w:tc>
          <w:tcPr>
            <w:tcW w:w="1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(0.93)</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On June 11, 2020, we completed an initial public offering, or IPO, in which we sold 24,437,500 shares of common stock, which included 3,187,500 shares sold pursuant to the exercise by the underwriters of an over-allotment option to purchase additional shares, at a public offering price of $22.00 per share. We received proceeds of approximately $504.0 million, net of underwriting discount and before deducting offering expenses of $7.5 million, from sales of our shares in the IPO. Prior to the completion of the IPO, we effected a 2-for-1 forward stock split of all the issued and outstanding shares of our common stock the (“Stock Split”). As a result of the Stock Split and the completion of the IPO, all of our redeemable convertible preferred stock outstanding automatically converted into an aggregate of 85,533,394 shares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jc w:val="both"/>
        <w:ind w:right="340" w:firstLine="761"/>
        <w:spacing w:after="0"/>
        <w:rPr>
          <w:sz w:val="20"/>
          <w:szCs w:val="20"/>
          <w:color w:val="auto"/>
        </w:rPr>
      </w:pPr>
      <w:r>
        <w:rPr>
          <w:rFonts w:ascii="Arial" w:cs="Arial" w:eastAsia="Arial" w:hAnsi="Arial"/>
          <w:sz w:val="18"/>
          <w:szCs w:val="18"/>
          <w:color w:val="auto"/>
        </w:rPr>
        <w:t>On September 15, 2020, we closed on our follow-on public offering in which we sold 10,800,000 shares of common stock at the public offering price of $54.50 per share. We received proceeds of approximately $569.5 million from the offering, net of the underwriting discount and before deducting offering expenses of $1.5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Rocket Agreement</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On May 15, 2020, we entered into an agreement with Rocket Auto LLC and certain of its affiliates (collectively, “Rocket”) providing for the launch of an ecommerce platform under the “Rocket Auto” brand for the marketing and sale of vehicles directly to consumers (the “RA Agreement”). We will list our used vehicle inventory for sale on the Rocket Auto platform, but all sales of the inventory will be conducted through our platform. Rocket Auto is expected to launch publicly during the first quarter of 2021 and, during the term of the RA Agreement, Rocket has agreed to ensure that a minimum percentage of all used vehicles sold or leased through the platform on a monthly basis will be Vroom inventory We issued Rocket 183,870 shares of our common stock upon execution of the RA Agreement. We will pay Rocket a combination of cash and stock for vehicle sales made through the platform. Rocket may earn up to 8,641,914 shares of common stock over a four-year period based upon sales volume of Vroom inventory through the Rocket Auto platform.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COVID-19</w:t>
      </w:r>
    </w:p>
    <w:p>
      <w:pPr>
        <w:spacing w:after="0" w:line="234"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Due to the evolving nature of the COVID-19 crisis, we continue to monitor the situation closely and assess the impact on our business. We expect our operations will continue to be adversely impacted through the end of 2020 and continuing into in 2021, however, the magnitude and duration of the ultimate impact is impossible to predict with certainty due to:</w:t>
      </w:r>
    </w:p>
    <w:p>
      <w:pPr>
        <w:spacing w:after="0" w:line="95" w:lineRule="exact"/>
        <w:rPr>
          <w:sz w:val="20"/>
          <w:szCs w:val="20"/>
          <w:color w:val="auto"/>
        </w:rPr>
      </w:pPr>
    </w:p>
    <w:p>
      <w:pPr>
        <w:ind w:left="1000" w:right="420" w:hanging="236"/>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regarding the duration of the COVID-19 pandemic and the length of time over which the disruptions caused by COVID-19 will continue;</w:t>
      </w:r>
    </w:p>
    <w:p>
      <w:pPr>
        <w:spacing w:after="0" w:line="88" w:lineRule="exact"/>
        <w:rPr>
          <w:rFonts w:ascii="Arial" w:cs="Arial" w:eastAsia="Arial" w:hAnsi="Arial"/>
          <w:sz w:val="18"/>
          <w:szCs w:val="18"/>
          <w:color w:val="auto"/>
        </w:rPr>
      </w:pPr>
    </w:p>
    <w:p>
      <w:pPr>
        <w:ind w:left="1000" w:right="680" w:hanging="236"/>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governmental orders and regulations that have been, and may in the future be, imposed in response to the pandemic;</w:t>
      </w:r>
    </w:p>
    <w:p>
      <w:pPr>
        <w:spacing w:after="0" w:line="88" w:lineRule="exact"/>
        <w:rPr>
          <w:rFonts w:ascii="Arial" w:cs="Arial" w:eastAsia="Arial" w:hAnsi="Arial"/>
          <w:sz w:val="18"/>
          <w:szCs w:val="18"/>
          <w:color w:val="auto"/>
        </w:rPr>
      </w:pPr>
    </w:p>
    <w:p>
      <w:pPr>
        <w:ind w:left="1000" w:right="20" w:hanging="236"/>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COVID-19 on VRCs, wholesale auctions, state DMV titling and registration services, third party vehicle carriers and other third parties on which we rely;</w:t>
      </w:r>
    </w:p>
    <w:p>
      <w:pPr>
        <w:spacing w:after="0" w:line="88" w:lineRule="exact"/>
        <w:rPr>
          <w:rFonts w:ascii="Arial" w:cs="Arial" w:eastAsia="Arial" w:hAnsi="Arial"/>
          <w:sz w:val="18"/>
          <w:szCs w:val="18"/>
          <w:color w:val="auto"/>
        </w:rPr>
      </w:pPr>
    </w:p>
    <w:p>
      <w:pPr>
        <w:ind w:left="1000" w:hanging="23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the impact future increases in transmission could have on our ability to fully staff portions of our business;</w:t>
      </w:r>
    </w:p>
    <w:p>
      <w:pPr>
        <w:spacing w:after="0" w:line="117" w:lineRule="exact"/>
        <w:rPr>
          <w:rFonts w:ascii="Arial" w:cs="Arial" w:eastAsia="Arial" w:hAnsi="Arial"/>
          <w:sz w:val="18"/>
          <w:szCs w:val="18"/>
          <w:color w:val="auto"/>
        </w:rPr>
      </w:pPr>
    </w:p>
    <w:p>
      <w:pPr>
        <w:ind w:left="1000" w:right="680" w:hanging="236"/>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deterioration of economic conditions in the United States, as well as high unemployment levels, which could have an adverse impact on discretionary consumer spending; and</w:t>
      </w:r>
    </w:p>
    <w:p>
      <w:pPr>
        <w:spacing w:after="0" w:line="88" w:lineRule="exact"/>
        <w:rPr>
          <w:rFonts w:ascii="Arial" w:cs="Arial" w:eastAsia="Arial" w:hAnsi="Arial"/>
          <w:sz w:val="18"/>
          <w:szCs w:val="18"/>
          <w:color w:val="auto"/>
        </w:rPr>
      </w:pPr>
    </w:p>
    <w:p>
      <w:pPr>
        <w:ind w:left="1000" w:hanging="23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regarding the potential for, timing and duration of, and severity of future “waves” of the COVID-19 crisis; and</w:t>
      </w:r>
    </w:p>
    <w:p>
      <w:pPr>
        <w:spacing w:after="0" w:line="117" w:lineRule="exact"/>
        <w:rPr>
          <w:rFonts w:ascii="Arial" w:cs="Arial" w:eastAsia="Arial" w:hAnsi="Arial"/>
          <w:sz w:val="18"/>
          <w:szCs w:val="18"/>
          <w:color w:val="auto"/>
        </w:rPr>
      </w:pPr>
    </w:p>
    <w:p>
      <w:pPr>
        <w:ind w:left="1000" w:right="360" w:hanging="236"/>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whether and to what degree governmental economic relief will be provided to soften the negative economic effects of the COVID-19 crisis and the resulting governmental orders and restrictions.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ecommerce operations</w:t>
      </w:r>
    </w:p>
    <w:p>
      <w:pPr>
        <w:spacing w:after="0" w:line="85"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After the initial disruption in our ecommerce operations due to the COVID-19 pandemic, consumer demand for used vehicles has returned to pre-COVID-19 levels, and, in the three months ended September 30, 2020, we experienced continued strong consumer demand for our ecommerce solutions and contact-free delivery. Ecommerce units sold increased, as compared to the three months ended June 30, 2020, 31.4% to 8,823 units primarily driven by increased inventory levels and marketing spend. Ecommerce revenue increased 26.3% to $221.8 million as the result of a higher number of ecommerce units sold.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ind w:right="220" w:firstLine="761"/>
        <w:spacing w:after="0" w:line="246" w:lineRule="auto"/>
        <w:rPr>
          <w:sz w:val="20"/>
          <w:szCs w:val="20"/>
          <w:color w:val="auto"/>
        </w:rPr>
      </w:pPr>
      <w:r>
        <w:rPr>
          <w:rFonts w:ascii="Arial" w:cs="Arial" w:eastAsia="Arial" w:hAnsi="Arial"/>
          <w:sz w:val="18"/>
          <w:szCs w:val="18"/>
          <w:color w:val="auto"/>
        </w:rPr>
        <w:t>Ecommerce gross profit and gross profit per unit experienced strong growth of 167.4% to $19.3 million and 103.5% to $2,188 per unit,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TDA</w:t>
      </w:r>
    </w:p>
    <w:p>
      <w:pPr>
        <w:spacing w:after="0" w:line="126" w:lineRule="exact"/>
        <w:rPr>
          <w:sz w:val="20"/>
          <w:szCs w:val="20"/>
          <w:color w:val="auto"/>
        </w:rPr>
      </w:pPr>
    </w:p>
    <w:p>
      <w:pPr>
        <w:ind w:right="240" w:firstLine="761"/>
        <w:spacing w:after="0" w:line="238" w:lineRule="auto"/>
        <w:rPr>
          <w:sz w:val="20"/>
          <w:szCs w:val="20"/>
          <w:color w:val="auto"/>
        </w:rPr>
      </w:pPr>
      <w:r>
        <w:rPr>
          <w:rFonts w:ascii="Arial" w:cs="Arial" w:eastAsia="Arial" w:hAnsi="Arial"/>
          <w:sz w:val="18"/>
          <w:szCs w:val="18"/>
          <w:color w:val="auto"/>
        </w:rPr>
        <w:t>Both TDA and our back-office facility in Houston continued to remain open during the three months ended September 30, 2020. However, as a result of continuous impact of the COVID-19 pandemic, we have seen a significant reduction in foot traffic at TDA. Although we experienced an approximate 31.8% increase in unit sales for the three months ended September 30, 2020, as compared to the three months ended June 30, 2020, our unit sales at TDA continued to be 51.8% lower as compared to the first quarter of 2020. As COVID-19 disruptions continue, we are unsure when TDA will return to normal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vehicle reconditioning and our logistics network</w:t>
      </w:r>
    </w:p>
    <w:p>
      <w:pPr>
        <w:spacing w:after="0" w:line="126" w:lineRule="exact"/>
        <w:rPr>
          <w:sz w:val="20"/>
          <w:szCs w:val="20"/>
          <w:color w:val="auto"/>
        </w:rPr>
      </w:pPr>
    </w:p>
    <w:p>
      <w:pPr>
        <w:ind w:right="160" w:firstLine="761"/>
        <w:spacing w:after="0" w:line="257" w:lineRule="auto"/>
        <w:rPr>
          <w:sz w:val="20"/>
          <w:szCs w:val="20"/>
          <w:color w:val="auto"/>
        </w:rPr>
      </w:pPr>
      <w:r>
        <w:rPr>
          <w:rFonts w:ascii="Arial" w:cs="Arial" w:eastAsia="Arial" w:hAnsi="Arial"/>
          <w:sz w:val="17"/>
          <w:szCs w:val="17"/>
          <w:color w:val="auto"/>
        </w:rPr>
        <w:t>In the three months ended September 30, 2020, our Vroom VRC and all third-party VRCs remained open. However, we continued to experience disruption across our logistics network due to the COVID-19 pandemic, with a reduced number of third-party providers available to deliver our vehicles, which has resulted in a slowdown of inventory being picked up and delivered to our VRCs and in sold units being delivered to customers. In addition, our transportation costs have increased as the remaining carriers have increased prices.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administrative functions</w:t>
      </w:r>
    </w:p>
    <w:p>
      <w:pPr>
        <w:spacing w:after="0" w:line="126"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Most of our corporate, engineering and back-office operations have been able to successfully sustain the transition to a remote working environment. However, certain of our back-office functions that require handling documents in person have experienced productivity challenges due to the government-ordered limitations on office capacity. The COVID-19-related restrictions also continue to have a significant effect in areas such as the titling and registration of vehicles sold to customers, due to processing backlogs and limited service capacity of state division of motor vehicle offices across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actions in response to the COVID-19 disruptions</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In response to the COVID-19 disruptions, we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w:t>
      </w:r>
    </w:p>
    <w:p>
      <w:pPr>
        <w:spacing w:after="0" w:line="208" w:lineRule="exact"/>
        <w:rPr>
          <w:sz w:val="20"/>
          <w:szCs w:val="20"/>
          <w:color w:val="auto"/>
        </w:rPr>
      </w:pPr>
    </w:p>
    <w:p>
      <w:pPr>
        <w:jc w:val="both"/>
        <w:ind w:right="240" w:firstLine="761"/>
        <w:spacing w:after="0"/>
        <w:rPr>
          <w:sz w:val="20"/>
          <w:szCs w:val="20"/>
          <w:color w:val="auto"/>
        </w:rPr>
      </w:pPr>
      <w:r>
        <w:rPr>
          <w:rFonts w:ascii="Arial" w:cs="Arial" w:eastAsia="Arial" w:hAnsi="Arial"/>
          <w:sz w:val="18"/>
          <w:szCs w:val="18"/>
          <w:color w:val="auto"/>
        </w:rPr>
        <w:t>We also continue to take precautionary measures to enhance our customer experience during the pandemic, such as increasing the level of cleaning and sanitation of vehicles prior to making delivery to our customers. Additionally, we adjusted our delivery protocols to provide contact-free delivery and pick up of vehicles.</w:t>
      </w:r>
    </w:p>
    <w:p>
      <w:pPr>
        <w:spacing w:after="0" w:line="203"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While our ecommerce business, including contact-free delivery, is continuing to operate nationwide, the COVID-19 crisis has had a significant impact on our business operations. We are unable to accurately predict the ultimate impact that the COVID-19 disruptions will have on our business and financial results going forward due to the uncertainties surrounding the extent, duration and risk of recurrence of such disruptions. Nevertheless, we believe the measures we have taken and will continue to take will position Vroom to emerge from the crisis in a healthy financial position, and that our business model and years of experience with ecommerce vehicle sales and home delivery enable us to be highly responsive to increased consumer desire for ecommerce solutions and contact-free delivery.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34"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drive revenue growth by cost effectively increasing the volume and selection of vehicles in our inventory</w:t>
      </w:r>
    </w:p>
    <w:p>
      <w:pPr>
        <w:spacing w:after="0" w:line="126"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ind w:right="140" w:firstLine="761"/>
        <w:spacing w:after="0" w:line="237"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fine-tune our supply and sourcing models. As we continue to invest in our operational efficiency and data analytics, we expect that we will continue to cost effectively increase the volume and optimize the selection of our ecommerce inventory.</w:t>
      </w:r>
    </w:p>
    <w:p>
      <w:pPr>
        <w:spacing w:after="0" w:line="28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68"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202"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increased over time, with our first national brand marketing campaign commencing in the first quarter of 2019,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12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203" w:lineRule="exact"/>
        <w:rPr>
          <w:sz w:val="20"/>
          <w:szCs w:val="20"/>
          <w:color w:val="auto"/>
        </w:rPr>
      </w:pPr>
    </w:p>
    <w:p>
      <w:pPr>
        <w:jc w:val="both"/>
        <w:ind w:right="80" w:firstLine="761"/>
        <w:spacing w:after="0"/>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w:t>
      </w:r>
    </w:p>
    <w:p>
      <w:pPr>
        <w:spacing w:after="0" w:line="203"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Increased conversion also depends on our ability to provide the necessary customer service and sales support to respond to increased demand. Over the fourth quarter, we intend to pursue further expansion of our customer experience team as we ramp up our sales support in anticipation of continued sales growth in 2021. As we continue to invest in our brand and improve the customer experience, we expect that we will attract more visitors, improve conversion and drive greater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126"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We strategically source inventory from auctions, consumers, rental car companies, OEMs and dealers. Auctions, consumers, and rental car companies represent the vast majority of our inventory sources, accounting for approximately 51%, 36%, and 13% of our retail inventory sold for the three months ended September 30, 2020, respectively, and 52%, 32%, and 15% for the nine months ended September 30, 2020,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w:t>
      </w:r>
    </w:p>
    <w:p>
      <w:pPr>
        <w:spacing w:after="0" w:line="207"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Our ability to increase the percentage of inventory sourced directly from consumers will depend on the popularity and success of our ecommerce platform. In order to continue to increase the percentage of vehicles that we source directly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ind w:right="120"/>
        <w:spacing w:after="0" w:line="242" w:lineRule="auto"/>
        <w:rPr>
          <w:sz w:val="20"/>
          <w:szCs w:val="20"/>
          <w:color w:val="auto"/>
        </w:rPr>
      </w:pPr>
      <w:r>
        <w:rPr>
          <w:rFonts w:ascii="Arial" w:cs="Arial" w:eastAsia="Arial" w:hAnsi="Arial"/>
          <w:sz w:val="18"/>
          <w:szCs w:val="18"/>
          <w:color w:val="auto"/>
        </w:rPr>
        <w:t>from consumers, we are expanding our national marketing efforts that are focused on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200"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We have begun to offer third-party inventory listings, which expand our sourcing channels through third party sellers while offering us attractive revenue models in an asset light, debt free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126"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205"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In 2019, we significantly increased our reconditioning capacity within our Vroom VRC by overhauling our operations and applying lean manufacturing techniques and other software-enabled technological advances. As we continue to grow our business, we intend to continue to invest in increased reconditioning capacity and operational efficiency through third-party VRC locations and going forward we expect to invest in additional proprietary reconditioning capacity to provide added scale with reduced lead-time and greater flexibility. Additionally, our use of third-party VRCs to recondition vehicles allows us to avoid additional capital expenditures, quickly increase capacity, maintain greater operational flexibility and broaden our geographic footprint to drive lower logistics costs. We have continued to expand our third-party VRC operations and, as of the date of this Quarterly Report on Form 10-Q, have a current total of eighteen. See “—Liquidity and Capital Resources.”</w:t>
      </w:r>
    </w:p>
    <w:p>
      <w:pPr>
        <w:spacing w:after="0" w:line="208"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We leverage our data analytics and deep industry experience to strategically select both Vroom VRCs and third-party VRCs in locations where we believe there is the highest supply and demand for our vehicles. We expect that our continued investment in reconditioning capacity and technology will lower our reconditioning costs per unit and drive greater operational efficiency, higher gross profit per unit and improved unit economics.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126"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We primarily use third-party carriers and have optimized our third-party logistics network nationwide through the development of strategic carrier arrangements with national haulers and the consolidation of our carrier base into dedicated operating regions. We expect that these enhanced logistics operations, combined with the expansion of strategically located VRCs, will drive efficiency in our logistics operations. Our VRCs also serve as pooling points to aggregate acquired vehicles and we intend to begin using certain VRCs as hubs for staging vehicles for last-mile delivery to customers, which we expect to provide an improved experience for customers. Recently, as a result of the continued prevalence of the COVID-19 pandemic, we have experienced a reduced supply of carriers, increased shipping prices and deteriorating service levels. Thus, we are accelerating our strategy to optimize our hybrid approach by expanding our proprietary logistics network. Currently, we are prioritizing investment in our last-mile delivery operations where we can have the greatest impact on the customer experience and expect over time to expand our operations to include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we intend to strategically combine the operation of our expanded proprietary fleet with the use of third-party carriers, which we expect will enable us to both accommodate our growth and provide the highest level of customer service. Over time, as our business scales, we expect that optimizing our logistics network through this hybrid approach will result in improved unit economics, increased profitability and an enhanced customer experience.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126" w:lineRule="exact"/>
        <w:rPr>
          <w:sz w:val="20"/>
          <w:szCs w:val="20"/>
          <w:color w:val="auto"/>
        </w:rPr>
      </w:pPr>
    </w:p>
    <w:p>
      <w:pPr>
        <w:ind w:right="60" w:firstLine="761"/>
        <w:spacing w:after="0" w:line="252" w:lineRule="auto"/>
        <w:rPr>
          <w:sz w:val="20"/>
          <w:szCs w:val="20"/>
          <w:color w:val="auto"/>
        </w:rPr>
      </w:pPr>
      <w:r>
        <w:rPr>
          <w:rFonts w:ascii="Arial" w:cs="Arial" w:eastAsia="Arial" w:hAnsi="Arial"/>
          <w:sz w:val="17"/>
          <w:szCs w:val="17"/>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In the fourth quarter of 2019 and first quarter of 2020, we entered into strategic partnerships with lenders such as Chase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36" w:name="page37"/>
    <w:bookmarkEnd w:id="36"/>
    <w:p>
      <w:pPr>
        <w:ind w:right="60"/>
        <w:spacing w:after="0"/>
        <w:rPr>
          <w:sz w:val="20"/>
          <w:szCs w:val="20"/>
          <w:color w:val="auto"/>
        </w:rPr>
      </w:pPr>
      <w:r>
        <w:rPr>
          <w:rFonts w:ascii="Arial" w:cs="Arial" w:eastAsia="Arial" w:hAnsi="Arial"/>
          <w:sz w:val="18"/>
          <w:szCs w:val="18"/>
          <w:color w:val="auto"/>
        </w:rPr>
        <w:t>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Business— We may experience seasonal and other fluctuations in our quarterly results of operations, which may not fully reflect the underlying performance of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22" w:lineRule="exact"/>
        <w:rPr>
          <w:sz w:val="20"/>
          <w:szCs w:val="20"/>
          <w:color w:val="auto"/>
        </w:rPr>
      </w:pPr>
    </w:p>
    <w:p>
      <w:pPr>
        <w:jc w:val="both"/>
        <w:ind w:right="180" w:firstLine="761"/>
        <w:spacing w:after="0"/>
        <w:rPr>
          <w:sz w:val="20"/>
          <w:szCs w:val="20"/>
          <w:color w:val="auto"/>
        </w:rPr>
      </w:pPr>
      <w:r>
        <w:rPr>
          <w:rFonts w:ascii="Arial" w:cs="Arial" w:eastAsia="Arial" w:hAnsi="Arial"/>
          <w:sz w:val="18"/>
          <w:szCs w:val="18"/>
          <w:color w:val="auto"/>
        </w:rPr>
        <w:t>We sell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203" w:lineRule="exact"/>
        <w:rPr>
          <w:sz w:val="20"/>
          <w:szCs w:val="20"/>
          <w:color w:val="auto"/>
        </w:rPr>
      </w:pPr>
    </w:p>
    <w:p>
      <w:pPr>
        <w:jc w:val="both"/>
        <w:ind w:right="200" w:firstLine="761"/>
        <w:spacing w:after="0" w:line="24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97" w:lineRule="exact"/>
        <w:rPr>
          <w:sz w:val="20"/>
          <w:szCs w:val="20"/>
          <w:color w:val="auto"/>
        </w:rPr>
      </w:pPr>
    </w:p>
    <w:p>
      <w:pPr>
        <w:ind w:right="320" w:firstLine="761"/>
        <w:spacing w:after="0" w:line="246" w:lineRule="auto"/>
        <w:rPr>
          <w:sz w:val="20"/>
          <w:szCs w:val="20"/>
          <w:color w:val="auto"/>
        </w:rPr>
      </w:pPr>
      <w:r>
        <w:rPr>
          <w:rFonts w:ascii="Arial" w:cs="Arial" w:eastAsia="Arial" w:hAnsi="Arial"/>
          <w:sz w:val="18"/>
          <w:szCs w:val="18"/>
          <w:color w:val="auto"/>
        </w:rPr>
        <w:t>ASP depends primarily on our acquisition and pricing strategies, retail used car market prices, our average days to sale and our reconditioning and logistics costs.</w:t>
      </w:r>
    </w:p>
    <w:p>
      <w:pPr>
        <w:spacing w:after="0" w:line="197" w:lineRule="exact"/>
        <w:rPr>
          <w:sz w:val="20"/>
          <w:szCs w:val="20"/>
          <w:color w:val="auto"/>
        </w:rPr>
      </w:pPr>
    </w:p>
    <w:p>
      <w:pPr>
        <w:ind w:right="300" w:firstLine="761"/>
        <w:spacing w:after="0" w:line="238" w:lineRule="auto"/>
        <w:rPr>
          <w:sz w:val="20"/>
          <w:szCs w:val="20"/>
          <w:color w:val="auto"/>
        </w:rPr>
      </w:pPr>
      <w:r>
        <w:rPr>
          <w:rFonts w:ascii="Arial" w:cs="Arial" w:eastAsia="Arial" w:hAnsi="Arial"/>
          <w:sz w:val="18"/>
          <w:szCs w:val="18"/>
          <w:color w:val="auto"/>
        </w:rPr>
        <w:t>We have begun to strategically take advantage of a broader portion of the used vehicle market by adding more lower priced vehicles to our inventory. As a data-driven company, we acquire inventory based upon demand predicted by our data analytics. Since the COVID-19 pandemic, that data has been moving towards lower-priced inventory, which we expect to continue to result in a lower ASP per unit than historical levels.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22"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We sell vehicles that do not meet our Vroom retail sales criteria through third-party wholesale auctions. Vehicles sold at auction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2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extended warranty contracts, GAP protection and wheel and tire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205"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w:t>
      </w:r>
    </w:p>
    <w:p>
      <w:pPr>
        <w:spacing w:after="0" w:line="203"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labor and parts revenue earned by us for vehicle repair services at TDA.</w:t>
      </w:r>
    </w:p>
    <w:p>
      <w:pPr>
        <w:spacing w:after="0" w:line="212" w:lineRule="exact"/>
        <w:rPr>
          <w:sz w:val="20"/>
          <w:szCs w:val="20"/>
          <w:color w:val="auto"/>
        </w:rPr>
      </w:pPr>
    </w:p>
    <w:p>
      <w:pPr>
        <w:ind w:right="680" w:firstLine="761"/>
        <w:spacing w:after="0" w:line="246" w:lineRule="auto"/>
        <w:rPr>
          <w:sz w:val="20"/>
          <w:szCs w:val="20"/>
          <w:color w:val="auto"/>
        </w:rPr>
      </w:pPr>
      <w:r>
        <w:rPr>
          <w:rFonts w:ascii="Arial" w:cs="Arial" w:eastAsia="Arial" w:hAnsi="Arial"/>
          <w:sz w:val="18"/>
          <w:szCs w:val="18"/>
          <w:color w:val="auto"/>
        </w:rPr>
        <w:t>See “Note 3—Revenue Recognition” to our condensed consolidated interim financial statements included elsewhere in this Quarterly Report on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6"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6" w:lineRule="exact"/>
        <w:rPr>
          <w:sz w:val="20"/>
          <w:szCs w:val="20"/>
          <w:color w:val="auto"/>
        </w:rPr>
      </w:pPr>
    </w:p>
    <w:p>
      <w:pPr>
        <w:ind w:right="44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203"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expect that our SG&amp;A expenses will increase in the future as we expand our operations, including our planned expansion of our proprietary logistics operations, hire additional employees and continue to increase our marketing spend to build brand awareness and increase consumer traffic on our platform. Over the fourth quarter, we intend to pursue further expansion of our customer experience team as we ramp up our sales support in anticipation of continued sales growth in 2021. We also expect to incur increased expenses associated with being a public company, including costs of accounting, audit, legal, regulatory and tax-related services associated with maintaining compliance with SEC and the Nasdaq Global Select Market requirements, director and officer insurance costs, and investor and public relations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380" w:firstLine="761"/>
        <w:spacing w:after="0" w:line="23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as well as amortization related to intangible assets acquired in the TDA acquisition and capitalized internal use software costs incurred in the development of our platform and website applications. Depreciation expense related to our Vroom VRC is included in cost of sales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Our interest expense includes interest expense related to our 2020 Vehicle Floorplan Facility (as defined herein), which is used to finance our inventory, as well as interest expense on our term loan facility, which was repaid in full in December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w:t>
      </w:r>
    </w:p>
    <w:p>
      <w:pPr>
        <w:spacing w:after="0"/>
        <w:rPr>
          <w:sz w:val="20"/>
          <w:szCs w:val="20"/>
          <w:color w:val="auto"/>
        </w:rPr>
      </w:pPr>
      <w:r>
        <w:rPr>
          <w:rFonts w:ascii="Arial" w:cs="Arial" w:eastAsia="Arial" w:hAnsi="Arial"/>
          <w:sz w:val="18"/>
          <w:szCs w:val="18"/>
          <w:color w:val="auto"/>
        </w:rPr>
        <w:t>Facility.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60"/>
              <w:spacing w:after="0"/>
              <w:rPr>
                <w:sz w:val="20"/>
                <w:szCs w:val="20"/>
                <w:color w:val="auto"/>
              </w:rPr>
            </w:pPr>
            <w:r>
              <w:rPr>
                <w:rFonts w:ascii="Arial" w:cs="Arial" w:eastAsia="Arial" w:hAnsi="Arial"/>
                <w:sz w:val="18"/>
                <w:szCs w:val="18"/>
                <w:color w:val="auto"/>
              </w:rPr>
              <w:t>Retail vehicle,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273,743</w:t>
            </w:r>
          </w:p>
        </w:tc>
        <w:tc>
          <w:tcPr>
            <w:tcW w:w="1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249,518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652,895</w:t>
            </w:r>
          </w:p>
        </w:tc>
        <w:tc>
          <w:tcPr>
            <w:tcW w:w="1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754,380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 vehicle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59,054</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63,972</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165,705</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170,469</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820" w:type="dxa"/>
            <w:vAlign w:val="bottom"/>
          </w:tcPr>
          <w:p>
            <w:pPr>
              <w:ind w:left="260"/>
              <w:spacing w:after="0"/>
              <w:rPr>
                <w:sz w:val="20"/>
                <w:szCs w:val="20"/>
                <w:color w:val="auto"/>
              </w:rPr>
            </w:pPr>
            <w:r>
              <w:rPr>
                <w:rFonts w:ascii="Arial" w:cs="Arial" w:eastAsia="Arial" w:hAnsi="Arial"/>
                <w:sz w:val="18"/>
                <w:szCs w:val="18"/>
                <w:color w:val="auto"/>
              </w:rPr>
              <w:t>Product, net</w:t>
            </w: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9,198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16,265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25,979</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1,364</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340,273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323,005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836,229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951,871</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324,602</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297,560</w:t>
            </w:r>
          </w:p>
        </w:tc>
        <w:tc>
          <w:tcPr>
            <w:tcW w:w="14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794,701</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900,432</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Total gross profit</w:t>
            </w: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15,671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25,445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41,528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51,439</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50,934</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61,127</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131,209</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167,418</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1,517</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1,191</w:t>
            </w:r>
          </w:p>
        </w:tc>
        <w:tc>
          <w:tcPr>
            <w:tcW w:w="14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4,551</w:t>
            </w:r>
          </w:p>
        </w:tc>
        <w:tc>
          <w:tcPr>
            <w:tcW w:w="1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3,239</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(36,780)</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(36,873)</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(94,232)</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(119,218)</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3,797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2,259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9,903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6,382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Revaluation of stock warrant</w:t>
            </w: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20,470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3,874.8%</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color w:val="auto"/>
              </w:rPr>
              <w:t>Loss before provision for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line="203" w:lineRule="exact"/>
              <w:rPr>
                <w:sz w:val="20"/>
                <w:szCs w:val="20"/>
                <w:color w:val="auto"/>
              </w:rPr>
            </w:pPr>
            <w:r>
              <w:rPr>
                <w:rFonts w:ascii="Arial" w:cs="Arial" w:eastAsia="Arial" w:hAnsi="Arial"/>
                <w:sz w:val="18"/>
                <w:szCs w:val="18"/>
                <w:color w:val="auto"/>
              </w:rPr>
              <w:t>taxes</w:t>
            </w: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(39,716)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(37,817)</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(100,121)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(141,999)</w:t>
            </w:r>
          </w:p>
        </w:tc>
        <w:tc>
          <w:tcPr>
            <w:tcW w:w="1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(39,764)</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(100,243)</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(142,137)</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82" w:lineRule="exact"/>
        <w:rPr>
          <w:sz w:val="20"/>
          <w:szCs w:val="20"/>
          <w:color w:val="auto"/>
        </w:rPr>
      </w:pPr>
    </w:p>
    <w:p>
      <w:pPr>
        <w:ind w:left="1000" w:right="420" w:hanging="236"/>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(68.7% and 66.2% of revenue for the three and nine months ended September 30, 2020): The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through our ecommerce platform and fees earned on sales of value-added products associated with those vehicle sales.</w:t>
      </w:r>
    </w:p>
    <w:p>
      <w:pPr>
        <w:spacing w:after="0" w:line="60" w:lineRule="exact"/>
        <w:rPr>
          <w:rFonts w:ascii="Arial" w:cs="Arial" w:eastAsia="Arial" w:hAnsi="Arial"/>
          <w:sz w:val="18"/>
          <w:szCs w:val="18"/>
          <w:color w:val="auto"/>
        </w:rPr>
      </w:pPr>
    </w:p>
    <w:p>
      <w:pPr>
        <w:jc w:val="both"/>
        <w:ind w:left="1000" w:right="260" w:hanging="236"/>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(11.5% and 15.9% of revenue for the three and nine months ended September 30, 2020): The TDA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sales of used vehicles from TDA and fees earned on sales of value-added products associated with those vehicle sales.</w:t>
      </w:r>
    </w:p>
    <w:p>
      <w:pPr>
        <w:spacing w:after="0" w:line="45" w:lineRule="exact"/>
        <w:rPr>
          <w:rFonts w:ascii="Arial" w:cs="Arial" w:eastAsia="Arial" w:hAnsi="Arial"/>
          <w:sz w:val="18"/>
          <w:szCs w:val="18"/>
          <w:color w:val="auto"/>
        </w:rPr>
      </w:pPr>
    </w:p>
    <w:p>
      <w:pPr>
        <w:ind w:left="1000" w:right="180" w:hanging="236"/>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(19.8% and 17.9% of revenue for the three and nine months ended September 30, 2020):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auctions.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Three Months Ended September 30, 2019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420"/>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5,563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Ecommerce revenue: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174,510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213,943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39,433</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7,818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178,113</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221,761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43,648</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5,171</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6,315</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7,818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8,774</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10,530</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ecommerce unit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31,370</w:t>
            </w:r>
          </w:p>
        </w:tc>
        <w:tc>
          <w:tcPr>
            <w:tcW w:w="1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24,248</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Ecommerce units sold increased 3,260, or 58.6%, from 5,563 for the three months ended September 30, 2019 to 8,823 for the three months ended September 30, 2020. This increase was driven by higher inventory levels, our national advertising campaign which continues to strengthen our national brand awareness as well as greater consumer acceptance of our business model as a result of disruptions caused by the COVID-19 pandemic, and process improvements in our ecommerce platform. Average monthly unique visitors to our website grew from 777,313 for the three months ended September 30, 2019 to 928,277 for the three months ended September 30, 2020, representing year over year growth of 19.4%. We expect ecommerce units sold to continue to grow in the future as we increase our inventory selection and marketing efforts as well as improve conversion.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Ecommerce vehicle revenue increased $ 39.5 million, or 22.6%, from $174.5 million for the three months ended September 30, 2019 to $214.0 million for the three months ended September 30, 2020. The increase in ecommerce vehicle revenue was primarily attributable to the 3,260 increase in ecommerce units sold, which increased vehicle revenue by $102.3 million, partially offset by a lower ASP per unit, which decreased from $31,370 for the three months ended September 30, 2019 to $24,248 for the three months ended September 30, 2020 and decreased vehicle revenue by $62.8 million. The decrease in ASP per unit was driven by demand predicted by our data analytics. Since the COVID-19 pandemic, that data has been moving towards lower-priced inventory, which we expect to continue to result in a lower ASP per unit than historical levels. We expect ecommerce vehicle revenue will continue to grow driven by increases in ecommerce units sold.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Ecommerce product revenue increased $4.2 million, or 117.0%, from $3.6 million for the three months ended September 30, 2019 to $7.8 million for the three months ended September 30, 2020. The increase in ecommerce product revenue was primarily attributable to the 3,260 increase in ecommerce units sold, which increased product revenue by $2.1 million and a $238 increase in product revenue per unit which increased product revenue by $2.1 million. Product revenue per unit increased from $648 for the three months ended September 30, 2019 to $886 for the three months ended September 30, 2020, which was primarily due to higher attachment rates, improved financing features in our ecommerce platform as well as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Ecommerce vehicle gross profit increased $6.3 million, or 122.1%, from $5.2 million for the three months ended September 30, 2019 to $11.5 million for the three months ended September 30, 2020. The increase in vehicle gross profit was primarily attributable to a $373 increase in vehicle gross profit per unit, which increased vehicle gross profit by $3.3 million and the 3,260 increase in ecommerce units sold, which increased vehicle gross profit by $3.0 million for the three months ended September 30, 2020. Vehicle gross profit per unit increased from $929 for the three months ended September 30, 2019 to $1,302 for the three months ended September 30, 2020 primarily attributable to improvements in inbound logistics and reconditioning costs.</w:t>
      </w:r>
    </w:p>
    <w:p>
      <w:pPr>
        <w:spacing w:after="0" w:line="205" w:lineRule="exact"/>
        <w:rPr>
          <w:sz w:val="20"/>
          <w:szCs w:val="20"/>
          <w:color w:val="auto"/>
        </w:rPr>
      </w:pPr>
    </w:p>
    <w:p>
      <w:pPr>
        <w:ind w:right="600" w:firstLine="761"/>
        <w:spacing w:after="0"/>
        <w:rPr>
          <w:sz w:val="20"/>
          <w:szCs w:val="20"/>
          <w:color w:val="auto"/>
        </w:rPr>
      </w:pPr>
      <w:r>
        <w:rPr>
          <w:rFonts w:ascii="Arial" w:cs="Arial" w:eastAsia="Arial" w:hAnsi="Arial"/>
          <w:sz w:val="18"/>
          <w:szCs w:val="18"/>
          <w:color w:val="auto"/>
        </w:rPr>
        <w:t>As we continue to mature our infrastructure, increase the number of VRCs and optimize our network of VRCs, we expect ecommerce vehicle gross profit per unit to continue to increase in the future driven by reduced costs across acquisitions, logistics and reconditioning.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Ecommerce product gross profit increased $4.2 million, or 117.0%, from $ 3.6 million for the three months ended September 30, 2019 to $7.8 million for the three months ended September 30, 2020. The increase in ecommerce product gross profit was primarily attributable to the 3,260 increase in ecommerce units sold which increased product gross profit by $2.1 million and a $238 increase in product gross profit per unit which increased product gross profit by $2.1 million for the three months ended September 30, 2020. The increase in product gross profit per unit was primarily attributable to higher attachment rates, improved financing features in our ecommerce platform as well as our strategic partnerships. The increase was partially offset by the lower ASP per unit which reduced the fees we earned on our financing products. We expect ecommerce product gross profit will continue to grow in the future driven by increases in ecommerce units sold, new product offerings, initiatives to improve product attachment rates and increases in per unit profit.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TDA</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420"/>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TDA revenue: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99,234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35,575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(63,659)</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TDA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103,106</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37,272</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(65,834)</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TDA gross profit: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3,425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gross profit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6,650</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TDA unit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30,236</w:t>
            </w:r>
          </w:p>
        </w:tc>
        <w:tc>
          <w:tcPr>
            <w:tcW w:w="1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24,316</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(5,920)</w:t>
            </w: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TDA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TDA unit</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TDA average days to sale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6"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TDA units sold decreased 1,819, or 55.4%, from 3,282 for the three months ended September 30, 2019 to 1,463 for the three months ended September 30, 2020. The Houston area has been a relative COVID-19 hotspot in the country and, as a result, TDA foot traffic continues to be negatively impacted by the pandemic. In addition, despite the fact that we have dramatically expanded our total inventory in excess of pre-COVID levels, the supply of used vehicles in Houston has not returned to the pre-COVID levels. We believe that TDA units sold will rebound with an eventual recovery in the area, but the timing is uncertain.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TDA vehicle revenue decreased $63.6 million, or 64.2%, from $99.2 million for the three months ended September 30, 2019 to $35.6 million for the three months ended September 30, 2020. The decrease in TDA vehicle revenue was primarily due to the 1,819 decrease in TDA units sold which decreased TDA vehicle revenue by $55.0 million and a lower ASP per unit, which decreased from $ 30,236 for the three months ended September 30, 2019 to $24,316 for the three months ended September 30, 2020 and decreased revenue by $8.6 million. We expect our TDA vehicle revenue will continue to be negatively impacted by the COVID-19 pandemic, but the ultimate extent and duration of the impact is uncertain at this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TDA product revenue decreased $2.0 million, or 59.7%, from $3.4 million for the three months ended September 30, 2019 to $1.4 million for the three months ended September 30, 2020. The decrease in TDA product revenue was primarily attributable to the 1,819 decrease in TDA units sold, which decreased TDA product revenue by $1.9 million and the decrease in product revenue per unit which decreased revenue by $0.1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right="360" w:firstLine="761"/>
        <w:spacing w:after="0" w:line="246" w:lineRule="auto"/>
        <w:rPr>
          <w:sz w:val="20"/>
          <w:szCs w:val="20"/>
          <w:color w:val="auto"/>
        </w:rPr>
      </w:pPr>
      <w:r>
        <w:rPr>
          <w:rFonts w:ascii="Arial" w:cs="Arial" w:eastAsia="Arial" w:hAnsi="Arial"/>
          <w:sz w:val="18"/>
          <w:szCs w:val="18"/>
          <w:color w:val="auto"/>
        </w:rPr>
        <w:t>TDA other revenue decreased $0.1 million, or 29.1%, from $0.4 million for the three months ended September 30, 2019 to $0.3 million for the three months ended September 30, 2020.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TDA vehicle gross profit decreased $1.8 million, or 57.6%, from $3.1 million for the three months ended September 30, 2019 to $1.3 million for the three months ended September 30, 2020. The decrease was primarily attributable to the 1,819 decrease in TDA units sold, which decreased TDA vehicle gross profit by $1.7 million and a decrease in TDA vehicle gross profit per unit, which decreased vehicle gross profit by $0.1 million. We expect our TDA vehicle gross profit to continue to be negatively impacted by the COVID-19 pandemic, but the ultimate extent and duration of the impact is uncertain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TDA product gross profit decreased $2.0 million, or 59.7% from $3.4 million for the three months ended September 30, 2019 to $1.4 million for the three months ended September 30, 2020. The decrease in TDA product gross profit was primarily attributable to the 1,819 decrease in TDA units sold, which decreased TDA product gross profit by $1.9 million and the decrease in product gross profit per unit which decreased gross profit by $0.1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6" w:lineRule="exact"/>
        <w:rPr>
          <w:sz w:val="20"/>
          <w:szCs w:val="20"/>
          <w:color w:val="auto"/>
        </w:rPr>
      </w:pPr>
    </w:p>
    <w:p>
      <w:pPr>
        <w:jc w:val="both"/>
        <w:ind w:right="120" w:firstLine="761"/>
        <w:spacing w:after="0" w:line="246" w:lineRule="auto"/>
        <w:rPr>
          <w:sz w:val="20"/>
          <w:szCs w:val="20"/>
          <w:color w:val="auto"/>
        </w:rPr>
      </w:pPr>
      <w:r>
        <w:rPr>
          <w:rFonts w:ascii="Arial" w:cs="Arial" w:eastAsia="Arial" w:hAnsi="Arial"/>
          <w:sz w:val="18"/>
          <w:szCs w:val="18"/>
          <w:color w:val="auto"/>
        </w:rPr>
        <w:t>TDA other gross profit decreased $0.1 million, or 28.5%, from $0.2 million for the three months ended September 30, 2019 to $0.1 million for the three months ended September 30,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5,420</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Wholesale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59,054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63,972</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1,253.4%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10,896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per unit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1,078.3%</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126"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Wholesale units sold increased 746, or 13.8%, from 5,420 for the three months ended September 30, 2019 to 6,166 for the three months ended September 30, 2020, primarily driven by an increase in wholesale units purchased from customers.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126" w:lineRule="exact"/>
        <w:rPr>
          <w:sz w:val="20"/>
          <w:szCs w:val="20"/>
          <w:color w:val="auto"/>
        </w:rPr>
      </w:pPr>
    </w:p>
    <w:p>
      <w:pPr>
        <w:jc w:val="both"/>
        <w:ind w:right="120" w:firstLine="761"/>
        <w:spacing w:after="0" w:line="238" w:lineRule="auto"/>
        <w:rPr>
          <w:sz w:val="20"/>
          <w:szCs w:val="20"/>
          <w:color w:val="auto"/>
        </w:rPr>
      </w:pPr>
      <w:r>
        <w:rPr>
          <w:rFonts w:ascii="Arial" w:cs="Arial" w:eastAsia="Arial" w:hAnsi="Arial"/>
          <w:sz w:val="18"/>
          <w:szCs w:val="18"/>
          <w:color w:val="auto"/>
        </w:rPr>
        <w:t>Wholesale revenue increased $4.9 million, or 8.3%, from $59.1 million for the three months ended September 30, 2019 to $64.0 million for the three months ended September 30, 2020. The increase was primarily attributable to the 746 increase in wholesale units sold which increased wholesale revenue by $8.1 million, partially offset by a lower ASP per wholesale unit which decreased from $10,896 for the three months ended September 30, 2019 to $10,375 for the three months ended September 30, 2020 and decreased wholesale revenue by $3.2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w:t>
      </w:r>
    </w:p>
    <w:p>
      <w:pPr>
        <w:spacing w:after="0" w:line="126"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Wholesale vehicle gross profit increased $3.1 million from $0.2 million for the three months ended September 30, 2019 to $3.3 million for the three months ended September 30, 2020. The increase was primarily attributable to a $496 increase in wholesale gross profit per unit, which increased from $46 per unit to $542 per unit primarily as the result of favorable used car prices.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19,050</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22,881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3,831</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Marketing expense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14,606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15,341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Outbound logistics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4,255</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4,245</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2,770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3,497</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6,756</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10,022</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3,266</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50,934</w:t>
            </w:r>
          </w:p>
        </w:tc>
        <w:tc>
          <w:tcPr>
            <w:tcW w:w="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61,127</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10,193</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Selling, general and administrative expenses increased $10.2 million, or 20.0%, from $50.9 million for the three months ended September 30, 2019 to $61.1 million for the three months ended September 30, 2020. The increase was primarily due to a $3.6 million increase in stock-based compensation included within compensation and benefits, a $4.2 million increase in outbound logistics costs partially attributable to the growth in ecommerce units sold, which increased outbound logistics costs by $2.5 million, and increases in market rates of logistics providers, which increased outbound logistics costs by $1.7 million, and a $3.3 million increase in other selling, general, and administrative expenses primarily related to additional insurance costs associated with being a publicly traded company. These increases were offset by a $1.7 million decrease in professional services due to a reduction in consulting expenses, primarily in the finance and reconditioning departments, as a result of completion of certain process improvement projects and hiring more employees.</w:t>
      </w:r>
    </w:p>
    <w:p>
      <w:pPr>
        <w:spacing w:after="0" w:line="235"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We expect selling, general and administrative expenses to increase in the future as we scale our business and sell more ecommerce units. We will also continue to invest in and improve our customer experience and invest in expanding our proprietary logistics network including our last-mile delivery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Depreciation and amortization expenses decreased $ 0.3 million, or 21.5%, from $1.5 million for three months ended September 30, 2019 to $1.2 million for the three months ended September 30, 2020. The decrease was primarily due to reduced amortization expense as certain intangible assets were fully amortized.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180" w:firstLine="761"/>
        <w:spacing w:after="0" w:line="261" w:lineRule="auto"/>
        <w:rPr>
          <w:sz w:val="20"/>
          <w:szCs w:val="20"/>
          <w:color w:val="auto"/>
        </w:rPr>
      </w:pPr>
      <w:r>
        <w:rPr>
          <w:rFonts w:ascii="Arial" w:cs="Arial" w:eastAsia="Arial" w:hAnsi="Arial"/>
          <w:sz w:val="17"/>
          <w:szCs w:val="17"/>
          <w:color w:val="auto"/>
        </w:rPr>
        <w:t>Interest expense decreased $1.5 million, or 40.5%, from $3.8 million for the three months ended September 30, 2019 to $ 2.3 million for the three months ended September 30, 2020. The decrease was primarily attributable to lower interest rates for the 2020 Vehicle Floorplan Facility as a result of decreases in the1-Month LIBOR rate as well as the repayment of our term loan facility in December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jc w:val="both"/>
        <w:ind w:right="260" w:firstLine="761"/>
        <w:spacing w:after="0"/>
        <w:rPr>
          <w:sz w:val="20"/>
          <w:szCs w:val="20"/>
          <w:color w:val="auto"/>
        </w:rPr>
      </w:pPr>
      <w:r>
        <w:rPr>
          <w:rFonts w:ascii="Arial" w:cs="Arial" w:eastAsia="Arial" w:hAnsi="Arial"/>
          <w:sz w:val="18"/>
          <w:szCs w:val="18"/>
          <w:color w:val="auto"/>
        </w:rPr>
        <w:t>Interest income increased $0.1 million, or 8.3%, from $1.2 million for the three months ended September 30, 2019 to $1.3 million for the three months ended September 30, 2020. The increase in interest income was primarily driven by higher cash and cash equivalent balances as a result of the IPO and follow-on public offering which was offset by lower interest rates.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Nine Months Ended September 30, 2019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420"/>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Ecommerce units sold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12,606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23,466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Ecommerce revenue: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381,709</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610,008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228,299</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7,212</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20,493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388,921</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630,501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241,580</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gross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20,296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5,685</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 gross profit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7,212</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20,493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ecommerce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21,823</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40,789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18,966</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ecommerce unit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30,280</w:t>
            </w:r>
          </w:p>
        </w:tc>
        <w:tc>
          <w:tcPr>
            <w:tcW w:w="1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25,995</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(4,285)</w:t>
            </w: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ecommerce unit: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ecommerce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ecommerce unit</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ecommerce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units sold increased 10,860, or 86.1%, from 12,606 for the nine months ended September 30, 2019 to 23,466 for the nine months ended September 30, 2020, driven by our increased inventory levels, process improvements in our ecommerce platform and our national advertising campaign which has strengthened our national brand awareness as well as greater consumer acceptance of our business model as a result of the COVID-19 pandemic. Average monthly unique visitors to our website increased from 605,820 for the nine months ended September 30, 2019 to 958,397 for the nine months ended September 30, 2020. We expect ecommerce units sold to continue to grow in the future as we increase our inventory selection and marketing efforts and improve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Ecommerce vehicle revenue increased $228.3 million, or 59.8%, from $381.7 million for the nine months ended September 30, 2019 to $610.0 million for the nine months ended September 30, 2020. The increase in ecommerce vehicle revenue was primarily attributable to the 10,860 increase in ecommerce units sold, which increased revenue by $328.8 million, partially offset by a lower ASP per unit, which decreased from $30,280 for the nine months ended September 30, 2019 to $25,995 for the nine months ended September 30, 2020 and decreased revenue by $100.5 million. The decrease in ASP per unit was driven by our strategic decision to reduce vehicle pricing in order to sell pre-COVID-19 inventory during the second quarter of 2020 as well as demand predicted by our data analytics. Since the COVID-19 pandemic, that data has been moving towards lower-priced inventory, which we expect to continue to result in a lower ASP per unit than historical levels. We expect ecommerce vehicle revenue will continue to grow driven by increases in ecommerce units sold.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Ecommerce product revenue increased $13.3 million, or 184.2%, from $7.2 million for the nine months ended September 30, 2019 to $20.5 million for the nine months ended September 30, 2020. The increase was attributable to the increase in product revenue per unit of $301, which increased product revenue by $7.1 million, and the 10,860 increase in ecommerce units sold which increased product revenue by $6.2 million. Product revenue per unit increased from $572 for the nine months ended September 30, 2019 to $873 for the nine months ended September 30, 2020, which was primarily due to higher attachment rates, improved financing features in our ecommerce platform and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vehicle gross profit increased $5.7 million, or 38.9%, from $14.6 million for the nine months ended September 30, 2019 to $20.3 million for the nine months ended September 30, 2020. The increase was attributable to the 10,860 increase in ecommerce units sold which increased vehicle gross profit by $12.6 million partially offset by a lower vehicle gross profit per unit, which decreased vehicle gross profit by $6.9 million. Vehicle gross profit per unit decreased by $294 from $ 1,159 for the nine months ended September 30, 2019 to $865 for the nine months ended September 30, 2020, primarily attributable to our strategic decision to reduce vehicle pricing in order to drive vehicle sales in the early stage of the COVID-19 pandemic.</w:t>
      </w:r>
    </w:p>
    <w:p>
      <w:pPr>
        <w:spacing w:after="0" w:line="205" w:lineRule="exact"/>
        <w:rPr>
          <w:sz w:val="20"/>
          <w:szCs w:val="20"/>
          <w:color w:val="auto"/>
        </w:rPr>
      </w:pPr>
    </w:p>
    <w:p>
      <w:pPr>
        <w:ind w:right="340" w:firstLine="761"/>
        <w:spacing w:after="0" w:line="274" w:lineRule="auto"/>
        <w:rPr>
          <w:sz w:val="20"/>
          <w:szCs w:val="20"/>
          <w:color w:val="auto"/>
        </w:rPr>
      </w:pPr>
      <w:r>
        <w:rPr>
          <w:rFonts w:ascii="Arial" w:cs="Arial" w:eastAsia="Arial" w:hAnsi="Arial"/>
          <w:sz w:val="17"/>
          <w:szCs w:val="17"/>
          <w:color w:val="auto"/>
        </w:rPr>
        <w:t>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Ecommerce product gross profit increased $13.3 million, or 184.2%, from $7.2 million for the nine months ended September 30, 2019 to $20.5 million for the nine months ended September 30, 2020. The increase was attributable to the increase in product gross profit per unit of $301, which increased product gross profit by $7.1 million, and the 10,860 increase in ecommerce units sold which increased product gross profit by $6.2 million. Product gross profit per unit increased from $572 for the nine months ended September 30, 2019 to $873 for the nine months ended September 30, 2020, which was primarily due to higher attachment rates, improved financing features in our ecommerce platform and our strategic partnerships. We expect ecommerce product gross profit will continue to grow in the future driven by increases in ecommerce units sold, new product offerings, initiatives to improve product attachment rates and increases in per unit profit.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420"/>
              <w:spacing w:after="0" w:line="156" w:lineRule="exact"/>
              <w:rPr>
                <w:sz w:val="20"/>
                <w:szCs w:val="20"/>
                <w:color w:val="auto"/>
              </w:rPr>
            </w:pPr>
            <w:r>
              <w:rPr>
                <w:rFonts w:ascii="Arial" w:cs="Arial" w:eastAsia="Arial" w:hAnsi="Arial"/>
                <w:sz w:val="14"/>
                <w:szCs w:val="14"/>
                <w:b w:val="1"/>
                <w:bCs w:val="1"/>
                <w:color w:val="auto"/>
              </w:rPr>
              <w:t>(in thousands, except unit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data and average days to sale)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TDA units sold</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9,444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5,608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TDA revenue: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Vehicle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271,186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144,372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(126,814)</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9,053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TDA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281,603</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150,901</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(130,702)</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TDA gross profit: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9,179</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9,053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gross profit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TDA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9,144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Pr>
          <w:p>
            <w:pPr>
              <w:spacing w:after="0" w:line="196" w:lineRule="exact"/>
              <w:rPr>
                <w:sz w:val="20"/>
                <w:szCs w:val="20"/>
                <w:color w:val="auto"/>
              </w:rPr>
            </w:pPr>
            <w:r>
              <w:rPr>
                <w:rFonts w:ascii="Arial" w:cs="Arial" w:eastAsia="Arial" w:hAnsi="Arial"/>
                <w:sz w:val="18"/>
                <w:szCs w:val="18"/>
                <w:color w:val="auto"/>
              </w:rPr>
              <w:t>Average vehicle selling price per TDA unit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28,715</w:t>
            </w:r>
          </w:p>
        </w:tc>
        <w:tc>
          <w:tcPr>
            <w:tcW w:w="1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line="196" w:lineRule="exact"/>
              <w:rPr>
                <w:sz w:val="20"/>
                <w:szCs w:val="20"/>
                <w:color w:val="auto"/>
              </w:rPr>
            </w:pPr>
            <w:r>
              <w:rPr>
                <w:rFonts w:ascii="Arial" w:cs="Arial" w:eastAsia="Arial" w:hAnsi="Arial"/>
                <w:sz w:val="18"/>
                <w:szCs w:val="18"/>
                <w:color w:val="auto"/>
              </w:rPr>
              <w:t>25,744</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(2,971)</w:t>
            </w: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 per TDA unit: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Vehicle gross profit per TDA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gross profit per TDA unit</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 per TDA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TDA average days to sale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2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TDA units sold decreased 3,836, or 40.6%, from 9,444 for the nine months ended September 30, 2019 to 5,608 for the nine months ended September 30, 2020. Although our physical retail location remained open, during the second quarter consumer demand for vehicles at TDA declined significantly due to government mandated “stay-home” orders and other disruptions related to the COVID-19 pandemic. In addition, despite the fact that during the third quarter we dramatically expanded our total inventory in excess of pre-COVID levels, the supply of used vehicles in Houston has not returned to pre-COVID levels. We believe that TDA units sold will rebound with an eventual recovery in the area, but the timing is uncertain.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26"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TDA vehicle revenue decreased $126.8 million, or 46.8%, from $271.2 million for the nine months ended September 30, 2019 to $144.4 million for the nine months ended September 30, 2020. The decrease was driven by the 3,836 decrease in TDA units sold, which decreased vehicle revenue by $ 110.2 million and the lower ASP per unit, which decreased from $28,715 for the nine months ended September 30, 2019 to $25,744 for the nine months ended September 30, 2020 and decreased vehicle revenue by $16.6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26"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TDA product revenue decreased $3.6 million, or 39.4%, from $9.1 million for the nine months ended September 30, 2019 to $5.5 million for the nine months ended September 30, 2020. The decrease was primarily driven by the 3,836 decrease in TDA units sold.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TDA other revenue decreased $0.3 million, or 23.5%, from $1.3 million for the nine months ended September 30, 2019 to $1.0 million for the nine months ended September 30,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26"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TDA vehicle gross profit decreased $5.9 million, or 63.9%, from $9.2 million for the nine months ended September 30, 2019 to $3.3 million for the nine months ended September 30, 2020. The decrease was attributable to the 3,836 decrease in TDA units sold, which decreased vehicle gross profit by $3.7 million and a decrease in TDA vehicle gross profit per unit of $381, which decreased vehicle gross profit by $2.2 million. We expect our vehicle gross profit to continue to be negatively impacted by the COVID-19 pandemic but the ultimate extent and duration of the impact is uncertain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26"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TDA product gross profit decreased $3.6 million, or 39.4%, from $9.1 million for the nine months ended September 30, 2019 to $5.5 million for the nine months ended September 30, 2020. The decrease was primarily driven by the 3,836 decrease in TDA units sold.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26"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TDA other gross profit decreased $0.3 million, or 42.3%, from $0.6 million for the nine months ended September 30, 2019 to $0.3 million for the nine months ended September 30,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5"/>
                <w:szCs w:val="15"/>
                <w:color w:val="auto"/>
              </w:rPr>
            </w:pPr>
          </w:p>
        </w:tc>
        <w:tc>
          <w:tcPr>
            <w:tcW w:w="13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units sold</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16,046</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14,110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Wholesale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165,705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170,469</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875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Average selling price per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10,327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Wholesale gross profit per unit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126" w:lineRule="exact"/>
        <w:rPr>
          <w:sz w:val="20"/>
          <w:szCs w:val="20"/>
          <w:color w:val="auto"/>
        </w:rPr>
      </w:pPr>
    </w:p>
    <w:p>
      <w:pPr>
        <w:jc w:val="both"/>
        <w:ind w:right="360" w:firstLine="761"/>
        <w:spacing w:after="0"/>
        <w:rPr>
          <w:sz w:val="20"/>
          <w:szCs w:val="20"/>
          <w:color w:val="auto"/>
        </w:rPr>
      </w:pPr>
      <w:r>
        <w:rPr>
          <w:rFonts w:ascii="Arial" w:cs="Arial" w:eastAsia="Arial" w:hAnsi="Arial"/>
          <w:sz w:val="18"/>
          <w:szCs w:val="18"/>
          <w:color w:val="auto"/>
        </w:rPr>
        <w:t>Wholesale units sold decreased 1,936, or 12.1%, from 16,046 for the nine months ended September 30, 2019 to 14,110 for the nine months ended September 30, 2020, primarily driven by a decrease in the number of trade-in vehicles as a result of the decrease in number of TDA units sold.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126"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Wholesale revenue increased $4.8 million, or 2.9%, from $165.7 million for the nine months ended September 30, 2019 to $170.5 million for the nine months ended September 30, 2020. The increase in wholesale revenue was attributable to a higher ASP per unit which increased from $10,327 million for the nine months ended September 30, 2019 to $12,081 for the nine months ended September 30, 2020 and increased revenue by $24.8 million, offset by the 1,936 decrease in wholesale units sold, which decreased wholesale revenue by $20.0 million. The increase in ASP per unit was primarily driven by the sale of retail quality vehicles through the wholesale auctions as we initially reduced our inventory levels in order to respond to decreased consumer demand due to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w:t>
      </w:r>
    </w:p>
    <w:p>
      <w:pPr>
        <w:spacing w:after="0" w:line="12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Wholesale vehicle gross profit increased $0.6 million, or 72.1%, from $0.9 million for the nine months ended September 30, 2019 to $1.5 million for the nine months ended September 30, 2020. The increase was primarily attributable to a $52 increase in wholesale gross profit per unit.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&amp; benefits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52,018</w:t>
            </w:r>
          </w:p>
        </w:tc>
        <w:tc>
          <w:tcPr>
            <w:tcW w:w="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63,821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11,803</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Marketing expense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34,442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44,829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10,387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Outbound logistics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9,199</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19,762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10,563</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Occupancy and related costs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8,041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9,378</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5,697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18,131</w:t>
            </w:r>
          </w:p>
        </w:tc>
        <w:tc>
          <w:tcPr>
            <w:tcW w:w="1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25,735</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7,604</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selling, general &amp; administrative expenses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131,209</w:t>
            </w:r>
          </w:p>
        </w:tc>
        <w:tc>
          <w:tcPr>
            <w:tcW w:w="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167,418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36,209</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Selling, general and administrative expenses increased $36.2 million, or 27.6%, from $131.2 million for the nine months ended September 30, 2019 to $167.4 million for the nine months ended September 30, 2020. The increase was primarily due to an $ 11.8 million increase in compensation and benefits partially due to an increase in employee headcount throughout the organization as our business scales, as well as a $3.6 million increase in stock-based compensation included within compensation and benefits, a $10.6 million increase in outbound logistics costs attributable to the growth in our ecommerce business, a $10.4 million increase in advertising and marketing efforts as we expanded our national broad-reach advertising, and a $7.6 million increase in other selling, general and administrative expenses, primarily related to increases in volume-based subscription fees as our business continues to scale and additional insurance costs associated with being a publicly traded company. The increases were partially offset by a $3.7 million decrease in professional services due to a reduction in consulting expenses, primarily in the finance and reconditioning departments, as a result of completion of certain process improvement projects and hiring more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expenses decreased $1.4 million, or 28.8%, from $4.6 million for the nine months ended</w:t>
      </w:r>
    </w:p>
    <w:p>
      <w:pPr>
        <w:spacing w:after="0" w:line="234" w:lineRule="auto"/>
        <w:rPr>
          <w:sz w:val="20"/>
          <w:szCs w:val="20"/>
          <w:color w:val="auto"/>
        </w:rPr>
      </w:pPr>
      <w:r>
        <w:rPr>
          <w:rFonts w:ascii="Arial" w:cs="Arial" w:eastAsia="Arial" w:hAnsi="Arial"/>
          <w:sz w:val="18"/>
          <w:szCs w:val="18"/>
          <w:color w:val="auto"/>
        </w:rPr>
        <w:t>September 30, 2019 to $3.2 million for the nine months ended September 30, 2020. The decrease was primarily due to reduced amortization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expense as certain intangible assets were fully amortized.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Interest expense decreased $3.5 million, or 35.6%, from $ 9.9 million for the nine months ended September 30, 2019 to $6.4 million for the nine months ended September 30, 2020. The decrease was primarily attributable to the repayment of our term loan facility in December 2019 as well as lower interest rates for the 2020 Vehicle Floorplan Facility as a result of decreases in the 1-Month LIBOR 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jc w:val="both"/>
        <w:ind w:right="160" w:firstLine="761"/>
        <w:spacing w:after="0"/>
        <w:rPr>
          <w:sz w:val="20"/>
          <w:szCs w:val="20"/>
          <w:color w:val="auto"/>
        </w:rPr>
      </w:pPr>
      <w:r>
        <w:rPr>
          <w:rFonts w:ascii="Arial" w:cs="Arial" w:eastAsia="Arial" w:hAnsi="Arial"/>
          <w:sz w:val="18"/>
          <w:szCs w:val="18"/>
          <w:color w:val="auto"/>
        </w:rPr>
        <w:t>Interest income decreased $ 0.5 million, or 11.1%, from $4.5 million for the nine months ended September 30, 2019 to $ 4.0 million for the nine months ended September 30, 2020. The decrease in interest income was primarily driven decreases in deposits with Ally Bank, lower interest rate yields, and decreases in the LIBOR rate.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126" w:lineRule="exact"/>
        <w:rPr>
          <w:sz w:val="20"/>
          <w:szCs w:val="20"/>
          <w:color w:val="auto"/>
        </w:rPr>
      </w:pPr>
    </w:p>
    <w:p>
      <w:pPr>
        <w:jc w:val="both"/>
        <w:ind w:right="60" w:firstLine="761"/>
        <w:spacing w:after="0"/>
        <w:rPr>
          <w:sz w:val="20"/>
          <w:szCs w:val="20"/>
          <w:color w:val="auto"/>
        </w:rPr>
      </w:pPr>
      <w:r>
        <w:rPr>
          <w:rFonts w:ascii="Arial" w:cs="Arial" w:eastAsia="Arial" w:hAnsi="Arial"/>
          <w:sz w:val="18"/>
          <w:szCs w:val="18"/>
          <w:color w:val="auto"/>
        </w:rPr>
        <w:t>The increase in revaluation of preferred stock warrant of $20.0 million from the nine months ended September 30, 2019 to the nine months ended September 30, 2020 was related to the revaluation of the warrant to purchase Series F preferred stock which was converted to the warrant to purchase common stock upon the IPO and subsequently exercised in June 2020.</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Our operations historically have been financed primarily from the sale of redeemable convertible preferred stock and borrowings under our Vehicle Floorplan Facility. On June 11, 2020, we completed our IPO in which we sold 24,437,500 shares of our common stock, which included 3,187,500 shares sold pursuant to the exercise by the underwriters of an over-allotment option to purchase additional shares, for proceeds of $504.0 million, net of the underwriting discount and before deducting offering expenses of $7.5 million. On September 15, 2020, we completed our follow-on public offering in which we sold 10,800,000 shares of common stock for proceeds of $569.5 million, net of the underwriting discount and before deducting offering expenses of $1.5 million. As of September 30, 2020, we had cash and cash equivalents of $1,161.4 million.</w:t>
      </w:r>
    </w:p>
    <w:p>
      <w:pPr>
        <w:spacing w:after="0" w:line="203"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We anticipate that our existing cash and cash equivalents and the 2020 Vehicle Floorplan Facility will be sufficient to support our working capital and capital expenditure requirements for at least the next twelve months from the date of this Form 10-Q. For the nine months ended September 30, 2020, we had negative cash flow from operations of approximately $182.9 million. We generated a net loss of approximately $37.9 million and $142.1 million for the three and nine months ended September 30, 2020, respectively. We have not been profitable since our inception in 2012 and had an accumulated deficit of approximately $717.2 million as of September 30, 2020. We expect to incur additional losses in the future.</w:t>
      </w:r>
    </w:p>
    <w:p>
      <w:pPr>
        <w:spacing w:after="0" w:line="205"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historically have funded vehicle inventory purchases primarily through our Vehicle Floorplan Facility. Our cash flows from operations may differ substantially from our net loss due to non-cash charges or due to changes in balance sheet accounts. The timing of our cash flows from operating activities can also vary among periods due to the timing of payments made or received. Our future capital requirements will depend on many factors, including our rate of revenue growth, our efforts to reduce costs per unit, the expansion of our inventory and sales and marketing activities, investment in our reconditioning and logistics operations, and enhancements to our ecommerce platform.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26" w:lineRule="exact"/>
        <w:rPr>
          <w:sz w:val="20"/>
          <w:szCs w:val="20"/>
          <w:color w:val="auto"/>
        </w:rPr>
      </w:pPr>
    </w:p>
    <w:p>
      <w:pPr>
        <w:ind w:right="160" w:firstLine="751"/>
        <w:spacing w:after="0" w:line="246" w:lineRule="auto"/>
        <w:rPr>
          <w:sz w:val="20"/>
          <w:szCs w:val="20"/>
          <w:color w:val="auto"/>
        </w:rPr>
      </w:pPr>
      <w:r>
        <w:rPr>
          <w:rFonts w:ascii="Arial" w:cs="Arial" w:eastAsia="Arial" w:hAnsi="Arial"/>
          <w:sz w:val="18"/>
          <w:szCs w:val="18"/>
          <w:color w:val="auto"/>
        </w:rPr>
        <w:t>As of September 30, 2020, we finance our inventory with a vehicle floorplan facility (the “2020 Vehicle Floorplan Facility”) with Ally Bank, which provides a committed credit line of up to $450.0 million.</w:t>
      </w:r>
    </w:p>
    <w:p>
      <w:pPr>
        <w:spacing w:after="0" w:line="197" w:lineRule="exact"/>
        <w:rPr>
          <w:sz w:val="20"/>
          <w:szCs w:val="20"/>
          <w:color w:val="auto"/>
        </w:rPr>
      </w:pPr>
    </w:p>
    <w:p>
      <w:pPr>
        <w:ind w:firstLine="751"/>
        <w:spacing w:after="0" w:line="236"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$12.1 million was available under this facility as of September 30, 2020. In October 2020, we amended our 2020 Vehicle Floorplan Facility to extend the maturity date to September 30, 2022. The amendment requires us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credit line availability on deposit with Ally Bank. We were required to pay an upfront commitment fee upon execution of the amendment.</w:t>
      </w:r>
    </w:p>
    <w:p>
      <w:pPr>
        <w:spacing w:after="0" w:line="208" w:lineRule="exact"/>
        <w:rPr>
          <w:sz w:val="20"/>
          <w:szCs w:val="20"/>
          <w:color w:val="auto"/>
        </w:rPr>
      </w:pPr>
    </w:p>
    <w:p>
      <w:pPr>
        <w:ind w:right="280" w:firstLine="761"/>
        <w:spacing w:after="0"/>
        <w:rPr>
          <w:sz w:val="20"/>
          <w:szCs w:val="20"/>
          <w:color w:val="auto"/>
        </w:rPr>
      </w:pPr>
      <w:r>
        <w:rPr>
          <w:rFonts w:ascii="Arial" w:cs="Arial" w:eastAsia="Arial" w:hAnsi="Arial"/>
          <w:sz w:val="18"/>
          <w:szCs w:val="18"/>
          <w:color w:val="auto"/>
        </w:rPr>
        <w:t>Outstanding borrowings are due as the vehicles financed are sold, or in any event, on the maturity date. The 2020 Vehicle Floorplan Facility bears interest at a rate equal to the 1-Month LIBOR rate applicable in the immediately preceding month plus a spread of 425 basis points.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nine months ended September 30, 2019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(180,028)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(182,874)</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(3,033)</w:t>
            </w:r>
          </w:p>
        </w:tc>
        <w:tc>
          <w:tcPr>
            <w:tcW w:w="140" w:type="dxa"/>
            <w:vAlign w:val="bottom"/>
          </w:tcPr>
          <w:p>
            <w:pPr>
              <w:spacing w:after="0"/>
              <w:rPr>
                <w:sz w:val="18"/>
                <w:szCs w:val="18"/>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87,652</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1,157,667</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1,070,015</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(94,400)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969,736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1,064,136</w:t>
            </w:r>
          </w:p>
        </w:tc>
        <w:tc>
          <w:tcPr>
            <w:tcW w:w="1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163,509</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219,587</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56,078</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69,109</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1,189,323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1,120,214</w:t>
            </w:r>
          </w:p>
        </w:tc>
        <w:tc>
          <w:tcPr>
            <w:tcW w:w="140" w:type="dxa"/>
            <w:vAlign w:val="bottom"/>
          </w:tcPr>
          <w:p>
            <w:pPr>
              <w:spacing w:after="0"/>
              <w:rPr>
                <w:sz w:val="18"/>
                <w:szCs w:val="18"/>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Net cash flows used in operating activities increased from $ 180.0 million for the nine months ended September 30, 2019 to $182.9 million for the nine months ended September 30, 2020. The increase is primarily attributable to $16.9 million in incremental net loss after reconciling adjustments for the nine months ended September 30, 2020, as compared to nine months ended September 30, 2019 offset by changes in working capital.</w:t>
      </w:r>
    </w:p>
    <w:p>
      <w:pPr>
        <w:spacing w:after="0" w:line="205" w:lineRule="exact"/>
        <w:rPr>
          <w:sz w:val="20"/>
          <w:szCs w:val="20"/>
          <w:color w:val="auto"/>
        </w:rPr>
      </w:pPr>
    </w:p>
    <w:p>
      <w:pPr>
        <w:jc w:val="both"/>
        <w:ind w:right="240" w:firstLine="761"/>
        <w:spacing w:after="0"/>
        <w:rPr>
          <w:sz w:val="20"/>
          <w:szCs w:val="20"/>
          <w:color w:val="auto"/>
        </w:rPr>
      </w:pPr>
      <w:r>
        <w:rPr>
          <w:rFonts w:ascii="Arial" w:cs="Arial" w:eastAsia="Arial" w:hAnsi="Arial"/>
          <w:sz w:val="18"/>
          <w:szCs w:val="18"/>
          <w:color w:val="auto"/>
        </w:rPr>
        <w:t>We finance substantially all our inventories with the 2020 Vehicle Floorplan Facility. In accordance with U.S. GAAP relating to the statement of cash flows, we report all cash flows arising in connection with the 2020 Vehicle Floorplan Facility, as a financing activity in our statement of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Net cash flows used in investing activities increased $3.1 million, from $2.0 million for the nine months ended September 30, 2019 to $5.1 million for the nine months ended September 30, 2020, primarily as a result of an increase in capitalization of software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flows provided by financing activities increased $1,070.0 million from $87.7 million for the nine months ended</w:t>
      </w:r>
    </w:p>
    <w:p>
      <w:pPr>
        <w:spacing w:after="0" w:line="234" w:lineRule="auto"/>
        <w:rPr>
          <w:sz w:val="20"/>
          <w:szCs w:val="20"/>
          <w:color w:val="auto"/>
        </w:rPr>
      </w:pPr>
      <w:r>
        <w:rPr>
          <w:rFonts w:ascii="Arial" w:cs="Arial" w:eastAsia="Arial" w:hAnsi="Arial"/>
          <w:sz w:val="18"/>
          <w:szCs w:val="18"/>
          <w:color w:val="auto"/>
        </w:rPr>
        <w:t>September 30, 2019 to $1,157.7 million for the nine months ended September 30, 2020. The increase was primarily related to $497.2 million</w:t>
      </w:r>
    </w:p>
    <w:p>
      <w:pPr>
        <w:spacing w:after="0" w:line="235" w:lineRule="auto"/>
        <w:rPr>
          <w:sz w:val="20"/>
          <w:szCs w:val="20"/>
          <w:color w:val="auto"/>
        </w:rPr>
      </w:pPr>
      <w:r>
        <w:rPr>
          <w:rFonts w:ascii="Arial" w:cs="Arial" w:eastAsia="Arial" w:hAnsi="Arial"/>
          <w:sz w:val="18"/>
          <w:szCs w:val="18"/>
          <w:color w:val="auto"/>
        </w:rPr>
        <w:t>of net proceeds received upon completion of the IPO net of cash paid for offering expenses related to the IPO, $569.3 million of net proceeds</w:t>
      </w:r>
    </w:p>
    <w:p>
      <w:pPr>
        <w:spacing w:after="0" w:line="235" w:lineRule="auto"/>
        <w:rPr>
          <w:sz w:val="20"/>
          <w:szCs w:val="20"/>
          <w:color w:val="auto"/>
        </w:rPr>
      </w:pPr>
      <w:r>
        <w:rPr>
          <w:rFonts w:ascii="Arial" w:cs="Arial" w:eastAsia="Arial" w:hAnsi="Arial"/>
          <w:sz w:val="18"/>
          <w:szCs w:val="18"/>
          <w:color w:val="auto"/>
        </w:rPr>
        <w:t>received upon completion of the follow-on public offering net of cash paid for offering expenses related to the follow-on public offering, and</w:t>
      </w:r>
    </w:p>
    <w:p>
      <w:pPr>
        <w:spacing w:after="0" w:line="235" w:lineRule="auto"/>
        <w:rPr>
          <w:sz w:val="20"/>
          <w:szCs w:val="20"/>
          <w:color w:val="auto"/>
        </w:rPr>
      </w:pPr>
      <w:r>
        <w:rPr>
          <w:rFonts w:ascii="Arial" w:cs="Arial" w:eastAsia="Arial" w:hAnsi="Arial"/>
          <w:sz w:val="18"/>
          <w:szCs w:val="18"/>
          <w:color w:val="auto"/>
        </w:rPr>
        <w:t>the issuance of $21.7 million of Series H preferred stock, net of issuance costs paid. These increases were partially offset by a net decrease</w:t>
      </w:r>
    </w:p>
    <w:p>
      <w:pPr>
        <w:spacing w:after="0" w:line="235" w:lineRule="auto"/>
        <w:rPr>
          <w:sz w:val="20"/>
          <w:szCs w:val="20"/>
          <w:color w:val="auto"/>
        </w:rPr>
      </w:pPr>
      <w:r>
        <w:rPr>
          <w:rFonts w:ascii="Arial" w:cs="Arial" w:eastAsia="Arial" w:hAnsi="Arial"/>
          <w:sz w:val="18"/>
          <w:szCs w:val="18"/>
          <w:color w:val="auto"/>
        </w:rPr>
        <w:t>in cash of $17.9 million related to our Vehicle Floorplan Facility. Proceeds from and payments for our Vehicle Floorplan Facility decreased</w:t>
      </w:r>
    </w:p>
    <w:p>
      <w:pPr>
        <w:spacing w:after="0" w:line="234" w:lineRule="auto"/>
        <w:rPr>
          <w:sz w:val="20"/>
          <w:szCs w:val="20"/>
          <w:color w:val="auto"/>
        </w:rPr>
      </w:pPr>
      <w:r>
        <w:rPr>
          <w:rFonts w:ascii="Arial" w:cs="Arial" w:eastAsia="Arial" w:hAnsi="Arial"/>
          <w:sz w:val="18"/>
          <w:szCs w:val="18"/>
          <w:color w:val="auto"/>
        </w:rPr>
        <w:t>from a net cash inflow of $93.4 million for the nine months ended September 30, 2019 to $75.5 million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There have been no material changes to our contractual obligations or commitments outside of the ordinary course of business as compared to those described in our Prospectus (File No. 333-248655) filed pursuant to Rule 424(b)(4) on September 11,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34"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4"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in accordance with U.S. GAAP. In preparing the condensed consolidated financial statements, we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16"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of the notes to our condensed consolidated financial statements in the section titled “—Summary of Significant Accounting Policies” in Part I, Item 1 of this Quarterly Report on Form 10-Q and in the Prospectus.</w:t>
      </w:r>
    </w:p>
    <w:p>
      <w:pPr>
        <w:spacing w:after="0" w:line="232"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Except as described in Note 2 to our condensed consolidated financial statements, there have been no material changes to our critical accounting policies and estimates as compared to the critical accounting policies and estimates disclosed in the Prospectus.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34" w:lineRule="exact"/>
        <w:rPr>
          <w:sz w:val="20"/>
          <w:szCs w:val="20"/>
          <w:color w:val="auto"/>
        </w:rPr>
      </w:pPr>
    </w:p>
    <w:p>
      <w:pPr>
        <w:ind w:right="200" w:firstLine="761"/>
        <w:spacing w:after="0"/>
        <w:rPr>
          <w:sz w:val="20"/>
          <w:szCs w:val="20"/>
          <w:color w:val="auto"/>
        </w:rPr>
      </w:pPr>
      <w:r>
        <w:rPr>
          <w:rFonts w:ascii="Arial" w:cs="Arial" w:eastAsia="Arial" w:hAnsi="Arial"/>
          <w:sz w:val="18"/>
          <w:szCs w:val="18"/>
          <w:color w:val="auto"/>
        </w:rPr>
        <w:t>See “Note 2—Summary of Significant Accounting Policies—Adoption of New Accounting Standards” in Part I, Item 1 of this Quarterly Report on Form 10-Q for a discussion about new accounting pronouncements adopted and not yet adopted as of the date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6"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240" w:firstLine="761"/>
        <w:spacing w:after="0" w:line="238" w:lineRule="auto"/>
        <w:rPr>
          <w:sz w:val="20"/>
          <w:szCs w:val="20"/>
          <w:color w:val="auto"/>
        </w:rPr>
      </w:pPr>
      <w:r>
        <w:rPr>
          <w:rFonts w:ascii="Arial" w:cs="Arial" w:eastAsia="Arial" w:hAnsi="Arial"/>
          <w:sz w:val="18"/>
          <w:szCs w:val="18"/>
          <w:color w:val="auto"/>
        </w:rPr>
        <w:t>As of September 30, 2020, we had an outstanding balance under the 2020 Vehicle Floorplan Facility of $249.0 million. The 2020 Vehicle Floorplan Facility bears interest at a rate equal to the 1-Month LIBOR rate applicable in the immediately preceding month, plus a spread of 425 basis points. A hypothetical 10% change in interest rates during the periods presented would result in a change to interest expense of $0.2 million and $0.6 million for the three and nine months ended September 30,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September 30, 2020,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Material Weaknesses</w:t>
      </w:r>
    </w:p>
    <w:p>
      <w:pPr>
        <w:spacing w:after="0" w:line="126"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Internal control over financial reporting is a process designed to provide reasonable assurance regarding the reliability of financial reporting and the preparation of financial statements in accordance with GAAP. In connection with our audit of consolidated financial statements for the year ended December 31, 2018, we identified material weaknesses in our internal control over financial reporting. 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98" w:lineRule="exact"/>
        <w:rPr>
          <w:sz w:val="20"/>
          <w:szCs w:val="20"/>
          <w:color w:val="auto"/>
        </w:rPr>
      </w:pPr>
    </w:p>
    <w:p>
      <w:pPr>
        <w:ind w:left="1000" w:hanging="236"/>
        <w:spacing w:after="0" w:line="23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110" w:lineRule="exact"/>
        <w:rPr>
          <w:rFonts w:ascii="Arial" w:cs="Arial" w:eastAsia="Arial" w:hAnsi="Arial"/>
          <w:sz w:val="18"/>
          <w:szCs w:val="18"/>
          <w:color w:val="auto"/>
        </w:rPr>
      </w:pPr>
    </w:p>
    <w:p>
      <w:pPr>
        <w:ind w:left="1000" w:right="80" w:hanging="236"/>
        <w:spacing w:after="0" w:line="23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23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control deficiencies described above did not result in a misstatement to our annual consolidated financial statements. However, each of the material weaknesses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245"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 In the year ended December 31, 2019, we undertook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In addition, in the year ending December 31, 2020, we continue to take steps to remediate these material weaknesses, including:</w:t>
      </w:r>
    </w:p>
    <w:p>
      <w:pPr>
        <w:spacing w:after="0" w:line="97" w:lineRule="exact"/>
        <w:rPr>
          <w:sz w:val="20"/>
          <w:szCs w:val="20"/>
          <w:color w:val="auto"/>
        </w:rPr>
      </w:pPr>
    </w:p>
    <w:p>
      <w:pPr>
        <w:ind w:left="1000" w:hanging="2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additional qualified accounting, financial reporting and information technology personnel with public company experience;</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additional training for our personnel on internal control over financial reporting;</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new financial systems and processes;</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additional review controls and processes and requiring timely account reconciliation and analyses;</w:t>
      </w:r>
    </w:p>
    <w:p>
      <w:pPr>
        <w:spacing w:after="0" w:line="130" w:lineRule="exact"/>
        <w:rPr>
          <w:rFonts w:ascii="Arial" w:cs="Arial" w:eastAsia="Arial" w:hAnsi="Arial"/>
          <w:sz w:val="18"/>
          <w:szCs w:val="18"/>
          <w:color w:val="auto"/>
        </w:rPr>
      </w:pPr>
    </w:p>
    <w:p>
      <w:pPr>
        <w:ind w:left="1000" w:hanging="23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 and</w:t>
      </w:r>
    </w:p>
    <w:p>
      <w:pPr>
        <w:spacing w:after="0" w:line="130" w:lineRule="exact"/>
        <w:rPr>
          <w:rFonts w:ascii="Arial" w:cs="Arial" w:eastAsia="Arial" w:hAnsi="Arial"/>
          <w:sz w:val="18"/>
          <w:szCs w:val="18"/>
          <w:color w:val="auto"/>
        </w:rPr>
      </w:pPr>
    </w:p>
    <w:p>
      <w:pPr>
        <w:ind w:left="1000" w:right="580" w:hanging="236"/>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Except as otherwise described herein, there was no change in our internal control over financial reporting (as defined in Rules 13a-15(f) and 15d-15(f) under the Exchange Act) during the three months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right="660" w:firstLine="761"/>
        <w:spacing w:after="0"/>
        <w:rPr>
          <w:sz w:val="20"/>
          <w:szCs w:val="20"/>
          <w:color w:val="auto"/>
        </w:rPr>
      </w:pPr>
      <w:r>
        <w:rPr>
          <w:rFonts w:ascii="Arial" w:cs="Arial" w:eastAsia="Arial" w:hAnsi="Arial"/>
          <w:sz w:val="18"/>
          <w:szCs w:val="18"/>
          <w:color w:val="auto"/>
        </w:rPr>
        <w:t>From time to time, we are subject to routine legal proceedings in the normal course of operating our business. Although the outcome of litigation is inherently difficult to predict, we are not involved in any legal proceedings that we believe could reasonably be expected to have a material adverse effect on our business, financial condition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xml:space="preserve">The risk factors disclosed under the heading “Risk Factors” in our </w:t>
      </w:r>
      <w:hyperlink r:id="rId77">
        <w:r>
          <w:rPr>
            <w:rFonts w:ascii="Arial" w:cs="Arial" w:eastAsia="Arial" w:hAnsi="Arial"/>
            <w:sz w:val="18"/>
            <w:szCs w:val="18"/>
            <w:u w:val="single" w:color="auto"/>
            <w:color w:val="0000EE"/>
          </w:rPr>
          <w:t>Prospectus (File No. 333-248655)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pursuant to Rule 424(b)</w:t>
      </w:r>
    </w:p>
    <w:p>
      <w:pPr>
        <w:ind w:firstLine="8"/>
        <w:spacing w:after="0" w:line="237"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11, 2020 (the “Prospectus”), are hereby incorporated by reference into this Part II, Item 1A of this Quarterly Report on Form 10-Q, except for the risk factors captioned “Our management team will have immediate and broad discretion over the use of the net proceeds from this offering and may not use them effectively” and “Investors in this offering will experience immediate and substantial dilution of $45.01 per share.” Our operations and financial results are subject to various risks and uncertainties including those disclosed therein. 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 We provide below the material changes to our risk factors described in the Prospectus:</w:t>
      </w:r>
    </w:p>
    <w:p>
      <w:pPr>
        <w:spacing w:after="0" w:line="1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The COVID-19 pandemic caused by the novel coronavirus has had and is expected to continue to have an adverse effect on our business, financial condition and results of operations.</w:t>
      </w:r>
    </w:p>
    <w:p>
      <w:pPr>
        <w:spacing w:after="0" w:line="176" w:lineRule="exact"/>
        <w:rPr>
          <w:sz w:val="20"/>
          <w:szCs w:val="20"/>
          <w:color w:val="auto"/>
        </w:rPr>
      </w:pPr>
    </w:p>
    <w:p>
      <w:pPr>
        <w:ind w:right="340" w:firstLine="749"/>
        <w:spacing w:after="0" w:line="238" w:lineRule="auto"/>
        <w:rPr>
          <w:sz w:val="20"/>
          <w:szCs w:val="20"/>
          <w:color w:val="auto"/>
        </w:rPr>
      </w:pPr>
      <w:r>
        <w:rPr>
          <w:rFonts w:ascii="Arial" w:cs="Arial" w:eastAsia="Arial" w:hAnsi="Arial"/>
          <w:sz w:val="18"/>
          <w:szCs w:val="18"/>
          <w:color w:val="auto"/>
        </w:rPr>
        <w:t>In March 2020, the World Health Organization declared COVID-19 a global pandemic, and governmental authorities around the world have implemented measures to reduce the spread of COVID-19. These measures have adversely affected workforces, customers, supply chains, consumer sentiment, economies, and financial markets, and, along with decreased consumer spending, have led to an economic downturn across many global economies.</w:t>
      </w:r>
    </w:p>
    <w:p>
      <w:pPr>
        <w:spacing w:after="0" w:line="205"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The COVID-19 pandemic rapidly escalated in the United States, creating significant uncertainty and economic disruption, and leading to record levels of unemployment nationally. Numerous state and local jurisdictions imposed, and others in the future may impose, shelter-in-place orders, quarantines, shut-downs of non-essential businesses, and similar government orders and restrictions on their residents to control the spread of COVID-19. While some such orders or restrictions have been lifted in certain jurisdictions, certain of those orders have been re-instated, new orders have been imposed and future orders may be imposed as the COVID-19 pandemic continues to spread in waves nationwide. Such orders or restrictions have resulted in temporary facility closures (including certain of our third-party VRCs), work stoppages, slowdowns and travel restrictions, among other effects, thereby adversely impacting our operations. Due to the evolving nature of the COVID-19 crisis, we continue to monitor the situation closely and assess the impact on our business. We expect our operations will continue to be adversely impacted through the end of 2020 and continuing into 2021, however, the magnitude and duration of the ultimate impact is impossible to predict with certainty due to:</w:t>
      </w:r>
    </w:p>
    <w:p>
      <w:pPr>
        <w:spacing w:after="0" w:line="206" w:lineRule="exact"/>
        <w:rPr>
          <w:sz w:val="20"/>
          <w:szCs w:val="20"/>
          <w:color w:val="auto"/>
        </w:rPr>
      </w:pPr>
    </w:p>
    <w:p>
      <w:pPr>
        <w:ind w:left="1380" w:right="20" w:hanging="373"/>
        <w:spacing w:after="0" w:line="246"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regarding the duration of the COVID-19 pandemic and the length of time over which the disruptions caused by COVID-19 will continue;</w:t>
      </w:r>
    </w:p>
    <w:p>
      <w:pPr>
        <w:spacing w:after="0" w:line="75" w:lineRule="exact"/>
        <w:rPr>
          <w:rFonts w:ascii="Arial" w:cs="Arial" w:eastAsia="Arial" w:hAnsi="Arial"/>
          <w:sz w:val="18"/>
          <w:szCs w:val="18"/>
          <w:color w:val="auto"/>
        </w:rPr>
      </w:pPr>
    </w:p>
    <w:p>
      <w:pPr>
        <w:ind w:left="1380" w:right="300" w:hanging="373"/>
        <w:spacing w:after="0" w:line="246"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governmental orders and regulations that have been, and may in the future be, imposed in response to the pandemic;</w:t>
      </w:r>
    </w:p>
    <w:p>
      <w:pPr>
        <w:spacing w:after="0" w:line="75" w:lineRule="exact"/>
        <w:rPr>
          <w:rFonts w:ascii="Arial" w:cs="Arial" w:eastAsia="Arial" w:hAnsi="Arial"/>
          <w:sz w:val="18"/>
          <w:szCs w:val="18"/>
          <w:color w:val="auto"/>
        </w:rPr>
      </w:pPr>
    </w:p>
    <w:p>
      <w:pPr>
        <w:ind w:left="1380" w:right="620" w:hanging="373"/>
        <w:spacing w:after="0" w:line="246"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COVID-19 on VRCs, wholesale auctions, state DMV titling and registration services, third party vehicle carriers and other third parties on which we rely;</w:t>
      </w:r>
    </w:p>
    <w:p>
      <w:pPr>
        <w:spacing w:after="0" w:line="75" w:lineRule="exact"/>
        <w:rPr>
          <w:rFonts w:ascii="Arial" w:cs="Arial" w:eastAsia="Arial" w:hAnsi="Arial"/>
          <w:sz w:val="18"/>
          <w:szCs w:val="18"/>
          <w:color w:val="auto"/>
        </w:rPr>
      </w:pPr>
    </w:p>
    <w:p>
      <w:pPr>
        <w:ind w:left="1380" w:hanging="373"/>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as to the impact future increases in transmission could have on our ability to fully staff portions of our business;</w:t>
      </w:r>
    </w:p>
    <w:p>
      <w:pPr>
        <w:spacing w:after="0" w:line="103" w:lineRule="exact"/>
        <w:rPr>
          <w:rFonts w:ascii="Arial" w:cs="Arial" w:eastAsia="Arial" w:hAnsi="Arial"/>
          <w:sz w:val="18"/>
          <w:szCs w:val="18"/>
          <w:color w:val="auto"/>
        </w:rPr>
      </w:pPr>
    </w:p>
    <w:p>
      <w:pPr>
        <w:ind w:left="1380" w:right="300" w:hanging="373"/>
        <w:spacing w:after="0" w:line="246"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economic conditions in the United States, as well as high unemployment levels, which could have an adverse impact on discretionary consumer spending;</w:t>
      </w:r>
    </w:p>
    <w:p>
      <w:pPr>
        <w:spacing w:after="0" w:line="75" w:lineRule="exact"/>
        <w:rPr>
          <w:rFonts w:ascii="Arial" w:cs="Arial" w:eastAsia="Arial" w:hAnsi="Arial"/>
          <w:sz w:val="18"/>
          <w:szCs w:val="18"/>
          <w:color w:val="auto"/>
        </w:rPr>
      </w:pPr>
    </w:p>
    <w:p>
      <w:pPr>
        <w:ind w:left="1380" w:hanging="373"/>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regarding the potential for, timing and duration of, and severity of future waves of the COVID-19 crisis;</w:t>
      </w:r>
    </w:p>
    <w:p>
      <w:pPr>
        <w:spacing w:after="0" w:line="103" w:lineRule="exact"/>
        <w:rPr>
          <w:rFonts w:ascii="Arial" w:cs="Arial" w:eastAsia="Arial" w:hAnsi="Arial"/>
          <w:sz w:val="18"/>
          <w:szCs w:val="18"/>
          <w:color w:val="auto"/>
        </w:rPr>
      </w:pPr>
    </w:p>
    <w:p>
      <w:pPr>
        <w:ind w:left="1380" w:right="780" w:hanging="373"/>
        <w:spacing w:after="0" w:line="246"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as to whether and to what degree governmental economic relief will be provided to soften the negative economic effects of the COVID-19 crisis and the resulting governmental orders and restrictions; and</w:t>
      </w:r>
    </w:p>
    <w:p>
      <w:pPr>
        <w:spacing w:after="0" w:line="75" w:lineRule="exact"/>
        <w:rPr>
          <w:rFonts w:ascii="Arial" w:cs="Arial" w:eastAsia="Arial" w:hAnsi="Arial"/>
          <w:sz w:val="18"/>
          <w:szCs w:val="18"/>
          <w:color w:val="auto"/>
        </w:rPr>
      </w:pPr>
    </w:p>
    <w:p>
      <w:pPr>
        <w:ind w:left="1380" w:hanging="373"/>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availability, efficacy and impact of potential vaccines and treatments for COVID-19 that are under development.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3" w:name="page54"/>
    <w:bookmarkEnd w:id="53"/>
    <w:p>
      <w:pPr>
        <w:ind w:right="20" w:firstLine="749"/>
        <w:spacing w:after="0" w:line="236"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in that location.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Nevertheless, these actions may not be sufficient to prevent a material disruption in our workforce.</w:t>
      </w:r>
    </w:p>
    <w:p>
      <w:pPr>
        <w:spacing w:after="0" w:line="206" w:lineRule="exact"/>
        <w:rPr>
          <w:sz w:val="20"/>
          <w:szCs w:val="20"/>
          <w:color w:val="auto"/>
        </w:rPr>
      </w:pPr>
    </w:p>
    <w:p>
      <w:pPr>
        <w:ind w:firstLine="749"/>
        <w:spacing w:after="0" w:line="234" w:lineRule="auto"/>
        <w:rPr>
          <w:sz w:val="20"/>
          <w:szCs w:val="20"/>
          <w:color w:val="auto"/>
        </w:rPr>
      </w:pPr>
      <w:r>
        <w:rPr>
          <w:rFonts w:ascii="Arial" w:cs="Arial" w:eastAsia="Arial" w:hAnsi="Arial"/>
          <w:sz w:val="18"/>
          <w:szCs w:val="18"/>
          <w:color w:val="auto"/>
        </w:rPr>
        <w:t>Both TDA and our back-office facility in Houston continued to remain open during the three months ended September 30, 2020 and through the date of this Form 10-Q. However, as a result of the continuing impact of the COVID-19 pandemic, we have seen a significant reduction in foot traffic at TDA, and a decline in our unit sales at TDA, despite higher overall unit sales. We also have experienced disruptions in our logistics network and productivity challenges in our back-office operations. As COVID-19 disruptions continue, we are unsure when TDA will return to normal operations and when the other negative effects on our business will subside. As a result of these developments, our business, results of operations, cash flows and financial condition for fiscal year 2020 have been and will be significantly affected by</w:t>
      </w:r>
    </w:p>
    <w:p>
      <w:pPr>
        <w:spacing w:after="0" w:line="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COVID-19 disruptions and could continue to be adversely impacted in the future. There is no assurance the measures we have taken or may take in the future will be successful in managing the uncertainties caused by COVID-19.</w:t>
      </w:r>
    </w:p>
    <w:p>
      <w:pPr>
        <w:spacing w:after="0" w:line="197" w:lineRule="exact"/>
        <w:rPr>
          <w:sz w:val="20"/>
          <w:szCs w:val="20"/>
          <w:color w:val="auto"/>
        </w:rPr>
      </w:pPr>
    </w:p>
    <w:p>
      <w:pPr>
        <w:ind w:right="200" w:firstLine="749"/>
        <w:spacing w:after="0" w:line="238"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among others. The ultimate consequences of the COVID-19 pandemic cannot be predicted with certainty, but it could have a material effect on our business, operating results, financial condition and prospects.</w:t>
      </w:r>
    </w:p>
    <w:p>
      <w:pPr>
        <w:spacing w:after="0" w:line="20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addition to the COVID-19 disruptions adversely impacting our business and financial results, they may also have the effect of heightening many of the other risks described in “Risk Factors,” including risks relating to changes in consumer demand; our limited operating history; our ability to generate sufficient revenue to generate positive cash flow; the operation of, and concentration of our revenues and gross profit from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unregistered equity securities sold from July 1, 2020 to September 30,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26" w:lineRule="exact"/>
        <w:rPr>
          <w:sz w:val="20"/>
          <w:szCs w:val="20"/>
          <w:color w:val="auto"/>
        </w:rPr>
      </w:pPr>
    </w:p>
    <w:p>
      <w:pPr>
        <w:ind w:firstLine="761"/>
        <w:spacing w:after="0" w:line="234" w:lineRule="auto"/>
        <w:rPr>
          <w:sz w:val="20"/>
          <w:szCs w:val="20"/>
          <w:color w:val="auto"/>
        </w:rPr>
      </w:pPr>
      <w:r>
        <w:rPr>
          <w:rFonts w:ascii="Arial" w:cs="Arial" w:eastAsia="Arial" w:hAnsi="Arial"/>
          <w:sz w:val="18"/>
          <w:szCs w:val="18"/>
          <w:color w:val="auto"/>
        </w:rPr>
        <w:t>On June 11, 2020, we completed our IPO, in which we sold 24,437,500 shares of common stock at a price to the public of $22.00 per share, including 3,187,500 shares sold in connection with the exercise of the underwriters’ option to purchase additional shares. The offer and sale of all of the shares in the IPO were registered under the Securities Act pursuant to a registration statement on Form S-1 (File</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No. 333-238482), as amended, which was declared effective by the SEC on June 8, 2020. We raised $504.0 million in net proceeds after deducting underwriting discounts and commissions and before deducting offering expenses of $7.5 million.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IPO as described in our final prospectus filed with the SEC on June 9, 2020 pursuant to Rule 424(b)(4). We invested the funds received in accordance with our board approved investment policy, which provides for investments in money market instruments and registered money market funds. The managing underwriters of our IPO were Goldman Sachs &amp; Co. LLC, BofA Securities, Allen &amp; Company LLC, and Wells Fargo Securities. Following the sale of the shares in connection with the IPO, the offering terminated.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jc w:val="center"/>
        <w:ind w:right="7439"/>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jc w:val="center"/>
        <w:ind w:right="7419"/>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12529"/>
              </w:rPr>
              <w:t>Filing</w:t>
            </w:r>
          </w:p>
        </w:tc>
        <w:tc>
          <w:tcPr>
            <w:tcW w:w="1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5"/>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6"/>
          </w:tcPr>
          <w:p>
            <w:pPr>
              <w:ind w:left="74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Filed 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20" w:type="dxa"/>
            <w:vAlign w:val="bottom"/>
          </w:tcPr>
          <w:p>
            <w:pPr>
              <w:spacing w:after="0"/>
              <w:rPr>
                <w:sz w:val="15"/>
                <w:szCs w:val="15"/>
                <w:color w:val="auto"/>
              </w:rPr>
            </w:pPr>
          </w:p>
        </w:tc>
      </w:tr>
      <w:tr>
        <w:trPr>
          <w:trHeight w:val="264"/>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960" w:type="dxa"/>
            <w:vAlign w:val="bottom"/>
            <w:tcBorders>
              <w:bottom w:val="single" w:sz="8" w:color="0000EE"/>
            </w:tcBorders>
            <w:gridSpan w:val="6"/>
          </w:tcPr>
          <w:p>
            <w:pPr>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Amended and Restated Certificate of</w:t>
              </w:r>
            </w:hyperlink>
          </w:p>
        </w:tc>
        <w:tc>
          <w:tcPr>
            <w:tcW w:w="520" w:type="dxa"/>
            <w:vAlign w:val="bottom"/>
            <w:gridSpan w:val="12"/>
          </w:tcPr>
          <w:p>
            <w:pPr>
              <w:spacing w:after="0"/>
              <w:rPr>
                <w:sz w:val="22"/>
                <w:szCs w:val="2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August 13,</w:t>
            </w: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Incorporation of Vroom, Inc.</w:t>
              </w:r>
            </w:hyperlink>
          </w:p>
        </w:tc>
        <w:tc>
          <w:tcPr>
            <w:tcW w:w="126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line="18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360" w:type="dxa"/>
            <w:vAlign w:val="bottom"/>
            <w:tcBorders>
              <w:bottom w:val="single" w:sz="8" w:color="0000EE"/>
            </w:tcBorders>
            <w:gridSpan w:val="15"/>
          </w:tcPr>
          <w:p>
            <w:pPr>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Amended and Restated Bylaws of Vroom,</w:t>
              </w:r>
            </w:hyperlink>
          </w:p>
        </w:tc>
        <w:tc>
          <w:tcPr>
            <w:tcW w:w="120" w:type="dxa"/>
            <w:vAlign w:val="bottom"/>
            <w:gridSpan w:val="3"/>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August 13,</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0000EE"/>
            </w:tcBorders>
          </w:tcPr>
          <w:p>
            <w:pPr>
              <w:spacing w:after="0" w:line="182"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Inc.</w:t>
              </w:r>
            </w:hyperlink>
          </w:p>
        </w:tc>
        <w:tc>
          <w:tcPr>
            <w:tcW w:w="318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line="18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860" w:type="dxa"/>
            <w:vAlign w:val="bottom"/>
          </w:tcPr>
          <w:p>
            <w:pPr>
              <w:jc w:val="right"/>
              <w:ind w:right="4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380" w:type="dxa"/>
            <w:vAlign w:val="bottom"/>
            <w:tcBorders>
              <w:bottom w:val="single" w:sz="8" w:color="0000EE"/>
            </w:tcBorders>
            <w:gridSpan w:val="16"/>
          </w:tcPr>
          <w:p>
            <w:pPr>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Specimen Stock Certificate evidencing the</w:t>
              </w:r>
            </w:hyperlink>
          </w:p>
        </w:tc>
        <w:tc>
          <w:tcPr>
            <w:tcW w:w="100" w:type="dxa"/>
            <w:vAlign w:val="bottom"/>
            <w:gridSpan w:val="2"/>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rPr>
              <w:t>June 1, 2020</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83">
              <w:r>
                <w:rPr>
                  <w:rFonts w:ascii="Arial" w:cs="Arial" w:eastAsia="Arial" w:hAnsi="Arial"/>
                  <w:sz w:val="18"/>
                  <w:szCs w:val="18"/>
                  <w:color w:val="0000EE"/>
                  <w:w w:val="99"/>
                </w:rPr>
                <w:t>shares of common stock</w:t>
              </w:r>
            </w:hyperlink>
          </w:p>
        </w:tc>
        <w:tc>
          <w:tcPr>
            <w:tcW w:w="152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348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Second Amendment to Inventory</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Financing and Security Agreement, dated</w:t>
              </w:r>
            </w:hyperlink>
          </w:p>
        </w:tc>
        <w:tc>
          <w:tcPr>
            <w:tcW w:w="1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October 1, 2020 by and among Ally Bank,</w:t>
              </w:r>
            </w:hyperlink>
          </w:p>
        </w:tc>
        <w:tc>
          <w:tcPr>
            <w:tcW w:w="14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Ally Financial, Inc., Left Gate Property</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Holding, LLC and Vroom, Inc.</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2"/>
                <w:szCs w:val="22"/>
                <w:color w:val="auto"/>
              </w:rPr>
            </w:pPr>
          </w:p>
        </w:tc>
        <w:tc>
          <w:tcPr>
            <w:tcW w:w="3480" w:type="dxa"/>
            <w:vAlign w:val="bottom"/>
            <w:gridSpan w:val="18"/>
          </w:tcPr>
          <w:p>
            <w:pPr>
              <w:spacing w:after="0"/>
              <w:rPr>
                <w:rFonts w:ascii="Arial" w:cs="Arial" w:eastAsia="Arial" w:hAnsi="Arial"/>
                <w:sz w:val="18"/>
                <w:szCs w:val="18"/>
                <w:color w:val="0000EE"/>
              </w:rPr>
            </w:pPr>
            <w:hyperlink r:id="rId84">
              <w:r>
                <w:rPr>
                  <w:rFonts w:ascii="Arial" w:cs="Arial" w:eastAsia="Arial" w:hAnsi="Arial"/>
                  <w:sz w:val="18"/>
                  <w:szCs w:val="18"/>
                  <w:color w:val="0000EE"/>
                </w:rPr>
                <w:t>Nominee and Indemnity Agreement, dated</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0" w:type="dxa"/>
            <w:vAlign w:val="bottom"/>
          </w:tcPr>
          <w:p>
            <w:pPr>
              <w:spacing w:after="0"/>
              <w:rPr>
                <w:sz w:val="22"/>
                <w:szCs w:val="22"/>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rPr>
              <w:t>September 8,</w:t>
            </w: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September 1, 2020, by and among</w:t>
              </w:r>
            </w:hyperlink>
          </w:p>
        </w:tc>
        <w:tc>
          <w:tcPr>
            <w:tcW w:w="600" w:type="dxa"/>
            <w:vAlign w:val="bottom"/>
            <w:tcBorders>
              <w:top w:val="single" w:sz="8" w:color="0000EE"/>
            </w:tcBorders>
            <w:gridSpan w:val="11"/>
          </w:tcPr>
          <w:p>
            <w:pPr>
              <w:spacing w:after="0"/>
              <w:rPr>
                <w:sz w:val="15"/>
                <w:szCs w:val="15"/>
                <w:color w:val="auto"/>
              </w:rPr>
            </w:pPr>
          </w:p>
        </w:tc>
        <w:tc>
          <w:tcPr>
            <w:tcW w:w="1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Catterton Management Company, L.L.C.</w:t>
              </w:r>
            </w:hyperlink>
          </w:p>
        </w:tc>
        <w:tc>
          <w:tcPr>
            <w:tcW w:w="2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as investment manager of CGP2 Lone</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Star, L.P., Scott Dahnke and Vroom, Inc.</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2"/>
                <w:szCs w:val="22"/>
                <w:color w:val="auto"/>
              </w:rPr>
            </w:pPr>
          </w:p>
        </w:tc>
        <w:tc>
          <w:tcPr>
            <w:tcW w:w="3480" w:type="dxa"/>
            <w:vAlign w:val="bottom"/>
            <w:gridSpan w:val="18"/>
          </w:tcPr>
          <w:p>
            <w:pPr>
              <w:spacing w:after="0"/>
              <w:rPr>
                <w:rFonts w:ascii="Arial" w:cs="Arial" w:eastAsia="Arial" w:hAnsi="Arial"/>
                <w:sz w:val="18"/>
                <w:szCs w:val="18"/>
                <w:color w:val="0000EE"/>
              </w:rPr>
            </w:pPr>
            <w:hyperlink r:id="rId85">
              <w:r>
                <w:rPr>
                  <w:rFonts w:ascii="Arial" w:cs="Arial" w:eastAsia="Arial" w:hAnsi="Arial"/>
                  <w:sz w:val="18"/>
                  <w:szCs w:val="18"/>
                  <w:color w:val="0000EE"/>
                </w:rPr>
                <w:t>Nominee and Indemnity Agreement, dated</w:t>
              </w:r>
            </w:hyperlink>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rPr>
              <w:t>S-1/A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10.21</w:t>
            </w:r>
          </w:p>
        </w:tc>
        <w:tc>
          <w:tcPr>
            <w:tcW w:w="100" w:type="dxa"/>
            <w:vAlign w:val="bottom"/>
          </w:tcPr>
          <w:p>
            <w:pPr>
              <w:spacing w:after="0"/>
              <w:rPr>
                <w:sz w:val="22"/>
                <w:szCs w:val="22"/>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rPr>
              <w:t>September 8,</w:t>
            </w: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September 1, 2020, by and among</w:t>
              </w:r>
            </w:hyperlink>
          </w:p>
        </w:tc>
        <w:tc>
          <w:tcPr>
            <w:tcW w:w="600" w:type="dxa"/>
            <w:vAlign w:val="bottom"/>
            <w:tcBorders>
              <w:top w:val="single" w:sz="8" w:color="0000EE"/>
            </w:tcBorders>
            <w:gridSpan w:val="11"/>
          </w:tcPr>
          <w:p>
            <w:pPr>
              <w:spacing w:after="0"/>
              <w:rPr>
                <w:sz w:val="15"/>
                <w:szCs w:val="15"/>
                <w:color w:val="auto"/>
              </w:rPr>
            </w:pPr>
          </w:p>
        </w:tc>
        <w:tc>
          <w:tcPr>
            <w:tcW w:w="1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Catterton Management Company, L.L.C.</w:t>
              </w:r>
            </w:hyperlink>
          </w:p>
        </w:tc>
        <w:tc>
          <w:tcPr>
            <w:tcW w:w="2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as investment manager of CGP2 Lone</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Star, L.P., Michael Farello and Vroom, Inc.</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2"/>
                <w:szCs w:val="22"/>
                <w:color w:val="auto"/>
              </w:rPr>
            </w:pPr>
          </w:p>
        </w:tc>
        <w:tc>
          <w:tcPr>
            <w:tcW w:w="34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Certification of Principal Executive Officer</w:t>
              </w:r>
            </w:hyperlink>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Pursuant to Rules 13a-14(a) and 15d-</w:t>
              </w:r>
            </w:hyperlink>
          </w:p>
        </w:tc>
        <w:tc>
          <w:tcPr>
            <w:tcW w:w="1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14(a) under the Securities Exchange Act</w:t>
              </w:r>
            </w:hyperlink>
          </w:p>
        </w:tc>
        <w:tc>
          <w:tcPr>
            <w:tcW w:w="2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of 1934, as Adopted Pursuant to Section</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302 of the Sarbanes-Oxley Act of 2002</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2"/>
                <w:szCs w:val="22"/>
                <w:color w:val="auto"/>
              </w:rPr>
            </w:pPr>
          </w:p>
        </w:tc>
        <w:tc>
          <w:tcPr>
            <w:tcW w:w="32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Certification of Principal Financial Officer</w:t>
              </w:r>
            </w:hyperlink>
          </w:p>
        </w:tc>
        <w:tc>
          <w:tcPr>
            <w:tcW w:w="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8"/>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Pursuant to Rules 13a-14(a) and 15d-</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14(a) under the Securities Exchange Act</w:t>
              </w:r>
            </w:hyperlink>
          </w:p>
        </w:tc>
        <w:tc>
          <w:tcPr>
            <w:tcW w:w="2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of 1934, as Adopted Pursuant to Section</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302 of the Sarbanes-Oxley Act of 2002</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2"/>
                <w:szCs w:val="22"/>
                <w:color w:val="auto"/>
              </w:rPr>
            </w:pPr>
          </w:p>
        </w:tc>
        <w:tc>
          <w:tcPr>
            <w:tcW w:w="348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Principal Executive Officer</w:t>
              </w:r>
            </w:hyperlink>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XX</w:t>
            </w: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Pursuant to 18 U.S.C. Section 1350, as</w:t>
              </w:r>
            </w:hyperlink>
          </w:p>
        </w:tc>
        <w:tc>
          <w:tcPr>
            <w:tcW w:w="1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Adopted Pursuant to Section 906 of the</w:t>
              </w:r>
            </w:hyperlink>
          </w:p>
        </w:tc>
        <w:tc>
          <w:tcPr>
            <w:tcW w:w="32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Sarbanes-Oxley Act of 2002</w:t>
              </w:r>
            </w:hyperlink>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860" w:type="dxa"/>
            <w:vAlign w:val="bottom"/>
          </w:tcPr>
          <w:p>
            <w:pPr>
              <w:jc w:val="right"/>
              <w:ind w:right="413"/>
              <w:spacing w:after="0"/>
              <w:rPr>
                <w:sz w:val="20"/>
                <w:szCs w:val="20"/>
                <w:color w:val="auto"/>
              </w:rPr>
            </w:pPr>
            <w:r>
              <w:rPr>
                <w:rFonts w:ascii="Arial" w:cs="Arial" w:eastAsia="Arial" w:hAnsi="Arial"/>
                <w:sz w:val="18"/>
                <w:szCs w:val="18"/>
                <w:color w:val="auto"/>
                <w:w w:val="96"/>
              </w:rPr>
              <w:t>32.2</w:t>
            </w:r>
          </w:p>
        </w:tc>
        <w:tc>
          <w:tcPr>
            <w:tcW w:w="100" w:type="dxa"/>
            <w:vAlign w:val="bottom"/>
          </w:tcPr>
          <w:p>
            <w:pPr>
              <w:spacing w:after="0"/>
              <w:rPr>
                <w:sz w:val="22"/>
                <w:szCs w:val="22"/>
                <w:color w:val="auto"/>
              </w:rPr>
            </w:pPr>
          </w:p>
        </w:tc>
        <w:tc>
          <w:tcPr>
            <w:tcW w:w="32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Certification of Principal Financial Officer</w:t>
              </w:r>
            </w:hyperlink>
          </w:p>
        </w:tc>
        <w:tc>
          <w:tcPr>
            <w:tcW w:w="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XX</w:t>
            </w:r>
          </w:p>
        </w:tc>
        <w:tc>
          <w:tcPr>
            <w:tcW w:w="20" w:type="dxa"/>
            <w:vAlign w:val="bottom"/>
          </w:tcPr>
          <w:p>
            <w:pPr>
              <w:spacing w:after="0"/>
              <w:rPr>
                <w:sz w:val="22"/>
                <w:szCs w:val="22"/>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Pursuant to 18 U.S.C. Section 1350, as</w:t>
              </w:r>
            </w:hyperlink>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Adopted Pursuant to Section 906 of the</w:t>
              </w:r>
            </w:hyperlink>
          </w:p>
        </w:tc>
        <w:tc>
          <w:tcPr>
            <w:tcW w:w="32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gridSpan w:val="18"/>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Sarbanes-Oxley Act of 2002</w:t>
              </w:r>
            </w:hyperlink>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34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95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12529"/>
              </w:rPr>
              <w:t>Filing</w:t>
            </w:r>
          </w:p>
        </w:tc>
        <w:tc>
          <w:tcPr>
            <w:tcW w:w="2200" w:type="dxa"/>
            <w:vAlign w:val="bottom"/>
          </w:tcPr>
          <w:p>
            <w:pPr>
              <w:jc w:val="center"/>
              <w:ind w:left="1026"/>
              <w:spacing w:after="0"/>
              <w:rPr>
                <w:sz w:val="20"/>
                <w:szCs w:val="20"/>
                <w:color w:val="auto"/>
              </w:rPr>
            </w:pPr>
            <w:r>
              <w:rPr>
                <w:rFonts w:ascii="Arial" w:cs="Arial" w:eastAsia="Arial" w:hAnsi="Arial"/>
                <w:sz w:val="14"/>
                <w:szCs w:val="14"/>
                <w:b w:val="1"/>
                <w:bCs w:val="1"/>
                <w:color w:val="212529"/>
              </w:rPr>
              <w:t>Furnished</w:t>
            </w:r>
          </w:p>
        </w:tc>
        <w:tc>
          <w:tcPr>
            <w:tcW w:w="20" w:type="dxa"/>
            <w:vAlign w:val="bottom"/>
          </w:tcPr>
          <w:p>
            <w:pPr>
              <w:spacing w:after="0"/>
              <w:rPr>
                <w:sz w:val="14"/>
                <w:szCs w:val="14"/>
                <w:color w:val="auto"/>
              </w:rPr>
            </w:pPr>
          </w:p>
        </w:tc>
      </w:tr>
      <w:tr>
        <w:trPr>
          <w:trHeight w:val="175"/>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4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140" w:type="dxa"/>
            <w:vAlign w:val="bottom"/>
          </w:tcPr>
          <w:p>
            <w:pPr>
              <w:spacing w:after="0"/>
              <w:rPr>
                <w:sz w:val="15"/>
                <w:szCs w:val="15"/>
                <w:color w:val="auto"/>
              </w:rPr>
            </w:pP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12529"/>
              </w:rPr>
              <w:t>Filed HerewithHerewith</w:t>
            </w:r>
          </w:p>
        </w:tc>
        <w:tc>
          <w:tcPr>
            <w:tcW w:w="20" w:type="dxa"/>
            <w:vAlign w:val="bottom"/>
          </w:tcPr>
          <w:p>
            <w:pPr>
              <w:spacing w:after="0"/>
              <w:rPr>
                <w:sz w:val="15"/>
                <w:szCs w:val="15"/>
                <w:color w:val="auto"/>
              </w:rPr>
            </w:pPr>
          </w:p>
        </w:tc>
      </w:tr>
      <w:tr>
        <w:trPr>
          <w:trHeight w:val="38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jc w:val="center"/>
              <w:ind w:left="1026"/>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17"/>
        </w:trPr>
        <w:tc>
          <w:tcPr>
            <w:tcW w:w="860" w:type="dxa"/>
            <w:vAlign w:val="bottom"/>
          </w:tcPr>
          <w:p>
            <w:pPr>
              <w:spacing w:after="0"/>
              <w:rPr>
                <w:sz w:val="18"/>
                <w:szCs w:val="18"/>
                <w:color w:val="auto"/>
              </w:rPr>
            </w:pP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jc w:val="center"/>
              <w:ind w:left="1026"/>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17"/>
        </w:trPr>
        <w:tc>
          <w:tcPr>
            <w:tcW w:w="860" w:type="dxa"/>
            <w:vAlign w:val="bottom"/>
          </w:tcPr>
          <w:p>
            <w:pPr>
              <w:spacing w:after="0"/>
              <w:rPr>
                <w:sz w:val="18"/>
                <w:szCs w:val="18"/>
                <w:color w:val="auto"/>
              </w:rPr>
            </w:pP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jc w:val="center"/>
              <w:ind w:left="1026"/>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17"/>
        </w:trPr>
        <w:tc>
          <w:tcPr>
            <w:tcW w:w="860" w:type="dxa"/>
            <w:vAlign w:val="bottom"/>
          </w:tcPr>
          <w:p>
            <w:pPr>
              <w:spacing w:after="0"/>
              <w:rPr>
                <w:sz w:val="18"/>
                <w:szCs w:val="18"/>
                <w:color w:val="auto"/>
              </w:rPr>
            </w:pP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jc w:val="center"/>
              <w:ind w:left="1026"/>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17"/>
        </w:trPr>
        <w:tc>
          <w:tcPr>
            <w:tcW w:w="860" w:type="dxa"/>
            <w:vAlign w:val="bottom"/>
          </w:tcPr>
          <w:p>
            <w:pPr>
              <w:spacing w:after="0"/>
              <w:rPr>
                <w:sz w:val="18"/>
                <w:szCs w:val="18"/>
                <w:color w:val="auto"/>
              </w:rPr>
            </w:pP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jc w:val="center"/>
              <w:ind w:left="1026"/>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17"/>
        </w:trPr>
        <w:tc>
          <w:tcPr>
            <w:tcW w:w="860" w:type="dxa"/>
            <w:vAlign w:val="bottom"/>
          </w:tcPr>
          <w:p>
            <w:pPr>
              <w:spacing w:after="0"/>
              <w:rPr>
                <w:sz w:val="18"/>
                <w:szCs w:val="18"/>
                <w:color w:val="auto"/>
              </w:rPr>
            </w:pPr>
          </w:p>
        </w:tc>
        <w:tc>
          <w:tcPr>
            <w:tcW w:w="3580" w:type="dxa"/>
            <w:vAlign w:val="bottom"/>
            <w:gridSpan w:val="3"/>
          </w:tcPr>
          <w:p>
            <w:pPr>
              <w:ind w:left="100"/>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2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95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57" w:name="page58"/>
    <w:bookmarkEnd w:id="5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Vroom, Inc.</w:t>
      </w:r>
    </w:p>
    <w:p>
      <w:pPr>
        <w:spacing w:after="0" w:line="131" w:lineRule="exact"/>
        <w:rPr>
          <w:sz w:val="20"/>
          <w:szCs w:val="20"/>
          <w:color w:val="auto"/>
        </w:rPr>
      </w:pPr>
    </w:p>
    <w:p>
      <w:pPr>
        <w:spacing w:after="0"/>
        <w:tabs>
          <w:tab w:leader="none" w:pos="4840" w:val="left"/>
          <w:tab w:leader="none" w:pos="762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Paul J. Hennessy</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(principal executive officer)</w:t>
      </w:r>
    </w:p>
    <w:p>
      <w:pPr>
        <w:spacing w:after="0" w:line="347" w:lineRule="exact"/>
        <w:rPr>
          <w:sz w:val="20"/>
          <w:szCs w:val="20"/>
          <w:color w:val="auto"/>
        </w:rPr>
      </w:pPr>
    </w:p>
    <w:p>
      <w:pPr>
        <w:spacing w:after="0"/>
        <w:tabs>
          <w:tab w:leader="none" w:pos="4840" w:val="left"/>
          <w:tab w:leader="none" w:pos="78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Dave Jones</w:t>
      </w:r>
    </w:p>
    <w:p>
      <w:pPr>
        <w:spacing w:after="0" w:line="9"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360" w:right="4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10.1</w:t>
      </w:r>
    </w:p>
    <w:p>
      <w:pPr>
        <w:spacing w:after="0" w:line="19" w:lineRule="exact"/>
        <w:rPr>
          <w:sz w:val="20"/>
          <w:szCs w:val="20"/>
          <w:color w:val="auto"/>
        </w:rPr>
      </w:pPr>
    </w:p>
    <w:p>
      <w:pPr>
        <w:ind w:left="2780" w:right="140" w:hanging="2638"/>
        <w:spacing w:after="0" w:line="258" w:lineRule="auto"/>
        <w:tabs>
          <w:tab w:leader="none" w:pos="576"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Certain information in this document has been excluded pursuant to Regulation S-K, Item (601)(b)(10). Such excluded information is not material and would likely cause competitive harm to the registrant if publicly disclosed.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FINANCING AND SECURITY AGREEMENT</w:t>
      </w:r>
    </w:p>
    <w:p>
      <w:pPr>
        <w:spacing w:after="0" w:line="200" w:lineRule="exact"/>
        <w:rPr>
          <w:sz w:val="20"/>
          <w:szCs w:val="20"/>
          <w:color w:val="auto"/>
        </w:rPr>
      </w:pPr>
    </w:p>
    <w:p>
      <w:pPr>
        <w:spacing w:after="0" w:line="228" w:lineRule="exact"/>
        <w:rPr>
          <w:sz w:val="20"/>
          <w:szCs w:val="20"/>
          <w:color w:val="auto"/>
        </w:rPr>
      </w:pPr>
    </w:p>
    <w:p>
      <w:pPr>
        <w:ind w:left="4160" w:hanging="191"/>
        <w:spacing w:after="0"/>
        <w:tabs>
          <w:tab w:leader="none" w:pos="4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Second Amendment to Inventory Financing and Security Agreement (“Amendment”) is effective as of October 1, 2020, and is made by and among the following parties:</w:t>
      </w:r>
    </w:p>
    <w:p>
      <w:pPr>
        <w:spacing w:after="0" w:line="175" w:lineRule="exact"/>
        <w:rPr>
          <w:sz w:val="20"/>
          <w:szCs w:val="20"/>
          <w:color w:val="auto"/>
        </w:rPr>
      </w:pPr>
    </w:p>
    <w:p>
      <w:pPr>
        <w:ind w:left="66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53"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(“Ally”) with a local business office currently located at 5851 Legacy Circle, Suite 200,</w:t>
      </w:r>
      <w:r>
        <w:rPr>
          <w:rFonts w:ascii="Arial" w:cs="Arial" w:eastAsia="Arial" w:hAnsi="Arial"/>
          <w:sz w:val="18"/>
          <w:szCs w:val="18"/>
          <w:b w:val="1"/>
          <w:bCs w:val="1"/>
          <w:color w:val="auto"/>
        </w:rPr>
        <w:t xml:space="preserve"> </w:t>
      </w:r>
      <w:r>
        <w:rPr>
          <w:rFonts w:ascii="Arial" w:cs="Arial" w:eastAsia="Arial" w:hAnsi="Arial"/>
          <w:sz w:val="18"/>
          <w:szCs w:val="18"/>
          <w:color w:val="auto"/>
        </w:rPr>
        <w:t>Plano, Texas 75024 (together with Bank, the “Ally Parties” and Bank and Ally each being, an “Ally Party”);</w:t>
      </w:r>
    </w:p>
    <w:p>
      <w:pPr>
        <w:spacing w:after="0" w:line="153"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Left Gate Property Holding, LLC</w:t>
      </w:r>
      <w:r>
        <w:rPr>
          <w:rFonts w:ascii="Arial" w:cs="Arial" w:eastAsia="Arial" w:hAnsi="Arial"/>
          <w:sz w:val="18"/>
          <w:szCs w:val="18"/>
          <w:color w:val="auto"/>
        </w:rPr>
        <w:t>, a Texas limited liability company doing business as Texas Direct Auto, with its principal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currently located at 12053 Southwest Freeway, Stafford, Texas 77477 (“Dealership”); and</w:t>
      </w:r>
    </w:p>
    <w:p>
      <w:pPr>
        <w:spacing w:after="0" w:line="153"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1375 Broadway, 11th Floor,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10018 (“Vroom”).</w:t>
      </w:r>
    </w:p>
    <w:p>
      <w:pPr>
        <w:spacing w:after="0" w:line="175" w:lineRule="exact"/>
        <w:rPr>
          <w:rFonts w:ascii="Arial" w:cs="Arial" w:eastAsia="Arial" w:hAnsi="Arial"/>
          <w:sz w:val="18"/>
          <w:szCs w:val="18"/>
          <w:color w:val="auto"/>
        </w:rPr>
      </w:pPr>
    </w:p>
    <w:p>
      <w:pPr>
        <w:ind w:left="5120" w:hanging="259"/>
        <w:spacing w:after="0"/>
        <w:tabs>
          <w:tab w:leader="none" w:pos="51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essential facts relied on by Bank, Ally, Dealership and Vroom as true and complete, and giving rise to this Amendment, are as follows:</w:t>
      </w:r>
    </w:p>
    <w:p>
      <w:pPr>
        <w:spacing w:after="0" w:line="212" w:lineRule="exact"/>
        <w:rPr>
          <w:sz w:val="20"/>
          <w:szCs w:val="20"/>
          <w:color w:val="auto"/>
        </w:rPr>
      </w:pPr>
    </w:p>
    <w:p>
      <w:pPr>
        <w:jc w:val="both"/>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Inventory Financing and Security Agreement, effective as of March 6, 2020, as amended by the First Amendment to Inventory Financing and Security Agreement, effective as of June 19, 2020 (as amended, the “IFSA”).</w:t>
      </w:r>
    </w:p>
    <w:p>
      <w:pPr>
        <w:spacing w:after="0" w:line="202"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to this Amendment desire to amend the IFSA as outlined in this Amendment.</w:t>
      </w:r>
    </w:p>
    <w:p>
      <w:pPr>
        <w:spacing w:after="0" w:line="211" w:lineRule="exact"/>
        <w:rPr>
          <w:rFonts w:ascii="Arial" w:cs="Arial" w:eastAsia="Arial" w:hAnsi="Arial"/>
          <w:sz w:val="18"/>
          <w:szCs w:val="18"/>
          <w:color w:val="auto"/>
        </w:rPr>
      </w:pPr>
    </w:p>
    <w:p>
      <w:pPr>
        <w:ind w:left="4700"/>
        <w:spacing w:after="0"/>
        <w:rPr>
          <w:rFonts w:ascii="Arial" w:cs="Arial" w:eastAsia="Arial" w:hAnsi="Arial"/>
          <w:sz w:val="18"/>
          <w:szCs w:val="18"/>
          <w:color w:val="auto"/>
        </w:rPr>
      </w:pPr>
      <w:r>
        <w:rPr>
          <w:rFonts w:ascii="Arial" w:cs="Arial" w:eastAsia="Arial" w:hAnsi="Arial"/>
          <w:sz w:val="18"/>
          <w:szCs w:val="18"/>
          <w:color w:val="auto"/>
        </w:rPr>
        <w:t xml:space="preserve">III. </w:t>
      </w:r>
      <w:r>
        <w:rPr>
          <w:rFonts w:ascii="Arial" w:cs="Arial" w:eastAsia="Arial" w:hAnsi="Arial"/>
          <w:sz w:val="18"/>
          <w:szCs w:val="18"/>
          <w:u w:val="single" w:color="auto"/>
          <w:color w:val="auto"/>
        </w:rPr>
        <w:t>THE AGREEMENT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consideration of the premises and the mutual promises in this Amendment, which are acknowledged to be sufficient, Bank, Ally, Dealership and Vroom agree to the following:</w:t>
      </w:r>
    </w:p>
    <w:p>
      <w:pPr>
        <w:spacing w:after="0" w:line="19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Capitalized terms used but not defined herein have the meanings given to them in the IFSA.</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III.A.2(c) of the IFSA is deleted and restated in its entirety as follows:</w:t>
      </w:r>
    </w:p>
    <w:p>
      <w:pPr>
        <w:spacing w:after="0" w:line="211" w:lineRule="exact"/>
        <w:rPr>
          <w:rFonts w:ascii="Arial" w:cs="Arial" w:eastAsia="Arial" w:hAnsi="Arial"/>
          <w:sz w:val="18"/>
          <w:szCs w:val="18"/>
          <w:color w:val="auto"/>
        </w:rPr>
      </w:pPr>
    </w:p>
    <w:p>
      <w:pPr>
        <w:jc w:val="both"/>
        <w:ind w:left="1960" w:right="660" w:hanging="656"/>
        <w:spacing w:after="0" w:line="238"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the foregoing, upon written notice to the Ally Parties, the Dealership may elect to increase the otherwise applicable Monthly Floorplan Allowance by up to $50,000,000 (i) during any three months of the period from October 1, 2020 through September 30, 2021, and again (ii) during any three months of the period from October 1, 2021 through September 30, 2022.</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as of October 1, 2020, Section III.B.3 of the IFSA is deleted and restated in its entirety as follows:</w:t>
      </w:r>
    </w:p>
    <w:p>
      <w:pPr>
        <w:spacing w:after="0" w:line="200" w:lineRule="exact"/>
        <w:rPr>
          <w:sz w:val="20"/>
          <w:szCs w:val="20"/>
          <w:color w:val="auto"/>
        </w:rPr>
      </w:pPr>
    </w:p>
    <w:p>
      <w:pPr>
        <w:spacing w:after="0" w:line="2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17" w:lineRule="exact"/>
        <w:rPr>
          <w:sz w:val="20"/>
          <w:szCs w:val="20"/>
          <w:color w:val="auto"/>
        </w:rPr>
      </w:pPr>
    </w:p>
    <w:p>
      <w:pPr>
        <w:jc w:val="both"/>
        <w:ind w:left="1300" w:right="660" w:hanging="644"/>
        <w:spacing w:after="0" w:line="238"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Principal Reductions</w:t>
      </w:r>
      <w:r>
        <w:rPr>
          <w:rFonts w:ascii="Arial" w:cs="Arial" w:eastAsia="Arial" w:hAnsi="Arial"/>
          <w:sz w:val="18"/>
          <w:szCs w:val="18"/>
          <w:color w:val="auto"/>
        </w:rPr>
        <w:t>. The Dealership must make monthly principal reduction payments in an amount equal to 10% of the original principal amount (i.e., the aggregate advance) (each, a “Principal Reduction”) for each Vehicle on Dealership’s floorplan for more than 180 calendar days. Principal Reductions will be billed to Dealership monthly and, when paid by Dealership, will reduce the amount of the Wholesale Outstandings.</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III.B.7 of the IFSA is deleted and restated in its entirety as follows: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960" w:right="660" w:hanging="656"/>
        <w:spacing w:after="0" w:line="246" w:lineRule="auto"/>
        <w:tabs>
          <w:tab w:leader="none" w:pos="1960" w:val="left"/>
        </w:tabs>
        <w:numPr>
          <w:ilvl w:val="3"/>
          <w:numId w:val="26"/>
        </w:numPr>
        <w:rPr>
          <w:rFonts w:ascii="Arial" w:cs="Arial" w:eastAsia="Arial" w:hAnsi="Arial"/>
          <w:sz w:val="18"/>
          <w:szCs w:val="18"/>
          <w:color w:val="auto"/>
        </w:rPr>
      </w:pPr>
      <w:r>
        <w:rPr>
          <w:rFonts w:ascii="Arial" w:cs="Arial" w:eastAsia="Arial" w:hAnsi="Arial"/>
          <w:sz w:val="18"/>
          <w:szCs w:val="18"/>
          <w:u w:val="single" w:color="auto"/>
          <w:color w:val="auto"/>
        </w:rPr>
        <w:t>The Original Commitment Fee</w:t>
      </w:r>
      <w:r>
        <w:rPr>
          <w:rFonts w:ascii="Arial" w:cs="Arial" w:eastAsia="Arial" w:hAnsi="Arial"/>
          <w:sz w:val="18"/>
          <w:szCs w:val="18"/>
          <w:color w:val="auto"/>
        </w:rPr>
        <w:t>. On the Effective Date, the Dealership shall pay the Ally Parties a Commitment Fee of [***] ([***]). The Ally Parties acknowledge receipt of this commitment fee.</w:t>
      </w:r>
    </w:p>
    <w:p>
      <w:pPr>
        <w:spacing w:after="0" w:line="196" w:lineRule="exact"/>
        <w:rPr>
          <w:rFonts w:ascii="Arial" w:cs="Arial" w:eastAsia="Arial" w:hAnsi="Arial"/>
          <w:sz w:val="18"/>
          <w:szCs w:val="18"/>
          <w:color w:val="auto"/>
        </w:rPr>
      </w:pPr>
    </w:p>
    <w:p>
      <w:pPr>
        <w:ind w:left="1960" w:right="660" w:hanging="656"/>
        <w:spacing w:after="0" w:line="246" w:lineRule="auto"/>
        <w:tabs>
          <w:tab w:leader="none" w:pos="1960" w:val="left"/>
        </w:tabs>
        <w:numPr>
          <w:ilvl w:val="3"/>
          <w:numId w:val="26"/>
        </w:numPr>
        <w:rPr>
          <w:rFonts w:ascii="Arial" w:cs="Arial" w:eastAsia="Arial" w:hAnsi="Arial"/>
          <w:sz w:val="18"/>
          <w:szCs w:val="18"/>
          <w:color w:val="auto"/>
        </w:rPr>
      </w:pPr>
      <w:r>
        <w:rPr>
          <w:rFonts w:ascii="Arial" w:cs="Arial" w:eastAsia="Arial" w:hAnsi="Arial"/>
          <w:sz w:val="18"/>
          <w:szCs w:val="18"/>
          <w:u w:val="single" w:color="auto"/>
          <w:color w:val="auto"/>
        </w:rPr>
        <w:t>The Second Amendment Commitment Fee</w:t>
      </w:r>
      <w:r>
        <w:rPr>
          <w:rFonts w:ascii="Arial" w:cs="Arial" w:eastAsia="Arial" w:hAnsi="Arial"/>
          <w:sz w:val="18"/>
          <w:szCs w:val="18"/>
          <w:color w:val="auto"/>
        </w:rPr>
        <w:t>. On or before October 1, 2020, the Dealership shall pay the Ally Parties a Commitment Fee of [***] ([***]).</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as of October 1, 2020, the following new Section III.B.9 is added to the IFSA:</w:t>
      </w:r>
    </w:p>
    <w:p>
      <w:pPr>
        <w:spacing w:after="0" w:line="211" w:lineRule="exact"/>
        <w:rPr>
          <w:rFonts w:ascii="Arial" w:cs="Arial" w:eastAsia="Arial" w:hAnsi="Arial"/>
          <w:sz w:val="18"/>
          <w:szCs w:val="18"/>
          <w:color w:val="auto"/>
        </w:rPr>
      </w:pPr>
    </w:p>
    <w:p>
      <w:pPr>
        <w:jc w:val="both"/>
        <w:ind w:left="1300" w:right="860" w:hanging="644"/>
        <w:spacing w:after="0" w:line="23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Availability Fee</w:t>
      </w:r>
      <w:r>
        <w:rPr>
          <w:rFonts w:ascii="Arial" w:cs="Arial" w:eastAsia="Arial" w:hAnsi="Arial"/>
          <w:sz w:val="18"/>
          <w:szCs w:val="18"/>
          <w:color w:val="auto"/>
        </w:rPr>
        <w:t>. For each calendar quarter beginning with the fourth quarter of 2020 (i.e., October through December, 2020), if the average outstanding floorplan balance for such quarter is less than 50% of the average Monthly Floorplan Allowance for such quarter, Dealership will pay an “Availability Fee” equal to [***] times the difference between the average outstanding floorplan balance and the average Monthly Floorplan Allowance for such quarter. The Availability Fee will be calculated by the Ally Parties promptly after the end of each quarter and will be due and payable no later than the end of the month immediately following the end of such quarter.</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“Maturity Date” is amended from March 5, 2021 to September 30, 2022. This amends Section III.C.2(c) of the IFSA.</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III.D.1 of the IFSA is deleted and restated in its entirety as follows:</w:t>
      </w:r>
    </w:p>
    <w:p>
      <w:pPr>
        <w:spacing w:after="0" w:line="211" w:lineRule="exact"/>
        <w:rPr>
          <w:rFonts w:ascii="Arial" w:cs="Arial" w:eastAsia="Arial" w:hAnsi="Arial"/>
          <w:sz w:val="18"/>
          <w:szCs w:val="18"/>
          <w:color w:val="auto"/>
        </w:rPr>
      </w:pPr>
    </w:p>
    <w:p>
      <w:pPr>
        <w:jc w:val="both"/>
        <w:ind w:left="1540" w:hanging="650"/>
        <w:spacing w:after="0" w:line="238" w:lineRule="auto"/>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Dealership hereby grants to each of Bank and Ally a continuing security interest in and a collateral assignment of (“Security Interest”) all of the following described property in which Dealership has or may have any rights, wherever located, whether now existing or hereafter arising or acquired and any and all accessions, additions, attachments, replacements, substitutions, returns, profits, and proceeds in whatever form or type, of any of the property (“Collateral”):</w:t>
      </w:r>
    </w:p>
    <w:p>
      <w:pPr>
        <w:spacing w:after="0" w:line="202" w:lineRule="exact"/>
        <w:rPr>
          <w:sz w:val="20"/>
          <w:szCs w:val="20"/>
          <w:color w:val="auto"/>
        </w:rPr>
      </w:pPr>
    </w:p>
    <w:p>
      <w:pPr>
        <w:jc w:val="both"/>
        <w:ind w:left="1960" w:right="860"/>
        <w:spacing w:after="0" w:line="238" w:lineRule="auto"/>
        <w:rPr>
          <w:sz w:val="20"/>
          <w:szCs w:val="20"/>
          <w:color w:val="auto"/>
        </w:rPr>
      </w:pPr>
      <w:r>
        <w:rPr>
          <w:rFonts w:ascii="Arial" w:cs="Arial" w:eastAsia="Arial" w:hAnsi="Arial"/>
          <w:sz w:val="18"/>
          <w:szCs w:val="18"/>
          <w:color w:val="auto"/>
        </w:rPr>
        <w:t>all Vehicles, including but not limited to those for which either of the Ally Parties provides Inventory Financing; other inventory; equipment; fixtures; accounts, including factory open accounts of Dealership; deposit and other accounts with banks and other financial institutions; cash and cash equivalents; general intangibles; all documents; instruments; investment property; and chattel paper.</w:t>
      </w:r>
    </w:p>
    <w:p>
      <w:pPr>
        <w:spacing w:after="0" w:line="205" w:lineRule="exact"/>
        <w:rPr>
          <w:sz w:val="20"/>
          <w:szCs w:val="20"/>
          <w:color w:val="auto"/>
        </w:rPr>
      </w:pPr>
    </w:p>
    <w:p>
      <w:pPr>
        <w:jc w:val="both"/>
        <w:ind w:left="1300"/>
        <w:spacing w:after="0" w:line="238" w:lineRule="auto"/>
        <w:rPr>
          <w:sz w:val="20"/>
          <w:szCs w:val="20"/>
          <w:color w:val="auto"/>
        </w:rPr>
      </w:pPr>
      <w:r>
        <w:rPr>
          <w:rFonts w:ascii="Arial" w:cs="Arial" w:eastAsia="Arial" w:hAnsi="Arial"/>
          <w:sz w:val="18"/>
          <w:szCs w:val="18"/>
          <w:color w:val="auto"/>
        </w:rPr>
        <w:t xml:space="preserve">Notwithstanding the foregoing, provided that neither of the Ally Parties have provided Inventory Financing under this Agreement with respect thereto, the Collateral </w:t>
      </w:r>
      <w:r>
        <w:rPr>
          <w:rFonts w:ascii="Arial" w:cs="Arial" w:eastAsia="Arial" w:hAnsi="Arial"/>
          <w:sz w:val="18"/>
          <w:szCs w:val="18"/>
          <w:color w:val="1D1C1D"/>
          <w:highlight w:val="white"/>
        </w:rPr>
        <w:t>excludes (i) Vehicles that are included in the Dealership's listed inventory but</w:t>
      </w:r>
      <w:r>
        <w:rPr>
          <w:rFonts w:ascii="Arial" w:cs="Arial" w:eastAsia="Arial" w:hAnsi="Arial"/>
          <w:sz w:val="18"/>
          <w:szCs w:val="18"/>
          <w:color w:val="auto"/>
        </w:rPr>
        <w:t xml:space="preserve"> </w:t>
      </w:r>
      <w:r>
        <w:rPr>
          <w:rFonts w:ascii="Arial" w:cs="Arial" w:eastAsia="Arial" w:hAnsi="Arial"/>
          <w:sz w:val="18"/>
          <w:szCs w:val="18"/>
          <w:color w:val="1D1C1D"/>
          <w:highlight w:val="white"/>
        </w:rPr>
        <w:t>are owned by third parties, and (ii) car carriers, trucks, trailers, beds, other similar vehicles and related assets used for transportation or delivery of Vehicles or otherwise utilized in Vroom's logistics operations.</w:t>
      </w:r>
    </w:p>
    <w:p>
      <w:pPr>
        <w:spacing w:after="0" w:line="200" w:lineRule="exact"/>
        <w:rPr>
          <w:sz w:val="20"/>
          <w:szCs w:val="20"/>
          <w:color w:val="auto"/>
        </w:rPr>
      </w:pP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1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III.G.3 of the IFSA is deleted and restated in its entirety as follows:</w:t>
      </w:r>
    </w:p>
    <w:p>
      <w:pPr>
        <w:spacing w:after="0" w:line="211" w:lineRule="exact"/>
        <w:rPr>
          <w:rFonts w:ascii="Arial" w:cs="Arial" w:eastAsia="Arial" w:hAnsi="Arial"/>
          <w:sz w:val="18"/>
          <w:szCs w:val="18"/>
          <w:color w:val="auto"/>
        </w:rPr>
      </w:pPr>
    </w:p>
    <w:p>
      <w:pPr>
        <w:ind w:left="1300" w:right="860" w:hanging="644"/>
        <w:spacing w:after="0" w:line="246"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Dealership and Vroom will comply with the following financial covenants, tested monthly (as of month-end) based on the Dealership’s monthly financial statements:</w:t>
      </w:r>
    </w:p>
    <w:p>
      <w:pPr>
        <w:spacing w:after="0" w:line="196" w:lineRule="exact"/>
        <w:rPr>
          <w:rFonts w:ascii="Arial" w:cs="Arial" w:eastAsia="Arial" w:hAnsi="Arial"/>
          <w:sz w:val="18"/>
          <w:szCs w:val="18"/>
          <w:color w:val="auto"/>
        </w:rPr>
      </w:pPr>
    </w:p>
    <w:p>
      <w:pPr>
        <w:jc w:val="both"/>
        <w:ind w:left="1960" w:right="860" w:hanging="656"/>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The Dealership and Vroom will, on a consolidated basis, maintain unrestricted cash and cash equivalents of not less than 7.5% of the Credit Line amount (i.e., with a Credit Line of $450,000,000, the requirement is equal to $33,750,000).</w:t>
      </w:r>
    </w:p>
    <w:p>
      <w:pPr>
        <w:spacing w:after="0" w:line="202" w:lineRule="exact"/>
        <w:rPr>
          <w:rFonts w:ascii="Arial" w:cs="Arial" w:eastAsia="Arial" w:hAnsi="Arial"/>
          <w:sz w:val="18"/>
          <w:szCs w:val="18"/>
          <w:color w:val="auto"/>
        </w:rPr>
      </w:pPr>
    </w:p>
    <w:p>
      <w:pPr>
        <w:jc w:val="both"/>
        <w:ind w:left="2600" w:right="860" w:hanging="648"/>
        <w:spacing w:after="0"/>
        <w:tabs>
          <w:tab w:leader="none" w:pos="2600" w:val="left"/>
        </w:tabs>
        <w:numPr>
          <w:ilvl w:val="3"/>
          <w:numId w:val="29"/>
        </w:numPr>
        <w:rPr>
          <w:rFonts w:ascii="Arial" w:cs="Arial" w:eastAsia="Arial" w:hAnsi="Arial"/>
          <w:sz w:val="18"/>
          <w:szCs w:val="18"/>
          <w:color w:val="auto"/>
        </w:rPr>
      </w:pPr>
      <w:r>
        <w:rPr>
          <w:rFonts w:ascii="Arial" w:cs="Arial" w:eastAsia="Arial" w:hAnsi="Arial"/>
          <w:sz w:val="18"/>
          <w:szCs w:val="18"/>
          <w:color w:val="auto"/>
        </w:rPr>
        <w:t>Unrestricted cash and cash equivalents shall include cash maintained in the Dealership’s bank account(s), plus outstanding deposits, less outstanding checks, less bank fees, all as of the month-end for which the covenant applies.</w:t>
      </w:r>
    </w:p>
    <w:p>
      <w:pPr>
        <w:spacing w:after="0" w:line="202" w:lineRule="exact"/>
        <w:rPr>
          <w:rFonts w:ascii="Arial" w:cs="Arial" w:eastAsia="Arial" w:hAnsi="Arial"/>
          <w:sz w:val="18"/>
          <w:szCs w:val="18"/>
          <w:color w:val="auto"/>
        </w:rPr>
      </w:pPr>
    </w:p>
    <w:p>
      <w:pPr>
        <w:jc w:val="both"/>
        <w:ind w:left="2600" w:right="860" w:hanging="648"/>
        <w:spacing w:after="0"/>
        <w:tabs>
          <w:tab w:leader="none" w:pos="2600" w:val="left"/>
        </w:tabs>
        <w:numPr>
          <w:ilvl w:val="3"/>
          <w:numId w:val="29"/>
        </w:numPr>
        <w:rPr>
          <w:rFonts w:ascii="Arial" w:cs="Arial" w:eastAsia="Arial" w:hAnsi="Arial"/>
          <w:sz w:val="18"/>
          <w:szCs w:val="18"/>
          <w:color w:val="auto"/>
        </w:rPr>
      </w:pPr>
      <w:r>
        <w:rPr>
          <w:rFonts w:ascii="Arial" w:cs="Arial" w:eastAsia="Arial" w:hAnsi="Arial"/>
          <w:sz w:val="18"/>
          <w:szCs w:val="18"/>
          <w:color w:val="auto"/>
        </w:rPr>
        <w:t>Unrestricted cash and cash equivalents shall not include any amounts used to establish the Minimum Required Balance under the Credit Balance Agreement entered into contemporaneously with this Agreement.</w:t>
      </w:r>
    </w:p>
    <w:p>
      <w:pPr>
        <w:spacing w:after="0" w:line="202" w:lineRule="exact"/>
        <w:rPr>
          <w:rFonts w:ascii="Arial" w:cs="Arial" w:eastAsia="Arial" w:hAnsi="Arial"/>
          <w:sz w:val="18"/>
          <w:szCs w:val="18"/>
          <w:color w:val="auto"/>
        </w:rPr>
      </w:pPr>
    </w:p>
    <w:p>
      <w:pPr>
        <w:ind w:left="1960" w:hanging="656"/>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Inventory Equity</w:t>
      </w:r>
      <w:r>
        <w:rPr>
          <w:rFonts w:ascii="Arial" w:cs="Arial" w:eastAsia="Arial" w:hAnsi="Arial"/>
          <w:sz w:val="18"/>
          <w:szCs w:val="18"/>
          <w:color w:val="auto"/>
        </w:rPr>
        <w:t>: The Dealership will maintain used vehicle inventory equity of at least 5.0%.</w:t>
      </w:r>
    </w:p>
    <w:p>
      <w:pPr>
        <w:spacing w:after="0" w:line="211" w:lineRule="exact"/>
        <w:rPr>
          <w:rFonts w:ascii="Arial" w:cs="Arial" w:eastAsia="Arial" w:hAnsi="Arial"/>
          <w:sz w:val="18"/>
          <w:szCs w:val="18"/>
          <w:color w:val="auto"/>
        </w:rPr>
      </w:pPr>
    </w:p>
    <w:p>
      <w:pPr>
        <w:ind w:left="2600" w:right="860" w:hanging="648"/>
        <w:spacing w:after="0" w:line="246" w:lineRule="auto"/>
        <w:tabs>
          <w:tab w:leader="none" w:pos="2600" w:val="left"/>
        </w:tabs>
        <w:numPr>
          <w:ilvl w:val="3"/>
          <w:numId w:val="29"/>
        </w:numPr>
        <w:rPr>
          <w:rFonts w:ascii="Arial" w:cs="Arial" w:eastAsia="Arial" w:hAnsi="Arial"/>
          <w:sz w:val="18"/>
          <w:szCs w:val="18"/>
          <w:color w:val="auto"/>
        </w:rPr>
      </w:pPr>
      <w:r>
        <w:rPr>
          <w:rFonts w:ascii="Arial" w:cs="Arial" w:eastAsia="Arial" w:hAnsi="Arial"/>
          <w:sz w:val="18"/>
          <w:szCs w:val="18"/>
          <w:color w:val="auto"/>
        </w:rPr>
        <w:t>Includes all vehicles owned by the Dealership and covered by the Ally Parties’ security interest, including the Dealership’s wholesale vehicles.</w:t>
      </w:r>
    </w:p>
    <w:p>
      <w:pPr>
        <w:spacing w:after="0" w:line="196" w:lineRule="exact"/>
        <w:rPr>
          <w:rFonts w:ascii="Arial" w:cs="Arial" w:eastAsia="Arial" w:hAnsi="Arial"/>
          <w:sz w:val="18"/>
          <w:szCs w:val="18"/>
          <w:color w:val="auto"/>
        </w:rPr>
      </w:pPr>
    </w:p>
    <w:p>
      <w:pPr>
        <w:ind w:left="2600" w:right="860" w:hanging="648"/>
        <w:spacing w:after="0" w:line="246" w:lineRule="auto"/>
        <w:tabs>
          <w:tab w:leader="none" w:pos="2600" w:val="left"/>
        </w:tabs>
        <w:numPr>
          <w:ilvl w:val="3"/>
          <w:numId w:val="29"/>
        </w:numPr>
        <w:rPr>
          <w:rFonts w:ascii="Arial" w:cs="Arial" w:eastAsia="Arial" w:hAnsi="Arial"/>
          <w:sz w:val="18"/>
          <w:szCs w:val="18"/>
          <w:color w:val="auto"/>
        </w:rPr>
      </w:pPr>
      <w:r>
        <w:rPr>
          <w:rFonts w:ascii="Arial" w:cs="Arial" w:eastAsia="Arial" w:hAnsi="Arial"/>
          <w:sz w:val="18"/>
          <w:szCs w:val="18"/>
          <w:color w:val="auto"/>
        </w:rPr>
        <w:t>Net of inbound transportation costs, unpaid lien payoffs, sales tax payables, and other third party payables.</w:t>
      </w:r>
    </w:p>
    <w:p>
      <w:pPr>
        <w:spacing w:after="0" w:line="196" w:lineRule="exact"/>
        <w:rPr>
          <w:rFonts w:ascii="Arial" w:cs="Arial" w:eastAsia="Arial" w:hAnsi="Arial"/>
          <w:sz w:val="18"/>
          <w:szCs w:val="18"/>
          <w:color w:val="auto"/>
        </w:rPr>
      </w:pPr>
    </w:p>
    <w:p>
      <w:pPr>
        <w:ind w:left="2600" w:right="860" w:hanging="648"/>
        <w:spacing w:after="0" w:line="246" w:lineRule="auto"/>
        <w:tabs>
          <w:tab w:leader="none" w:pos="2600" w:val="left"/>
        </w:tabs>
        <w:numPr>
          <w:ilvl w:val="3"/>
          <w:numId w:val="29"/>
        </w:numPr>
        <w:rPr>
          <w:rFonts w:ascii="Arial" w:cs="Arial" w:eastAsia="Arial" w:hAnsi="Arial"/>
          <w:sz w:val="18"/>
          <w:szCs w:val="18"/>
          <w:color w:val="auto"/>
        </w:rPr>
      </w:pPr>
      <w:r>
        <w:rPr>
          <w:rFonts w:ascii="Arial" w:cs="Arial" w:eastAsia="Arial" w:hAnsi="Arial"/>
          <w:sz w:val="18"/>
          <w:szCs w:val="18"/>
          <w:color w:val="auto"/>
        </w:rPr>
        <w:t>Unrestricted cash and cash equivalents in excess of the Minimum Liquidity requirement may be used to satisfy this covenant.</w:t>
      </w:r>
    </w:p>
    <w:p>
      <w:pPr>
        <w:spacing w:after="0" w:line="196" w:lineRule="exact"/>
        <w:rPr>
          <w:rFonts w:ascii="Arial" w:cs="Arial" w:eastAsia="Arial" w:hAnsi="Arial"/>
          <w:sz w:val="18"/>
          <w:szCs w:val="18"/>
          <w:color w:val="auto"/>
        </w:rPr>
      </w:pPr>
    </w:p>
    <w:p>
      <w:pPr>
        <w:ind w:left="1960" w:hanging="656"/>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Minimum Net Worth</w:t>
      </w:r>
      <w:r>
        <w:rPr>
          <w:rFonts w:ascii="Arial" w:cs="Arial" w:eastAsia="Arial" w:hAnsi="Arial"/>
          <w:sz w:val="18"/>
          <w:szCs w:val="18"/>
          <w:color w:val="auto"/>
        </w:rPr>
        <w:t>: [Eliminated.]</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III.G.4 of the IFSA is deleted and restated in its entirety as follows:</w:t>
      </w:r>
    </w:p>
    <w:p>
      <w:pPr>
        <w:spacing w:after="0" w:line="211" w:lineRule="exact"/>
        <w:rPr>
          <w:rFonts w:ascii="Arial" w:cs="Arial" w:eastAsia="Arial" w:hAnsi="Arial"/>
          <w:sz w:val="18"/>
          <w:szCs w:val="18"/>
          <w:color w:val="auto"/>
        </w:rPr>
      </w:pPr>
    </w:p>
    <w:p>
      <w:pPr>
        <w:jc w:val="both"/>
        <w:ind w:left="1300" w:right="860" w:hanging="644"/>
        <w:spacing w:after="0" w:line="23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Dealership and Vroom will comply in all material respects with all of the Dealership’s obligations under the Credit Balance Agreement entered into contemporaneously with this Agreement (and any amendments or modifications to such agreement, including the Amended and Restated Credit Balance Agreement effective as of October 1, 2020) (as amended, the “CBA”), including, but not limited to, maintaining a Minimum Required Balance (as defined in the CBA) equal to not less than 10% of the daily floorplan principal balance outstanding, except as otherwise agreed by the Ally Parties.</w:t>
      </w:r>
    </w:p>
    <w:p>
      <w:pPr>
        <w:spacing w:after="0" w:line="204"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III.G.5 of the IFSA and the entire Covenant Addendum to the IFSA are both deleted in their entireties. This change eliminates the Change in Control and Key Man Event Provisions from the IFSA.</w:t>
      </w:r>
    </w:p>
    <w:p>
      <w:pPr>
        <w:spacing w:after="0" w:line="196" w:lineRule="exact"/>
        <w:rPr>
          <w:rFonts w:ascii="Arial" w:cs="Arial" w:eastAsia="Arial" w:hAnsi="Arial"/>
          <w:sz w:val="18"/>
          <w:szCs w:val="18"/>
          <w:color w:val="auto"/>
        </w:rPr>
      </w:pPr>
    </w:p>
    <w:p>
      <w:pPr>
        <w:jc w:val="both"/>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provided above, the IFSA and all other agreements between each of the Ally Parties and Dealership and Vroom remain in full force and effect as written. In the event of a conflict between the terms of the IFSA and this Amendment, the terms of this Amendment prevail. The parties hereto ratify all terms of the IFSA as amended by the Amendment.</w:t>
      </w:r>
    </w:p>
    <w:p>
      <w:pPr>
        <w:spacing w:after="0" w:line="202"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invalid or unenforceable by a court of competent jurisdiction, all other provisions remain valid and enforceable.</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3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Amendment:</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May be modified only by a writing signed by all parties.</w:t>
      </w:r>
    </w:p>
    <w:p>
      <w:pPr>
        <w:spacing w:after="0" w:line="211" w:lineRule="exact"/>
        <w:rPr>
          <w:rFonts w:ascii="Arial" w:cs="Arial" w:eastAsia="Arial" w:hAnsi="Arial"/>
          <w:sz w:val="18"/>
          <w:szCs w:val="18"/>
          <w:color w:val="auto"/>
        </w:rPr>
      </w:pPr>
    </w:p>
    <w:p>
      <w:pPr>
        <w:jc w:val="both"/>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gridSpan w:val="8"/>
          </w:tcPr>
          <w:p>
            <w:pPr>
              <w:ind w:left="40"/>
              <w:spacing w:after="0"/>
              <w:rPr>
                <w:sz w:val="20"/>
                <w:szCs w:val="20"/>
                <w:color w:val="auto"/>
              </w:rPr>
            </w:pPr>
            <w:r>
              <w:rPr>
                <w:rFonts w:ascii="Arial" w:cs="Arial" w:eastAsia="Arial" w:hAnsi="Arial"/>
                <w:sz w:val="18"/>
                <w:szCs w:val="18"/>
                <w:color w:val="auto"/>
              </w:rPr>
              <w:t>Agreed to as of October 1, 2020.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18"/>
        </w:trPr>
        <w:tc>
          <w:tcPr>
            <w:tcW w:w="2760" w:type="dxa"/>
            <w:vAlign w:val="bottom"/>
            <w:gridSpan w:val="8"/>
          </w:tcPr>
          <w:p>
            <w:pPr>
              <w:spacing w:after="0"/>
              <w:rPr>
                <w:sz w:val="20"/>
                <w:szCs w:val="20"/>
                <w:color w:val="auto"/>
              </w:rPr>
            </w:pPr>
            <w:r>
              <w:rPr>
                <w:rFonts w:ascii="Arial" w:cs="Arial" w:eastAsia="Arial" w:hAnsi="Arial"/>
                <w:sz w:val="18"/>
                <w:szCs w:val="18"/>
                <w:b w:val="1"/>
                <w:bCs w:val="1"/>
                <w:color w:val="auto"/>
              </w:rPr>
              <w:t>Ally Bank</w:t>
            </w:r>
          </w:p>
        </w:tc>
        <w:tc>
          <w:tcPr>
            <w:tcW w:w="2840" w:type="dxa"/>
            <w:vAlign w:val="bottom"/>
            <w:gridSpan w:val="7"/>
          </w:tcPr>
          <w:p>
            <w:pPr>
              <w:ind w:left="120"/>
              <w:spacing w:after="0"/>
              <w:rPr>
                <w:sz w:val="20"/>
                <w:szCs w:val="20"/>
                <w:color w:val="auto"/>
              </w:rPr>
            </w:pPr>
            <w:r>
              <w:rPr>
                <w:rFonts w:ascii="Arial" w:cs="Arial" w:eastAsia="Arial" w:hAnsi="Arial"/>
                <w:sz w:val="18"/>
                <w:szCs w:val="18"/>
                <w:b w:val="1"/>
                <w:bCs w:val="1"/>
                <w:color w:val="auto"/>
                <w:w w:val="98"/>
              </w:rPr>
              <w:t>Left Gate Property Holding, LLC</w:t>
            </w:r>
          </w:p>
        </w:tc>
      </w:tr>
      <w:tr>
        <w:trPr>
          <w:trHeight w:val="378"/>
        </w:trPr>
        <w:tc>
          <w:tcPr>
            <w:tcW w:w="2760" w:type="dxa"/>
            <w:vAlign w:val="bottom"/>
            <w:gridSpan w:val="8"/>
          </w:tcPr>
          <w:p>
            <w:pPr>
              <w:spacing w:after="0"/>
              <w:rPr>
                <w:sz w:val="20"/>
                <w:szCs w:val="20"/>
                <w:color w:val="auto"/>
              </w:rPr>
            </w:pPr>
            <w:r>
              <w:rPr>
                <w:rFonts w:ascii="Arial" w:cs="Arial" w:eastAsia="Arial" w:hAnsi="Arial"/>
                <w:sz w:val="18"/>
                <w:szCs w:val="18"/>
                <w:color w:val="auto"/>
              </w:rPr>
              <w:t>By:/s/ Stephen B. Gambrel</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By:/s/ David K. Jones</w:t>
            </w: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Name:Stephen B. Gambrel</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Name:David K. Jones</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Title:Authorized Representative</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Title:Chief Financial Officer</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Date:10/1/2020</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Date:10/1/2020</w:t>
            </w:r>
          </w:p>
        </w:tc>
      </w:tr>
      <w:tr>
        <w:trPr>
          <w:trHeight w:val="20"/>
        </w:trPr>
        <w:tc>
          <w:tcPr>
            <w:tcW w:w="44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9"/>
        </w:trPr>
        <w:tc>
          <w:tcPr>
            <w:tcW w:w="2760" w:type="dxa"/>
            <w:vAlign w:val="bottom"/>
            <w:gridSpan w:val="8"/>
          </w:tcPr>
          <w:p>
            <w:pPr>
              <w:spacing w:after="0"/>
              <w:rPr>
                <w:sz w:val="20"/>
                <w:szCs w:val="20"/>
                <w:color w:val="auto"/>
              </w:rPr>
            </w:pPr>
            <w:r>
              <w:rPr>
                <w:rFonts w:ascii="Arial" w:cs="Arial" w:eastAsia="Arial" w:hAnsi="Arial"/>
                <w:sz w:val="18"/>
                <w:szCs w:val="18"/>
                <w:b w:val="1"/>
                <w:bCs w:val="1"/>
                <w:color w:val="auto"/>
              </w:rPr>
              <w:t>Ally Financial Inc.</w:t>
            </w:r>
          </w:p>
        </w:tc>
        <w:tc>
          <w:tcPr>
            <w:tcW w:w="2840" w:type="dxa"/>
            <w:vAlign w:val="bottom"/>
            <w:gridSpan w:val="7"/>
          </w:tcPr>
          <w:p>
            <w:pPr>
              <w:ind w:left="120"/>
              <w:spacing w:after="0"/>
              <w:rPr>
                <w:sz w:val="20"/>
                <w:szCs w:val="20"/>
                <w:color w:val="auto"/>
              </w:rPr>
            </w:pPr>
            <w:r>
              <w:rPr>
                <w:rFonts w:ascii="Arial" w:cs="Arial" w:eastAsia="Arial" w:hAnsi="Arial"/>
                <w:sz w:val="18"/>
                <w:szCs w:val="18"/>
                <w:b w:val="1"/>
                <w:bCs w:val="1"/>
                <w:color w:val="auto"/>
              </w:rPr>
              <w:t>Vroom, Inc.</w:t>
            </w:r>
          </w:p>
        </w:tc>
      </w:tr>
      <w:tr>
        <w:trPr>
          <w:trHeight w:val="378"/>
        </w:trPr>
        <w:tc>
          <w:tcPr>
            <w:tcW w:w="2760" w:type="dxa"/>
            <w:vAlign w:val="bottom"/>
            <w:gridSpan w:val="8"/>
          </w:tcPr>
          <w:p>
            <w:pPr>
              <w:spacing w:after="0"/>
              <w:rPr>
                <w:sz w:val="20"/>
                <w:szCs w:val="20"/>
                <w:color w:val="auto"/>
              </w:rPr>
            </w:pPr>
            <w:r>
              <w:rPr>
                <w:rFonts w:ascii="Arial" w:cs="Arial" w:eastAsia="Arial" w:hAnsi="Arial"/>
                <w:sz w:val="18"/>
                <w:szCs w:val="18"/>
                <w:color w:val="auto"/>
              </w:rPr>
              <w:t>By:/s/ Stephen B. Gambrel</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By:/s/ David K. Jones</w:t>
            </w: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Name:Stephen B. Gambrel</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Name:David K. Jones</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2"/>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Title:Authorized Representative</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Title:Chief Financial Officer</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2760" w:type="dxa"/>
            <w:vAlign w:val="bottom"/>
            <w:gridSpan w:val="8"/>
          </w:tcPr>
          <w:p>
            <w:pPr>
              <w:spacing w:after="0"/>
              <w:rPr>
                <w:sz w:val="20"/>
                <w:szCs w:val="20"/>
                <w:color w:val="auto"/>
              </w:rPr>
            </w:pPr>
            <w:r>
              <w:rPr>
                <w:rFonts w:ascii="Arial" w:cs="Arial" w:eastAsia="Arial" w:hAnsi="Arial"/>
                <w:sz w:val="18"/>
                <w:szCs w:val="18"/>
                <w:color w:val="auto"/>
              </w:rPr>
              <w:t>Date:10/1/2020</w:t>
            </w: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Date:10/1/2020</w:t>
            </w:r>
          </w:p>
        </w:tc>
      </w:tr>
      <w:tr>
        <w:trPr>
          <w:trHeight w:val="655"/>
        </w:trPr>
        <w:tc>
          <w:tcPr>
            <w:tcW w:w="440" w:type="dxa"/>
            <w:vAlign w:val="bottom"/>
            <w:gridSpan w:val="2"/>
          </w:tcPr>
          <w:p>
            <w:pPr>
              <w:spacing w:after="0"/>
              <w:rPr>
                <w:sz w:val="24"/>
                <w:szCs w:val="24"/>
                <w:color w:val="auto"/>
              </w:rPr>
            </w:pPr>
          </w:p>
        </w:tc>
        <w:tc>
          <w:tcPr>
            <w:tcW w:w="8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Hennessy,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4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K. Jones,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4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K. Jones</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Chief Financial Officer(</w:t>
            </w:r>
            <w:r>
              <w:rPr>
                <w:rFonts w:ascii="Arial" w:cs="Arial" w:eastAsia="Arial" w:hAnsi="Arial"/>
                <w:sz w:val="18"/>
                <w:szCs w:val="18"/>
                <w:i w:val="1"/>
                <w:iCs w:val="1"/>
                <w:color w:val="auto"/>
                <w:w w:val="96"/>
              </w:rPr>
              <w:t>principal financial officer</w:t>
            </w:r>
            <w:r>
              <w:rPr>
                <w:rFonts w:ascii="Arial" w:cs="Arial" w:eastAsia="Arial" w:hAnsi="Arial"/>
                <w:sz w:val="18"/>
                <w:szCs w:val="18"/>
                <w:color w:val="auto"/>
                <w:w w:val="96"/>
              </w:rPr>
              <w:t>)</w:t>
            </w:r>
          </w:p>
        </w:tc>
      </w:tr>
    </w:tbl>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J. Hennessy</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7"/>
              </w:rPr>
              <w:t>Paul J. Hennessy</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K. Jones</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David K. Jones</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Chief Financial Officer(</w:t>
            </w: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endash "/>
      <w:numFmt w:val="bullet"/>
      <w:start w:val="1"/>
    </w:lvl>
  </w:abstractNum>
  <w:abstractNum w:abstractNumId="6">
    <w:nsid w:val="333AB105"/>
    <w:multiLevelType w:val="hybridMultilevel"/>
    <w:lvl w:ilvl="0">
      <w:lvlJc w:val="left"/>
      <w:lvlText w:val="%1."/>
      <w:numFmt w:val="decimal"/>
      <w:start w:val="8"/>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6"/>
    </w:lvl>
  </w:abstractNum>
  <w:abstractNum w:abstractNumId="9">
    <w:nsid w:val="2D1D5AE9"/>
    <w:multiLevelType w:val="hybridMultilevel"/>
    <w:lvl w:ilvl="0">
      <w:lvlJc w:val="left"/>
      <w:lvlText w:val="(%1)"/>
      <w:numFmt w:val="lowerRoman"/>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4"/>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upperLetter"/>
      <w:start w:val="9"/>
    </w:lvl>
  </w:abstractNum>
  <w:abstractNum w:abstractNumId="21">
    <w:nsid w:val="2901D82"/>
    <w:multiLevelType w:val="hybridMultilevel"/>
    <w:lvl w:ilvl="0">
      <w:lvlJc w:val="left"/>
      <w:lvlText w:val="%1."/>
      <w:numFmt w:val="upperLetter"/>
      <w:start w:val="1"/>
    </w:lvl>
    <w:lvl w:ilvl="1">
      <w:lvlJc w:val="left"/>
      <w:lvlText w:val="%2."/>
      <w:numFmt w:val="upperLetter"/>
      <w:start w:val="35"/>
    </w:lvl>
  </w:abstractNum>
  <w:abstractNum w:abstractNumId="22">
    <w:nsid w:val="3A95F874"/>
    <w:multiLevelType w:val="hybridMultilevel"/>
    <w:lvl w:ilvl="0">
      <w:lvlJc w:val="left"/>
      <w:lvlText w:val="%1."/>
      <w:numFmt w:val="upperLetter"/>
      <w:start w:val="1"/>
    </w:lvl>
    <w:lvl w:ilvl="1">
      <w:lvlJc w:val="left"/>
      <w:lvlText w:val="%2"/>
      <w:numFmt w:val="upperLetter"/>
      <w:start w:val="1"/>
    </w:lvl>
  </w:abstractNum>
  <w:abstractNum w:abstractNumId="23">
    <w:nsid w:val="8138641"/>
    <w:multiLevelType w:val="hybridMultilevel"/>
    <w:lvl w:ilvl="0">
      <w:lvlJc w:val="left"/>
      <w:lvlText w:val="%1."/>
      <w:numFmt w:val="upperLetter"/>
      <w:start w:val="1"/>
    </w:lvl>
    <w:lvl w:ilvl="1">
      <w:lvlJc w:val="left"/>
      <w:lvlText w:val="(%2)"/>
      <w:numFmt w:val="lowerLetter"/>
      <w:start w:val="3"/>
    </w:lvl>
  </w:abstractNum>
  <w:abstractNum w:abstractNumId="24">
    <w:nsid w:val="1E7FF521"/>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25">
    <w:nsid w:val="7C3DBD3D"/>
    <w:multiLevelType w:val="hybridMultilevel"/>
    <w:lvl w:ilvl="0">
      <w:lvlJc w:val="left"/>
      <w:lvlText w:val="%1."/>
      <w:numFmt w:val="upperLetter"/>
      <w:start w:val="4"/>
    </w:lvl>
    <w:lvl w:ilvl="1">
      <w:lvlJc w:val="left"/>
      <w:lvlText w:val="%2."/>
      <w:numFmt w:val="decimal"/>
      <w:start w:val="7"/>
    </w:lvl>
    <w:lvl w:ilvl="2">
      <w:lvlJc w:val="left"/>
      <w:lvlText w:val="%3"/>
      <w:numFmt w:val="decimal"/>
      <w:start w:val="1"/>
    </w:lvl>
    <w:lvl w:ilvl="3">
      <w:lvlJc w:val="left"/>
      <w:lvlText w:val="(%4)"/>
      <w:numFmt w:val="lowerLetter"/>
      <w:start w:val="1"/>
    </w:lvl>
  </w:abstractNum>
  <w:abstractNum w:abstractNumId="26">
    <w:nsid w:val="737B8DDC"/>
    <w:multiLevelType w:val="hybridMultilevel"/>
    <w:lvl w:ilvl="0">
      <w:lvlJc w:val="left"/>
      <w:lvlText w:val="%1"/>
      <w:numFmt w:val="upperLetter"/>
      <w:start w:val="1"/>
    </w:lvl>
    <w:lvl w:ilvl="1">
      <w:lvlJc w:val="left"/>
      <w:lvlText w:val="%2."/>
      <w:numFmt w:val="decimal"/>
      <w:start w:val="9"/>
    </w:lvl>
    <w:lvl w:ilvl="2">
      <w:lvlJc w:val="left"/>
      <w:lvlText w:val="%3"/>
      <w:numFmt w:val="decimal"/>
      <w:start w:val="1"/>
    </w:lvl>
    <w:lvl w:ilvl="3">
      <w:lvlJc w:val="left"/>
      <w:lvlText w:val="%4"/>
      <w:numFmt w:val="lowerLetter"/>
      <w:start w:val="1"/>
    </w:lvl>
  </w:abstractNum>
  <w:abstractNum w:abstractNumId="27">
    <w:nsid w:val="6CEAF087"/>
    <w:multiLevelType w:val="hybridMultilevel"/>
    <w:lvl w:ilvl="0">
      <w:lvlJc w:val="left"/>
      <w:lvlText w:val="%1."/>
      <w:numFmt w:val="upperLetter"/>
      <w:start w:val="6"/>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8">
    <w:nsid w:val="22221A70"/>
    <w:multiLevelType w:val="hybridMultilevel"/>
    <w:lvl w:ilvl="0">
      <w:lvlJc w:val="left"/>
      <w:lvlText w:val="%1."/>
      <w:numFmt w:val="upperLetter"/>
      <w:start w:val="8"/>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9">
    <w:nsid w:val="4516DDE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0">
    <w:nsid w:val="3006C83E"/>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1">
    <w:nsid w:val="614FD4A1"/>
    <w:multiLevelType w:val="hybridMultilevel"/>
    <w:lvl w:ilvl="0">
      <w:lvlJc w:val="left"/>
      <w:lvlText w:val="%1."/>
      <w:numFmt w:val="upperLetter"/>
      <w:start w:val="13"/>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77" Type="http://schemas.openxmlformats.org/officeDocument/2006/relationships/hyperlink" Target="http://www.sec.gov/Archives/edgar/data/1580864/000119312520244144/d94166d424b4.htm" TargetMode="External"/><Relationship Id="rId81" Type="http://schemas.openxmlformats.org/officeDocument/2006/relationships/hyperlink" Target="http://www.sec.gov/Archives/edgar/data/1580864/000156459020039778/vrm-ex31_460.htm" TargetMode="External"/><Relationship Id="rId82" Type="http://schemas.openxmlformats.org/officeDocument/2006/relationships/hyperlink" Target="http://www.sec.gov/Archives/edgar/data/1580864/000156459020039778/vrm-ex32_234.htm" TargetMode="External"/><Relationship Id="rId83" Type="http://schemas.openxmlformats.org/officeDocument/2006/relationships/hyperlink" Target="http://www.sec.gov/Archives/edgar/data/1580864/000119312520157158/d801274dex41.htm" TargetMode="External"/><Relationship Id="rId84" Type="http://schemas.openxmlformats.org/officeDocument/2006/relationships/hyperlink" Target="http://www.sec.gov/Archives/edgar/data/0001580864/000119312520241003/d94166dex1020.htm" TargetMode="External"/><Relationship Id="rId85" Type="http://schemas.openxmlformats.org/officeDocument/2006/relationships/hyperlink" Target="http://www.sec.gov/Archives/edgar/data/0001580864/000119312520241003/d94166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2020-11-12T05:33:13Z</dcterms:created>
  <dcterms:modified xsi:type="dcterms:W3CDTF">2020-11-12T05:33:13Z</dcterms:modified>
</cp:coreProperties>
</file>