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48895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83820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62" w:lineRule="exact"/>
        <w:rPr>
          <w:rFonts w:ascii="MS PGothic" w:cs="MS PGothic" w:eastAsia="MS PGothic" w:hAnsi="MS PGothic"/>
          <w:sz w:val="18"/>
          <w:szCs w:val="18"/>
          <w:color w:val="auto"/>
        </w:rPr>
      </w:pPr>
    </w:p>
    <w:p>
      <w:pPr>
        <w:ind w:left="37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December 31, 2023</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240"/>
          </w:cols>
          <w:pgMar w:left="320" w:top="876" w:right="339" w:bottom="1440" w:gutter="0" w:footer="0" w:header="0"/>
        </w:sectPr>
      </w:pPr>
    </w:p>
    <w:p>
      <w:pPr>
        <w:spacing w:after="0" w:line="63" w:lineRule="exact"/>
        <w:rPr>
          <w:sz w:val="24"/>
          <w:szCs w:val="24"/>
          <w:color w:val="auto"/>
        </w:rPr>
      </w:pPr>
    </w:p>
    <w:p>
      <w:pPr>
        <w:ind w:left="378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49" w:lineRule="exact"/>
        <w:rPr>
          <w:sz w:val="24"/>
          <w:szCs w:val="24"/>
          <w:color w:val="auto"/>
        </w:rPr>
      </w:pPr>
    </w:p>
    <w:p>
      <w:pPr>
        <w:sectPr>
          <w:pgSz w:w="11900" w:h="16838" w:orient="portrait"/>
          <w:cols w:equalWidth="0" w:num="2">
            <w:col w:w="6300" w:space="700"/>
            <w:col w:w="4240"/>
          </w:cols>
          <w:pgMar w:left="320" w:top="876"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Commission file number: 001-39315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67945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446"/>
        </w:trPr>
        <w:tc>
          <w:tcPr>
            <w:tcW w:w="3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5"/>
          </w:tcPr>
          <w:p>
            <w:pPr>
              <w:jc w:val="center"/>
              <w:ind w:right="540"/>
              <w:spacing w:after="0"/>
              <w:rPr>
                <w:sz w:val="20"/>
                <w:szCs w:val="20"/>
                <w:color w:val="auto"/>
              </w:rPr>
            </w:pPr>
            <w:r>
              <w:rPr>
                <w:rFonts w:ascii="Arial" w:cs="Arial" w:eastAsia="Arial" w:hAnsi="Arial"/>
                <w:sz w:val="36"/>
                <w:szCs w:val="36"/>
                <w:b w:val="1"/>
                <w:bCs w:val="1"/>
                <w:color w:val="auto"/>
                <w:w w:val="99"/>
              </w:rPr>
              <w:t>VROOM, INC.</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4020" w:type="dxa"/>
            <w:vAlign w:val="bottom"/>
            <w:gridSpan w:val="7"/>
          </w:tcPr>
          <w:p>
            <w:pPr>
              <w:jc w:val="center"/>
              <w:ind w:left="68"/>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540" w:type="dxa"/>
            <w:vAlign w:val="bottom"/>
            <w:vMerge w:val="restart"/>
          </w:tcPr>
          <w:p>
            <w:pPr>
              <w:jc w:val="center"/>
              <w:ind w:left="225"/>
              <w:spacing w:after="0"/>
              <w:rPr>
                <w:sz w:val="20"/>
                <w:szCs w:val="20"/>
                <w:color w:val="auto"/>
              </w:rPr>
            </w:pPr>
            <w:r>
              <w:rPr>
                <w:rFonts w:ascii="Arial" w:cs="Arial" w:eastAsia="Arial" w:hAnsi="Arial"/>
                <w:sz w:val="14"/>
                <w:szCs w:val="14"/>
                <w:b w:val="1"/>
                <w:bCs w:val="1"/>
                <w:color w:val="auto"/>
              </w:rPr>
              <w:t>Delaware</w:t>
            </w: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901112566</w:t>
            </w:r>
          </w:p>
        </w:tc>
        <w:tc>
          <w:tcPr>
            <w:tcW w:w="0" w:type="dxa"/>
            <w:vAlign w:val="bottom"/>
          </w:tcPr>
          <w:p>
            <w:pPr>
              <w:spacing w:after="0"/>
              <w:rPr>
                <w:sz w:val="1"/>
                <w:szCs w:val="1"/>
                <w:color w:val="auto"/>
              </w:rPr>
            </w:pPr>
          </w:p>
        </w:tc>
      </w:tr>
      <w:tr>
        <w:trPr>
          <w:trHeight w:val="261"/>
        </w:trPr>
        <w:tc>
          <w:tcPr>
            <w:tcW w:w="3540" w:type="dxa"/>
            <w:vAlign w:val="bottom"/>
            <w:vMerge w:val="continue"/>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540" w:type="dxa"/>
            <w:vAlign w:val="bottom"/>
          </w:tcPr>
          <w:p>
            <w:pPr>
              <w:jc w:val="center"/>
              <w:ind w:left="225"/>
              <w:spacing w:after="0"/>
              <w:rPr>
                <w:sz w:val="20"/>
                <w:szCs w:val="20"/>
                <w:color w:val="auto"/>
              </w:rPr>
            </w:pPr>
            <w:r>
              <w:rPr>
                <w:rFonts w:ascii="Arial" w:cs="Arial" w:eastAsia="Arial" w:hAnsi="Arial"/>
                <w:sz w:val="14"/>
                <w:szCs w:val="14"/>
                <w:b w:val="1"/>
                <w:bCs w:val="1"/>
                <w:color w:val="auto"/>
              </w:rPr>
              <w:t>(State or Other Jurisdiction of</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6"/>
        </w:trPr>
        <w:tc>
          <w:tcPr>
            <w:tcW w:w="3540" w:type="dxa"/>
            <w:vAlign w:val="bottom"/>
          </w:tcPr>
          <w:p>
            <w:pPr>
              <w:jc w:val="center"/>
              <w:ind w:left="225"/>
              <w:spacing w:after="0"/>
              <w:rPr>
                <w:sz w:val="20"/>
                <w:szCs w:val="20"/>
                <w:color w:val="auto"/>
              </w:rPr>
            </w:pPr>
            <w:r>
              <w:rPr>
                <w:rFonts w:ascii="Arial" w:cs="Arial" w:eastAsia="Arial" w:hAnsi="Arial"/>
                <w:sz w:val="14"/>
                <w:szCs w:val="14"/>
                <w:b w:val="1"/>
                <w:bCs w:val="1"/>
                <w:color w:val="auto"/>
              </w:rPr>
              <w:t>Incorporation or Organization)</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40" w:type="dxa"/>
            <w:vAlign w:val="bottom"/>
            <w:gridSpan w:val="5"/>
            <w:vMerge w:val="restart"/>
          </w:tcPr>
          <w:p>
            <w:pPr>
              <w:jc w:val="center"/>
              <w:ind w:right="540"/>
              <w:spacing w:after="0"/>
              <w:rPr>
                <w:sz w:val="20"/>
                <w:szCs w:val="20"/>
                <w:color w:val="auto"/>
              </w:rPr>
            </w:pPr>
            <w:r>
              <w:rPr>
                <w:rFonts w:ascii="Arial" w:cs="Arial" w:eastAsia="Arial" w:hAnsi="Arial"/>
                <w:sz w:val="14"/>
                <w:szCs w:val="14"/>
                <w:b w:val="1"/>
                <w:bCs w:val="1"/>
                <w:color w:val="auto"/>
              </w:rPr>
              <w:t>3600 W Sam Houston Pkwy S, Floor 4</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141"/>
        </w:trPr>
        <w:tc>
          <w:tcPr>
            <w:tcW w:w="3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gridSpan w:val="5"/>
            <w:vMerge w:val="continue"/>
          </w:tcPr>
          <w:p>
            <w:pPr>
              <w:spacing w:after="0"/>
              <w:rPr>
                <w:sz w:val="12"/>
                <w:szCs w:val="12"/>
                <w:color w:val="auto"/>
              </w:rPr>
            </w:pP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gridSpan w:val="4"/>
          </w:tcPr>
          <w:p>
            <w:pPr>
              <w:jc w:val="center"/>
              <w:ind w:right="800"/>
              <w:spacing w:after="0"/>
              <w:rPr>
                <w:sz w:val="20"/>
                <w:szCs w:val="20"/>
                <w:color w:val="auto"/>
              </w:rPr>
            </w:pPr>
            <w:r>
              <w:rPr>
                <w:rFonts w:ascii="Arial" w:cs="Arial" w:eastAsia="Arial" w:hAnsi="Arial"/>
                <w:sz w:val="14"/>
                <w:szCs w:val="14"/>
                <w:b w:val="1"/>
                <w:bCs w:val="1"/>
                <w:color w:val="auto"/>
              </w:rPr>
              <w:t>Houston, Texas 77042</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4020" w:type="dxa"/>
            <w:vAlign w:val="bottom"/>
            <w:gridSpan w:val="7"/>
          </w:tcPr>
          <w:p>
            <w:pPr>
              <w:jc w:val="center"/>
              <w:ind w:left="68"/>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540" w:type="dxa"/>
            <w:vAlign w:val="bottom"/>
          </w:tcPr>
          <w:p>
            <w:pPr>
              <w:spacing w:after="0"/>
              <w:rPr>
                <w:sz w:val="16"/>
                <w:szCs w:val="16"/>
                <w:color w:val="auto"/>
              </w:rPr>
            </w:pPr>
          </w:p>
        </w:tc>
        <w:tc>
          <w:tcPr>
            <w:tcW w:w="3200" w:type="dxa"/>
            <w:vAlign w:val="bottom"/>
            <w:gridSpan w:val="4"/>
          </w:tcPr>
          <w:p>
            <w:pPr>
              <w:jc w:val="center"/>
              <w:ind w:left="908"/>
              <w:spacing w:after="0"/>
              <w:rPr>
                <w:sz w:val="20"/>
                <w:szCs w:val="20"/>
                <w:color w:val="auto"/>
              </w:rPr>
            </w:pPr>
            <w:r>
              <w:rPr>
                <w:rFonts w:ascii="Arial" w:cs="Arial" w:eastAsia="Arial" w:hAnsi="Arial"/>
                <w:sz w:val="14"/>
                <w:szCs w:val="14"/>
                <w:b w:val="1"/>
                <w:bCs w:val="1"/>
                <w:color w:val="auto"/>
              </w:rPr>
              <w:t>(518) 535-9125</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4020" w:type="dxa"/>
            <w:vAlign w:val="bottom"/>
            <w:gridSpan w:val="7"/>
          </w:tcPr>
          <w:p>
            <w:pPr>
              <w:jc w:val="center"/>
              <w:ind w:left="88"/>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4500" w:type="dxa"/>
            <w:vAlign w:val="bottom"/>
            <w:gridSpan w:val="4"/>
            <w:vMerge w:val="restart"/>
          </w:tcPr>
          <w:p>
            <w:pPr>
              <w:ind w:left="380"/>
              <w:spacing w:after="0"/>
              <w:rPr>
                <w:sz w:val="20"/>
                <w:szCs w:val="20"/>
                <w:color w:val="auto"/>
              </w:rPr>
            </w:pPr>
            <w:r>
              <w:rPr>
                <w:rFonts w:ascii="Arial" w:cs="Arial" w:eastAsia="Arial" w:hAnsi="Arial"/>
                <w:sz w:val="16"/>
                <w:szCs w:val="16"/>
                <w:color w:val="auto"/>
              </w:rPr>
              <w:t>Securities registered pursuant to Section 12(b) of the Act:</w:t>
            </w:r>
          </w:p>
        </w:tc>
        <w:tc>
          <w:tcPr>
            <w:tcW w:w="2240" w:type="dxa"/>
            <w:vAlign w:val="bottom"/>
            <w:tcBorders>
              <w:bottom w:val="single" w:sz="8" w:color="auto"/>
            </w:tcBorders>
          </w:tcPr>
          <w:p>
            <w:pPr>
              <w:spacing w:after="0"/>
              <w:rPr>
                <w:sz w:val="11"/>
                <w:szCs w:val="11"/>
                <w:color w:val="auto"/>
              </w:rPr>
            </w:pPr>
          </w:p>
        </w:tc>
        <w:tc>
          <w:tcPr>
            <w:tcW w:w="3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400" w:type="dxa"/>
            <w:vAlign w:val="bottom"/>
            <w:vMerge w:val="restart"/>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4500" w:type="dxa"/>
            <w:vAlign w:val="bottom"/>
            <w:gridSpan w:val="4"/>
            <w:vMerge w:val="continue"/>
          </w:tcPr>
          <w:p>
            <w:pPr>
              <w:spacing w:after="0"/>
              <w:rPr>
                <w:sz w:val="16"/>
                <w:szCs w:val="16"/>
                <w:color w:val="auto"/>
              </w:rPr>
            </w:pPr>
          </w:p>
        </w:tc>
        <w:tc>
          <w:tcPr>
            <w:tcW w:w="22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3540" w:type="dxa"/>
            <w:vAlign w:val="bottom"/>
          </w:tcPr>
          <w:p>
            <w:pPr>
              <w:jc w:val="center"/>
              <w:ind w:left="525"/>
              <w:spacing w:after="0"/>
              <w:rPr>
                <w:sz w:val="20"/>
                <w:szCs w:val="20"/>
                <w:color w:val="auto"/>
              </w:rPr>
            </w:pPr>
            <w:r>
              <w:rPr>
                <w:rFonts w:ascii="Arial" w:cs="Arial" w:eastAsia="Arial" w:hAnsi="Arial"/>
                <w:sz w:val="14"/>
                <w:szCs w:val="14"/>
                <w:b w:val="1"/>
                <w:bCs w:val="1"/>
                <w:color w:val="auto"/>
              </w:rPr>
              <w:t>Title of each class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Trading Symbol(s)</w:t>
            </w:r>
          </w:p>
        </w:tc>
        <w:tc>
          <w:tcPr>
            <w:tcW w:w="3680" w:type="dxa"/>
            <w:vAlign w:val="bottom"/>
          </w:tcPr>
          <w:p>
            <w:pPr>
              <w:jc w:val="center"/>
              <w:ind w:right="306"/>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8"/>
        </w:trPr>
        <w:tc>
          <w:tcPr>
            <w:tcW w:w="3540" w:type="dxa"/>
            <w:vAlign w:val="bottom"/>
            <w:tcBorders>
              <w:top w:val="single" w:sz="8" w:color="auto"/>
            </w:tcBorders>
          </w:tcPr>
          <w:p>
            <w:pPr>
              <w:jc w:val="center"/>
              <w:ind w:left="545"/>
              <w:spacing w:after="0"/>
              <w:rPr>
                <w:sz w:val="20"/>
                <w:szCs w:val="20"/>
                <w:color w:val="auto"/>
              </w:rPr>
            </w:pPr>
            <w:r>
              <w:rPr>
                <w:rFonts w:ascii="Arial" w:cs="Arial" w:eastAsia="Arial" w:hAnsi="Arial"/>
                <w:sz w:val="16"/>
                <w:szCs w:val="16"/>
                <w:color w:val="auto"/>
              </w:rPr>
              <w:t>Common Stock, $0.001 par value</w:t>
            </w: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color w:val="auto"/>
              </w:rPr>
              <w:t>VRM</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tcPr>
          <w:p>
            <w:pPr>
              <w:jc w:val="center"/>
              <w:ind w:right="306"/>
              <w:spacing w:after="0"/>
              <w:rPr>
                <w:sz w:val="20"/>
                <w:szCs w:val="20"/>
                <w:color w:val="auto"/>
              </w:rPr>
            </w:pPr>
            <w:r>
              <w:rPr>
                <w:rFonts w:ascii="Arial" w:cs="Arial" w:eastAsia="Arial" w:hAnsi="Arial"/>
                <w:sz w:val="16"/>
                <w:szCs w:val="16"/>
                <w:color w:val="auto"/>
              </w:rPr>
              <w:t>Nasdaq Global Select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left="38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36" w:lineRule="exact"/>
        <w:rPr>
          <w:sz w:val="24"/>
          <w:szCs w:val="24"/>
          <w:color w:val="auto"/>
        </w:rPr>
      </w:pPr>
    </w:p>
    <w:p>
      <w:pPr>
        <w:ind w:left="380" w:right="1320"/>
        <w:spacing w:after="0" w:line="271" w:lineRule="exact"/>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right="40" w:firstLine="374"/>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33" w:lineRule="exact"/>
        <w:rPr>
          <w:sz w:val="24"/>
          <w:szCs w:val="24"/>
          <w:color w:val="auto"/>
        </w:rPr>
      </w:pPr>
    </w:p>
    <w:p>
      <w:pPr>
        <w:ind w:right="120" w:firstLine="374"/>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33" w:lineRule="exact"/>
        <w:rPr>
          <w:sz w:val="24"/>
          <w:szCs w:val="24"/>
          <w:color w:val="auto"/>
        </w:rPr>
      </w:pPr>
    </w:p>
    <w:p>
      <w:pPr>
        <w:jc w:val="both"/>
        <w:ind w:firstLine="374"/>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4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8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29"/>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40"/>
              <w:spacing w:after="0" w:line="215" w:lineRule="exact"/>
              <w:rPr>
                <w:sz w:val="20"/>
                <w:szCs w:val="20"/>
                <w:color w:val="auto"/>
              </w:rPr>
            </w:pPr>
            <w:r>
              <w:rPr>
                <w:rFonts w:ascii="Arial Unicode MS" w:cs="Arial Unicode MS" w:eastAsia="Arial Unicode MS" w:hAnsi="Arial Unicode MS"/>
                <w:sz w:val="16"/>
                <w:szCs w:val="16"/>
                <w:color w:val="auto"/>
              </w:rPr>
              <w:t>☐</w:t>
            </w:r>
          </w:p>
        </w:tc>
        <w:tc>
          <w:tcPr>
            <w:tcW w:w="5300" w:type="dxa"/>
            <w:vAlign w:val="bottom"/>
          </w:tcPr>
          <w:p>
            <w:pPr>
              <w:ind w:left="3200"/>
              <w:spacing w:after="0"/>
              <w:rPr>
                <w:sz w:val="20"/>
                <w:szCs w:val="20"/>
                <w:color w:val="auto"/>
              </w:rPr>
            </w:pPr>
            <w:r>
              <w:rPr>
                <w:rFonts w:ascii="Arial" w:cs="Arial" w:eastAsia="Arial" w:hAnsi="Arial"/>
                <w:sz w:val="16"/>
                <w:szCs w:val="16"/>
                <w:color w:val="auto"/>
              </w:rPr>
              <w:t>Smaller reporting company</w:t>
            </w:r>
          </w:p>
        </w:tc>
        <w:tc>
          <w:tcPr>
            <w:tcW w:w="320" w:type="dxa"/>
            <w:vAlign w:val="bottom"/>
          </w:tcPr>
          <w:p>
            <w:pPr>
              <w:ind w:left="180"/>
              <w:spacing w:after="0" w:line="215" w:lineRule="exact"/>
              <w:rPr>
                <w:sz w:val="20"/>
                <w:szCs w:val="20"/>
                <w:color w:val="auto"/>
              </w:rPr>
            </w:pPr>
            <w:r>
              <w:rPr>
                <w:rFonts w:ascii="Arial Unicode MS" w:cs="Arial Unicode MS" w:eastAsia="Arial Unicode MS" w:hAnsi="Arial Unicode MS"/>
                <w:sz w:val="16"/>
                <w:szCs w:val="16"/>
                <w:color w:val="auto"/>
              </w:rPr>
              <w:t>☒</w:t>
            </w:r>
          </w:p>
        </w:tc>
      </w:tr>
      <w:tr>
        <w:trPr>
          <w:trHeight w:val="272"/>
        </w:trPr>
        <w:tc>
          <w:tcPr>
            <w:tcW w:w="1860" w:type="dxa"/>
            <w:vAlign w:val="bottom"/>
          </w:tcPr>
          <w:p>
            <w:pPr>
              <w:spacing w:after="0"/>
              <w:rPr>
                <w:sz w:val="23"/>
                <w:szCs w:val="23"/>
                <w:color w:val="auto"/>
              </w:rPr>
            </w:pPr>
          </w:p>
        </w:tc>
        <w:tc>
          <w:tcPr>
            <w:tcW w:w="3580" w:type="dxa"/>
            <w:vAlign w:val="bottom"/>
          </w:tcPr>
          <w:p>
            <w:pPr>
              <w:spacing w:after="0"/>
              <w:rPr>
                <w:sz w:val="23"/>
                <w:szCs w:val="23"/>
                <w:color w:val="auto"/>
              </w:rPr>
            </w:pPr>
          </w:p>
        </w:tc>
        <w:tc>
          <w:tcPr>
            <w:tcW w:w="5300" w:type="dxa"/>
            <w:vAlign w:val="bottom"/>
          </w:tcPr>
          <w:p>
            <w:pPr>
              <w:ind w:left="3200"/>
              <w:spacing w:after="0"/>
              <w:rPr>
                <w:sz w:val="20"/>
                <w:szCs w:val="20"/>
                <w:color w:val="auto"/>
              </w:rPr>
            </w:pPr>
            <w:r>
              <w:rPr>
                <w:rFonts w:ascii="Arial" w:cs="Arial" w:eastAsia="Arial" w:hAnsi="Arial"/>
                <w:sz w:val="16"/>
                <w:szCs w:val="16"/>
                <w:color w:val="auto"/>
              </w:rPr>
              <w:t>Emerging growth company</w:t>
            </w:r>
          </w:p>
        </w:tc>
        <w:tc>
          <w:tcPr>
            <w:tcW w:w="320" w:type="dxa"/>
            <w:vAlign w:val="bottom"/>
          </w:tcPr>
          <w:p>
            <w:pPr>
              <w:ind w:left="180"/>
              <w:spacing w:after="0" w:line="215" w:lineRule="exact"/>
              <w:rPr>
                <w:sz w:val="20"/>
                <w:szCs w:val="20"/>
                <w:color w:val="auto"/>
              </w:rPr>
            </w:pPr>
            <w:r>
              <w:rPr>
                <w:rFonts w:ascii="Arial Unicode MS" w:cs="Arial Unicode MS" w:eastAsia="Arial Unicode MS" w:hAnsi="Arial Unicode MS"/>
                <w:sz w:val="16"/>
                <w:szCs w:val="16"/>
                <w:color w:val="auto"/>
              </w:rPr>
              <w:t>☐</w:t>
            </w:r>
          </w:p>
        </w:tc>
      </w:tr>
    </w:tbl>
    <w:p>
      <w:pPr>
        <w:spacing w:after="0" w:line="47" w:lineRule="exact"/>
        <w:rPr>
          <w:sz w:val="24"/>
          <w:szCs w:val="24"/>
          <w:color w:val="auto"/>
        </w:rPr>
      </w:pPr>
    </w:p>
    <w:p>
      <w:pPr>
        <w:ind w:right="300" w:firstLine="374"/>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34" w:lineRule="exact"/>
        <w:rPr>
          <w:sz w:val="24"/>
          <w:szCs w:val="24"/>
          <w:color w:val="auto"/>
        </w:rPr>
      </w:pPr>
    </w:p>
    <w:p>
      <w:pPr>
        <w:ind w:right="60" w:firstLine="374"/>
        <w:spacing w:after="0" w:line="199"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40" w:firstLine="374"/>
        <w:spacing w:after="0" w:line="189"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380" w:firstLine="374"/>
        <w:spacing w:after="0" w:line="205" w:lineRule="exact"/>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auto"/>
        </w:rPr>
        <w:t>ﬃ</w:t>
      </w:r>
      <w:r>
        <w:rPr>
          <w:rFonts w:ascii="Arial" w:cs="Arial" w:eastAsia="Arial" w:hAnsi="Arial"/>
          <w:sz w:val="16"/>
          <w:szCs w:val="16"/>
          <w:color w:val="auto"/>
        </w:rPr>
        <w:t xml:space="preserve">cers during the relevant recovery period pursuant to §240.10D-1(b).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left="38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5" w:lineRule="exact"/>
        <w:rPr>
          <w:sz w:val="24"/>
          <w:szCs w:val="24"/>
          <w:color w:val="auto"/>
        </w:rPr>
      </w:pPr>
    </w:p>
    <w:p>
      <w:pPr>
        <w:ind w:right="220" w:firstLine="374"/>
        <w:spacing w:after="0" w:line="285" w:lineRule="auto"/>
        <w:rPr>
          <w:sz w:val="20"/>
          <w:szCs w:val="20"/>
          <w:color w:val="auto"/>
        </w:rPr>
      </w:pPr>
      <w:r>
        <w:rPr>
          <w:rFonts w:ascii="Arial" w:cs="Arial" w:eastAsia="Arial" w:hAnsi="Arial"/>
          <w:sz w:val="16"/>
          <w:szCs w:val="16"/>
          <w:color w:val="auto"/>
        </w:rPr>
        <w:t>As of June 30, 2023, the aggregate market value of the common stock of the registrant held by non-affiliates was $184.0 million based on the closing price of the common stock on The Nasdaq Global Select Market of the Nasdaq Stock Market LLC on such date.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9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March 7, 2024, 1,794,797 shares of the registrants’ common stock were outstanding.</w:t>
      </w:r>
    </w:p>
    <w:p>
      <w:pPr>
        <w:spacing w:after="0" w:line="72"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DOCUMENTS INCORPORATED BY REFERENCE</w:t>
      </w:r>
    </w:p>
    <w:p>
      <w:pPr>
        <w:spacing w:after="0" w:line="72" w:lineRule="exact"/>
        <w:rPr>
          <w:sz w:val="20"/>
          <w:szCs w:val="20"/>
          <w:color w:val="auto"/>
        </w:rPr>
      </w:pPr>
    </w:p>
    <w:p>
      <w:pPr>
        <w:ind w:firstLine="374"/>
        <w:spacing w:after="0" w:line="266" w:lineRule="auto"/>
        <w:rPr>
          <w:sz w:val="20"/>
          <w:szCs w:val="20"/>
          <w:color w:val="auto"/>
        </w:rPr>
      </w:pPr>
      <w:r>
        <w:rPr>
          <w:rFonts w:ascii="Arial" w:cs="Arial" w:eastAsia="Arial" w:hAnsi="Arial"/>
          <w:sz w:val="16"/>
          <w:szCs w:val="16"/>
          <w:color w:val="auto"/>
        </w:rPr>
        <w:t>Certain portions of the information required to be furnished pursuant to Part III of this Annual Report on Form 10-K will be set forth in, and incorporated by reference from, the registrant’s definitive proxy statement for the annual meeting of stockholders which will be filed with the Securities and Exchange Commission no later than 120 days after the end of the fiscal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8"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500" w:type="dxa"/>
            <w:vAlign w:val="bottom"/>
            <w:gridSpan w:val="9"/>
          </w:tcPr>
          <w:p>
            <w:pPr>
              <w:spacing w:after="0"/>
              <w:rPr>
                <w:sz w:val="20"/>
                <w:szCs w:val="20"/>
                <w:color w:val="auto"/>
              </w:rPr>
            </w:pPr>
            <w:r>
              <w:rPr>
                <w:rFonts w:ascii="Arial" w:cs="Arial" w:eastAsia="Arial" w:hAnsi="Arial"/>
                <w:sz w:val="18"/>
                <w:szCs w:val="18"/>
                <w:color w:val="0000FF"/>
              </w:rPr>
              <w:t>Table of Contents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77"/>
        </w:trPr>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0" w:type="dxa"/>
            <w:vAlign w:val="bottom"/>
            <w:gridSpan w:val="11"/>
          </w:tcPr>
          <w:p>
            <w:pPr>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411"/>
        </w:trPr>
        <w:tc>
          <w:tcPr>
            <w:tcW w:w="20" w:type="dxa"/>
            <w:vAlign w:val="bottom"/>
          </w:tcPr>
          <w:p>
            <w:pPr>
              <w:spacing w:after="0"/>
              <w:rPr>
                <w:sz w:val="24"/>
                <w:szCs w:val="24"/>
                <w:color w:val="auto"/>
              </w:rPr>
            </w:pPr>
          </w:p>
        </w:tc>
        <w:tc>
          <w:tcPr>
            <w:tcW w:w="4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Part I</w:t>
            </w:r>
          </w:p>
        </w:tc>
        <w:tc>
          <w:tcPr>
            <w:tcW w:w="20" w:type="dxa"/>
            <w:vAlign w:val="bottom"/>
            <w:tcBorders>
              <w:bottom w:val="single" w:sz="8" w:color="0000EE"/>
            </w:tcBorders>
          </w:tcPr>
          <w:p>
            <w:pPr>
              <w:spacing w:after="0"/>
              <w:rPr>
                <w:sz w:val="24"/>
                <w:szCs w:val="24"/>
                <w:color w:val="auto"/>
              </w:rPr>
            </w:pPr>
          </w:p>
        </w:tc>
        <w:tc>
          <w:tcPr>
            <w:tcW w:w="102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w:t>
            </w:r>
          </w:p>
        </w:tc>
        <w:tc>
          <w:tcPr>
            <w:tcW w:w="8960" w:type="dxa"/>
            <w:vAlign w:val="bottom"/>
            <w:gridSpan w:val="27"/>
          </w:tcPr>
          <w:p>
            <w:pPr>
              <w:spacing w:after="0"/>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1A.</w:t>
            </w:r>
          </w:p>
        </w:tc>
        <w:tc>
          <w:tcPr>
            <w:tcW w:w="8960" w:type="dxa"/>
            <w:vAlign w:val="bottom"/>
            <w:gridSpan w:val="27"/>
          </w:tcPr>
          <w:p>
            <w:pPr>
              <w:spacing w:after="0"/>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1B.</w:t>
            </w:r>
          </w:p>
        </w:tc>
        <w:tc>
          <w:tcPr>
            <w:tcW w:w="22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8"/>
              </w:rPr>
              <w:t>Unresolved Staff Comments</w:t>
            </w:r>
          </w:p>
        </w:tc>
        <w:tc>
          <w:tcPr>
            <w:tcW w:w="672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1C.</w:t>
            </w:r>
          </w:p>
        </w:tc>
        <w:tc>
          <w:tcPr>
            <w:tcW w:w="8960" w:type="dxa"/>
            <w:vAlign w:val="bottom"/>
            <w:gridSpan w:val="27"/>
          </w:tcPr>
          <w:p>
            <w:pPr>
              <w:spacing w:after="0"/>
              <w:rPr>
                <w:sz w:val="20"/>
                <w:szCs w:val="20"/>
                <w:color w:val="auto"/>
              </w:rPr>
            </w:pPr>
            <w:r>
              <w:rPr>
                <w:rFonts w:ascii="Arial" w:cs="Arial" w:eastAsia="Arial" w:hAnsi="Arial"/>
                <w:sz w:val="18"/>
                <w:szCs w:val="18"/>
                <w:color w:val="0000FF"/>
              </w:rPr>
              <w:t>Cybersecurity</w:t>
            </w: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2.</w:t>
            </w:r>
          </w:p>
        </w:tc>
        <w:tc>
          <w:tcPr>
            <w:tcW w:w="8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7"/>
              </w:rPr>
              <w:t>Properties</w:t>
            </w:r>
          </w:p>
        </w:tc>
        <w:tc>
          <w:tcPr>
            <w:tcW w:w="20" w:type="dxa"/>
            <w:vAlign w:val="bottom"/>
            <w:tcBorders>
              <w:top w:val="single" w:sz="8" w:color="0000FF"/>
              <w:bottom w:val="single" w:sz="8" w:color="0000EE"/>
            </w:tcBorders>
          </w:tcPr>
          <w:p>
            <w:pPr>
              <w:spacing w:after="0"/>
              <w:rPr>
                <w:sz w:val="18"/>
                <w:szCs w:val="18"/>
                <w:color w:val="auto"/>
              </w:rPr>
            </w:pPr>
          </w:p>
        </w:tc>
        <w:tc>
          <w:tcPr>
            <w:tcW w:w="240" w:type="dxa"/>
            <w:vAlign w:val="bottom"/>
            <w:tcBorders>
              <w:top w:val="single" w:sz="8" w:color="0000FF"/>
            </w:tcBorders>
            <w:gridSpan w:val="3"/>
          </w:tcPr>
          <w:p>
            <w:pPr>
              <w:spacing w:after="0"/>
              <w:rPr>
                <w:sz w:val="18"/>
                <w:szCs w:val="18"/>
                <w:color w:val="auto"/>
              </w:rPr>
            </w:pPr>
          </w:p>
        </w:tc>
        <w:tc>
          <w:tcPr>
            <w:tcW w:w="788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3.</w:t>
            </w:r>
          </w:p>
        </w:tc>
        <w:tc>
          <w:tcPr>
            <w:tcW w:w="14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7"/>
              </w:rPr>
              <w:t>Legal Proceedings</w:t>
            </w:r>
          </w:p>
        </w:tc>
        <w:tc>
          <w:tcPr>
            <w:tcW w:w="20" w:type="dxa"/>
            <w:vAlign w:val="bottom"/>
            <w:tcBorders>
              <w:bottom w:val="single" w:sz="8" w:color="0000EE"/>
            </w:tcBorders>
          </w:tcPr>
          <w:p>
            <w:pPr>
              <w:spacing w:after="0"/>
              <w:rPr>
                <w:sz w:val="18"/>
                <w:szCs w:val="18"/>
                <w:color w:val="auto"/>
              </w:rPr>
            </w:pPr>
          </w:p>
        </w:tc>
        <w:tc>
          <w:tcPr>
            <w:tcW w:w="746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4.</w:t>
            </w:r>
          </w:p>
        </w:tc>
        <w:tc>
          <w:tcPr>
            <w:tcW w:w="8960" w:type="dxa"/>
            <w:vAlign w:val="bottom"/>
            <w:gridSpan w:val="27"/>
          </w:tcPr>
          <w:p>
            <w:pPr>
              <w:spacing w:after="0"/>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8"/>
        </w:trPr>
        <w:tc>
          <w:tcPr>
            <w:tcW w:w="20" w:type="dxa"/>
            <w:vAlign w:val="bottom"/>
          </w:tcPr>
          <w:p>
            <w:pPr>
              <w:spacing w:after="0"/>
              <w:rPr>
                <w:sz w:val="24"/>
                <w:szCs w:val="24"/>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0000FF"/>
              </w:rPr>
              <w:t>Part II</w:t>
            </w: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20" w:type="dxa"/>
            <w:vAlign w:val="bottom"/>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5.</w:t>
            </w:r>
          </w:p>
        </w:tc>
        <w:tc>
          <w:tcPr>
            <w:tcW w:w="8960" w:type="dxa"/>
            <w:vAlign w:val="bottom"/>
            <w:gridSpan w:val="27"/>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6.</w:t>
            </w:r>
          </w:p>
        </w:tc>
        <w:tc>
          <w:tcPr>
            <w:tcW w:w="8900" w:type="dxa"/>
            <w:vAlign w:val="bottom"/>
            <w:tcBorders>
              <w:top w:val="single" w:sz="8" w:color="0000FF"/>
            </w:tcBorders>
            <w:gridSpan w:val="26"/>
          </w:tcPr>
          <w:p>
            <w:pPr>
              <w:spacing w:after="0"/>
              <w:rPr>
                <w:sz w:val="20"/>
                <w:szCs w:val="20"/>
                <w:color w:val="auto"/>
              </w:rPr>
            </w:pPr>
            <w:r>
              <w:rPr>
                <w:rFonts w:ascii="Arial" w:cs="Arial" w:eastAsia="Arial" w:hAnsi="Arial"/>
                <w:sz w:val="18"/>
                <w:szCs w:val="18"/>
                <w:color w:val="0000FF"/>
              </w:rPr>
              <w:t>Reserved</w:t>
            </w:r>
          </w:p>
        </w:tc>
        <w:tc>
          <w:tcPr>
            <w:tcW w:w="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7.</w:t>
            </w:r>
          </w:p>
        </w:tc>
        <w:tc>
          <w:tcPr>
            <w:tcW w:w="8960" w:type="dxa"/>
            <w:vAlign w:val="bottom"/>
            <w:gridSpan w:val="2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7A.</w:t>
            </w:r>
          </w:p>
        </w:tc>
        <w:tc>
          <w:tcPr>
            <w:tcW w:w="7060" w:type="dxa"/>
            <w:vAlign w:val="bottom"/>
            <w:tcBorders>
              <w:top w:val="single" w:sz="8" w:color="0000FF"/>
            </w:tcBorders>
            <w:gridSpan w:val="23"/>
          </w:tcPr>
          <w:p>
            <w:pPr>
              <w:spacing w:after="0"/>
              <w:rPr>
                <w:sz w:val="20"/>
                <w:szCs w:val="20"/>
                <w:color w:val="auto"/>
              </w:rPr>
            </w:pPr>
            <w:r>
              <w:rPr>
                <w:rFonts w:ascii="Arial" w:cs="Arial" w:eastAsia="Arial" w:hAnsi="Arial"/>
                <w:sz w:val="18"/>
                <w:szCs w:val="18"/>
                <w:color w:val="0000FF"/>
              </w:rPr>
              <w:t>Quantitative and Qualitative Disclosure About Market Risk</w:t>
            </w:r>
          </w:p>
        </w:tc>
        <w:tc>
          <w:tcPr>
            <w:tcW w:w="190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8.</w:t>
            </w:r>
          </w:p>
        </w:tc>
        <w:tc>
          <w:tcPr>
            <w:tcW w:w="460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Financial Statements and Supplementary Data</w:t>
            </w:r>
          </w:p>
        </w:tc>
        <w:tc>
          <w:tcPr>
            <w:tcW w:w="436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54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9.</w:t>
            </w:r>
          </w:p>
        </w:tc>
        <w:tc>
          <w:tcPr>
            <w:tcW w:w="712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9"/>
              </w:rPr>
              <w:t>Changes in and Disagreements with Accountants on Accounting and Financial Disclosure</w:t>
            </w:r>
          </w:p>
        </w:tc>
        <w:tc>
          <w:tcPr>
            <w:tcW w:w="18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9A.</w:t>
            </w:r>
          </w:p>
        </w:tc>
        <w:tc>
          <w:tcPr>
            <w:tcW w:w="19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8"/>
              </w:rPr>
              <w:t>Controls and Procedures</w:t>
            </w:r>
          </w:p>
        </w:tc>
        <w:tc>
          <w:tcPr>
            <w:tcW w:w="69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9B.</w:t>
            </w:r>
          </w:p>
        </w:tc>
        <w:tc>
          <w:tcPr>
            <w:tcW w:w="8960" w:type="dxa"/>
            <w:vAlign w:val="bottom"/>
            <w:gridSpan w:val="27"/>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540" w:type="dxa"/>
            <w:vAlign w:val="bottom"/>
            <w:tcBorders>
              <w:right w:val="single" w:sz="8" w:color="0000EE"/>
            </w:tcBorders>
            <w:gridSpan w:val="3"/>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9C.</w:t>
            </w:r>
          </w:p>
        </w:tc>
        <w:tc>
          <w:tcPr>
            <w:tcW w:w="8960" w:type="dxa"/>
            <w:vAlign w:val="bottom"/>
            <w:gridSpan w:val="27"/>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452"/>
        </w:trPr>
        <w:tc>
          <w:tcPr>
            <w:tcW w:w="20" w:type="dxa"/>
            <w:vAlign w:val="bottom"/>
          </w:tcPr>
          <w:p>
            <w:pPr>
              <w:spacing w:after="0"/>
              <w:rPr>
                <w:sz w:val="24"/>
                <w:szCs w:val="24"/>
                <w:color w:val="auto"/>
              </w:rPr>
            </w:pPr>
          </w:p>
        </w:tc>
        <w:tc>
          <w:tcPr>
            <w:tcW w:w="5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7"/>
              </w:rPr>
              <w:t>Part III</w:t>
            </w:r>
          </w:p>
        </w:tc>
        <w:tc>
          <w:tcPr>
            <w:tcW w:w="20" w:type="dxa"/>
            <w:vAlign w:val="bottom"/>
            <w:tcBorders>
              <w:bottom w:val="single" w:sz="8" w:color="0000EE"/>
            </w:tcBorders>
          </w:tcPr>
          <w:p>
            <w:pPr>
              <w:spacing w:after="0"/>
              <w:rPr>
                <w:sz w:val="24"/>
                <w:szCs w:val="24"/>
                <w:color w:val="auto"/>
              </w:rPr>
            </w:pPr>
          </w:p>
        </w:tc>
        <w:tc>
          <w:tcPr>
            <w:tcW w:w="920" w:type="dxa"/>
            <w:vAlign w:val="bottom"/>
            <w:gridSpan w:val="3"/>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10.</w:t>
            </w:r>
          </w:p>
        </w:tc>
        <w:tc>
          <w:tcPr>
            <w:tcW w:w="45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42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11.</w:t>
            </w:r>
          </w:p>
        </w:tc>
        <w:tc>
          <w:tcPr>
            <w:tcW w:w="19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8"/>
              </w:rPr>
              <w:t>Executive Compensation</w:t>
            </w:r>
          </w:p>
        </w:tc>
        <w:tc>
          <w:tcPr>
            <w:tcW w:w="20" w:type="dxa"/>
            <w:vAlign w:val="bottom"/>
            <w:tcBorders>
              <w:bottom w:val="single" w:sz="8" w:color="0000EE"/>
            </w:tcBorders>
          </w:tcPr>
          <w:p>
            <w:pPr>
              <w:spacing w:after="0"/>
              <w:rPr>
                <w:sz w:val="18"/>
                <w:szCs w:val="18"/>
                <w:color w:val="auto"/>
              </w:rPr>
            </w:pPr>
          </w:p>
        </w:tc>
        <w:tc>
          <w:tcPr>
            <w:tcW w:w="696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12.</w:t>
            </w:r>
          </w:p>
        </w:tc>
        <w:tc>
          <w:tcPr>
            <w:tcW w:w="8000" w:type="dxa"/>
            <w:vAlign w:val="bottom"/>
            <w:tcBorders>
              <w:bottom w:val="single" w:sz="8" w:color="0000FF"/>
            </w:tcBorders>
            <w:gridSpan w:val="25"/>
          </w:tcPr>
          <w:p>
            <w:pPr>
              <w:spacing w:after="0"/>
              <w:rPr>
                <w:sz w:val="20"/>
                <w:szCs w:val="20"/>
                <w:color w:val="auto"/>
              </w:rPr>
            </w:pPr>
            <w:r>
              <w:rPr>
                <w:rFonts w:ascii="Arial" w:cs="Arial" w:eastAsia="Arial" w:hAnsi="Arial"/>
                <w:sz w:val="18"/>
                <w:szCs w:val="18"/>
                <w:color w:val="0000FF"/>
                <w:w w:val="99"/>
              </w:rPr>
              <w:t>Security Ownership of Certain Beneficial Owners and Management and Related Stockholder Matters</w:t>
            </w:r>
          </w:p>
        </w:tc>
        <w:tc>
          <w:tcPr>
            <w:tcW w:w="9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13.</w:t>
            </w:r>
          </w:p>
        </w:tc>
        <w:tc>
          <w:tcPr>
            <w:tcW w:w="606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29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14.</w:t>
            </w:r>
          </w:p>
        </w:tc>
        <w:tc>
          <w:tcPr>
            <w:tcW w:w="8960" w:type="dxa"/>
            <w:vAlign w:val="bottom"/>
            <w:gridSpan w:val="27"/>
          </w:tcPr>
          <w:p>
            <w:pPr>
              <w:spacing w:after="0"/>
              <w:rPr>
                <w:sz w:val="20"/>
                <w:szCs w:val="20"/>
                <w:color w:val="auto"/>
              </w:rPr>
            </w:pPr>
            <w:r>
              <w:rPr>
                <w:rFonts w:ascii="Arial" w:cs="Arial" w:eastAsia="Arial" w:hAnsi="Arial"/>
                <w:sz w:val="18"/>
                <w:szCs w:val="18"/>
                <w:color w:val="0000FF"/>
              </w:rPr>
              <w:t>Principal Accounting Fees and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479"/>
        </w:trPr>
        <w:tc>
          <w:tcPr>
            <w:tcW w:w="20" w:type="dxa"/>
            <w:vAlign w:val="bottom"/>
          </w:tcPr>
          <w:p>
            <w:pPr>
              <w:spacing w:after="0"/>
              <w:rPr>
                <w:sz w:val="24"/>
                <w:szCs w:val="24"/>
                <w:color w:val="auto"/>
              </w:rPr>
            </w:pPr>
          </w:p>
        </w:tc>
        <w:tc>
          <w:tcPr>
            <w:tcW w:w="5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Part IV</w:t>
            </w:r>
          </w:p>
        </w:tc>
        <w:tc>
          <w:tcPr>
            <w:tcW w:w="20" w:type="dxa"/>
            <w:vAlign w:val="bottom"/>
            <w:tcBorders>
              <w:bottom w:val="single" w:sz="8" w:color="0000EE"/>
            </w:tcBorders>
          </w:tcPr>
          <w:p>
            <w:pPr>
              <w:spacing w:after="0"/>
              <w:rPr>
                <w:sz w:val="24"/>
                <w:szCs w:val="24"/>
                <w:color w:val="auto"/>
              </w:rPr>
            </w:pPr>
          </w:p>
        </w:tc>
        <w:tc>
          <w:tcPr>
            <w:tcW w:w="900" w:type="dxa"/>
            <w:vAlign w:val="bottom"/>
            <w:gridSpan w:val="2"/>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15.</w:t>
            </w:r>
          </w:p>
        </w:tc>
        <w:tc>
          <w:tcPr>
            <w:tcW w:w="35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Exhibits and Financial Statement Schedules</w:t>
            </w:r>
          </w:p>
        </w:tc>
        <w:tc>
          <w:tcPr>
            <w:tcW w:w="54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09"/>
        </w:trPr>
        <w:tc>
          <w:tcPr>
            <w:tcW w:w="20" w:type="dxa"/>
            <w:vAlign w:val="bottom"/>
          </w:tcPr>
          <w:p>
            <w:pPr>
              <w:spacing w:after="0"/>
              <w:rPr>
                <w:sz w:val="18"/>
                <w:szCs w:val="18"/>
                <w:color w:val="auto"/>
              </w:rPr>
            </w:pPr>
          </w:p>
        </w:tc>
        <w:tc>
          <w:tcPr>
            <w:tcW w:w="1480" w:type="dxa"/>
            <w:vAlign w:val="bottom"/>
            <w:gridSpan w:val="8"/>
          </w:tcPr>
          <w:p>
            <w:pPr>
              <w:spacing w:after="0"/>
              <w:rPr>
                <w:sz w:val="20"/>
                <w:szCs w:val="20"/>
                <w:color w:val="auto"/>
              </w:rPr>
            </w:pPr>
            <w:r>
              <w:rPr>
                <w:rFonts w:ascii="Arial" w:cs="Arial" w:eastAsia="Arial" w:hAnsi="Arial"/>
                <w:sz w:val="18"/>
                <w:szCs w:val="18"/>
                <w:color w:val="auto"/>
              </w:rPr>
              <w:t>Item 16.</w:t>
            </w:r>
          </w:p>
        </w:tc>
        <w:tc>
          <w:tcPr>
            <w:tcW w:w="16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8"/>
              </w:rPr>
              <w:t>Form 10-K Summary</w:t>
            </w:r>
          </w:p>
        </w:tc>
        <w:tc>
          <w:tcPr>
            <w:tcW w:w="730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09"/>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7"/>
              </w:rPr>
              <w:t>Signatures</w:t>
            </w:r>
          </w:p>
        </w:tc>
        <w:tc>
          <w:tcPr>
            <w:tcW w:w="8100" w:type="dxa"/>
            <w:vAlign w:val="bottom"/>
            <w:gridSpan w:val="2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67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gridSpan w:val="19"/>
          </w:tcPr>
          <w:p>
            <w:pPr>
              <w:ind w:left="408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1" w:lineRule="exact"/>
        <w:rPr>
          <w:sz w:val="20"/>
          <w:szCs w:val="20"/>
          <w:color w:val="auto"/>
        </w:rPr>
      </w:pPr>
    </w:p>
    <w:p>
      <w:pPr>
        <w:ind w:firstLine="761"/>
        <w:spacing w:after="0" w:line="250" w:lineRule="auto"/>
        <w:rPr>
          <w:sz w:val="20"/>
          <w:szCs w:val="20"/>
          <w:color w:val="auto"/>
        </w:rPr>
      </w:pPr>
      <w:r>
        <w:rPr>
          <w:rFonts w:ascii="Arial" w:cs="Arial" w:eastAsia="Arial" w:hAnsi="Arial"/>
          <w:sz w:val="17"/>
          <w:szCs w:val="17"/>
          <w:color w:val="auto"/>
        </w:rPr>
        <w:t xml:space="preserve">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Annual Report on Form 10-K, including statements regarding general economic and market conditions, our future results of operations and financial condition, business strategy, and plans and objectives of management for future operations, including our Value Maximization Plan and the ongoing activities of and potential growth of our UACC and CarStory businesses, are forward-looking statements. In some cases, forward-looking statements may be identified by words such as "anticipate," "believe," "contemplate," "continue," "could," "design," "estimate," "expect," "intend," "may," "plan," "potentially," "predict," "project," "should," </w:t>
      </w:r>
      <w:r>
        <w:rPr>
          <w:rFonts w:ascii="Calibri" w:cs="Calibri" w:eastAsia="Calibri" w:hAnsi="Calibri"/>
          <w:sz w:val="18"/>
          <w:szCs w:val="18"/>
          <w:color w:val="auto"/>
        </w:rPr>
        <w:t>"</w:t>
      </w:r>
      <w:r>
        <w:rPr>
          <w:rFonts w:ascii="Arial" w:cs="Arial" w:eastAsia="Arial" w:hAnsi="Arial"/>
          <w:sz w:val="17"/>
          <w:szCs w:val="17"/>
          <w:color w:val="auto"/>
        </w:rPr>
        <w:t xml:space="preserve">target," "will," </w:t>
      </w:r>
      <w:r>
        <w:rPr>
          <w:rFonts w:ascii="Calibri" w:cs="Calibri" w:eastAsia="Calibri" w:hAnsi="Calibri"/>
          <w:sz w:val="18"/>
          <w:szCs w:val="18"/>
          <w:color w:val="auto"/>
        </w:rPr>
        <w:t>"</w:t>
      </w:r>
      <w:r>
        <w:rPr>
          <w:rFonts w:ascii="Arial" w:cs="Arial" w:eastAsia="Arial" w:hAnsi="Arial"/>
          <w:sz w:val="17"/>
          <w:szCs w:val="17"/>
          <w:color w:val="auto"/>
        </w:rPr>
        <w:t>would," or the negative of these terms or other</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similar terms or expressions, although not all forward-looking statements contain these identifying words.</w:t>
      </w:r>
    </w:p>
    <w:p>
      <w:pPr>
        <w:spacing w:after="0" w:line="211" w:lineRule="exact"/>
        <w:rPr>
          <w:sz w:val="20"/>
          <w:szCs w:val="20"/>
          <w:color w:val="auto"/>
        </w:rPr>
      </w:pPr>
    </w:p>
    <w:p>
      <w:pPr>
        <w:ind w:right="40" w:firstLine="761"/>
        <w:spacing w:after="0" w:line="243" w:lineRule="auto"/>
        <w:rPr>
          <w:sz w:val="20"/>
          <w:szCs w:val="20"/>
          <w:color w:val="auto"/>
        </w:rPr>
      </w:pPr>
      <w:r>
        <w:rPr>
          <w:rFonts w:ascii="Arial" w:cs="Arial" w:eastAsia="Arial" w:hAnsi="Arial"/>
          <w:sz w:val="18"/>
          <w:szCs w:val="18"/>
          <w:color w:val="auto"/>
        </w:rPr>
        <w:t>The forward-looking statements in this Annual Report on Form 10-K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risks described in the section titled "Risk Factors" and elsewhere in this Annual Report on Form 10-K.</w:t>
      </w:r>
    </w:p>
    <w:p>
      <w:pPr>
        <w:spacing w:after="0" w:line="179" w:lineRule="exact"/>
        <w:rPr>
          <w:sz w:val="20"/>
          <w:szCs w:val="20"/>
          <w:color w:val="auto"/>
        </w:rPr>
      </w:pPr>
    </w:p>
    <w:p>
      <w:pPr>
        <w:ind w:right="120" w:firstLine="761"/>
        <w:spacing w:after="0" w:line="243" w:lineRule="auto"/>
        <w:rPr>
          <w:sz w:val="20"/>
          <w:szCs w:val="20"/>
          <w:color w:val="auto"/>
        </w:rPr>
      </w:pPr>
      <w:r>
        <w:rPr>
          <w:rFonts w:ascii="Arial" w:cs="Arial" w:eastAsia="Arial" w:hAnsi="Arial"/>
          <w:sz w:val="18"/>
          <w:szCs w:val="18"/>
          <w:color w:val="auto"/>
        </w:rPr>
        <w:t>Other sections of this Annual Report on Form 10-K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79" w:lineRule="exact"/>
        <w:rPr>
          <w:sz w:val="20"/>
          <w:szCs w:val="20"/>
          <w:color w:val="auto"/>
        </w:rPr>
      </w:pPr>
    </w:p>
    <w:p>
      <w:pPr>
        <w:ind w:right="180" w:firstLine="761"/>
        <w:spacing w:after="0" w:line="239" w:lineRule="auto"/>
        <w:rPr>
          <w:sz w:val="20"/>
          <w:szCs w:val="20"/>
          <w:color w:val="auto"/>
        </w:rPr>
      </w:pPr>
      <w:r>
        <w:rPr>
          <w:rFonts w:ascii="Arial" w:cs="Arial" w:eastAsia="Arial" w:hAnsi="Arial"/>
          <w:sz w:val="18"/>
          <w:szCs w:val="18"/>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Annual Report on Form 10-K. Except as required by law, we undertake no obligation to update publicly any forward-looking statements for any reason after the date of this report or to conform these statements to actual results or to changes in our expectations. You should read this Annual Report on Form 10-K and the documents that we reference or incorporate by reference in this Annual Report on Form 10-K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211" w:lineRule="exact"/>
        <w:rPr>
          <w:sz w:val="20"/>
          <w:szCs w:val="20"/>
          <w:color w:val="auto"/>
        </w:rPr>
      </w:pPr>
    </w:p>
    <w:p>
      <w:pPr>
        <w:ind w:right="100" w:firstLine="761"/>
        <w:spacing w:after="0" w:line="252"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You should carefully consider these risks and uncertainties when investing in our common stock. The principal risks and uncertainties affecting our business include, but are not limited to, the following:</w:t>
      </w:r>
    </w:p>
    <w:p>
      <w:pPr>
        <w:spacing w:after="0" w:line="171" w:lineRule="exact"/>
        <w:rPr>
          <w:sz w:val="20"/>
          <w:szCs w:val="20"/>
          <w:color w:val="auto"/>
        </w:rPr>
      </w:pPr>
    </w:p>
    <w:p>
      <w:pPr>
        <w:ind w:left="760" w:right="44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there are risks associated with the discontinuance of our ecommerce operations and wind-down of our used vehicle dealership business;</w:t>
      </w:r>
    </w:p>
    <w:p>
      <w:pPr>
        <w:spacing w:after="0" w:line="153" w:lineRule="exact"/>
        <w:rPr>
          <w:rFonts w:ascii="Times New Roman" w:cs="Times New Roman" w:eastAsia="Times New Roman" w:hAnsi="Times New Roman"/>
          <w:sz w:val="18"/>
          <w:szCs w:val="18"/>
          <w:color w:val="auto"/>
        </w:rPr>
      </w:pPr>
    </w:p>
    <w:p>
      <w:pPr>
        <w:ind w:left="760" w:right="68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Value Maximization Plan may not be successful, and may not lead to growth and enhanced profitability for our UACC or CarStory businesses;</w:t>
      </w:r>
    </w:p>
    <w:p>
      <w:pPr>
        <w:spacing w:after="0" w:line="1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generate sufficient liquidity to operate our business;</w:t>
      </w:r>
    </w:p>
    <w:p>
      <w:pPr>
        <w:spacing w:after="0" w:line="22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general business and economic conditions and risks related to the larger automotive ecosystem, including consumer demand;</w:t>
      </w:r>
    </w:p>
    <w:p>
      <w:pPr>
        <w:spacing w:after="0" w:line="22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223"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153" w:lineRule="exact"/>
        <w:rPr>
          <w:rFonts w:ascii="Times New Roman" w:cs="Times New Roman" w:eastAsia="Times New Roman" w:hAnsi="Times New Roman"/>
          <w:sz w:val="18"/>
          <w:szCs w:val="18"/>
          <w:color w:val="auto"/>
        </w:rPr>
      </w:pPr>
    </w:p>
    <w:p>
      <w:pPr>
        <w:ind w:left="760" w:right="18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53" w:lineRule="exact"/>
        <w:rPr>
          <w:rFonts w:ascii="Times New Roman" w:cs="Times New Roman" w:eastAsia="Times New Roman" w:hAnsi="Times New Roman"/>
          <w:sz w:val="18"/>
          <w:szCs w:val="18"/>
          <w:color w:val="auto"/>
        </w:rPr>
      </w:pPr>
    </w:p>
    <w:p>
      <w:pPr>
        <w:ind w:left="760" w:right="240" w:hanging="378"/>
        <w:spacing w:after="0" w:line="252"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geographic concentration of UACC's borrowers or dealerships creates an exposure to local and regional downturns or severe weather or catastrophic occurrences that may materially and adversely affect our business, financial condition and results of operations;</w:t>
      </w:r>
    </w:p>
    <w:p>
      <w:pPr>
        <w:spacing w:after="0" w:line="169" w:lineRule="exact"/>
        <w:rPr>
          <w:rFonts w:ascii="Times New Roman" w:cs="Times New Roman" w:eastAsia="Times New Roman" w:hAnsi="Times New Roman"/>
          <w:sz w:val="18"/>
          <w:szCs w:val="18"/>
          <w:color w:val="auto"/>
        </w:rPr>
      </w:pPr>
    </w:p>
    <w:p>
      <w:pPr>
        <w:jc w:val="both"/>
        <w:ind w:left="760" w:right="20" w:hanging="378"/>
        <w:spacing w:after="0" w:line="252"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recent reverse stock split may not result in the market price per share of our common stock to either exceed or remain in excess of the $1.00 minimum bid price as required by Nasdaq (as defined herein), or have any of its other anticipated impacts, and we may be unable to satisfy other Nasdaq continued listing rules;</w:t>
      </w:r>
    </w:p>
    <w:p>
      <w:pPr>
        <w:spacing w:after="0" w:line="169" w:lineRule="exact"/>
        <w:rPr>
          <w:rFonts w:ascii="Times New Roman" w:cs="Times New Roman" w:eastAsia="Times New Roman" w:hAnsi="Times New Roman"/>
          <w:sz w:val="18"/>
          <w:szCs w:val="18"/>
          <w:color w:val="auto"/>
        </w:rPr>
      </w:pPr>
    </w:p>
    <w:p>
      <w:pPr>
        <w:ind w:left="760" w:right="8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UACC may be unable to sell automotive finance receivables and generate gains on sales of those finance receivables, which could harm our business, results of operations, and financial condition;</w:t>
      </w:r>
    </w:p>
    <w:p>
      <w:pPr>
        <w:spacing w:after="0" w:line="153" w:lineRule="exact"/>
        <w:rPr>
          <w:rFonts w:ascii="Times New Roman" w:cs="Times New Roman" w:eastAsia="Times New Roman" w:hAnsi="Times New Roman"/>
          <w:sz w:val="18"/>
          <w:szCs w:val="18"/>
          <w:color w:val="auto"/>
        </w:rPr>
      </w:pPr>
    </w:p>
    <w:p>
      <w:pPr>
        <w:ind w:left="760" w:right="200" w:hanging="378"/>
        <w:spacing w:after="0" w:line="270"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UACC's securitizations may expose it to financing and other risks, and there can be no assurance that it will be able to access the securitization market in the future, which may require it to seek more costly financing;</w:t>
      </w:r>
    </w:p>
    <w:p>
      <w:pPr>
        <w:spacing w:after="0" w:line="153" w:lineRule="exact"/>
        <w:rPr>
          <w:rFonts w:ascii="Times New Roman" w:cs="Times New Roman" w:eastAsia="Times New Roman" w:hAnsi="Times New Roman"/>
          <w:sz w:val="18"/>
          <w:szCs w:val="18"/>
          <w:color w:val="auto"/>
        </w:rPr>
      </w:pPr>
    </w:p>
    <w:p>
      <w:pPr>
        <w:jc w:val="both"/>
        <w:ind w:left="760" w:right="120" w:hanging="378"/>
        <w:spacing w:after="0" w:line="252"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may negatively impact our operating results;</w:t>
      </w:r>
    </w:p>
    <w:p>
      <w:pPr>
        <w:spacing w:after="0" w:line="1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UACC loses servicing rights on its automobile contracts, our results of operations would be negatively impacted;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760" w:right="40" w:hanging="378"/>
        <w:spacing w:after="0" w:line="25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169" w:lineRule="exact"/>
        <w:rPr>
          <w:rFonts w:ascii="Times New Roman" w:cs="Times New Roman" w:eastAsia="Times New Roman" w:hAnsi="Times New Roman"/>
          <w:sz w:val="18"/>
          <w:szCs w:val="18"/>
          <w:color w:val="auto"/>
        </w:rPr>
      </w:pPr>
    </w:p>
    <w:p>
      <w:pPr>
        <w:ind w:left="760" w:right="40" w:hanging="378"/>
        <w:spacing w:after="0" w:line="25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operate in a highly regulated industry and are subject to a wide range of federal, state and local laws and regulations and failure to comply with these laws and regulations could have a material adverse effect on our business, financial condition and results of operations;</w:t>
      </w:r>
    </w:p>
    <w:p>
      <w:pPr>
        <w:spacing w:after="0" w:line="169" w:lineRule="exact"/>
        <w:rPr>
          <w:rFonts w:ascii="Times New Roman" w:cs="Times New Roman" w:eastAsia="Times New Roman" w:hAnsi="Times New Roman"/>
          <w:sz w:val="18"/>
          <w:szCs w:val="18"/>
          <w:color w:val="auto"/>
        </w:rPr>
      </w:pPr>
    </w:p>
    <w:p>
      <w:pPr>
        <w:ind w:left="760" w:hanging="378"/>
        <w:spacing w:after="0" w:line="25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 and</w:t>
      </w:r>
    </w:p>
    <w:p>
      <w:pPr>
        <w:spacing w:after="0" w:line="16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actual operating results may differ significantly from our guidance.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right="140" w:firstLine="749"/>
        <w:spacing w:after="0" w:line="246" w:lineRule="auto"/>
        <w:rPr>
          <w:sz w:val="20"/>
          <w:szCs w:val="20"/>
          <w:color w:val="auto"/>
        </w:rPr>
      </w:pPr>
      <w:r>
        <w:rPr>
          <w:rFonts w:ascii="Arial" w:cs="Arial" w:eastAsia="Arial" w:hAnsi="Arial"/>
          <w:sz w:val="18"/>
          <w:szCs w:val="18"/>
          <w:color w:val="auto"/>
        </w:rPr>
        <w:t>Vroom, Inc., which was incorporated under the laws of the State of Delaware in 2012, is a holding company that conducts its operations through its subsidiaries. Vroom, Inc. completed its initial public offering (“IPO”) in June 2020 and its common stock trades on The Nasdaq Global Select Market (“Nasdaq”) under the symbol VRM. Unless the context otherwise requires, references herein to “Vroom”, the "Company”, “we”, “us” or “our” refer to Vroom and its consolidated subsidiaries.</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Company</w:t>
      </w:r>
    </w:p>
    <w:p>
      <w:pPr>
        <w:spacing w:after="0" w:line="198"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041022"/>
        </w:rPr>
        <w:t xml:space="preserve">During the fiscal year ended December 31, 2023, the period covered by this Annual Report on Form 10-K, </w:t>
      </w:r>
      <w:r>
        <w:rPr>
          <w:rFonts w:ascii="Arial" w:cs="Arial" w:eastAsia="Arial" w:hAnsi="Arial"/>
          <w:sz w:val="18"/>
          <w:szCs w:val="18"/>
          <w:color w:val="000000"/>
        </w:rPr>
        <w:t xml:space="preserve">Vroom operated an end-to-end ecommerce platform to buy and sell used vehicles. On January 22, 2024, we announced that the Board of Directors (the “Board”) of Vroom had approved a </w:t>
      </w:r>
      <w:r>
        <w:rPr>
          <w:rFonts w:ascii="Arial" w:cs="Arial" w:eastAsia="Arial" w:hAnsi="Arial"/>
          <w:sz w:val="18"/>
          <w:szCs w:val="18"/>
          <w:color w:val="041022"/>
        </w:rPr>
        <w:t>value maximization plan, pursuant to which the Company has discontinued its ecommerce operations and is in the</w:t>
      </w:r>
      <w:r>
        <w:rPr>
          <w:rFonts w:ascii="Arial" w:cs="Arial" w:eastAsia="Arial" w:hAnsi="Arial"/>
          <w:sz w:val="18"/>
          <w:szCs w:val="18"/>
          <w:color w:val="000000"/>
        </w:rPr>
        <w:t xml:space="preserve"> </w:t>
      </w:r>
      <w:r>
        <w:rPr>
          <w:rFonts w:ascii="Arial" w:cs="Arial" w:eastAsia="Arial" w:hAnsi="Arial"/>
          <w:sz w:val="18"/>
          <w:szCs w:val="18"/>
          <w:color w:val="041022"/>
        </w:rPr>
        <w:t xml:space="preserve">process of winding down its used vehicle dealership business in order to preserve liquidity and enable the Company to maximize stakeholder value through its remaining businesses (the “Value Maximization Plan”). </w:t>
      </w:r>
      <w:r>
        <w:rPr>
          <w:rFonts w:ascii="Arial" w:cs="Arial" w:eastAsia="Arial" w:hAnsi="Arial"/>
          <w:sz w:val="18"/>
          <w:szCs w:val="18"/>
          <w:color w:val="000000"/>
        </w:rPr>
        <w:t>Vroom owns United Auto Credit Corporation (“UACC”), a leading</w:t>
      </w:r>
      <w:r>
        <w:rPr>
          <w:rFonts w:ascii="Arial" w:cs="Arial" w:eastAsia="Arial" w:hAnsi="Arial"/>
          <w:sz w:val="18"/>
          <w:szCs w:val="18"/>
          <w:color w:val="041022"/>
        </w:rPr>
        <w:t xml:space="preserve"> </w:t>
      </w:r>
      <w:r>
        <w:rPr>
          <w:rFonts w:ascii="Arial" w:cs="Arial" w:eastAsia="Arial" w:hAnsi="Arial"/>
          <w:sz w:val="18"/>
          <w:szCs w:val="18"/>
          <w:color w:val="000000"/>
        </w:rPr>
        <w:t xml:space="preserve">automotive finance company that offers vehicle financing to its customers through third party dealers under the UACC brand, and CarStory (“CarStory”), </w:t>
      </w:r>
      <w:r>
        <w:rPr>
          <w:rFonts w:ascii="Arial" w:cs="Arial" w:eastAsia="Arial" w:hAnsi="Arial"/>
          <w:sz w:val="18"/>
          <w:szCs w:val="18"/>
          <w:color w:val="041022"/>
        </w:rPr>
        <w:t>a leader in AI-powered analytics and digital services for automotive retail.</w:t>
      </w:r>
      <w:r>
        <w:rPr>
          <w:rFonts w:ascii="Arial" w:cs="Arial" w:eastAsia="Arial" w:hAnsi="Arial"/>
          <w:sz w:val="18"/>
          <w:szCs w:val="18"/>
          <w:color w:val="000000"/>
        </w:rPr>
        <w:t xml:space="preserve"> The UACC and CarStory businesses will continue to serve their third-party customers, with their operations substantially unaffected by Vroom’s ecommerce wind-down</w:t>
      </w:r>
      <w:r>
        <w:rPr>
          <w:rFonts w:ascii="Arial" w:cs="Arial" w:eastAsia="Arial" w:hAnsi="Arial"/>
          <w:sz w:val="18"/>
          <w:szCs w:val="18"/>
          <w:color w:val="041022"/>
        </w:rPr>
        <w:t>. The Company will seek to</w:t>
      </w:r>
      <w:r>
        <w:rPr>
          <w:rFonts w:ascii="Arial" w:cs="Arial" w:eastAsia="Arial" w:hAnsi="Arial"/>
          <w:sz w:val="18"/>
          <w:szCs w:val="18"/>
          <w:color w:val="000000"/>
        </w:rPr>
        <w:t xml:space="preserve"> </w:t>
      </w:r>
      <w:r>
        <w:rPr>
          <w:rFonts w:ascii="Arial" w:cs="Arial" w:eastAsia="Arial" w:hAnsi="Arial"/>
          <w:sz w:val="18"/>
          <w:szCs w:val="18"/>
          <w:color w:val="041022"/>
        </w:rPr>
        <w:t>grow and enhance the profitability of the UACC and CarStory businesses going forward.</w:t>
      </w:r>
    </w:p>
    <w:p>
      <w:pPr>
        <w:spacing w:after="0" w:line="168" w:lineRule="exact"/>
        <w:rPr>
          <w:sz w:val="20"/>
          <w:szCs w:val="20"/>
          <w:color w:val="auto"/>
        </w:rPr>
      </w:pPr>
    </w:p>
    <w:p>
      <w:pPr>
        <w:ind w:right="80" w:firstLine="749"/>
        <w:spacing w:after="0" w:line="246" w:lineRule="auto"/>
        <w:rPr>
          <w:sz w:val="20"/>
          <w:szCs w:val="20"/>
          <w:color w:val="auto"/>
        </w:rPr>
      </w:pPr>
      <w:r>
        <w:rPr>
          <w:rFonts w:ascii="Arial" w:cs="Arial" w:eastAsia="Arial" w:hAnsi="Arial"/>
          <w:sz w:val="18"/>
          <w:szCs w:val="18"/>
          <w:color w:val="auto"/>
        </w:rPr>
        <w:t xml:space="preserve">Prior to the adoption of the Value Maximization Plan, the Company’s platform combined automotive ecommerce, vehicle operations and data science and experimentation to bring all phases of the car buying and selling process to consumers wherever they are, offering an extensive selection of used vehicles, transparent pricing, competitive financing, and at-home pick-up and delivery. </w:t>
      </w:r>
      <w:r>
        <w:rPr>
          <w:rFonts w:ascii="Arial" w:cs="Arial" w:eastAsia="Arial" w:hAnsi="Arial"/>
          <w:sz w:val="18"/>
          <w:szCs w:val="18"/>
          <w:color w:val="041022"/>
        </w:rPr>
        <w:t>Pursuant to the Value</w:t>
      </w:r>
      <w:r>
        <w:rPr>
          <w:rFonts w:ascii="Arial" w:cs="Arial" w:eastAsia="Arial" w:hAnsi="Arial"/>
          <w:sz w:val="18"/>
          <w:szCs w:val="18"/>
          <w:color w:val="auto"/>
        </w:rPr>
        <w:t xml:space="preserve"> </w:t>
      </w:r>
      <w:r>
        <w:rPr>
          <w:rFonts w:ascii="Arial" w:cs="Arial" w:eastAsia="Arial" w:hAnsi="Arial"/>
          <w:sz w:val="18"/>
          <w:szCs w:val="18"/>
          <w:color w:val="041022"/>
        </w:rPr>
        <w:t>Maximization Plan, we are conducting an orderly wind-down of our ecommerce business.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 Ecommerce Operations</w:t>
      </w:r>
    </w:p>
    <w:p>
      <w:pPr>
        <w:spacing w:after="0" w:line="198" w:lineRule="exact"/>
        <w:rPr>
          <w:sz w:val="20"/>
          <w:szCs w:val="20"/>
          <w:color w:val="auto"/>
        </w:rPr>
      </w:pPr>
    </w:p>
    <w:p>
      <w:pPr>
        <w:jc w:val="both"/>
        <w:ind w:right="40" w:firstLine="749"/>
        <w:spacing w:after="0" w:line="255" w:lineRule="auto"/>
        <w:rPr>
          <w:sz w:val="20"/>
          <w:szCs w:val="20"/>
          <w:color w:val="auto"/>
        </w:rPr>
      </w:pPr>
      <w:r>
        <w:rPr>
          <w:rFonts w:ascii="Arial" w:cs="Arial" w:eastAsia="Arial" w:hAnsi="Arial"/>
          <w:sz w:val="17"/>
          <w:szCs w:val="17"/>
          <w:color w:val="auto"/>
        </w:rPr>
        <w:t>Vroom’s ecommerce platform offered thousands of vehicles that had undergone detailed inspections, met proprietary reconditioning standards and were backed by a Vroom 90-day limited warranty. The platform provided comprehensive and transparent information on each of the vehicles we sold and provided buyers with a personalized, intuitive interface with specific sorting, searching and filtering functionality.</w:t>
      </w:r>
    </w:p>
    <w:p>
      <w:pPr>
        <w:spacing w:after="0" w:line="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platform offered integrated, real-time financing solutions through strategic partnerships with automotive finance lenders and through our subsidiary, UACC. For consumers looking to sell their vehicles, the platform offered the ease of online submission of basic vehicle information to receive an on-demand appraisal. Vroom’s vehicle operations encompassed a vertically integrated approach to sourcing, transporting, reconditioning, delivering, and picking up vehicles. Data science and experimentation was at the core of Vrooms operations, and we relied on data science, machine learning and A/B and multivariate testing to continually drive optimization and operating leverage across our ecommerce and vehicle operations.</w:t>
      </w:r>
    </w:p>
    <w:p>
      <w:pPr>
        <w:spacing w:after="0" w:line="166"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041022"/>
        </w:rPr>
        <w:t xml:space="preserve">Pursuant to the Value Maximization Plan, we are conducting an orderly wind-down of our ecommerce business. We have suspended transactions through vroom.com, completed transactions for customers who had previously contracted with us to purchase or sell a vehicle, </w:t>
      </w:r>
      <w:r>
        <w:rPr>
          <w:rFonts w:ascii="Arial" w:cs="Arial" w:eastAsia="Arial" w:hAnsi="Arial"/>
          <w:sz w:val="18"/>
          <w:szCs w:val="18"/>
          <w:color w:val="1D2228"/>
        </w:rPr>
        <w:t>halted purchases of additional vehicles</w:t>
      </w:r>
      <w:r>
        <w:rPr>
          <w:rFonts w:ascii="Arial" w:cs="Arial" w:eastAsia="Arial" w:hAnsi="Arial"/>
          <w:sz w:val="18"/>
          <w:szCs w:val="18"/>
          <w:color w:val="041022"/>
        </w:rPr>
        <w:t xml:space="preserve">, sold </w:t>
      </w:r>
      <w:r>
        <w:rPr>
          <w:rFonts w:ascii="Arial" w:cs="Arial" w:eastAsia="Arial" w:hAnsi="Arial"/>
          <w:sz w:val="18"/>
          <w:szCs w:val="18"/>
          <w:color w:val="1D2228"/>
        </w:rPr>
        <w:t>substantially all of our used vehicle inventory through wholesale channels and paid off</w:t>
      </w:r>
      <w:r>
        <w:rPr>
          <w:rFonts w:ascii="Arial" w:cs="Arial" w:eastAsia="Arial" w:hAnsi="Arial"/>
          <w:sz w:val="18"/>
          <w:szCs w:val="18"/>
          <w:color w:val="041022"/>
        </w:rPr>
        <w:t xml:space="preserve"> </w:t>
      </w:r>
      <w:r>
        <w:rPr>
          <w:rFonts w:ascii="Arial" w:cs="Arial" w:eastAsia="Arial" w:hAnsi="Arial"/>
          <w:sz w:val="18"/>
          <w:szCs w:val="18"/>
          <w:color w:val="1D2228"/>
        </w:rPr>
        <w:t>our vehicle floorplan financing facility dated November 4, 2022 ("2022 Vehicle Floorplan Facility") with Ally Bank and Ally Financial Inc. ("Ally"). We continue to take other actions to maximize the value of our remaining ecommerce assets, reduce our outstanding commitments and preserve our liquidity, and have been executing a reduction-in -force commensurate with our reduced operations</w:t>
      </w:r>
      <w:r>
        <w:rPr>
          <w:rFonts w:ascii="Arial" w:cs="Arial" w:eastAsia="Arial" w:hAnsi="Arial"/>
          <w:sz w:val="18"/>
          <w:szCs w:val="18"/>
          <w:color w:val="041022"/>
        </w:rPr>
        <w:t>. Although we expect the</w:t>
      </w:r>
      <w:r>
        <w:rPr>
          <w:rFonts w:ascii="Arial" w:cs="Arial" w:eastAsia="Arial" w:hAnsi="Arial"/>
          <w:sz w:val="18"/>
          <w:szCs w:val="18"/>
          <w:color w:val="1D2228"/>
        </w:rPr>
        <w:t xml:space="preserve"> </w:t>
      </w:r>
      <w:r>
        <w:rPr>
          <w:rFonts w:ascii="Arial" w:cs="Arial" w:eastAsia="Arial" w:hAnsi="Arial"/>
          <w:sz w:val="18"/>
          <w:szCs w:val="18"/>
          <w:color w:val="041022"/>
        </w:rPr>
        <w:t>ecommerce wind down to be substantially complete by the end of the first quarter of 2024, we may incur additional wind-down costs through the end of 2024.</w:t>
      </w:r>
    </w:p>
    <w:p>
      <w:pPr>
        <w:spacing w:after="0" w:line="171" w:lineRule="exact"/>
        <w:rPr>
          <w:sz w:val="20"/>
          <w:szCs w:val="20"/>
          <w:color w:val="auto"/>
        </w:rPr>
      </w:pPr>
    </w:p>
    <w:p>
      <w:pPr>
        <w:ind w:right="60" w:firstLine="749"/>
        <w:spacing w:after="0" w:line="252" w:lineRule="auto"/>
        <w:rPr>
          <w:sz w:val="20"/>
          <w:szCs w:val="20"/>
          <w:color w:val="auto"/>
        </w:rPr>
      </w:pPr>
      <w:r>
        <w:rPr>
          <w:rFonts w:ascii="Arial" w:cs="Arial" w:eastAsia="Arial" w:hAnsi="Arial"/>
          <w:sz w:val="18"/>
          <w:szCs w:val="18"/>
          <w:color w:val="auto"/>
        </w:rPr>
        <w:t>The UACC and CarStory businesses will continue to serve their third-party customers, with their operations substantially unaffected by Vroom’s ecommerce wind-down</w:t>
      </w:r>
      <w:r>
        <w:rPr>
          <w:rFonts w:ascii="Arial" w:cs="Arial" w:eastAsia="Arial" w:hAnsi="Arial"/>
          <w:sz w:val="18"/>
          <w:szCs w:val="18"/>
          <w:color w:val="041022"/>
        </w:rPr>
        <w:t>. The Company will seek to grow and enhance the profitability of the UACC and CarStory businesses</w:t>
      </w:r>
      <w:r>
        <w:rPr>
          <w:rFonts w:ascii="Arial" w:cs="Arial" w:eastAsia="Arial" w:hAnsi="Arial"/>
          <w:sz w:val="18"/>
          <w:szCs w:val="18"/>
          <w:color w:val="auto"/>
        </w:rPr>
        <w:t xml:space="preserve"> </w:t>
      </w:r>
      <w:r>
        <w:rPr>
          <w:rFonts w:ascii="Arial" w:cs="Arial" w:eastAsia="Arial" w:hAnsi="Arial"/>
          <w:sz w:val="18"/>
          <w:szCs w:val="18"/>
          <w:color w:val="041022"/>
        </w:rPr>
        <w:t>going forward.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80" w:firstLine="749"/>
        <w:spacing w:after="0" w:line="271" w:lineRule="auto"/>
        <w:rPr>
          <w:sz w:val="20"/>
          <w:szCs w:val="20"/>
          <w:color w:val="auto"/>
        </w:rPr>
      </w:pPr>
      <w:r>
        <w:rPr>
          <w:rFonts w:ascii="Arial" w:cs="Arial" w:eastAsia="Arial" w:hAnsi="Arial"/>
          <w:sz w:val="18"/>
          <w:szCs w:val="18"/>
          <w:color w:val="auto"/>
        </w:rPr>
        <w:t>For more information about our former ecommerce operations, please refer to “Part I, Item 1. Business” in our Annual Report on Form 10-K for the year ended December 31, 2022, filed with the SEC on March 2, 2023.</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UACC</w:t>
      </w:r>
    </w:p>
    <w:p>
      <w:pPr>
        <w:spacing w:after="0" w:line="198"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UACC, which Vroom acquired in February 2022, is an indirect lender that offers vehicle financing to consumers through third-party dealers under the UACC brand, focusing primarily on the non-prime market. Prior to Vroom’s wind-down of its ecommerce operations, UACC also offered vehicle financing to Vroom’s customers through its ecommerce platform. Effective March 1, 2024, Tom Shortt, the Company’s Chief Executive Officer, serves as UACC’s President and Chief Executive Officer and Jon Sandison, the Company’s VP, Investor Relations and FP&amp;A, serves as UACC’s Chief Financial Officer.</w:t>
      </w:r>
    </w:p>
    <w:p>
      <w:pPr>
        <w:spacing w:after="0" w:line="166"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UACC, which has been engaged in automotive finance since 1996, currently offers financing services to a nationwide network of thousands of manufacturer-franchised and independent motor vehicle dealers in 49 states, and we seek to expand that network over time. UACC enables these dealers to finance their customers' purchases of new and used automobiles, medium and light duty trucks and vans with competitive financing terms. The credit programs offered by UACC are primarily designed to serve consumers who have limited access to traditional motor vehicle financing.</w:t>
      </w:r>
    </w:p>
    <w:p>
      <w:pPr>
        <w:spacing w:after="0" w:line="166"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In addition to its financing expertise, the UACC platform brings with it extensive application processing, underwriting, and servicing capabilities. UACC’s underwriting process begins when UACC accepts a consumer credit application from one of its approved dealerships. Upon receipt, required information is entered into UACC's underwriting system for review and disposition by UACC's automated underwriting decisioning engine in accordance with UACC’s established underwriting guidelines. Because UACC serves consumers who are typically unable to meet the credit standards imposed by most traditional motor vehicle financing sources, it may charge higher interest rates than most traditional motor vehicle financing sources.</w:t>
      </w:r>
    </w:p>
    <w:p>
      <w:pPr>
        <w:spacing w:after="0" w:line="169" w:lineRule="exact"/>
        <w:rPr>
          <w:sz w:val="20"/>
          <w:szCs w:val="20"/>
          <w:color w:val="auto"/>
        </w:rPr>
      </w:pPr>
    </w:p>
    <w:p>
      <w:pPr>
        <w:ind w:right="100" w:firstLine="749"/>
        <w:spacing w:after="0" w:line="266" w:lineRule="auto"/>
        <w:rPr>
          <w:sz w:val="20"/>
          <w:szCs w:val="20"/>
          <w:color w:val="auto"/>
        </w:rPr>
      </w:pPr>
      <w:r>
        <w:rPr>
          <w:rFonts w:ascii="Arial" w:cs="Arial" w:eastAsia="Arial" w:hAnsi="Arial"/>
          <w:sz w:val="17"/>
          <w:szCs w:val="17"/>
          <w:color w:val="auto"/>
        </w:rPr>
        <w:t>UACC verifies the accuracy of information submitted through credit applications and retail installment sales contracts. Verifications are assigned based on risk modeling and completed via a combination of first-party verifications and third-party data sources. Verifications may include customer identity, customer interviews, proof of residence, verification of employment, proof of income, collateral/vehicle valuation, verification of insurance, and other stipulated requirements resulting from risk factors inherent within each credit application.</w:t>
      </w:r>
    </w:p>
    <w:p>
      <w:pPr>
        <w:spacing w:after="0" w:line="145"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UACC services the retail installment sales contracts it originates or purchases and will continue to service the contracts it originated or purchased for customers of Vroom’s former ecommerce business. Servicing activities consist primarily of collecting and processing customer payments, responding to customer inquiries, initiating contact with customers who are delinquent in payment of an installment, maintaining the security interests in the financed vehicles and, when necessary, arranging for the repossession and liquidation of the financed vehicles and pursuit of deficiencies. Because UACC focuses primarily on the non-prime market, it generally sustains a higher level of delinquencies and credit losses than that experienced by traditional motor vehicle financing sources. As of December 31, 2023, UACC serviced a portfolio of approximately 79,000 retail installment sales contracts with an aggregate principal outstanding balance of $1.1 billion.</w:t>
      </w:r>
    </w:p>
    <w:p>
      <w:pPr>
        <w:spacing w:after="0" w:line="153" w:lineRule="exact"/>
        <w:rPr>
          <w:sz w:val="20"/>
          <w:szCs w:val="20"/>
          <w:color w:val="auto"/>
        </w:rPr>
      </w:pPr>
    </w:p>
    <w:p>
      <w:pPr>
        <w:ind w:right="160" w:firstLine="749"/>
        <w:spacing w:after="0" w:line="241" w:lineRule="auto"/>
        <w:rPr>
          <w:sz w:val="20"/>
          <w:szCs w:val="20"/>
          <w:color w:val="auto"/>
        </w:rPr>
      </w:pPr>
      <w:r>
        <w:rPr>
          <w:rFonts w:ascii="Arial" w:cs="Arial" w:eastAsia="Arial" w:hAnsi="Arial"/>
          <w:sz w:val="18"/>
          <w:szCs w:val="18"/>
          <w:color w:val="auto"/>
        </w:rPr>
        <w:t>To fund UACC’s automotive finance operations, eligible retail installment sales contracts that UACC originates or purchases are pledged to lenders under warehouse credit facilities and typically sold to third-party investors via securitization transactions, with UACC continuing to service the finance receivables underlying those contracts. In such securitization transactions, UACC conveys a pool of automotive finance receivables to a special purpose vehicle, typically a trust that, in turn, issues certain securities. The securities issued by the special purpose vehicle are collateralized by the pool of automotive finance receivables. In exchange for the transfer of finance receivables to the special purpose vehicle, UACC receives the cash proceeds from the sale of the securities.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CarStory</w:t>
      </w:r>
    </w:p>
    <w:p>
      <w:pPr>
        <w:spacing w:after="0" w:line="198" w:lineRule="exact"/>
        <w:rPr>
          <w:sz w:val="20"/>
          <w:szCs w:val="20"/>
          <w:color w:val="auto"/>
        </w:rPr>
      </w:pPr>
    </w:p>
    <w:p>
      <w:pPr>
        <w:ind w:right="80" w:firstLine="749"/>
        <w:spacing w:after="0" w:line="252" w:lineRule="auto"/>
        <w:rPr>
          <w:sz w:val="20"/>
          <w:szCs w:val="20"/>
          <w:color w:val="auto"/>
        </w:rPr>
      </w:pPr>
      <w:r>
        <w:rPr>
          <w:rFonts w:ascii="Arial" w:cs="Arial" w:eastAsia="Arial" w:hAnsi="Arial"/>
          <w:sz w:val="18"/>
          <w:szCs w:val="18"/>
          <w:color w:val="auto"/>
        </w:rPr>
        <w:t>CarStory is a leader in AI-powered analytics and digital services for automotive retail. CarStory offers its digital retailing services to dealers, automotive financial services companies and others in the automotive industry, which use CarStory’s solutions to enhance their customer experience and drive increased vehicle purchases.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 xml:space="preserve">CarStory drives automotive retail innovation by aggregating, optimizing and distributing data from thousands of automotive sources. CarStory tracks over three and a half million unique vehicle identification numbers (“VINs”) listed for sale every day. </w:t>
      </w:r>
      <w:r>
        <w:rPr>
          <w:rFonts w:ascii="Arial" w:cs="Arial" w:eastAsia="Arial" w:hAnsi="Arial"/>
          <w:sz w:val="18"/>
          <w:szCs w:val="18"/>
          <w:color w:val="1D1C1D"/>
        </w:rPr>
        <w:t>This data is aggregated</w:t>
      </w:r>
      <w:r>
        <w:rPr>
          <w:rFonts w:ascii="Arial" w:cs="Arial" w:eastAsia="Arial" w:hAnsi="Arial"/>
          <w:sz w:val="18"/>
          <w:szCs w:val="18"/>
          <w:color w:val="auto"/>
        </w:rPr>
        <w:t xml:space="preserve"> </w:t>
      </w:r>
      <w:r>
        <w:rPr>
          <w:rFonts w:ascii="Arial" w:cs="Arial" w:eastAsia="Arial" w:hAnsi="Arial"/>
          <w:sz w:val="18"/>
          <w:szCs w:val="18"/>
          <w:color w:val="1D1C1D"/>
        </w:rPr>
        <w:t>with demand insights from millions of consumer sessions and VIN data from CarStory's proprietary VIN database to generate accurate price and sales</w:t>
      </w:r>
      <w:r>
        <w:rPr>
          <w:rFonts w:ascii="Arial" w:cs="Arial" w:eastAsia="Arial" w:hAnsi="Arial"/>
          <w:sz w:val="18"/>
          <w:szCs w:val="18"/>
          <w:color w:val="000000"/>
        </w:rPr>
        <w:t>. CarStory helps dealers optimize their pricing by leveraging data science models for retail pricing that provide predictive pricing for</w:t>
      </w:r>
      <w:r>
        <w:rPr>
          <w:rFonts w:ascii="Arial" w:cs="Arial" w:eastAsia="Arial" w:hAnsi="Arial"/>
          <w:sz w:val="18"/>
          <w:szCs w:val="18"/>
          <w:color w:val="1D1C1D"/>
        </w:rPr>
        <w:t xml:space="preserve"> </w:t>
      </w:r>
      <w:r>
        <w:rPr>
          <w:rFonts w:ascii="Arial" w:cs="Arial" w:eastAsia="Arial" w:hAnsi="Arial"/>
          <w:sz w:val="18"/>
          <w:szCs w:val="18"/>
          <w:color w:val="000000"/>
        </w:rPr>
        <w:t>marketing, buying, selling and VIN-level features.</w:t>
      </w:r>
    </w:p>
    <w:p>
      <w:pPr>
        <w:spacing w:after="0" w:line="166" w:lineRule="exact"/>
        <w:rPr>
          <w:sz w:val="20"/>
          <w:szCs w:val="20"/>
          <w:color w:val="auto"/>
        </w:rPr>
      </w:pPr>
    </w:p>
    <w:p>
      <w:pPr>
        <w:ind w:right="80" w:firstLine="749"/>
        <w:spacing w:after="0" w:line="251" w:lineRule="auto"/>
        <w:rPr>
          <w:sz w:val="20"/>
          <w:szCs w:val="20"/>
          <w:color w:val="auto"/>
        </w:rPr>
      </w:pPr>
      <w:r>
        <w:rPr>
          <w:rFonts w:ascii="Arial" w:cs="Arial" w:eastAsia="Arial" w:hAnsi="Arial"/>
          <w:sz w:val="18"/>
          <w:szCs w:val="18"/>
          <w:color w:val="auto"/>
        </w:rPr>
        <w:t>In addition to its data analytics and digital services, CarStory powers white labeled storefronts for automotive marketplaces and finance companies. In developing its white label capabilities, CarStory also has developed a variety of consumer-focused functions designed to enhance the customer experience and drive conversion. CarStory's data and data science assets create significant opportunity for automotive AI product development, with over 200 million VINs, over three billion photos and price and price elasticity models.</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Marketing</w:t>
      </w:r>
    </w:p>
    <w:p>
      <w:pPr>
        <w:spacing w:after="0" w:line="198"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As an indirect lender, UACC's marketing efforts are focused on selling to dealerships, rather than consumers. UACC utilizes a combination of internal and field sales managers to both solicit the enrollment of new dealerships and to market its financing programs and products to existing dealerships. UACC's sales managers serve as the primary liaison with its dealerships. Sales managers focus their efforts on educating dealership personnel on UACC's lending programs and how to combine specific consumer characteristics, collateral and deal structures to increase the probability of approval under UACC's underwriting guidelines. Prior to establishing a business relationship with an automobile dealership, UACC completes a review of the dealership's operations, inventory, facilities, and owner’s credit history.</w:t>
      </w:r>
    </w:p>
    <w:p>
      <w:pPr>
        <w:spacing w:after="0" w:line="169" w:lineRule="exact"/>
        <w:rPr>
          <w:sz w:val="20"/>
          <w:szCs w:val="20"/>
          <w:color w:val="auto"/>
        </w:rPr>
      </w:pPr>
    </w:p>
    <w:p>
      <w:pPr>
        <w:ind w:right="320" w:firstLine="749"/>
        <w:spacing w:after="0" w:line="271" w:lineRule="auto"/>
        <w:rPr>
          <w:sz w:val="20"/>
          <w:szCs w:val="20"/>
          <w:color w:val="auto"/>
        </w:rPr>
      </w:pPr>
      <w:r>
        <w:rPr>
          <w:rFonts w:ascii="Arial" w:cs="Arial" w:eastAsia="Arial" w:hAnsi="Arial"/>
          <w:sz w:val="18"/>
          <w:szCs w:val="18"/>
          <w:color w:val="auto"/>
        </w:rPr>
        <w:t>CarStory has not actively engaged in marketing activities since being acquired by Vroom in 2021. As part of the wind-down of its ecommerce business, Vroom has ended all sales and marketing activities for its used vehicle operations.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198"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The automotive financing industry is large and highly competitive. UACC competes with a number of national, regional and local finance companies, banks, credit unions, fintech companies, and captive finance companies. Many of these companies are larger and have greater financial resources than UACC, including greater access to capital markets for debt instruments or access to lower cost deposit bases. These funding sources may be unavailable to UACC. Many of these companies also have long-standing relationships with automobile dealers and may provide other financing to dealers, including floor plan financing for the dealers' purchases of automobiles from manufacturers and auctions, which we do not offer.</w:t>
      </w:r>
    </w:p>
    <w:p>
      <w:pPr>
        <w:spacing w:after="0" w:line="169"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Credit applications may be sent simultaneously to multiple lenders for consideration. As a result, UACC competes with other financing sources on the basis of the approved structure, minimum customer requirements and stipulations, types of vehicles financed, dealer fees, dealer incentives, levels of service, and distribution (accessibility to UACC’s program via credit application technology platforms). We believe that we can obtain from our dealership network sufficient automobile contracts for purchase at attractive prices by consistently applying reasonable underwriting criteria and making timely purchases of qualifying automobile contracts, however, there can be no assurance that we will be able to do so.</w:t>
      </w:r>
    </w:p>
    <w:p>
      <w:pPr>
        <w:spacing w:after="0" w:line="169" w:lineRule="exact"/>
        <w:rPr>
          <w:sz w:val="20"/>
          <w:szCs w:val="20"/>
          <w:color w:val="auto"/>
        </w:rPr>
      </w:pPr>
    </w:p>
    <w:p>
      <w:pPr>
        <w:ind w:right="260" w:firstLine="749"/>
        <w:spacing w:after="0" w:line="246" w:lineRule="auto"/>
        <w:rPr>
          <w:sz w:val="20"/>
          <w:szCs w:val="20"/>
          <w:color w:val="auto"/>
        </w:rPr>
      </w:pPr>
      <w:r>
        <w:rPr>
          <w:rFonts w:ascii="Arial" w:cs="Arial" w:eastAsia="Arial" w:hAnsi="Arial"/>
          <w:sz w:val="18"/>
          <w:szCs w:val="18"/>
          <w:color w:val="1D1C1D"/>
        </w:rPr>
        <w:t>The automotive data and service business is large and very competitive. CarStory competes with a number of companies in the automotive industry, including valuation services, VIN data providers, website marketplaces, inventory aggregators, and retail e-commerce platforms. Some of these companies are significantly larger with well-established sales and marketing teams. We compete with other companies to attract customers to our marketplace and dealers to our digital solutions.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Human Capital Management</w:t>
      </w:r>
    </w:p>
    <w:p>
      <w:pPr>
        <w:spacing w:after="0" w:line="198" w:lineRule="exact"/>
        <w:rPr>
          <w:sz w:val="20"/>
          <w:szCs w:val="20"/>
          <w:color w:val="auto"/>
        </w:rPr>
      </w:pPr>
    </w:p>
    <w:p>
      <w:pPr>
        <w:ind w:right="200" w:firstLine="749"/>
        <w:spacing w:after="0" w:line="246" w:lineRule="auto"/>
        <w:rPr>
          <w:sz w:val="20"/>
          <w:szCs w:val="20"/>
          <w:color w:val="auto"/>
        </w:rPr>
      </w:pPr>
      <w:r>
        <w:rPr>
          <w:rFonts w:ascii="Arial" w:cs="Arial" w:eastAsia="Arial" w:hAnsi="Arial"/>
          <w:sz w:val="18"/>
          <w:szCs w:val="18"/>
          <w:color w:val="auto"/>
        </w:rPr>
        <w:t>As of December 31, 2023, the Company employed a total of 1,682 employees, of which 1,675 were full-time employees. The total consisted of 1,468 employees across 34 states in the United States and 214 employees based in Belgrade, Serbia. UACC employed 683 workers, of which 677 were full-time. CarStory employed 219 workers, 213 of which are based in Serbia, with the balance in the US. The balance were employed as part of the Vroom ecommerce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business. None of our employees is represented by a labor union. We consider our relationships with our employees to be good and have not experienced any interruptions of operations due to labor disagreements.</w:t>
      </w:r>
    </w:p>
    <w:p>
      <w:pPr>
        <w:spacing w:after="0" w:line="139" w:lineRule="exact"/>
        <w:rPr>
          <w:sz w:val="20"/>
          <w:szCs w:val="20"/>
          <w:color w:val="auto"/>
        </w:rPr>
      </w:pPr>
    </w:p>
    <w:p>
      <w:pPr>
        <w:ind w:right="320" w:firstLine="749"/>
        <w:spacing w:after="0" w:line="243" w:lineRule="auto"/>
        <w:rPr>
          <w:sz w:val="20"/>
          <w:szCs w:val="20"/>
          <w:color w:val="auto"/>
        </w:rPr>
      </w:pPr>
      <w:r>
        <w:rPr>
          <w:rFonts w:ascii="Arial" w:cs="Arial" w:eastAsia="Arial" w:hAnsi="Arial"/>
          <w:sz w:val="18"/>
          <w:szCs w:val="18"/>
          <w:color w:val="auto"/>
        </w:rPr>
        <w:t>In January and April 2023, as part of our continued focus on reducing variable and fixed costs, we conducted reductions in force across the Vroom business. During the year, we also undertook several smaller reductions to further streamline the business. In January 2024, in connection with the wind-down of our ecommerce operations, we began a significant reduction in force across the entire Vroom business</w:t>
      </w:r>
      <w:r>
        <w:rPr>
          <w:rFonts w:ascii="Arial" w:cs="Arial" w:eastAsia="Arial" w:hAnsi="Arial"/>
          <w:sz w:val="18"/>
          <w:szCs w:val="18"/>
          <w:color w:val="041022"/>
        </w:rPr>
        <w:t>. We anticipate that approximately 800 employees will be impacted upon substantial completion of the wind-down, resulting in a</w:t>
      </w:r>
      <w:r>
        <w:rPr>
          <w:rFonts w:ascii="Arial" w:cs="Arial" w:eastAsia="Arial" w:hAnsi="Arial"/>
          <w:sz w:val="18"/>
          <w:szCs w:val="18"/>
          <w:color w:val="auto"/>
        </w:rPr>
        <w:t xml:space="preserve"> </w:t>
      </w:r>
      <w:r>
        <w:rPr>
          <w:rFonts w:ascii="Arial" w:cs="Arial" w:eastAsia="Arial" w:hAnsi="Arial"/>
          <w:sz w:val="18"/>
          <w:szCs w:val="18"/>
          <w:color w:val="041022"/>
        </w:rPr>
        <w:t>reduction of approximately 93% of the employees not engaged in UACC’s or CarStory’s ongoing operations.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Intellectual Property</w:t>
      </w:r>
    </w:p>
    <w:p>
      <w:pPr>
        <w:spacing w:after="0" w:line="198"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The protection of our technology and intellectual property is an important aspect of our business. We seek to protect our intellectual property rights, including our intellectual property rights in our technology, through trademark, trade secret and copyright law, as well as confidentiality agreements, procedures and other contractual commitments and other legal rights. We generally enter into confidentiality agreements and invention assignment agreements with our employees and consultants to control access to, and clarify ownership of, our proprietary rights and information.</w:t>
      </w:r>
    </w:p>
    <w:p>
      <w:pPr>
        <w:spacing w:after="0" w:line="166"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As of the date of this Annual Report on Form 10-K, CarStory has 30 issued or allowed U.S. patents with expirations through 2039 and seven pending U.S. patent applications, and Vroom has one pending nonprovisional patent. We own 25 registrations for trademarks in the United States owned by Vroom, Vast (CarStory's parent entity) and UACC, collectively, with renewal deadlines through 2033, including Vroom®, V &amp; Design®, Get In®, Sell Us Your Car®, VroomProtect®, Texas Direct®, CarStory®, Vast® and United Auto Credit®; and we hold 54 registered trademarks in Australia, Brazil, China, Colombia, Chile, Argentina, the European Union, the United Kingdom, Japan, Singapore, Mexico, Canada, South Korea and Peru, including for the Vroom® trademark with renewal deadlines through 2033 and we also have a number of pending trademark applications in the U.S. and certain foreign jurisdictions. We continually review our branding strategies and technology development efforts to assess the existence, registrability, and patentability of new intellectual property. We will work to preserve the value of our Vroom® intellectual property rights where appropriate following the wind-down of our ecommerce operations.</w:t>
      </w:r>
    </w:p>
    <w:p>
      <w:pPr>
        <w:spacing w:after="0" w:line="168" w:lineRule="exact"/>
        <w:rPr>
          <w:sz w:val="20"/>
          <w:szCs w:val="20"/>
          <w:color w:val="auto"/>
        </w:rPr>
      </w:pPr>
    </w:p>
    <w:p>
      <w:pPr>
        <w:ind w:right="100" w:firstLine="749"/>
        <w:spacing w:after="0" w:line="246" w:lineRule="auto"/>
        <w:rPr>
          <w:sz w:val="20"/>
          <w:szCs w:val="20"/>
          <w:color w:val="auto"/>
        </w:rPr>
      </w:pPr>
      <w:r>
        <w:rPr>
          <w:rFonts w:ascii="Arial" w:cs="Arial" w:eastAsia="Arial" w:hAnsi="Arial"/>
          <w:sz w:val="18"/>
          <w:szCs w:val="18"/>
          <w:color w:val="auto"/>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 brands, or other intellectual property.</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222222"/>
        </w:rPr>
        <w:t>Government Regulation</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businesses are and will continue to be subject to extensive U.S. federal, state and local laws and regulations.</w:t>
      </w:r>
    </w:p>
    <w:p>
      <w:pPr>
        <w:spacing w:after="0" w:line="198" w:lineRule="exact"/>
        <w:rPr>
          <w:sz w:val="20"/>
          <w:szCs w:val="20"/>
          <w:color w:val="auto"/>
        </w:rPr>
      </w:pPr>
    </w:p>
    <w:p>
      <w:pPr>
        <w:ind w:right="120" w:firstLine="749"/>
        <w:spacing w:after="0" w:line="239" w:lineRule="auto"/>
        <w:rPr>
          <w:sz w:val="20"/>
          <w:szCs w:val="20"/>
          <w:color w:val="auto"/>
        </w:rPr>
      </w:pPr>
      <w:r>
        <w:rPr>
          <w:rFonts w:ascii="Arial" w:cs="Arial" w:eastAsia="Arial" w:hAnsi="Arial"/>
          <w:sz w:val="18"/>
          <w:szCs w:val="18"/>
          <w:color w:val="auto"/>
        </w:rPr>
        <w:t>As an entity operating in the financial services sector, UACC is required to comply with a wide variety of laws and regulations. Compliance with these laws and regulations requires that UACC maintain forms, processes, procedures, controls and the infrastructure to support these requirements, and these laws and regulations often create operational constraints both on UACC's ability to implement servicing procedures and on pricing. UACC is subject to laws designed for the protection of consumers, including the Truth in Lending Act, the Equal Credit Opportunity Act, the Fair Credit Reporting Act, prohibitions against unfair, deceptive, and abusive acts and practices, and various other state and federal laws and regulations. These laws mandate certain disclosures with respect to finance charges on automobile contracts and impose certain other restrictions. Most states regulate retail installment sales, including setting a maximum interest rate, caps on certain fees, or maximum amounts financed. Certain states require UACC to have a sales finance license, consumer credit license, or similar applicable license. UACC has obtained licenses in all states where licensing is required.</w:t>
      </w:r>
    </w:p>
    <w:p>
      <w:pPr>
        <w:spacing w:after="0" w:line="168"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UACC's financing operations are also subject to U.S. federal, state, and local laws and regulations regarding contract origination, acquiring motor vehicle installment sales contracts from retail sellers, furnishing data to credit reporting agencies, servicing, debt collection practices, and securitization transactions. In addition, UACC is subject to supervision and examination by the Consumer Financial Protection Bureau (“CFPB”), a federal agency created by the Dodd-Frank Wall Street Reform and Consumer Protection Act (the “Dodd-Frank Act”). The CFPB has rulemaking, supervisory and enforcement authority over UACC and is specifically authorized, among other things, to take actions to prevent companies from engaging in “unfair, deceptive or abusive” acts or practices in connection with consumer financial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products and services, and to issue rules requiring enhanced disclosures for consumer financial products or services. The CFPB also has authority to interpret, enforce and issue regulations implementing enumerated consumer laws, including certain laws that apply to UACC. The Dodd-Frank Act and regulations promulgated thereunder may affect UACC's cost of doing business, may limit or expand its permissible activities, may affect the competitive balance within UACC's industry and market areas, and could have a material adverse effect on UACC.</w:t>
      </w:r>
    </w:p>
    <w:p>
      <w:pPr>
        <w:spacing w:after="0" w:line="163"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In addition to the CFPB, other state and federal agencies have the ability to regulate aspects of our business. For example, the Dodd-Frank Act provides a mechanism for state Attorneys General to investigate UACC. In addition, the Federal Trade Commission has jurisdiction to investigate aspects of our business. From time to time, we are subject to routine investigations by state and federal regulators. We expect that regulatory investigations by both state and federal agencies will continue, and there can be no assurance that the results of such investigations will not have a material adverse effect on UACC.</w:t>
      </w:r>
    </w:p>
    <w:p>
      <w:pPr>
        <w:spacing w:after="0" w:line="166"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The advertising, sale, purchase, financing and transportation of used vehicles are regulated by every state in which we previously operated our ecommerce business, and by the U.S. federal government. The titling and registration of vehicles and the sale of value-added products also are regulated by state laws, and such laws can vary significantly from state to state. In addition, our ecommerce business was subject to regulations and laws specifically governing the internet and ecommerce and the collection, storage, use and other processing of personal information and other customer data. Further, our ecommerce business was subject to current and future laws regarding the use of, training, testing, oversight and accuracy of AI. Additionally, we are subject to industry-specific regulations and intellectual property laws regarding proprietary data, including motor vehicle records. The federal governmental agencies that have regulated our ecommerce business and have the authority to enforce such regulations and laws against us include agencies such as the U.S. Federal Trade Commission, the U.S. Department of Transportation, the U.S. Occupational Health and Safety Administration, the U.S. Department of Justice and the U.S. Federal Communications Commission. Additionally, our ecommerce business was subject to regulation by individual state dealer licensing authorities, state consumer protection agencies and state financial regulatory agencies. From time to time, our ecommerce business was subject to audits, requests for information, investigations and other inquiries from our regulators related to customer complaints. As we encountered operational challenges in keeping up with our rapid growth from 2020 through the first quarter of 2022, we experienced an increase in customer complaints, leading to an increase in such regulatory inquiries. We have endeavored to promptly respond to any such inquiries and cooperate with our regulators. We previously held automotive dealer licenses and motor vehicle sales finance licenses or retail installment seller licenses in multiple states. As a result of the wind-down of the ecommerce business and cessation of our used automotive dealer operations, we are in the process of terminating such licenses.</w:t>
      </w:r>
    </w:p>
    <w:p>
      <w:pPr>
        <w:spacing w:after="0" w:line="166"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In addition to the laws and regulations described above,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information-reporting requirements, unencumbered internet access to our platform, the design and operation of websites and internet neutrality. We also are subject to laws and regulations affecting public companies, including securities laws and Nasdaq listing rules.</w:t>
      </w:r>
    </w:p>
    <w:p>
      <w:pPr>
        <w:spacing w:after="0" w:line="209" w:lineRule="exact"/>
        <w:rPr>
          <w:sz w:val="20"/>
          <w:szCs w:val="20"/>
          <w:color w:val="auto"/>
        </w:rPr>
      </w:pPr>
    </w:p>
    <w:p>
      <w:pPr>
        <w:ind w:right="80" w:firstLine="749"/>
        <w:spacing w:after="0" w:line="252" w:lineRule="auto"/>
        <w:rPr>
          <w:sz w:val="20"/>
          <w:szCs w:val="20"/>
          <w:color w:val="auto"/>
        </w:rPr>
      </w:pPr>
      <w:r>
        <w:rPr>
          <w:rFonts w:ascii="Arial" w:cs="Arial" w:eastAsia="Arial" w:hAnsi="Arial"/>
          <w:sz w:val="17"/>
          <w:szCs w:val="17"/>
          <w:color w:val="auto"/>
        </w:rPr>
        <w:t>For a discussion of the various risks we face from regulation and compliance matters, see “Risk Factors—Risks Related to Cybersecurity and Privacy—Failure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 “Risk Factors—Risks Related to Cybersecurity and Privacy—Our CarStory business relies on artificial intelligence to facilitate the automotive retail experience. If our use of artificial intelligence results in inaccurate data, regulatory scrutiny, privacy concerns or is otherwise unsuccessful, it could adversely affect our business, results of operations, and financial condition”; “Risk Factors—Risks Related to Cybersecurity and Privacy—Any actual or perceived failure to comply with the evolving regulatory frameworks around the development and use of AI could adversely affect our business, results of operations, and financial condition”; “Risk Factors—Risks Related to Laws and Regulations——We operate in a highly regulated industry and are subject to a wide range of federal, state and local laws and regulations. Failure to comply with these laws and regulations could have a material adverse effect on our business, financial condition and results of operations”; “—If we fail to comply with the Telephone Consumer Protection Act, we may face significant damages, which could harm our business, financial condition and results of operations”; and “—Government regulation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internet and ecommerce is evolving, and unfavorable changes or failure by us to comply with these regulations could substantially harm our business, financial condition and results of operations”.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198"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Used vehicle sales are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However, the past few years have not followed typical depreciation trends and there remains continued uncertainty surrounding market trends. Consistent with market trends, UACC generally experiences increased funding activity during the first quarter through tax season. Delinquencies also tend to be lower during the first quarter through tax season and higher during the latter half of the year. See “Risk Factors—Risks Related to Our Financial Condition and Results of Operations—We may experience seasonal and other fluctuations in our quarterly results of operations, which may not fully reflect the underlying performance of our business.”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Available Information</w:t>
      </w:r>
    </w:p>
    <w:p>
      <w:pPr>
        <w:spacing w:after="0" w:line="198" w:lineRule="exact"/>
        <w:rPr>
          <w:sz w:val="20"/>
          <w:szCs w:val="20"/>
          <w:color w:val="auto"/>
        </w:rPr>
      </w:pPr>
    </w:p>
    <w:p>
      <w:pPr>
        <w:ind w:right="140" w:firstLine="749"/>
        <w:spacing w:after="0" w:line="241" w:lineRule="auto"/>
        <w:rPr>
          <w:sz w:val="20"/>
          <w:szCs w:val="20"/>
          <w:color w:val="auto"/>
        </w:rPr>
      </w:pPr>
      <w:r>
        <w:rPr>
          <w:rFonts w:ascii="Arial" w:cs="Arial" w:eastAsia="Arial" w:hAnsi="Arial"/>
          <w:sz w:val="18"/>
          <w:szCs w:val="18"/>
          <w:color w:val="auto"/>
        </w:rPr>
        <w:t>Our website address is www.vroom.com. The information contained on, or that can be accessed through, our website is deemed not to be incorporated in this Annual Report on Form 10-K or to be part of this Annual Report on Form 10-K or any other report filed with the SEC. Our Annual Report on Form 10-K, Quarterly Reports on Form 10-Q and Current Reports on Form 8-K, as well as any amendments to those reports, are available free of charge through our website as soon as reasonably practicable after we file them with, or furnish them to, the SEC. The SEC maintains a website at www.sec.gov that contains reports, proxy statements, and other information regarding SEC registrants, including Vroom, Inc.</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 investment in our common stock involves a high degree of risk. You should consider carefully the risks and uncertainties described below, together with the financial and other information contained in this Annual Report on Form 10-K, before you decide to purchase shares of our common stock. The risks and uncertainties described below are not the only ones we face. Additional risks and uncertainties that we are unaware of, or that we currently believe are not material or important, may also become material or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Condition, Results of Operations, Liquidity and Indebtedness</w:t>
      </w:r>
    </w:p>
    <w:p>
      <w:pPr>
        <w:spacing w:after="0" w:line="200"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There are risks associated with the discontinuance of our ecommerce operations and wind-down of our used vehicle dealership business.</w:t>
      </w:r>
    </w:p>
    <w:p>
      <w:pPr>
        <w:spacing w:after="0" w:line="125"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 xml:space="preserve">On January 22, 2024, we announced the Value Maximization Plan, pursuant to which we are discontinuing our ecommerce operations and winding down our used vehicle dealership business in order to preserve cash and maximize stakeholder value through our remaining businesses. As a result, we will incur costs including severance costs, inventory liquidation costs, contract and lease termination costs and non-cash asset impairments, and such costs are expected to exceed any cash we generate on the liquidation of assets. </w:t>
      </w:r>
      <w:r>
        <w:rPr>
          <w:rFonts w:ascii="Arial" w:cs="Arial" w:eastAsia="Arial" w:hAnsi="Arial"/>
          <w:sz w:val="18"/>
          <w:szCs w:val="18"/>
          <w:color w:val="041022"/>
        </w:rPr>
        <w:t>The</w:t>
      </w:r>
      <w:r>
        <w:rPr>
          <w:rFonts w:ascii="Arial" w:cs="Arial" w:eastAsia="Arial" w:hAnsi="Arial"/>
          <w:sz w:val="18"/>
          <w:szCs w:val="18"/>
          <w:color w:val="auto"/>
        </w:rPr>
        <w:t xml:space="preserve"> </w:t>
      </w:r>
      <w:r>
        <w:rPr>
          <w:rFonts w:ascii="Arial" w:cs="Arial" w:eastAsia="Arial" w:hAnsi="Arial"/>
          <w:sz w:val="18"/>
          <w:szCs w:val="18"/>
          <w:color w:val="041022"/>
        </w:rPr>
        <w:t xml:space="preserve">Company estimates it will incur approximately $ 31.5 million in one-time expenses in connection with the Plan. Included in this amount are approximately $15.0 million in costs attributable to contract and lease terminations and approximately $16.5 million of expenses the Company expects to incur relating to employee severance and benefits costs. </w:t>
      </w:r>
      <w:r>
        <w:rPr>
          <w:rFonts w:ascii="Arial" w:cs="Arial" w:eastAsia="Arial" w:hAnsi="Arial"/>
          <w:sz w:val="18"/>
          <w:szCs w:val="18"/>
          <w:color w:val="000000"/>
        </w:rPr>
        <w:t>The actual amount of wind down, transition and impairment</w:t>
      </w:r>
      <w:r>
        <w:rPr>
          <w:rFonts w:ascii="Arial" w:cs="Arial" w:eastAsia="Arial" w:hAnsi="Arial"/>
          <w:sz w:val="18"/>
          <w:szCs w:val="18"/>
          <w:color w:val="041022"/>
        </w:rPr>
        <w:t xml:space="preserve"> </w:t>
      </w:r>
      <w:r>
        <w:rPr>
          <w:rFonts w:ascii="Arial" w:cs="Arial" w:eastAsia="Arial" w:hAnsi="Arial"/>
          <w:sz w:val="18"/>
          <w:szCs w:val="18"/>
          <w:color w:val="000000"/>
        </w:rPr>
        <w:t>charges may materially exceed our estimates, due to various factors, many of which are outside of our control, including the outcomes of discussions and negotiations (a number of which are currently ongoing) with the counterparties to the contracts and leases we intend to terminate or modify. In addition, because of uncertainties with respect to our wind-down plan (including those described above), we may not be able to realize the anticipated benefits of or complete the wind-down in the expected timeframe, on the terms or in the manner we expect, and the costs incurred in connection with such wind-down activities may exceed our estimates. If the time to complete the wind-down takes longer than expected, or the actual costs or impairment charges exceed our estimates, the Company’s business, operational results, financial position and cash flows could be adversely affected.</w:t>
      </w:r>
    </w:p>
    <w:p>
      <w:pPr>
        <w:spacing w:after="0" w:line="172"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The purpose of the Value Maximization Plan is to wind-down our ecommerce operations, which were not profitable and had significant cash burn, in order to preserve cash and enable us to maximize stakeholder value through our remaining businesses, UACC and CarStory. As of February 29, 2024, we had cash and cash equivalents of approximately $94.0 million. Given our wind-down expenses, including employee severance costs, our ongoing operating expenses and recent losses at UACC, there can be no assurance that we will succeed in growing and enhancing the profitability of UACC and CarStory and create meaningful stakeholder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announced wind-down involves further risks, including:</w:t>
      </w:r>
    </w:p>
    <w:p>
      <w:pPr>
        <w:spacing w:after="0" w:line="103" w:lineRule="exact"/>
        <w:rPr>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retain qualified personnel necessary for the wind-down during the wind-down period;</w:t>
      </w:r>
    </w:p>
    <w:p>
      <w:pPr>
        <w:spacing w:after="0" w:line="115" w:lineRule="exact"/>
        <w:rPr>
          <w:rFonts w:ascii="Times New Roman" w:cs="Times New Roman" w:eastAsia="Times New Roman" w:hAnsi="Times New Roman"/>
          <w:sz w:val="18"/>
          <w:szCs w:val="18"/>
          <w:color w:val="auto"/>
        </w:rPr>
      </w:pPr>
    </w:p>
    <w:p>
      <w:pPr>
        <w:ind w:left="1020" w:right="860" w:hanging="504"/>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disruption of the operations of the rest of our businesses and diversion of management’s attention from such businesses and operations;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exposure to unknown, contingent or other liabilities, including litigation arising in connection with the wind-down;</w:t>
      </w:r>
    </w:p>
    <w:p>
      <w:pPr>
        <w:spacing w:after="0" w:line="115" w:lineRule="exact"/>
        <w:rPr>
          <w:rFonts w:ascii="Times New Roman" w:cs="Times New Roman" w:eastAsia="Times New Roman" w:hAnsi="Times New Roman"/>
          <w:sz w:val="18"/>
          <w:szCs w:val="18"/>
          <w:color w:val="auto"/>
        </w:rPr>
      </w:pPr>
    </w:p>
    <w:p>
      <w:pPr>
        <w:ind w:left="1020" w:right="160" w:hanging="504"/>
        <w:spacing w:after="0" w:line="270"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negative impact on our business relationships, including but not limited to potential relationships with our customers, suppliers, vendors, licensees and employees; and</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unintended negative consequences from changes to our business.</w:t>
      </w:r>
    </w:p>
    <w:p>
      <w:pPr>
        <w:spacing w:after="0" w:line="210" w:lineRule="exact"/>
        <w:rPr>
          <w:sz w:val="20"/>
          <w:szCs w:val="20"/>
          <w:color w:val="auto"/>
        </w:rPr>
      </w:pPr>
    </w:p>
    <w:p>
      <w:pPr>
        <w:ind w:right="60" w:firstLine="749"/>
        <w:spacing w:after="0" w:line="246" w:lineRule="auto"/>
        <w:rPr>
          <w:sz w:val="20"/>
          <w:szCs w:val="20"/>
          <w:color w:val="auto"/>
        </w:rPr>
      </w:pPr>
      <w:r>
        <w:rPr>
          <w:rFonts w:ascii="Arial" w:cs="Arial" w:eastAsia="Arial" w:hAnsi="Arial"/>
          <w:sz w:val="18"/>
          <w:szCs w:val="18"/>
          <w:color w:val="auto"/>
        </w:rPr>
        <w:t>If any of these or other factors impair our ability to successfully implement the wind-down, we may not be able to realize other business opportunities as we may be required to spend additional time and incur additional expense relating to the wind-down that otherwise would be used on the development, expansion and profitability of our other businesses, which could adversely impact our business, operational results, financial position and cash flows.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generate sufficient liquidity to operate our business.</w:t>
      </w:r>
    </w:p>
    <w:p>
      <w:pPr>
        <w:spacing w:after="0" w:line="196" w:lineRule="exact"/>
        <w:rPr>
          <w:sz w:val="20"/>
          <w:szCs w:val="20"/>
          <w:color w:val="auto"/>
        </w:rPr>
      </w:pPr>
    </w:p>
    <w:p>
      <w:pPr>
        <w:ind w:right="260" w:firstLine="749"/>
        <w:spacing w:after="0" w:line="243" w:lineRule="auto"/>
        <w:rPr>
          <w:sz w:val="20"/>
          <w:szCs w:val="20"/>
          <w:color w:val="auto"/>
        </w:rPr>
      </w:pPr>
      <w:r>
        <w:rPr>
          <w:rFonts w:ascii="Arial" w:cs="Arial" w:eastAsia="Arial" w:hAnsi="Arial"/>
          <w:sz w:val="18"/>
          <w:szCs w:val="18"/>
          <w:color w:val="auto"/>
        </w:rPr>
        <w:t>As of February 29, 2024, we had cash and cash equivalents of approximately $94.0 million. We expect to use our cash and cash equivalents to finance our future capital requirements and UACC’s four senior secured warehouse facility agreements (the “Warehouse Credit Facilities”) to fund our finance receivables. Certain advance rates available to UACC on borrowings from the Warehouse Credit Facilities have decreased as a result of the increasing credit losses in UACC's portfolio and overall higher interest rates. Any future decreases on available advance rates may have an adverse impact on our liquidity.</w:t>
      </w:r>
    </w:p>
    <w:p>
      <w:pPr>
        <w:spacing w:after="0" w:line="166"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We cannot assure you that we will generate sufficient revenue to offset the cost of maintaining our remaining operations, including significant accounting, legal, administrative and other costs associated with being a public company, and to service the interest and repay the outstanding Convertible Senior Notes due 2026 (the "Notes") when due. Our revenue growth may be adversely affected by our inability to grow and develop the UACC and CarStory businesses; weakness in the automotive retail industry generally; general economic conditions, including high interest rates and inflation; global pandemics and other public health emergencies; and increasing competition. Our historical revenue growth is not indicative of our future performance, particularly given the wind-down of our ecommerce business. If we are unable to grow and develop the UACC and CarStory businesses and generate sufficient revenue, our business, financial condition and results of operations will be materially and adversely affected. Additionally, our cash needs may increase in the future as we focus on growing and developing the UACC and CarStory businesses.</w:t>
      </w:r>
    </w:p>
    <w:p>
      <w:pPr>
        <w:spacing w:after="0" w:line="168"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In addition to our ongoing cash requirements, our liquidity will also be used to fund costs related to the wind-down of our ecommerce operations, primarily severance and early contract and lease termination payments. Such payments could be significant and have a material effect on our cash flows from operations. Our future capital requirements will depend on many factors, including our available advance rates on the Warehouse Credit Facilities, our ability to complete additional securitization transactions on terms favorable to us, and our future credit losses. We have no significant debt maturities due until July 2026 and the payments on our securitization debt are funded by cashflows on the finance receivables within the securitization trusts. However, there can be no assurance that our liquidity will be sufficient to achieve the objectives of our Value Maximization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achieve or maintain profitability in the future.</w:t>
      </w:r>
    </w:p>
    <w:p>
      <w:pPr>
        <w:spacing w:after="0" w:line="196"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We have not been profitable since our inception in 2012 and had an accumulated deficit of approximately $1,966.2 million as of December 31, 2023. We incurred net losses of $365.5 million and $451.9 million for the years ended December 31, 2023 and 2022, respectively. While the majority of our historic losses related to our ecommerce business, UACC had a loss before provision for income taxes of approximately $41.2 million for the year ended December 31, 2023. We may continue to incur significant losses in the future for a number of reasons, including increased losses on UACC's portfolio, our inability to grow and maximize the value of the UACC and CarStory businesses; weakness in the automotive retail industry generally; general economic conditions, including high interest rates, inflation and unemployment; global pandemics and other public health emergencies; and increasing competition, as well as other risks described in this Annual Report on Form 10-K, and we may encounter unforeseen expenses, difficulties, complications and delays in achieving the goals of our Value Maximization Plan.</w:t>
      </w:r>
    </w:p>
    <w:p>
      <w:pPr>
        <w:spacing w:after="0" w:line="168"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While we have significantly reduced our operating expenses as part of our Value Maximization Plan, we expect to continue incurring operating expenses as we invest in the UACC and CarStory businesses, including investments in technology development for those businesses. In addition, we anticipate continued legal, accounting, administrative and other expenses as a public company. As a result of these expenditures, we will have to generate and sustain revenue sufficient to offset our operating expenses in order to achieve and maintain profitability.</w:t>
      </w:r>
    </w:p>
    <w:p>
      <w:pPr>
        <w:spacing w:after="0" w:line="168"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fulfill our obligations under such indebtedness, to react to changes in our business and to incur additional indebtedness to fund future needs.</w:t>
      </w:r>
    </w:p>
    <w:p>
      <w:pPr>
        <w:spacing w:after="0" w:line="103"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As of December 31, 2023, we had outstanding $151.2 million aggregate principal amount of borrowings under our 2022 Vehicle Floorplan Facility and $290.5 million aggregate principal amount of our Notes. For the year ended December 31, 2023, our interest expense was $19.5 million related to the 2022 Vehicle Floorplan Facility, and $4.3 million related to the Notes. In addition, as of December 31, 2023, UACC had $314.1 million of securitization indebtedness as well as its Warehouse Credit Facilities with banking institutions, with an aggregate borrowing limit of $825.0 million. As of December 31, 2023, there was $421.3 million in outstanding borrowings related to the Warehouse Credit Facilities. In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2023, we repurchased $74.2 million in aggregate principal amount of our Notes, net of deferred issuance costs of $3.7 million, in open market transactions for $ 36.5 million. Subject to market conditions and availability, we may continue to opportunistically repurchase Notes from time to time to reduce our outstanding indebtedness at a discount. However, as we approach the July 2026 maturity date, we may be unable to repay, restructure or refinance the remaining Notes on commercially reasonable terms or at all.</w:t>
      </w:r>
    </w:p>
    <w:p>
      <w:pPr>
        <w:spacing w:after="0" w:line="163"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If our cash flows and capital resources are insufficient to fund our debt service obligations going forward, we may be forced to reduce or delay investments and capital expenditures, or to sell assets, seek additional capital or restructure or refinance our indebtedness. If new debt is added to our current indebtedness level, the related risks that we face could intensify. Our remaining Notes will mature on July 1, 2026, and our ability to service the interest and repay the Notes when due will depend on our ability to generate sufficient cash. Our ability to restructure or refinance our current or future debt, including the Notes, or obtain additional debt financing will depend on the condition of the capital markets and our financial condition at such time, including the execution of our Value Maximization Plan and our ability to grow and enhance the profitability of the UACC and CarStory businesses. Any refinancing of our debt could be at higher interest rates and may require us to comply with more onerous covenants, which could further restrict our business operations.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w:t>
      </w:r>
    </w:p>
    <w:p>
      <w:pPr>
        <w:spacing w:after="0" w:line="17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debt obligations.</w:t>
      </w:r>
    </w:p>
    <w:p>
      <w:pPr>
        <w:spacing w:after="0" w:line="103" w:lineRule="exact"/>
        <w:rPr>
          <w:sz w:val="20"/>
          <w:szCs w:val="20"/>
          <w:color w:val="auto"/>
        </w:rPr>
      </w:pPr>
    </w:p>
    <w:p>
      <w:pPr>
        <w:ind w:right="180" w:firstLine="749"/>
        <w:spacing w:after="0" w:line="243" w:lineRule="auto"/>
        <w:rPr>
          <w:sz w:val="20"/>
          <w:szCs w:val="20"/>
          <w:color w:val="auto"/>
        </w:rPr>
      </w:pPr>
      <w:r>
        <w:rPr>
          <w:rFonts w:ascii="Arial" w:cs="Arial" w:eastAsia="Arial" w:hAnsi="Arial"/>
          <w:sz w:val="18"/>
          <w:szCs w:val="18"/>
          <w:color w:val="auto"/>
        </w:rPr>
        <w:t>As of December 31, 2023, we, including our subsidiaries, had approximately $ 1,199.0 million principal amount of consolidated indebtedness. Of that amount, $151.2 million aggregate principal amount of borrowings under our 2022 Vehicle Floorplan Facility has been paid in full, and $314.1 million of securitization debt is funded by cashflows on receivables within the securitization trusts. Our indebtedness could have significant negative consequences for our security holders and our business, results of operations and financial condition by, among other things:</w:t>
      </w:r>
    </w:p>
    <w:p>
      <w:pPr>
        <w:spacing w:after="0" w:line="71" w:lineRule="exact"/>
        <w:rPr>
          <w:sz w:val="20"/>
          <w:szCs w:val="20"/>
          <w:color w:val="auto"/>
        </w:rPr>
      </w:pPr>
    </w:p>
    <w:p>
      <w:pPr>
        <w:ind w:left="2040" w:hanging="505"/>
        <w:spacing w:after="0"/>
        <w:tabs>
          <w:tab w:leader="none" w:pos="2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increasing our vulnerability to adverse economic and industry conditions;</w:t>
      </w:r>
    </w:p>
    <w:p>
      <w:pPr>
        <w:spacing w:after="0" w:line="115"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ability to obtain additional financing;</w:t>
      </w:r>
    </w:p>
    <w:p>
      <w:pPr>
        <w:spacing w:after="0" w:line="115" w:lineRule="exact"/>
        <w:rPr>
          <w:rFonts w:ascii="Times New Roman" w:cs="Times New Roman" w:eastAsia="Times New Roman" w:hAnsi="Times New Roman"/>
          <w:sz w:val="18"/>
          <w:szCs w:val="18"/>
          <w:color w:val="auto"/>
        </w:rPr>
      </w:pPr>
    </w:p>
    <w:p>
      <w:pPr>
        <w:ind w:left="2040" w:right="60" w:hanging="505"/>
        <w:spacing w:after="0" w:line="252" w:lineRule="auto"/>
        <w:tabs>
          <w:tab w:leader="none" w:pos="2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 including the successful execution of our Value Maximization Plan;</w:t>
      </w:r>
    </w:p>
    <w:p>
      <w:pPr>
        <w:spacing w:after="0" w:line="61"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limiting our flexibility to plan for, or react to, changes in our business;</w:t>
      </w:r>
    </w:p>
    <w:p>
      <w:pPr>
        <w:spacing w:after="0" w:line="115" w:lineRule="exact"/>
        <w:rPr>
          <w:rFonts w:ascii="Times New Roman" w:cs="Times New Roman" w:eastAsia="Times New Roman" w:hAnsi="Times New Roman"/>
          <w:sz w:val="18"/>
          <w:szCs w:val="18"/>
          <w:color w:val="auto"/>
        </w:rPr>
      </w:pPr>
    </w:p>
    <w:p>
      <w:pPr>
        <w:ind w:left="2040" w:right="240" w:hanging="505"/>
        <w:spacing w:after="0" w:line="270" w:lineRule="auto"/>
        <w:tabs>
          <w:tab w:leader="none" w:pos="2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40" w:lineRule="exact"/>
        <w:rPr>
          <w:sz w:val="20"/>
          <w:szCs w:val="20"/>
          <w:color w:val="auto"/>
        </w:rPr>
      </w:pPr>
    </w:p>
    <w:p>
      <w:pPr>
        <w:ind w:right="280" w:firstLine="749"/>
        <w:spacing w:after="0" w:line="246"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or to pay amounts due under our indebtedness, and our cash needs may increase in the future. In addition, our existing indebtedness contains, and any future indebtedness that we may incur may contain, financial and other restrictive covenants that may limit our ability to operate our business, raise capital or make payments under our other indebtedness.</w:t>
      </w:r>
    </w:p>
    <w:p>
      <w:pPr>
        <w:spacing w:after="0" w:line="163"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For example, on December 21, 2023, we received written notice from Nasdaq notifying us that, for the prior 30 consecutive business days, the bid price for our common stock had closed below the $1.00 minimum bid price requirement for continued inclusion on the Nasdaq Global Select Market. On February 13, 2024, after obtaining stockholder approval, we effected a 1-for-80 reverse stock split (the “Reverse Stock Split”), and our stock began trading on a post-split adjusted basis on February 14, 2024. On February 29, 2024, we were notified by Nasdaq Listing Qualifications that the closing bid price of our common stock had been at $ 1.00 per share or greater for 11 consecutive business days, from February 14, 2024 to February 28, 2024. Accordingly, the Company has regained compliance with Nasdaq Listing Rule 5450(a)(1) and this matter is now closed. However, if our common stock again closes below the $1.00 per share minimum bid price required by Nasdaq for 30 consecutive business days, we again would receive another notice of non-compliance with Nasdaq’s listing standards and would face the risk of delisting. There can be no assurance that our common stock will continue to close at or above the $1.00 per share minimum bid price as required by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Nasdaq, or that we will otherwise meet the requirements of Nasdaq for continued listing on Nasdaq Global Select Market. The delisting of our common stock from the Nasdaq Global Select Market would constitute a fundamental change under the terms of our Indenture and make our Notes redeemable at par upon delisting.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6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We recognized an impairment charge related to goodwill and long-lived assets. If our amortizable intangible assets or remaining long-lived assets become impaired in the future, we would incur additional impairment charges, which would negatively affect our operating results.</w:t>
      </w:r>
    </w:p>
    <w:p>
      <w:pPr>
        <w:spacing w:after="0" w:line="145"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Our goodwill was fully impaired as of December 31, 2022. We also recognized impairment charges of $48.7 million related to long-lived assets during the year ended December 31, 2023. If our amortizable intangible assets or remaining long-lived assets become impaired in the future, we would incur additional impairment charges, which would negatively affect our results of operations. There is significant judgment required in the analysis of a potential impairment of identified intangible assets and other long-lived assets. Impairment may result from, among other things, significant changes in the manner of use of the acquired assets, negative industry or economic trends and/or significant underperformance relative to historic or projected operating results. See Notes 7 and 12 to the Company’s Consolidated Financial Statements.</w:t>
      </w:r>
    </w:p>
    <w:p>
      <w:pPr>
        <w:spacing w:after="0" w:line="171" w:lineRule="exact"/>
        <w:rPr>
          <w:sz w:val="20"/>
          <w:szCs w:val="20"/>
          <w:color w:val="auto"/>
        </w:rPr>
      </w:pPr>
    </w:p>
    <w:p>
      <w:pPr>
        <w:ind w:right="920"/>
        <w:spacing w:after="0" w:line="278" w:lineRule="auto"/>
        <w:rPr>
          <w:sz w:val="20"/>
          <w:szCs w:val="20"/>
          <w:color w:val="auto"/>
        </w:rPr>
      </w:pPr>
      <w:r>
        <w:rPr>
          <w:rFonts w:ascii="Arial" w:cs="Arial" w:eastAsia="Arial" w:hAnsi="Arial"/>
          <w:sz w:val="18"/>
          <w:szCs w:val="18"/>
          <w:b w:val="1"/>
          <w:bCs w:val="1"/>
          <w:i w:val="1"/>
          <w:iCs w:val="1"/>
          <w:color w:val="auto"/>
        </w:rPr>
        <w:t>We may experience seasonal and other fluctuations in our quarterly results of operations, which may not fully reflect the underlying performance of our business.</w:t>
      </w:r>
    </w:p>
    <w:p>
      <w:pPr>
        <w:spacing w:after="0" w:line="125"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We expect our quarterly results of operations, including our yield, net spreads, risk-adjusted margins, credit losses and cash flow to vary significantly in the future based in part on vehicle-buying patterns. Vehicle sales historically have exhibited seasonality, with an increase in sales early in the year that reaches its highest point late in the first quarter and early in the second quarter, which then levels off through the rest of the year with the lowest level of sales in the fourth quarter. This seasonality historically corresponds with the timing of income tax refunds, which can provide a primary source of funds for customers’ payments on used vehicle purchases. Used vehicle prices also exhibit seasonality, with used vehicles depreciating at a faster rate in the last two quarters of each year and a slower rate in the first two quarters of each year. Consistent with market trends, UACC generally experiences increased funding activity during the first quarter through tax season. Delinquencies also tend to be lower during the first quarter through tax season and higher during the latter half of the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cause our quarterly results to fluctuate include, without limitation:</w:t>
      </w:r>
    </w:p>
    <w:p>
      <w:pPr>
        <w:spacing w:after="0" w:line="103" w:lineRule="exact"/>
        <w:rPr>
          <w:sz w:val="20"/>
          <w:szCs w:val="20"/>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of our Value Maximization Plan;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liquidity and ability to raise capital through equity or debt financings;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complete securitization transactions on favorable terms;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credit losses;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increases in vehicle prices;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competitive dynamics of our industry;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environment;</w:t>
      </w:r>
    </w:p>
    <w:p>
      <w:pPr>
        <w:spacing w:after="0" w:line="115" w:lineRule="exact"/>
        <w:rPr>
          <w:rFonts w:ascii="Times New Roman" w:cs="Times New Roman" w:eastAsia="Times New Roman" w:hAnsi="Times New Roman"/>
          <w:sz w:val="18"/>
          <w:szCs w:val="18"/>
          <w:color w:val="auto"/>
        </w:rPr>
      </w:pPr>
    </w:p>
    <w:p>
      <w:pPr>
        <w:ind w:left="1020" w:right="300" w:hanging="504"/>
        <w:spacing w:after="0" w:line="270"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macroeconomic conditions, including interest rates, inflation, unemployment and underemployment rates, vehicle supply and demand and labor costs;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changes that impact disposable income, including changes that impact the timing or amount of income tax refunds;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or other claims against us and increased legal and regulatory expenses.</w:t>
      </w:r>
    </w:p>
    <w:p>
      <w:pPr>
        <w:spacing w:after="0" w:line="210" w:lineRule="exact"/>
        <w:rPr>
          <w:sz w:val="20"/>
          <w:szCs w:val="20"/>
          <w:color w:val="auto"/>
        </w:rPr>
      </w:pPr>
    </w:p>
    <w:p>
      <w:pPr>
        <w:ind w:firstLine="749"/>
        <w:spacing w:after="0" w:line="252" w:lineRule="auto"/>
        <w:rPr>
          <w:sz w:val="20"/>
          <w:szCs w:val="20"/>
          <w:color w:val="auto"/>
        </w:rPr>
      </w:pPr>
      <w:r>
        <w:rPr>
          <w:rFonts w:ascii="Arial" w:cs="Arial" w:eastAsia="Arial" w:hAnsi="Arial"/>
          <w:sz w:val="18"/>
          <w:szCs w:val="18"/>
          <w:color w:val="auto"/>
        </w:rPr>
        <w:t>In addition, a significant portion of our expenses are fixed and do not vary proportionately with fluctuations in revenues. As a result of these seasonal fluctuations, our results in any quarter may not be indicative of the results we may achieve in any subsequent quarter or for the full year, and period-to-period comparisons of our results of operations may not be meaningful.</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Operations</w:t>
      </w:r>
    </w:p>
    <w:p>
      <w:pPr>
        <w:spacing w:after="0" w:line="20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The geographic concentration of UACC’s borrowers or dealerships creates an exposure to local and regional downturns or severe weather or catastrophic occurrences that may materially and adversely affect our business, financial condition and results of operations.</w:t>
      </w:r>
    </w:p>
    <w:p>
      <w:pPr>
        <w:spacing w:after="0" w:line="145" w:lineRule="exact"/>
        <w:rPr>
          <w:sz w:val="20"/>
          <w:szCs w:val="20"/>
          <w:color w:val="auto"/>
        </w:rPr>
      </w:pPr>
    </w:p>
    <w:p>
      <w:pPr>
        <w:ind w:right="120" w:firstLine="749"/>
        <w:spacing w:after="0" w:line="239" w:lineRule="auto"/>
        <w:rPr>
          <w:sz w:val="20"/>
          <w:szCs w:val="20"/>
          <w:color w:val="auto"/>
        </w:rPr>
      </w:pPr>
      <w:r>
        <w:rPr>
          <w:rFonts w:ascii="Arial" w:cs="Arial" w:eastAsia="Arial" w:hAnsi="Arial"/>
          <w:sz w:val="18"/>
          <w:szCs w:val="18"/>
          <w:color w:val="auto"/>
        </w:rPr>
        <w:t xml:space="preserve">Changes in demographics and population, local and regional downturns or severe weather conditions and other catastrophic occurrences in any of the states where UACC has a high concentration of borrowers or dealership partners could result in payment delays and increased risk of losses and could materially and adversely affect our revenues and results of operations. During the year ended December 31, 2023, </w:t>
      </w:r>
      <w:r>
        <w:rPr>
          <w:rFonts w:ascii="Arial" w:cs="Arial" w:eastAsia="Arial" w:hAnsi="Arial"/>
          <w:sz w:val="18"/>
          <w:szCs w:val="18"/>
          <w:color w:val="222222"/>
        </w:rPr>
        <w:t>36.9%</w:t>
      </w:r>
      <w:r>
        <w:rPr>
          <w:rFonts w:ascii="Arial" w:cs="Arial" w:eastAsia="Arial" w:hAnsi="Arial"/>
          <w:sz w:val="18"/>
          <w:szCs w:val="18"/>
          <w:color w:val="auto"/>
        </w:rPr>
        <w:t xml:space="preserve"> of UACC's originations were located in UACC's three largest states (measured by aggregate financed amount). While we believe that we have a diverse geographic presence, we expect that these three states will continue to generate significant amounts of our loans due to economic, demographic, regulatory, competitive and other conditions in these states. Adverse developments in these states could lead to reduced demand for automotive financing, and could materially adversely affect our financial condition and results of operations.</w:t>
      </w:r>
    </w:p>
    <w:p>
      <w:pPr>
        <w:spacing w:after="0" w:line="173"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integrate and attract qualified personnel, our ability to develop and successfully grow our business could be harmed.</w:t>
      </w:r>
    </w:p>
    <w:p>
      <w:pPr>
        <w:spacing w:after="0" w:line="125"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In particular, we are highly dependent on the services of our leadership team to the development of our business, future vision, and strategic direction, including as we realign our business in accordance with the Value Maximization Plan. On February 29, 2024, James G. Vagim, III, UACC's Co-President and Chief Executive Officer, and Ravi Gandhi, UACC's Co-President and Chief Financial Officer stepped down. The Company's Chief Executive Officer, Tom Shortt succeeded Mr. Vagim as President and Chief Executive Officer, and the Company's Vice President of Investor Relations and Financial Planning &amp; Analysis, Jon Sandison, succeeded Mr. Gandhi as UACC's Chief Financial Officer. Our future performance will depend, in part, on the successful transition of these positions. We heavily rely on the continued service and performance of our senior management team, which provides leadership, contributes to the core areas of our business and helps us to efficiently execute our business, including with respect to strategic initiatives such as our Value Maximization Plan. If members of our senior management team, including our executive leadership, become ill, or if we are otherwise unable to retain them, we may not be able to manage our business effectively and, as a result, our business and operating results could be harmed. If the senior management team, including any new hires that we make, fails to work together effectively and to execute our plans and strategies on a timely basis then our business and future growth prospects could be harmed.</w:t>
      </w:r>
    </w:p>
    <w:p>
      <w:pPr>
        <w:spacing w:after="0" w:line="170" w:lineRule="exact"/>
        <w:rPr>
          <w:sz w:val="20"/>
          <w:szCs w:val="20"/>
          <w:color w:val="auto"/>
        </w:rPr>
      </w:pPr>
    </w:p>
    <w:p>
      <w:pPr>
        <w:ind w:right="60" w:firstLine="749"/>
        <w:spacing w:after="0" w:line="238" w:lineRule="auto"/>
        <w:rPr>
          <w:sz w:val="20"/>
          <w:szCs w:val="20"/>
          <w:color w:val="auto"/>
        </w:rPr>
      </w:pPr>
      <w:r>
        <w:rPr>
          <w:rFonts w:ascii="Arial" w:cs="Arial" w:eastAsia="Arial" w:hAnsi="Arial"/>
          <w:sz w:val="18"/>
          <w:szCs w:val="18"/>
          <w:color w:val="auto"/>
        </w:rPr>
        <w:t>In addition, we issue equity awards to certain of our employees as part of our hiring and retention efforts, and job candidates and existing employees often consider the value of the equity awards they receive in connection with their employment. Our employees’ ability to sell their shares in the public market at times and/or at prices desired may lead to a larger than normal turnover rate. The market value of our common stock has declined significantly. If the actual or perceived value of our common stock does not recover, or if our common stock is delisted from the Nasdaq Global Select Market, it may adversely affect our ability to hire or retain employees. See “We may be unable to satisfy a continued listing rule from the Nasdaq”. In addition, we may periodically change our equity compensation practices, which may include reducing the number of employees eligible for equity awards or reducing the size or value of equity awards granted per employee or undertaking other efforts that may prove to be an unsuccessful retention mechanism. If we are unable to attract, integrate, or retain the qualified and highly skilled personnel required to fulfill our current or future needs, our business and future growth prospects could be harmed.</w:t>
      </w:r>
    </w:p>
    <w:p>
      <w:pPr>
        <w:spacing w:after="0" w:line="172"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Furthermore, in light of the reduction in headcount as part of our Value Maximization Plan, we may find it difficult to maintain valuable aspects of our culture,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particularly in light of the discontinuance of our ecommerce business and wind-down of our used vehicle dealership business. If we do not succeed in retaining and motivating existing employees or attracting well-qualified employees in the future, our business, financial condition and results of operations could be materially and adversely affected.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i w:val="1"/>
          <w:iCs w:val="1"/>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145"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 civil or criminal investigations and proceedings or by other entities.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For example, a consolidated class action is pending in the U.S. District Court for the Southern District of New York asserting claims on behalf of a putative class of Company stockholders against us, certain of our officers, and certain of our directors, among others, alleging violations of the federal securities laws. We also are a party to certain stockholder derivative suits in which the Company is named as a nominal defendant in suits that various individual stockholders seek to bring on behalf of the Company against certain of our current and former directors and officers. These suits are pending in the U.S. District Court for the Southern District of New York and the U.S. District Court for the District of Delaware and are based on the same general course of conduct alleged in the consolidated securities class action. We believe these lawsuits are without merit and intend to vigorously contest these claims.</w:t>
      </w:r>
    </w:p>
    <w:p>
      <w:pPr>
        <w:spacing w:after="0" w:line="172"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222222"/>
        </w:rPr>
        <w:t>In January 2022, the Company received a non-public civil investigative demand from the Federal Trade Commission (“FTC”),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 702. The FTC advised the Company that it is authorized to negotiate a stipulated order and the Company intends to work cooperatively with the FTC towards a resolution. Because the matter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68"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In addition, in April 2022, the Attorney General of Texas filed a lawsuit on behalf of the State of Texas in the District Court of Travis County, Texas against the Company, alleging violation of the Texas Deceptive Trade Practices − Consumer Protection Act and Texas Business and Commerce Code § 17.41 et seq. In December 2023, Vroom, Inc., Vroom Automotive, LLC and the Attorney General of the State of Texas reached a final agreement to resolve all claims in the petition, without any admission of wrongdoing by either Vroom entity. Under the agreement, the Company will pay a total of $2 million in civil penalties and $1 million in attorneys' fees, with the first half due in September 2024 and the remaining half due in September 2025, and abide permanently by an injunction of certain operational practices that were previously implemented. The agreement was approved by the District Court of Travis County on December 13, 2023. See Part I, Item 3. “Legal Proceedings” for more information about these matters and the other legal proceedings to which we are subject.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the UACC Business</w:t>
      </w:r>
    </w:p>
    <w:p>
      <w:pPr>
        <w:spacing w:after="0" w:line="200"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UACC may be unable to sell automotive finance receivables and generate gains on sales of those finance receivables, which could harm our business, results of operations, and financial condition.</w:t>
      </w:r>
    </w:p>
    <w:p>
      <w:pPr>
        <w:spacing w:after="0" w:line="125"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UACC provides indirect financing by drawing on its Warehouse Credit Facilities to purchase retail installment sales contracts and pledging eligible finance receivables as collateral, then typically selling the receivables related to the retail installment sales contracts.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 In addition, UACC has entered into arrangements to sell automotive finance receivables that it purchases, through securitizations, and we expect UACC to enter into additional securitizations in the future, subject to market conditions. If UACC is not able to sell receivables under these current or future arrangements for a variety of reasons, including increased credit losses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because it has reached its capacity under the arrangements, its financing partners exercise termination rights before it reaches capacity, general economic or credit market conditions, market disruption or it reaches the scheduled expiration date of the commitment, and it is not able to enter into new arrangements on similar terms, it may not have adequate liquidity and our business, financial condition and results of operations may be adversely affected. For example, as a result of market conditions at the time, which led to unfavorable pricing, we retained the non-investment grade securities and residual interests in UACC's 2023-1 securitization, requiring that the transaction remain on balance sheet pending the sale of the additional retained interests. Although we subsequently sold the non-investment grade securities, we continue to hold the residual interests. There can be no assurance that these residual interests will be sold and off-balance sheet treatment will be achieved in the future for this transaction. Furthermore, if we are unable to sell the residual interests, we could be subject to credit risk and be forced to incur unexpected asset write-offs and bad-debt expense. In addition, as a result of high interest rates, the current inflationary environment and vehicle depreciation in the used automotive industry, UACC has been experiencing higher loss severity. Due to the increased loss severity, UACC elected to waive monthly servicing fees related to the 2022-2 securitization transaction in the first quarter of 2023. The waiver of monthly servicing fees related to the 2022-2 securitization transaction resulted in consolidation of the related finance receivables and securitization debt on our financial statements. Waiver of monthly servicing fees also results in reduced servicing income. Any future waivers of monthly servicing fees on other prior off-balance sheet securitization transactions could result in consolidation of such transactions. Such future consolidations could increase our indebtedness and may have a material adverse effect on our results of operations, financial condition and liquidity.</w:t>
      </w:r>
    </w:p>
    <w:p>
      <w:pPr>
        <w:spacing w:after="0" w:line="170"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UACC's securitizations may expose it to financing and other risks, and there can be no assurance that it will be able to access the securitization market in the future, which may require it to seek more costly financing.</w:t>
      </w:r>
    </w:p>
    <w:p>
      <w:pPr>
        <w:spacing w:after="0" w:line="125"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UACC has securitized, and we expect will in the future securitize, certain of its automotive finance receivables to generate cash. In such transactions, it conveys a pool of automotive finance receivables to a special purpose vehicle, typically a trust that, in turn, issues certain securities. The securities issued by the special purpose vehicle are collateralized by the pool of automotive finance receivables. In exchange for the transfer of finance receivables to the special purpose vehicle, UACC receives the cash proceeds from the sale of the securities.</w:t>
      </w:r>
    </w:p>
    <w:p>
      <w:pPr>
        <w:spacing w:after="0" w:line="166" w:lineRule="exact"/>
        <w:rPr>
          <w:sz w:val="20"/>
          <w:szCs w:val="20"/>
          <w:color w:val="auto"/>
        </w:rPr>
      </w:pPr>
    </w:p>
    <w:p>
      <w:pPr>
        <w:ind w:right="60" w:firstLine="749"/>
        <w:spacing w:after="0" w:line="237" w:lineRule="auto"/>
        <w:rPr>
          <w:sz w:val="20"/>
          <w:szCs w:val="20"/>
          <w:color w:val="auto"/>
        </w:rPr>
      </w:pPr>
      <w:r>
        <w:rPr>
          <w:rFonts w:ascii="Arial" w:cs="Arial" w:eastAsia="Arial" w:hAnsi="Arial"/>
          <w:sz w:val="18"/>
          <w:szCs w:val="18"/>
          <w:color w:val="auto"/>
        </w:rPr>
        <w:t>There can be no assurance that UACC will be able to complete additional securitizations in the future, particularly if the securitization markets become constrained. In addition, the value of any securities that UACC may retain in its securitizations, including securities retained to comply with applicable risk retention rules, might be reduced or, in some cases, eliminated as a result of an adverse change in economic conditions, the financial markets or credit performance. For example, o</w:t>
      </w:r>
      <w:r>
        <w:rPr>
          <w:rFonts w:ascii="Arial" w:cs="Arial" w:eastAsia="Arial" w:hAnsi="Arial"/>
          <w:sz w:val="18"/>
          <w:szCs w:val="18"/>
          <w:color w:val="222222"/>
        </w:rPr>
        <w:t>n March 1, 2024, 2023, UACC's BB-rated</w:t>
      </w:r>
      <w:r>
        <w:rPr>
          <w:rFonts w:ascii="Arial" w:cs="Arial" w:eastAsia="Arial" w:hAnsi="Arial"/>
          <w:sz w:val="18"/>
          <w:szCs w:val="18"/>
          <w:color w:val="auto"/>
        </w:rPr>
        <w:t xml:space="preserve"> </w:t>
      </w:r>
      <w:r>
        <w:rPr>
          <w:rFonts w:ascii="Arial" w:cs="Arial" w:eastAsia="Arial" w:hAnsi="Arial"/>
          <w:sz w:val="18"/>
          <w:szCs w:val="18"/>
          <w:color w:val="222222"/>
        </w:rPr>
        <w:t xml:space="preserve">securities from the 2022-2 securitization transaction were downgraded by one ratings agency to a CCC rating. UACC's other rated securities may also be downgraded or put on negative credit watch. </w:t>
      </w:r>
      <w:r>
        <w:rPr>
          <w:rFonts w:ascii="Arial" w:cs="Arial" w:eastAsia="Arial" w:hAnsi="Arial"/>
          <w:sz w:val="18"/>
          <w:szCs w:val="18"/>
          <w:color w:val="000000"/>
        </w:rPr>
        <w:t>Furthermore, although our intent is to sell receivables originated by UACC using</w:t>
      </w:r>
      <w:r>
        <w:rPr>
          <w:rFonts w:ascii="Arial" w:cs="Arial" w:eastAsia="Arial" w:hAnsi="Arial"/>
          <w:sz w:val="18"/>
          <w:szCs w:val="18"/>
          <w:color w:val="222222"/>
        </w:rPr>
        <w:t xml:space="preserve"> </w:t>
      </w:r>
      <w:r>
        <w:rPr>
          <w:rFonts w:ascii="Arial" w:cs="Arial" w:eastAsia="Arial" w:hAnsi="Arial"/>
          <w:sz w:val="18"/>
          <w:szCs w:val="18"/>
          <w:color w:val="000000"/>
        </w:rPr>
        <w:t>off-balance sheet securitization transactions, even if UACC is able to complete its securitizations, those securitizations may not qualify for sales accounting if market conditions do not allow for the sale of lower-rated securities or residual certificates. In addition, as a result of higher interest rates, the current inflationary environment and vehicle depreciation in the used automotive industry, UACC is experiencing higher portfolio losses. The increased losses could lead to reduced servicing income if UACC elects to waive monthly servicing fees going forward as it did in the first quarter of 2023 on the 2022-2 securitization transaction. The waiver of monthly servicing fees on the 2022-2 securitization transaction resulted in consolidation of the related finance receivables and securitization debt on Vroom’s financial statements. If it is not possible or economical for UACC to securitize its automotive finance receivables in the future, it would need to seek alternative financing to support its operations and to meet its existing debt obligations, which may be less efficient and more expensive than raising capital via securitizations and may have a material adverse effect on our results of operations, financial condition, and liquidity.</w:t>
      </w:r>
    </w:p>
    <w:p>
      <w:pPr>
        <w:spacing w:after="0" w:line="172" w:lineRule="exact"/>
        <w:rPr>
          <w:sz w:val="20"/>
          <w:szCs w:val="20"/>
          <w:color w:val="auto"/>
        </w:rPr>
      </w:pPr>
    </w:p>
    <w:p>
      <w:pPr>
        <w:jc w:val="both"/>
        <w:ind w:right="620"/>
        <w:spacing w:after="0" w:line="256" w:lineRule="auto"/>
        <w:rPr>
          <w:sz w:val="20"/>
          <w:szCs w:val="20"/>
          <w:color w:val="auto"/>
        </w:rPr>
      </w:pPr>
      <w:r>
        <w:rPr>
          <w:rFonts w:ascii="Arial" w:cs="Arial" w:eastAsia="Arial" w:hAnsi="Arial"/>
          <w:sz w:val="18"/>
          <w:szCs w:val="18"/>
          <w:b w:val="1"/>
          <w:bCs w:val="1"/>
          <w:i w:val="1"/>
          <w:iCs w:val="1"/>
          <w:color w:val="auto"/>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may negatively impact our operating results.</w:t>
      </w:r>
    </w:p>
    <w:p>
      <w:pPr>
        <w:spacing w:after="0" w:line="145"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UACC specializes in the purchase and servicing of contracts to finance vehicle purchases primarily by non-prime customers, including those who have limited credit history, past credit problems, or low income. Such contracts generally have a higher risk of non-performance, and may result in higher delinquencies and higher losses than contracts with customers who have higher credit ratings. UACC is currently experiencing increasing credit losses on its finance receivables, which has negatively impacted the fair value of our financial receivables and increased the losses recognized during 2022 and 2023. Increasing credit losses negatively impacted our business during 2023 and we expect these credit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losses to continue to negatively impact our business during 2024. Due to the wind-down of our ecommerce business, UACC has become our largest business and our results of operations and financial condition are increasingly vulnerable to adverse developments in UACC's business.</w:t>
      </w:r>
    </w:p>
    <w:p>
      <w:pPr>
        <w:spacing w:after="0" w:line="157" w:lineRule="exact"/>
        <w:rPr>
          <w:sz w:val="20"/>
          <w:szCs w:val="20"/>
          <w:color w:val="auto"/>
        </w:rPr>
      </w:pPr>
    </w:p>
    <w:p>
      <w:pPr>
        <w:ind w:firstLine="749"/>
        <w:spacing w:after="0" w:line="237" w:lineRule="auto"/>
        <w:rPr>
          <w:sz w:val="20"/>
          <w:szCs w:val="20"/>
          <w:color w:val="auto"/>
        </w:rPr>
      </w:pPr>
      <w:r>
        <w:rPr>
          <w:rFonts w:ascii="Arial" w:cs="Arial" w:eastAsia="Arial" w:hAnsi="Arial"/>
          <w:sz w:val="18"/>
          <w:szCs w:val="18"/>
          <w:color w:val="auto"/>
        </w:rPr>
        <w:t>Until UACC sells automotive finance receivables, and to the extent it retains interests in those receivables after it sells them, whether pursuant to securitization transactions or otherwise, UACC is exposed to the risk that certain customers will be unable or unwilling to repay their retail installment sales contracts according to their terms and that the vehicle collateral securing the payment of those retail installment sales contracts may not be sufficient to ensure full repayment. Additionally, higher energy prices (including the price of gasoline) and other consumer prices, unstable real estate values, reset of adjustable-rate mortgages to higher interest rates, geopolitical tensions (including outbreaks of military hostilities such as the ongoing geopolitical conflicts and war in Europe and the Middle East), interest rate increases, regional bank failures, inflation and other factors can affect consumer confidence and disposable income. While credit losses are inherent in the automotive finance receivables market, these conditions can increase loss frequency and severity, decrease consumer demand for motor vehicles and weaken collateral values on certain types of motor vehicles in any period of extended economic slowdown or recession and could have a material adverse effect on our results of operations and financial condition. Because UACC focuses predominately on non-prime borrowers, the actual rates of delinquencies, defaults, repossessions and losses on its receivables are higher and more volatile than those experienced in the general motor vehicle finance industry and may be adversely affected to a greater extent during an economic downturn. In addition, caps on interest rates by individual states may limit UACC's ability to offset rising interest rates against automotive financing rates it offers to dealers.</w:t>
      </w:r>
    </w:p>
    <w:p>
      <w:pPr>
        <w:spacing w:after="0" w:line="172"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UACC makes various assumptions and judgments about the automotive finance receivables it originates or purchases and may establish a valuation allowance and value beneficial ownership interests based on a number of factors. Although management may establish a valuation allowance and value beneficial ownership interests based on analysis it believes is appropriate, this may not be adequate, particularly in periods of increased industry-wide vehicle depreciation rates, which we are currently experiencing. For example, if economic conditions were to deteriorate unexpectedly, additional credit losses not incorporated in the existing valuation may occur. Several variables have affected UACC’s recent loss and delinquency rates, including general economic conditions and market interest rates, and such variables are likely to differ in the future. In particular, given the impact the COVID-19 pandemic had on the economy and individuals, including the associated stimulus programs, historical loss and delinquency expectations may not accurately predict the performance of UACC's receivables and impact its ability to effectively forecast loss rates. Losses in excess of expectations could have a material adverse effect on our results of operations and financial condition. Further, the rate of prepayments cannot be predicted and may be influenced by a variety of factors, including changes in the economic and social conditions of our borrowers.</w:t>
      </w:r>
    </w:p>
    <w:p>
      <w:pPr>
        <w:spacing w:after="0" w:line="169" w:lineRule="exact"/>
        <w:rPr>
          <w:sz w:val="20"/>
          <w:szCs w:val="20"/>
          <w:color w:val="auto"/>
        </w:rPr>
      </w:pPr>
    </w:p>
    <w:p>
      <w:pPr>
        <w:ind w:right="100" w:firstLine="749"/>
        <w:spacing w:after="0" w:line="258" w:lineRule="auto"/>
        <w:rPr>
          <w:sz w:val="20"/>
          <w:szCs w:val="20"/>
          <w:color w:val="auto"/>
        </w:rPr>
      </w:pPr>
      <w:r>
        <w:rPr>
          <w:rFonts w:ascii="Arial" w:cs="Arial" w:eastAsia="Arial" w:hAnsi="Arial"/>
          <w:sz w:val="17"/>
          <w:szCs w:val="17"/>
          <w:color w:val="auto"/>
        </w:rPr>
        <w:t>UACC relies on its internally developed credit scoring systems to forecast loss rates of the automotive finance receivables it originates or purchases. If it relies on systems that fail to effectively forecast loss rates on receivables it originates or purchases, those receivables may suffer higher losses than expected. UACC’s credit scoring systems were developed prior to the onset of the COVID-19 pandemic and, accordingly, were not designed to take into account the effect of the economic, financial and social disruptions resulting from the pandemic, including the associated stimulus programs. Additionally, as noted above, we believe that the impact of the pandemic on the economy and individuals led to loss and delinquency expectations that may not accurately predict the performance of UACC's receivables.</w:t>
      </w:r>
    </w:p>
    <w:p>
      <w:pPr>
        <w:spacing w:after="0" w:line="155"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UACC generally seeks to sell these receivables through securitization transactions. If the receivables it sells experience higher loss rates than forecasted, it may be unable to sell those receivables or may obtain less favorable pricing on the receivables it sells in the future and suffer reputational harm in the marketplace for the receivables it sells and its results of operations and financial condition may be adversely affected. If UACC holds receivables that it originates on its balance sheet until it sells them in securitization transactions or, in the future, through loan sales to its financing partners or other arrangements, then to the extent those receivables fail to perform during its holding period, they may become ineligible for sale.</w:t>
      </w:r>
    </w:p>
    <w:p>
      <w:pPr>
        <w:spacing w:after="0" w:line="171" w:lineRule="exact"/>
        <w:rPr>
          <w:sz w:val="20"/>
          <w:szCs w:val="20"/>
          <w:color w:val="auto"/>
        </w:rPr>
      </w:pPr>
    </w:p>
    <w:p>
      <w:pPr>
        <w:ind w:right="840"/>
        <w:spacing w:after="0" w:line="278" w:lineRule="auto"/>
        <w:rPr>
          <w:sz w:val="20"/>
          <w:szCs w:val="20"/>
          <w:color w:val="auto"/>
        </w:rPr>
      </w:pPr>
      <w:r>
        <w:rPr>
          <w:rFonts w:ascii="Arial" w:cs="Arial" w:eastAsia="Arial" w:hAnsi="Arial"/>
          <w:sz w:val="18"/>
          <w:szCs w:val="18"/>
          <w:b w:val="1"/>
          <w:bCs w:val="1"/>
          <w:i w:val="1"/>
          <w:iCs w:val="1"/>
          <w:color w:val="auto"/>
        </w:rPr>
        <w:t>If UACC’s dealers do not submit a sufficient number of suitable automobile contracts to UACC for purchase, its results of operations may be impaired.</w:t>
      </w:r>
    </w:p>
    <w:p>
      <w:pPr>
        <w:spacing w:after="0" w:line="125" w:lineRule="exact"/>
        <w:rPr>
          <w:sz w:val="20"/>
          <w:szCs w:val="20"/>
          <w:color w:val="auto"/>
        </w:rPr>
      </w:pPr>
    </w:p>
    <w:p>
      <w:pPr>
        <w:ind w:right="340" w:firstLine="749"/>
        <w:spacing w:after="0" w:line="246" w:lineRule="auto"/>
        <w:rPr>
          <w:sz w:val="20"/>
          <w:szCs w:val="20"/>
          <w:color w:val="auto"/>
        </w:rPr>
      </w:pPr>
      <w:r>
        <w:rPr>
          <w:rFonts w:ascii="Arial" w:cs="Arial" w:eastAsia="Arial" w:hAnsi="Arial"/>
          <w:sz w:val="18"/>
          <w:szCs w:val="18"/>
          <w:color w:val="auto"/>
        </w:rPr>
        <w:t>UACC is dependent upon establishing and maintaining relationships with a large number of manufacturer-franchised and independent motor vehicle dealers to supply it with automobile contracts. During the years ended December 31, 2020 through 2023, no single dealer accounted for 1% or more of the automobile contracts UACC purchased, other than Vroom, through our former ecommerce business, which accounted for approximately 22% of</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UACC's automobile contracts in 2023. The agreements UACC has with dealers to purchase automobile contracts do not require dealers to submit a minimum number of automobile contracts for purchase. The failure of dealers to submit automobile contracts that meet UACC’s underwriting criteria could result in reductions in its revenues or the cash flows available to it, and, therefore, could have an adverse effect on UACC's and our results of operations.</w:t>
      </w:r>
    </w:p>
    <w:p>
      <w:pPr>
        <w:spacing w:after="0" w:line="163" w:lineRule="exact"/>
        <w:rPr>
          <w:sz w:val="20"/>
          <w:szCs w:val="20"/>
          <w:color w:val="auto"/>
        </w:rPr>
      </w:pPr>
    </w:p>
    <w:p>
      <w:pPr>
        <w:ind w:right="420" w:firstLine="749"/>
        <w:spacing w:after="0" w:line="246" w:lineRule="auto"/>
        <w:rPr>
          <w:sz w:val="20"/>
          <w:szCs w:val="20"/>
          <w:color w:val="auto"/>
        </w:rPr>
      </w:pPr>
      <w:r>
        <w:rPr>
          <w:rFonts w:ascii="Arial" w:cs="Arial" w:eastAsia="Arial" w:hAnsi="Arial"/>
          <w:sz w:val="18"/>
          <w:szCs w:val="18"/>
          <w:color w:val="auto"/>
        </w:rPr>
        <w:t>As of December 31, 2023, automobile contracts originated from Vroom customers or purchased from Vroom represented approximately 30% of UACC's total serviced loan portfolio. If UACC is unable to replace the volume of automobile contracts it previously received from Vroom's ecommerce business, our business, financial condition, and results of operations could be materially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UACC loses servicing rights on its automobile contracts, our results of operations would be impaired.</w:t>
      </w:r>
    </w:p>
    <w:p>
      <w:pPr>
        <w:spacing w:after="0" w:line="196" w:lineRule="exact"/>
        <w:rPr>
          <w:sz w:val="20"/>
          <w:szCs w:val="20"/>
          <w:color w:val="auto"/>
        </w:rPr>
      </w:pPr>
    </w:p>
    <w:p>
      <w:pPr>
        <w:ind w:right="600" w:firstLine="749"/>
        <w:spacing w:after="0" w:line="252" w:lineRule="auto"/>
        <w:rPr>
          <w:sz w:val="20"/>
          <w:szCs w:val="20"/>
          <w:color w:val="auto"/>
        </w:rPr>
      </w:pPr>
      <w:r>
        <w:rPr>
          <w:rFonts w:ascii="Arial" w:cs="Arial" w:eastAsia="Arial" w:hAnsi="Arial"/>
          <w:sz w:val="18"/>
          <w:szCs w:val="18"/>
          <w:color w:val="auto"/>
        </w:rPr>
        <w:t>UACC is entitled to receive servicing fees only when it acts as servicer under the applicable sale and servicing agreements governing its Warehouse Credit Facilities and securitizations. Under such agreements, UACC may be terminated as servicer upon the occurrence of certain events, including:</w:t>
      </w:r>
    </w:p>
    <w:p>
      <w:pPr>
        <w:spacing w:after="0" w:line="63" w:lineRule="exact"/>
        <w:rPr>
          <w:sz w:val="20"/>
          <w:szCs w:val="20"/>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its failure to observe and perform its duties and responsibilities and comply with other covenants;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certain bankruptcy events;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occurrence of certain events of default under the documents governing the facilities.</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loss of servicing rights could materially and adversely affect our results of operations, financial condition and cash flows.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retention rules may limit UACC’s liquidity and increase UACC’s capital requirements.</w:t>
      </w:r>
    </w:p>
    <w:p>
      <w:pPr>
        <w:spacing w:after="0" w:line="19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Securitizations of automobile receivables are subject to risk retention rules under Federal law, which generally require that sponsors of asset-backed securities (ABS), such as UACC, retain no less than five percent of the credit risk of the assets collateralizing the ABS issuance. The rules also set forth prohibitions on transferring or hedging the credit risk that the sponsor is required to retain. Because the rules place an upper limit on the degree to which UACC may use financial leverage, its securitization structures may require more capital, or may release less cash, than might be the case in the absence of such rules.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may be unable to continue to access or renew funding sources and obtain capital needed to maintain and grow its business.</w:t>
      </w:r>
    </w:p>
    <w:p>
      <w:pPr>
        <w:spacing w:after="0" w:line="27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UACC uses debt financing to maintain and grow its business. It currently utilizes its Warehouse Credit Facilities and securitizations to fund its liquidity needs. We cannot guarantee that the Warehouse Credit Facilities will continue to be available beyond their current maturity dates, on acceptable terms, or at all, or that UACC will be able to obtain additional financing on acceptable terms or at all. The availability of additional financing will depend on a variety of factors such as market conditions, the general availability of credit, the losses incurred in UACC's loan portfolio, UACC’s financial position, its results of operations, and the capacity for additional borrowing under its existing financing arrangements. If UACC’s various financing alternatives were to become limited or unavailable, it may be unable to maintain or grow loan volume at the level that we anticipate and our financial condition and results of operations could be materially adversely affected.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Cybersecurity and Privacy</w:t>
      </w:r>
    </w:p>
    <w:p>
      <w:pPr>
        <w:spacing w:after="0" w:line="200" w:lineRule="exact"/>
        <w:rPr>
          <w:sz w:val="20"/>
          <w:szCs w:val="20"/>
          <w:color w:val="auto"/>
        </w:rPr>
      </w:pPr>
    </w:p>
    <w:p>
      <w:pPr>
        <w:ind w:right="560"/>
        <w:spacing w:after="0" w:line="278" w:lineRule="auto"/>
        <w:rPr>
          <w:sz w:val="20"/>
          <w:szCs w:val="20"/>
          <w:color w:val="auto"/>
        </w:rPr>
      </w:pPr>
      <w:r>
        <w:rPr>
          <w:rFonts w:ascii="Arial" w:cs="Arial" w:eastAsia="Arial" w:hAnsi="Arial"/>
          <w:sz w:val="18"/>
          <w:szCs w:val="18"/>
          <w:b w:val="1"/>
          <w:bCs w:val="1"/>
          <w:i w:val="1"/>
          <w:iCs w:val="1"/>
          <w:color w:val="auto"/>
        </w:rPr>
        <w:t>An actual or perceived failure to maintain the security of personal information and other customer data that we collect, store, process, and use could harm our business, financial condition and results of operations.</w:t>
      </w:r>
    </w:p>
    <w:p>
      <w:pPr>
        <w:spacing w:after="0" w:line="125"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We and certain of our third-party providers collect, maintain and process data about current and prospective customers, employees, business partners and others, including personally identifiable information, as well as proprietary information belonging to our business such as trade secrets (collectively, "Confidential Information"). We rely on computer systems, hardware, software, technology infrastructure and online sites and networks for both internal and external operations that are critical to our business (collectively, "IT Systems"). We own and manage some of these IT Systems but also rely on third parties that are not directly under our control to manage certain areas of these operations. For example, we rely on encryption, storage, and processing technology developed by third parties to securely transmit, operate on and store such information. Successful cyberattacks that disrupt or result in unauthorized access to third party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IT Systems can materially impact our operation and financial results. Due to the volume and sensitivity of the personal information and data we and these third parties manage and expect to manage in the future, as well as the nature of our customer base, the security features of our information systems are critical. Any failure or perceived failure by us or by third parties who access our IT Systems and/or Confidential Information to maintain the security of personal and other data that is provided to us by customers, employees and vendors could harm our reputation and brand and expose us to a risk of loss or litigation and possible liability, any of which could adversely affect our business, financial condition, and results of operations. While we employ a number of security measures designed to protect the security of our IT Systems and Confidential Information, there can be no assurance that our cybersecurity risk management program and processes, including our policies, controls or procedures, and of third parties we rely on will be fully implemented, complied with our effective in protecting our IT Systems and Confidential Information.</w:t>
      </w:r>
    </w:p>
    <w:p>
      <w:pPr>
        <w:spacing w:after="0" w:line="168" w:lineRule="exact"/>
        <w:rPr>
          <w:sz w:val="20"/>
          <w:szCs w:val="20"/>
          <w:color w:val="auto"/>
        </w:rPr>
      </w:pPr>
    </w:p>
    <w:p>
      <w:pPr>
        <w:ind w:right="40" w:firstLine="749"/>
        <w:spacing w:after="0" w:line="252" w:lineRule="auto"/>
        <w:rPr>
          <w:sz w:val="20"/>
          <w:szCs w:val="20"/>
          <w:color w:val="auto"/>
        </w:rPr>
      </w:pPr>
      <w:r>
        <w:rPr>
          <w:rFonts w:ascii="Arial" w:cs="Arial" w:eastAsia="Arial" w:hAnsi="Arial"/>
          <w:sz w:val="17"/>
          <w:szCs w:val="17"/>
          <w:color w:val="auto"/>
        </w:rPr>
        <w:t>Additionally, concerns about our practices with regard to the collection, use or disclosure of personal information or other privacy-related matters, even if unfounded, could harm our business, financial condition and results of operations. We are subject to numerous federal, state and local laws, regulations and industry standards regarding privacy, cybersecurity and the collection, use, disclosure and other processing of personal information and other data. The scope and interpretation of these laws continue to evolve and may be inconsistent across jurisdictions. New laws also may be enacted. See "Failure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 Further, we are subject to contractual requirements and others’ privacy policies that govern how we use and protect personal information and other data. These obligations may be interpreted and applied inconsistently and may conflict with other rules or our practices. Any failure or perceived failure by us to comply with our privacy policies or obligations may result in governmental enforcement actions, litigation or negative publicity that could have an adverse effect on our business. If our third-party service providers violate applicable laws, contractual obligations or our policies, then such violations also may put consumer, employee and vendor information at risk and could, in turn, harm our reputation, business and operating results.</w:t>
      </w:r>
    </w:p>
    <w:p>
      <w:pPr>
        <w:spacing w:after="0" w:line="16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spacing w:after="0" w:line="145"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Threat actors are increasingly sophisticated and can operate large-scale complex automated attacks. Similar to most IT systems and companies, we face a consistent threat from cyber-attacks, viruses, malicious software, physical break-ins, theft, ransomware, phishing, social engineering, unintentional employee error or malfeasance, system availability, and other security breaches. Further, third-party hosts or service providers are also a source of security concerns as it relates to failures of their own security systems and infrastructure. Our technology infrastructure may be subject to increased risk of slowdown or interruption as a result of integration with third-party services, including cloud services, and/or failures by such third parties, which are beyond our control. The costs to eliminate or address evolving security threats and vulnerabilities before or after a cyber-incident could be significant. Our remediation efforts may not be successful and could result in interruptions, delays or cessation of service and loss of existing or potential suppliers or players, any of which could lead to negative reputational impacts.</w:t>
      </w:r>
    </w:p>
    <w:p>
      <w:pPr>
        <w:spacing w:after="0" w:line="168"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business, including reputational damage. We also could be negatively impacted by existing and proposed U.S. laws and regulations, and government policies and practices related to cybersecurity, data privacy, and data localization. In the event that we or our service providers are unable to prevent, detect, and remediate the foregoing security threats and risks, our operations could be disrupted or we could incur financial, legal or reputational losses arising from misappropriation, misuse, leakage, falsification or intentional or accidental release or loss of information maintained in our information systems and networks, including personal information of our employees and our customers.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i w:val="1"/>
          <w:iCs w:val="1"/>
          <w:color w:val="auto"/>
        </w:rPr>
        <w:t>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w:t>
      </w:r>
    </w:p>
    <w:p>
      <w:pPr>
        <w:spacing w:after="0" w:line="150" w:lineRule="exact"/>
        <w:rPr>
          <w:sz w:val="20"/>
          <w:szCs w:val="20"/>
          <w:color w:val="auto"/>
        </w:rPr>
      </w:pPr>
    </w:p>
    <w:p>
      <w:pPr>
        <w:ind w:right="180" w:firstLine="749"/>
        <w:spacing w:after="0" w:line="237" w:lineRule="auto"/>
        <w:rPr>
          <w:sz w:val="20"/>
          <w:szCs w:val="20"/>
          <w:color w:val="auto"/>
        </w:rPr>
      </w:pPr>
      <w:r>
        <w:rPr>
          <w:rFonts w:ascii="Arial" w:cs="Arial" w:eastAsia="Arial" w:hAnsi="Arial"/>
          <w:sz w:val="18"/>
          <w:szCs w:val="18"/>
          <w:color w:val="auto"/>
        </w:rPr>
        <w:t>There are numerous federal, state and local laws regarding privacy and the collection, processing, storing, sharing, disclosing, using and protecting of personal information and other data, the scope of which are changing, subject to differing interpretations, and which may be costly to comply with, inconsistent between jurisdictions or conflicting with other rules. We are also subject to specific contractual requirements contained in third-party agreements governing our use and protection of personal information and other data. We generally comply with industry standards and are subject to the terms of our privacy policies and the privacy- and security-related obligations to third parties. We strive to comply with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Additionally, new regulations could be enacted with which we are not familiar. Any failure or perceived failure by us to comply with our privacy policies, our privacy-related obligations to customers or other third parties, or our privacy-related legal obligations or any compromise of security that results in the unauthorized release or transfer of sensitive information, which may include personally identifiable information or other customer data, may result in governmental enforcement actions, litigation or public statements against us by consumer advocacy groups or others and could cause customers, vendors and third-party business partners to lose trust in us, which could have a material adverse effect on our business, financial condition and results of operations. Additionally, if vendors, developers or other third parties that we work with violate applicable laws or our policies, such violations may also put customers’, vendors’ or receivables-purchasers’ information at risk and could in turn harm our business, financial condition and results of operations.</w:t>
      </w:r>
    </w:p>
    <w:p>
      <w:pPr>
        <w:spacing w:after="0" w:line="168" w:lineRule="exact"/>
        <w:rPr>
          <w:sz w:val="20"/>
          <w:szCs w:val="20"/>
          <w:color w:val="auto"/>
        </w:rPr>
      </w:pPr>
    </w:p>
    <w:p>
      <w:pPr>
        <w:ind w:firstLine="749"/>
        <w:spacing w:after="0" w:line="261" w:lineRule="auto"/>
        <w:rPr>
          <w:sz w:val="20"/>
          <w:szCs w:val="20"/>
          <w:color w:val="auto"/>
        </w:rPr>
      </w:pPr>
      <w:r>
        <w:rPr>
          <w:rFonts w:ascii="Arial" w:cs="Arial" w:eastAsia="Arial" w:hAnsi="Arial"/>
          <w:sz w:val="17"/>
          <w:szCs w:val="17"/>
          <w:color w:val="auto"/>
        </w:rPr>
        <w:t>We expect that industry standards, laws and regulations will continue to develop regarding privacy, data protection, information security and artificial intelligence in many jurisdictions. Complying with these evolving obligations is costly. For instance, expanding definitions and interpretations of what constitutes “personal data” (or the equivalent) within the United States may increase our compliance costs and legal liability. Additionally, California has created a new data protection agency, and other states may do the same, specifically tasked to enforce California privacy laws, which would likely result in increased regulatory scrutiny in the areas of data protection and security.</w:t>
      </w:r>
    </w:p>
    <w:p>
      <w:pPr>
        <w:spacing w:after="0" w:line="151" w:lineRule="exact"/>
        <w:rPr>
          <w:sz w:val="20"/>
          <w:szCs w:val="20"/>
          <w:color w:val="auto"/>
        </w:rPr>
      </w:pPr>
    </w:p>
    <w:p>
      <w:pPr>
        <w:ind w:right="260" w:firstLine="749"/>
        <w:spacing w:after="0"/>
        <w:rPr>
          <w:sz w:val="20"/>
          <w:szCs w:val="20"/>
          <w:color w:val="auto"/>
        </w:rPr>
      </w:pPr>
      <w:r>
        <w:rPr>
          <w:rFonts w:ascii="Arial" w:cs="Arial" w:eastAsia="Arial" w:hAnsi="Arial"/>
          <w:sz w:val="18"/>
          <w:szCs w:val="18"/>
          <w:color w:val="auto"/>
        </w:rPr>
        <w:t>A significant data breach or any failure, or perceived failure, by us to comply with any federal, state or local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Industry and General Economic Conditions</w:t>
      </w:r>
    </w:p>
    <w:p>
      <w:pPr>
        <w:spacing w:after="0" w:line="200"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Our businesses participate in highly competitive industries, and pressure from existing and new companies may adversely affect our business and results of operations.</w:t>
      </w:r>
    </w:p>
    <w:p>
      <w:pPr>
        <w:spacing w:after="0" w:line="12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The automobile financing business is large and highly competitive. UACC competes with a number of national, regional and local finance companies, banks, credit unions, fintech companies, and captive finance companies. Many of these companies are much larger and have greater financial resources than UACC, including greater access to capital markets for debt instruments or access to lower cost deposit bases. These funding sources may be unavailable to UACC. Many of these companies also have long-standing relationships with automobile dealers and may provide other financing to dealers, including floor plan financing for the dealers' purchases of automobiles from manufacturers and auctions, which we do not offer. There can be no assurance that we will be able to continue to compete successfully and, as a result, we may not be able to purchase automobile contracts from dealers at a price acceptable to us, which could result in reductions in our revenues or the cash flows available to us. Additionally, if UACC is unsuccessful in maintaining and growing its dealer network, our results of operations, cash flows, and financial condition may be adversely affected.</w:t>
      </w:r>
    </w:p>
    <w:p>
      <w:pPr>
        <w:spacing w:after="0" w:line="168" w:lineRule="exact"/>
        <w:rPr>
          <w:sz w:val="20"/>
          <w:szCs w:val="20"/>
          <w:color w:val="auto"/>
        </w:rPr>
      </w:pPr>
    </w:p>
    <w:p>
      <w:pPr>
        <w:ind w:right="360" w:firstLine="749"/>
        <w:spacing w:after="0" w:line="271" w:lineRule="auto"/>
        <w:rPr>
          <w:sz w:val="20"/>
          <w:szCs w:val="20"/>
          <w:color w:val="auto"/>
        </w:rPr>
      </w:pPr>
      <w:r>
        <w:rPr>
          <w:rFonts w:ascii="Arial" w:cs="Arial" w:eastAsia="Arial" w:hAnsi="Arial"/>
          <w:sz w:val="18"/>
          <w:szCs w:val="18"/>
          <w:color w:val="1D1C1D"/>
        </w:rPr>
        <w:t>The automotive data and service business is large and very competitive. CarStory competes with a number of companies in the automotive industry, including valuation services, VIN data providers, website marketplaces, inventory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1D1C1D"/>
        </w:rPr>
        <w:t xml:space="preserve">aggregators, and retail e-commerce platforms. Some of these companies are significantly larger with well-established sales and marketing teams. We compete with other companies to attract customers to our marketplace and dealers to our digital solutions. If we are unable to grow CarStory's marketplace and customer base, </w:t>
      </w:r>
      <w:r>
        <w:rPr>
          <w:rFonts w:ascii="Arial" w:cs="Arial" w:eastAsia="Arial" w:hAnsi="Arial"/>
          <w:sz w:val="17"/>
          <w:szCs w:val="17"/>
          <w:color w:val="000000"/>
        </w:rPr>
        <w:t>our results of operations, cash flows, and financial condition may be adversely affected.</w:t>
      </w:r>
    </w:p>
    <w:p>
      <w:pPr>
        <w:spacing w:after="0" w:line="14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General business and economic conditions, and risks related to the larger automotive ecosystem, including consumer demand, could reduce our sales and profitability, which could have a material adverse effect on our business, financial condition and results of operations.</w:t>
      </w:r>
    </w:p>
    <w:p>
      <w:pPr>
        <w:spacing w:after="0" w:line="145" w:lineRule="exact"/>
        <w:rPr>
          <w:sz w:val="20"/>
          <w:szCs w:val="20"/>
          <w:color w:val="auto"/>
        </w:rPr>
      </w:pPr>
    </w:p>
    <w:p>
      <w:pPr>
        <w:ind w:right="40" w:firstLine="749"/>
        <w:spacing w:after="0" w:line="246" w:lineRule="auto"/>
        <w:rPr>
          <w:sz w:val="20"/>
          <w:szCs w:val="20"/>
          <w:color w:val="auto"/>
        </w:rPr>
      </w:pPr>
      <w:r>
        <w:rPr>
          <w:rFonts w:ascii="Arial" w:cs="Arial" w:eastAsia="Arial" w:hAnsi="Arial"/>
          <w:sz w:val="18"/>
          <w:szCs w:val="18"/>
          <w:color w:val="auto"/>
        </w:rPr>
        <w:t>Our business is affected by general business and economic conditions. The global economy often experiences periods of instability, and this volatility may lead to high unemployment and a lack of available credit, which may in turn lead to increased delinquencies, defaults, repossessions and losses on motor vehicle contracts financed through UACC and could materially and adversely affect our business, financial condition and results of operations.</w:t>
      </w:r>
    </w:p>
    <w:p>
      <w:pPr>
        <w:spacing w:after="0" w:line="163" w:lineRule="exact"/>
        <w:rPr>
          <w:sz w:val="20"/>
          <w:szCs w:val="20"/>
          <w:color w:val="auto"/>
        </w:rPr>
      </w:pPr>
    </w:p>
    <w:p>
      <w:pPr>
        <w:ind w:right="100" w:firstLine="749"/>
        <w:spacing w:after="0" w:line="239" w:lineRule="auto"/>
        <w:rPr>
          <w:sz w:val="20"/>
          <w:szCs w:val="20"/>
          <w:color w:val="auto"/>
        </w:rPr>
      </w:pPr>
      <w:r>
        <w:rPr>
          <w:rFonts w:ascii="Arial" w:cs="Arial" w:eastAsia="Arial" w:hAnsi="Arial"/>
          <w:sz w:val="18"/>
          <w:szCs w:val="18"/>
          <w:color w:val="auto"/>
        </w:rPr>
        <w:t>Purchases of new and used vehicles are typically discretionary for consumers and have been, and may continue to be, affected by negative trends in the economy and other factors, including inflation and rising interest rates, the cost of energy and gasoline, the availability and cost of consumer credit, reductions in consumer confidence and fears of recession, stock market volatility, increased regulation and increased unemployment. The current inflationary environment has led to both overall price increases and pronounced price increases in certain sectors, including gasoline prices. Moreover, the Federal Reserve’s efforts to tame inflation have led to, and may continue to lead to, increased interest rates, which affects automotive finance rates, making vehicle financing more costly and less accessible to many consumers. Additionally, increased environmental regulation has made, and may in the future make, used vehicles more expensive and less desirable for consumers.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Laws and Regulations</w:t>
      </w:r>
    </w:p>
    <w:p>
      <w:pPr>
        <w:spacing w:after="0" w:line="21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We operate in a highly regulated industry and are subject to a wide range of federal, state and local laws and regulations. Failure to comply with these laws and regulations could have a material adverse effect on our business, financial condition and results of operations.</w:t>
      </w:r>
    </w:p>
    <w:p>
      <w:pPr>
        <w:spacing w:after="0" w:line="145"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Our businesses are and will continue to be subject to extensive U.S. federal, state and local laws and regulations. The financing of motor vehicles is regulated by every state in which we operate and by the U.S. federal government. Our prior ecommerce business, including the advertising and sale of used vehicles, titling and registration of vehicles, and the sale of value-added products, also was regulated by state laws, and such state laws can vary significantly from state to state. In addition, we are subject to regulations and laws specifically governing the internet and ecommerce and the collection, storage and use of personal information and other customer data. We are also subject to federal and state consumer protection laws, including prohibitions against unfair or deceptive acts or practices. The federal governmental agencies that regulate our business and have the authority to enforce such regulations and laws against us include agencies such as the U.S. Federal Trade Commission ("FTC"), the U.S. Consumer Financial Protection Bureau ("CFPB"), the U.S. Occupational Health and Safety Administration, the U.S. Department of Justice and the U.S. Federal Communications Commission ("FCC"). Additionally, we are subject to regulation by state consumer protection agencies and state financial regulatory agencies.</w:t>
      </w:r>
    </w:p>
    <w:p>
      <w:pPr>
        <w:spacing w:after="0" w:line="172"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In our prior ecommerce business, we have been subject to audits, requests for information, investigations and other inquiries from our regulators related to customer complaints. As we encountered operational challenges in keeping up with our rapid growth from 2020 through the first quarter of 2022, we experienced an increase in customer complaints, leading to an increase in such regulatory inquiries. We endeavored to promptly respond to any such inquiries and cooperate with our regulators. However, we have incurred fines in certain states and in April 2022, the Attorney General of Texas filed a lawsuit on behalf of the State of Texas in the District Court of Travis County, Texas against the Company, alleging violation of the Texas Deceptive Trade Practices − Consumer Protection Act and Texas Business and Commerce Code § 17.41 et seq. In December 2023, Vroom, Inc., Vroom Automotive, LLC and the Attorney General of the State of Texas reached a final agreement to resolve all claims in the petition, without any admission of wrongdoing by either Vroom entity. Under the agreement, the Company will pay a total of $2 million in civil penalties and $1 million in attorneys' fees, with the first half due in September 2024 and the remaining half due in September 2025, and abide permanently by an injunction of certain operational practices that were previously implemented. The agreement was approved by the District Court of Travis County on December 13, 2023. See Part II, Item 1 – “Legal Proceedings.”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 xml:space="preserve">In addition, </w:t>
      </w:r>
      <w:r>
        <w:rPr>
          <w:rFonts w:ascii="Arial" w:cs="Arial" w:eastAsia="Arial" w:hAnsi="Arial"/>
          <w:sz w:val="18"/>
          <w:szCs w:val="18"/>
          <w:color w:val="222222"/>
        </w:rPr>
        <w:t>In January 2022, the Company received a non-public civil investigative demand from the Federal Trade Commission</w:t>
      </w:r>
      <w:r>
        <w:rPr>
          <w:rFonts w:ascii="Arial" w:cs="Arial" w:eastAsia="Arial" w:hAnsi="Arial"/>
          <w:sz w:val="18"/>
          <w:szCs w:val="18"/>
          <w:color w:val="auto"/>
        </w:rPr>
        <w:t xml:space="preserve"> </w:t>
      </w:r>
      <w:r>
        <w:rPr>
          <w:rFonts w:ascii="Arial" w:cs="Arial" w:eastAsia="Arial" w:hAnsi="Arial"/>
          <w:sz w:val="18"/>
          <w:szCs w:val="18"/>
          <w:color w:val="222222"/>
        </w:rPr>
        <w:t>(“FTC”),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 702. The FTC advised the Company that it is authorized to negotiate a stipulated order and the Company intends to work cooperatively with the FTC towards a resolution. Because the matter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68"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In relation to our prior ecommerce business, we have been licensed as a dealer in the states of Texas, Florida, Arizona, California, Ohio and Wisconsin. We also have a motor vehicle sales finance license in Texas in connection with our Texas dealer license, a retail installment seller license in Florida in connection with our Florida dealer license, a retail installment seller license in Pennsylvania, and filed the required notice in Arizona in connection with our Arizona dealer license. As a result of the wind-down of the ecommerce business and discontinuance of our used automotive dealer operations, we are terminating the foregoing licenses once all transactions, including title and registration transactions on behalf of our customers, are completed in the relevant jurisdiction.</w:t>
      </w:r>
    </w:p>
    <w:p>
      <w:pPr>
        <w:spacing w:after="0" w:line="169"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UACC's financing operations are subject to U.S. federal, state, and local laws and regulations regarding contract origination, acquiring motor vehicle installment sales contracts from retail sellers, furnishing data to credit reporting agencies, servicing, debt collection practices, and securitization transactions. Certain states require UACC to have a sales finance license, consumer credit license, or similar applicable license. UACC has obtained licenses in all states where licensing is required. In addition, UACC is subject to enforcement by the CFPB and state consumer protection agencies, including state attorney general offices and state financial regulatory agencies. Any failure to renew or maintain or any revocation of any of UACC's licenses would materially and adversely affect our business, financial condition and results of operations.</w:t>
      </w:r>
    </w:p>
    <w:p>
      <w:pPr>
        <w:spacing w:after="0" w:line="169"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In addition to these laws and regulations that apply specifically to the sale and financing of used vehicles,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w:t>
      </w:r>
    </w:p>
    <w:p>
      <w:pPr>
        <w:spacing w:after="0" w:line="166"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We are also subject to laws and regulations affecting public companies, including securities laws and Nasdaq listing rules. The violation of any of these laws or regulations could result in administrative, civil or criminal penalties or in a cease-and -desist order against our business operations, any of which could damage our reputation and have a material adverse effect on our business, financial condition and results of operations. We have incurred and will continue to incur capital and operating expenses and other costs to comply with these laws and regulations.</w:t>
      </w:r>
    </w:p>
    <w:p>
      <w:pPr>
        <w:spacing w:after="0" w:line="166" w:lineRule="exact"/>
        <w:rPr>
          <w:sz w:val="20"/>
          <w:szCs w:val="20"/>
          <w:color w:val="auto"/>
        </w:rPr>
      </w:pPr>
    </w:p>
    <w:p>
      <w:pPr>
        <w:ind w:right="240" w:firstLine="749"/>
        <w:spacing w:after="0" w:line="243"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evolving interpretations and continuous change.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168" w:lineRule="exact"/>
        <w:rPr>
          <w:sz w:val="20"/>
          <w:szCs w:val="20"/>
          <w:color w:val="auto"/>
        </w:rPr>
      </w:pPr>
    </w:p>
    <w:p>
      <w:pPr>
        <w:ind w:right="800"/>
        <w:spacing w:after="0" w:line="278" w:lineRule="auto"/>
        <w:rPr>
          <w:sz w:val="20"/>
          <w:szCs w:val="20"/>
          <w:color w:val="auto"/>
        </w:rPr>
      </w:pPr>
      <w:r>
        <w:rPr>
          <w:rFonts w:ascii="Arial" w:cs="Arial" w:eastAsia="Arial" w:hAnsi="Arial"/>
          <w:sz w:val="18"/>
          <w:szCs w:val="18"/>
          <w:b w:val="1"/>
          <w:bCs w:val="1"/>
          <w:i w:val="1"/>
          <w:iCs w:val="1"/>
          <w:color w:val="auto"/>
        </w:rPr>
        <w:t>If we fail to comply with the Telephone Consumer Protection Act, we may face significant damages, which could harm our business, financial condition and results of operations.</w:t>
      </w:r>
    </w:p>
    <w:p>
      <w:pPr>
        <w:spacing w:after="0" w:line="125" w:lineRule="exact"/>
        <w:rPr>
          <w:sz w:val="20"/>
          <w:szCs w:val="20"/>
          <w:color w:val="auto"/>
        </w:rPr>
      </w:pPr>
    </w:p>
    <w:p>
      <w:pPr>
        <w:ind w:right="20" w:firstLine="749"/>
        <w:spacing w:after="0" w:line="258" w:lineRule="auto"/>
        <w:rPr>
          <w:sz w:val="20"/>
          <w:szCs w:val="20"/>
          <w:color w:val="auto"/>
        </w:rPr>
      </w:pPr>
      <w:r>
        <w:rPr>
          <w:rFonts w:ascii="Arial" w:cs="Arial" w:eastAsia="Arial" w:hAnsi="Arial"/>
          <w:sz w:val="17"/>
          <w:szCs w:val="17"/>
          <w:color w:val="auto"/>
        </w:rPr>
        <w:t>We utilized telephone calls as a means of responding to and communicating with our Vroom ecommerce customers interested in purchasing, trading in and/or selling vehicles and value-added products. Potential customers could submit their contact information, including phone number, via our website or third-party listing sites to express their interest in purchasing a vehicle, selling a vehicle, or obtaining financing terms. We engaged third-party customer experience centers to respond to certain of these inquiries and further communicate with potential customers concerning sales, purchases and financings of our vehicles through our platform. We also sent text messages to customers concerning the status of their order. As we wind-down our ecommerce operations, we will continue to communicate with</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both"/>
        <w:ind w:right="360"/>
        <w:spacing w:after="0" w:line="246" w:lineRule="auto"/>
        <w:rPr>
          <w:sz w:val="20"/>
          <w:szCs w:val="20"/>
          <w:color w:val="auto"/>
        </w:rPr>
      </w:pPr>
      <w:r>
        <w:rPr>
          <w:rFonts w:ascii="Arial" w:cs="Arial" w:eastAsia="Arial" w:hAnsi="Arial"/>
          <w:sz w:val="18"/>
          <w:szCs w:val="18"/>
          <w:color w:val="auto"/>
        </w:rPr>
        <w:t>customers through telephone calls and text messages as needed. Our UACC business utilizes telephone calls and text messages as a means of responding to and communicating with customers who finance their vehicle purchase from automobile dealers through UACC, including communications relating to collections. Our CarStory business collects consent to contact consumers by telephone calls or text messages via its vehicles listing sites and shares such consent with CarStory’s business partners.</w:t>
      </w:r>
    </w:p>
    <w:p>
      <w:pPr>
        <w:spacing w:after="0" w:line="163"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The Telephone Consumer Protection Act (the “TCPA”), as interpreted and implemented by the FCC and U.S. courts, imposes significant restrictions on the use of autodialed telephone calls, pre-recorded messages, and text messages to residential and mobile telephone numbers as a means of communication when prior consent of the person being contacted has not been obtained. Violations of the TCPA may be enforced by the FCC or by individuals through litigation, including class actions. Statutory penalties for TCPA violations range from $500 to $1,500 per violation, which has been interpreted to mean per phone call or text message. In addition, several states have enacted their own versions of the TCPA.</w:t>
      </w:r>
    </w:p>
    <w:p>
      <w:pPr>
        <w:spacing w:after="0" w:line="169"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While we have implemented processes and procedures to comply with the TCPA and state equivalents, if we or the third parties on which we rely fail to adhere to such processes and procedures or fail or successfully implement appropriate processes and procedures in response to existing or future regulations, it could result in legal and monetary liability, fines, penalties or damage to our reputation in the marketplace, any of which could have a material adverse effect on our business, financial condition and results of operations. Additionally, any changes to the TCPA, its interpretation, or enforcement of it by the government or private parties that further restrict the way we contact and communicate with our potential customers or generate leads could adversely affect our ability to attract customers and could harm our business, financial condition and results of operations.</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Government regulation of the internet is evolving, and unfavorable changes or failure by us to comply with these regulations could substantially harm our business, financial condition and results of operations.</w:t>
      </w:r>
    </w:p>
    <w:p>
      <w:pPr>
        <w:spacing w:after="0" w:line="125" w:lineRule="exact"/>
        <w:rPr>
          <w:sz w:val="20"/>
          <w:szCs w:val="20"/>
          <w:color w:val="auto"/>
        </w:rPr>
      </w:pPr>
    </w:p>
    <w:p>
      <w:pPr>
        <w:ind w:right="20" w:firstLine="749"/>
        <w:spacing w:after="0" w:line="237" w:lineRule="auto"/>
        <w:rPr>
          <w:sz w:val="20"/>
          <w:szCs w:val="20"/>
          <w:color w:val="auto"/>
        </w:rPr>
      </w:pPr>
      <w:r>
        <w:rPr>
          <w:rFonts w:ascii="Arial" w:cs="Arial" w:eastAsia="Arial" w:hAnsi="Arial"/>
          <w:sz w:val="18"/>
          <w:szCs w:val="18"/>
          <w:color w:val="auto"/>
        </w:rPr>
        <w:t xml:space="preserve">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artificial intelligence, anti-spam, pricing, content protection, electronic contracts and communications, mobile communications, consumer protection, information reporting requirements, the design and operation of websites and internet neutrality.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market segment to another and may conflict with other rules or our practices. For example, federal, state and local regulation regarding privacy, data protection and information security has become more significant, </w:t>
      </w:r>
      <w:r>
        <w:rPr>
          <w:rFonts w:ascii="Arial" w:cs="Arial" w:eastAsia="Arial" w:hAnsi="Arial"/>
          <w:sz w:val="18"/>
          <w:szCs w:val="18"/>
          <w:color w:val="222222"/>
        </w:rPr>
        <w:t>and these evolving regulations may increase our costs of compliance</w:t>
      </w:r>
      <w:r>
        <w:rPr>
          <w:rFonts w:ascii="Arial" w:cs="Arial" w:eastAsia="Arial" w:hAnsi="Arial"/>
          <w:sz w:val="18"/>
          <w:szCs w:val="18"/>
          <w:color w:val="auto"/>
        </w:rPr>
        <w:t>. We cannot be sure that our practices have complied, comply or will comply fully with all such laws and regulations.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Risks Related to Our Use of Data and Technology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CarStory business is dependent on our ability to offer accurate and competitive pricing for vehicles.</w:t>
      </w:r>
    </w:p>
    <w:p>
      <w:pPr>
        <w:spacing w:after="0" w:line="196"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auto"/>
        </w:rPr>
        <w:t>We provide suggested offer pricing to our dealer partners as part of the CarStory platform using data science and proprietary algorithms based on a number of factors, including mechanical soundness, consumer desirability, vehicle history, market prices and relative value as prospective inventory. If we are unable to provide accurate and competitive pricing to our dealer partners, our revenue, gross margins and results of operations would be affected, which could have an adverse effect on our business, financial condition and results of operations.</w:t>
      </w:r>
    </w:p>
    <w:p>
      <w:pPr>
        <w:spacing w:after="0" w:line="168" w:lineRule="exact"/>
        <w:rPr>
          <w:sz w:val="20"/>
          <w:szCs w:val="20"/>
          <w:color w:val="auto"/>
        </w:rPr>
      </w:pPr>
    </w:p>
    <w:p>
      <w:pPr>
        <w:ind w:right="860"/>
        <w:spacing w:after="0" w:line="278" w:lineRule="auto"/>
        <w:rPr>
          <w:sz w:val="20"/>
          <w:szCs w:val="20"/>
          <w:color w:val="auto"/>
        </w:rPr>
      </w:pPr>
      <w:r>
        <w:rPr>
          <w:rFonts w:ascii="Arial" w:cs="Arial" w:eastAsia="Arial" w:hAnsi="Arial"/>
          <w:sz w:val="18"/>
          <w:szCs w:val="18"/>
          <w:b w:val="1"/>
          <w:bCs w:val="1"/>
          <w:i w:val="1"/>
          <w:iCs w:val="1"/>
          <w:color w:val="auto"/>
        </w:rPr>
        <w:t>Our platform utilizes open-source software, and any defects or security vulnerabilities in the open-source software could negatively affect our business.</w:t>
      </w:r>
    </w:p>
    <w:p>
      <w:pPr>
        <w:spacing w:after="0" w:line="125" w:lineRule="exact"/>
        <w:rPr>
          <w:sz w:val="20"/>
          <w:szCs w:val="20"/>
          <w:color w:val="auto"/>
        </w:rPr>
      </w:pPr>
    </w:p>
    <w:p>
      <w:pPr>
        <w:ind w:right="580" w:firstLine="749"/>
        <w:spacing w:after="0" w:line="271" w:lineRule="auto"/>
        <w:rPr>
          <w:sz w:val="20"/>
          <w:szCs w:val="20"/>
          <w:color w:val="auto"/>
        </w:rPr>
      </w:pPr>
      <w:r>
        <w:rPr>
          <w:rFonts w:ascii="Arial" w:cs="Arial" w:eastAsia="Arial" w:hAnsi="Arial"/>
          <w:sz w:val="18"/>
          <w:szCs w:val="18"/>
          <w:color w:val="auto"/>
        </w:rPr>
        <w:t>Our platform employs open-source software, and we expect to use open-source software in the future. To the extent that our platform depends upon the successful operation of open-source software, any undetected errors or defects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in conjunction, make our systems more vulnerable to data breaches.</w:t>
      </w:r>
    </w:p>
    <w:p>
      <w:pPr>
        <w:spacing w:after="0" w:line="157"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In addition, the terms of various open-source licenses have not been interpreted by United States courts, and there is a risk that such licenses could be construed in a manner that imposes unanticipated conditions or restrictions on our ability to market our platform. Some open-source licenses might require us to make our source code available at no cost or require us to make our source code publicly available for modifications or derivative works if our source code is based upon, incorporates, or was created using the open-source software to license such source code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materially and adversely affect our business, financial condition and results of operations.</w:t>
      </w:r>
    </w:p>
    <w:p>
      <w:pPr>
        <w:spacing w:after="0" w:line="170"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A significant disruption in service on our platform could damage our reputation and result in a loss of customers, which could harm our brand or our business, financial condition and results of operations.</w:t>
      </w:r>
    </w:p>
    <w:p>
      <w:pPr>
        <w:spacing w:after="0" w:line="125"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Our brand, reputation and ability to attract customers depend on the reliable performance of our platform and the supporting systems, technology and infrastructure. We may experience significant interruptions to our systems in the future. Interruptions in these systems, whether due to system failures or lack of upgrades, programming or configuration errors, computer viruses or physical or electronic break-ins, could affect the availability of our inventory on our platform and prevent or inhibit the ability of customers to access our platform. In addition, we expect that we will need to invest in and upgrade the UACC systems over time. Problems with the reliability or security of our systems could harm our reputation, result in a loss of customers and result in additional costs.</w:t>
      </w:r>
    </w:p>
    <w:p>
      <w:pPr>
        <w:spacing w:after="0" w:line="169"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UACC operates a data center at a colocation facility in California to support its operations. This data center is vulnerable to damage or interruption from fire, flood, power loss, telecommunications failures, terrorist attacks, acts of war, electronic and physical break-ins, computer viruses, ransomware, earthquakes and similar events. The occurrence of any of these events could render communications between our offices inoperable and our results of operations could be harmed. Problems faced by our third-party web-hosting providers, including AWS and Google Cloud, could inhibit the functionality of our platform. For example, our third-party web-hosting providers could close their facilities without adequate notice or suffer interruptions in service caused by cyber-attacks, natural disasters or other phenomena. Disruption of their services could cause our website to be inoperable and could have a material adverse effect on our business, financial condition and results of operations. Any financial difficulties, up to and including bankruptcy, faced by our third-party web-hosting providers or any of the service providers with whom they contract may have negative effects on our business, the nature and extent of which are difficult to predict. In addition, if our third-party web-hosting providers are unable to keep up with our growing capacity needs, our business, financial condition and results of operations could be harmed.</w:t>
      </w:r>
    </w:p>
    <w:p>
      <w:pPr>
        <w:spacing w:after="0" w:line="169" w:lineRule="exact"/>
        <w:rPr>
          <w:sz w:val="20"/>
          <w:szCs w:val="20"/>
          <w:color w:val="auto"/>
        </w:rPr>
      </w:pPr>
    </w:p>
    <w:p>
      <w:pPr>
        <w:ind w:right="80" w:firstLine="749"/>
        <w:spacing w:after="0" w:line="252" w:lineRule="auto"/>
        <w:rPr>
          <w:sz w:val="20"/>
          <w:szCs w:val="20"/>
          <w:color w:val="auto"/>
        </w:rPr>
      </w:pPr>
      <w:r>
        <w:rPr>
          <w:rFonts w:ascii="Arial" w:cs="Arial" w:eastAsia="Arial" w:hAnsi="Arial"/>
          <w:sz w:val="18"/>
          <w:szCs w:val="18"/>
          <w:color w:val="auto"/>
        </w:rPr>
        <w:t>Any errors, defects, disruptions, or other performance or reliability problems with our platform could interrupt our customers’ access to our inventory and our access to data that drives our inventory purchase operations, which could harm our reputation or our business, financial condition and results of operations.</w:t>
      </w:r>
    </w:p>
    <w:p>
      <w:pPr>
        <w:spacing w:after="0" w:line="15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Our CarStory business relies on artificial intelligence to facilitate the automotive retail experience. If our use of artificial intelligence results in inaccurate data, regulatory scrutiny, privacy concerns or is otherwise unsuccessful, it could adversely affect our business, results of operations, and financial condition.</w:t>
      </w:r>
    </w:p>
    <w:p>
      <w:pPr>
        <w:spacing w:after="0" w:line="145"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7"/>
          <w:szCs w:val="17"/>
          <w:color w:val="auto"/>
        </w:rPr>
        <w:t>We have made significant investments in artificial intelligence (“AI”) initiatives, including through our CarStory business and offerings. CarStory provides AI-powered analytics and digital services, including predictive market data, for automotive retail. CarStory relies on AI, machine learning, automated decision making, data analytics and similar tools to analyze market trends, improve our services, provide insights to our customers and tailor our interactions with our customers (“AI Tools”). Certain of these AI Tools are proprietary to CarStory, and certain are third party AI Tools that CarStory has obtained a right to use from the applicable provider. Pursuant to our Value Maximization Plan, we are shifting focus in part to our CarStory business and expect to expand our use and offerings of our AI Tools. We intend to leverage our CarStory data and technology, including our AI Tools, to enhance operations at UACC. As with many technological innovations, there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are significant risks involved in developing, maintaining and utilizing AI Tools and no assurance can be provided that CarStory’s use of AI Tools will enhance our products or services or continue to be successful. If the models underlying our AI Tools are inadequately or incorrectly designed, improperly trained or used, or the data used to train them is incomplete, inadequate or biased in some way, our use of AI Tools may inadvertently reduce our efficiency or cause unintentional or unexpected outputs that are incorrect, insufficient, do not match our business goals, do not comply with our policies or standards, adversely affect our financial condition, business and reputation. Further if we are deemed to not have sufficient rights to use such data to train our AI Tools, then we may be subject to litigation by the owners of the content or other materials that comprise such data, similar to the litigation that is currently pending in various U.S. courts against other developers of AI Tools, and which has an uncertain outcome.</w:t>
      </w:r>
    </w:p>
    <w:p>
      <w:pPr>
        <w:spacing w:after="0" w:line="171" w:lineRule="exact"/>
        <w:rPr>
          <w:sz w:val="20"/>
          <w:szCs w:val="20"/>
          <w:color w:val="auto"/>
        </w:rPr>
      </w:pPr>
    </w:p>
    <w:p>
      <w:pPr>
        <w:ind w:right="160" w:firstLine="749"/>
        <w:spacing w:after="0" w:line="239" w:lineRule="auto"/>
        <w:rPr>
          <w:sz w:val="20"/>
          <w:szCs w:val="20"/>
          <w:color w:val="auto"/>
        </w:rPr>
      </w:pPr>
      <w:r>
        <w:rPr>
          <w:rFonts w:ascii="Arial" w:cs="Arial" w:eastAsia="Arial" w:hAnsi="Arial"/>
          <w:sz w:val="18"/>
          <w:szCs w:val="18"/>
          <w:color w:val="auto"/>
        </w:rPr>
        <w:t>The market for AI Tools is complex and rapidly evolving, and we face significant competition from other companies as well as an evolving regulatory landscape. To the extent AI development and utilization from our industry competitors prove to be successful, or more successful, than our approach, the demand for our CarStory platform, and thus our business, could be adversely affected. Our efforts to continuously improve our AI Tools, including the introduction of new products or capabilities or changes to existing products or capabilities, may result in new or enhanced governmental or regulatory scrutiny, litigation, privacy or ethical concerns, or other complications that could adversely affect our business, reputation, or financial results. For example, the use of datasets to develop AI models, the content generated by AI systems, or the application of AI systems may be found to be insufficient, biased, or harmful, or violate current or future laws and regulations or deviate from consumers’ expectations of privacy. In addition, market acceptance of AI technologies is uncertain, especially in the automotive retail industry.</w:t>
      </w:r>
    </w:p>
    <w:p>
      <w:pPr>
        <w:spacing w:after="0" w:line="168"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The rapid evolution of AI will require the application of resources to develop, test, maintain and improve our products and services to help ensure that the AI is accurate and efficient. The continuous development, testing, maintenance and deployment of our AI Tools may also increase the cost profile of our offerings due to the nature of the computing costs involved in such systems, and may involve unforeseen difficulties including material performance problems, undetected defects or errors. We may encounter technical obstacles, and it is possible that we may discover additional problems that may prevent our proprietary AI Tools from operating properly, which could adversely affect our business, customer relationships and reputation. See “Any actual or perceived failure to comply with evolving regulatory frameworks around the development and use of AI could adversely affect our business, results of operations, and financial condition.”</w:t>
      </w:r>
    </w:p>
    <w:p>
      <w:pPr>
        <w:spacing w:after="0" w:line="117" w:lineRule="exact"/>
        <w:rPr>
          <w:sz w:val="20"/>
          <w:szCs w:val="20"/>
          <w:color w:val="auto"/>
        </w:rPr>
      </w:pPr>
    </w:p>
    <w:p>
      <w:pPr>
        <w:ind w:right="380"/>
        <w:spacing w:after="0" w:line="278" w:lineRule="auto"/>
        <w:rPr>
          <w:sz w:val="20"/>
          <w:szCs w:val="20"/>
          <w:color w:val="auto"/>
        </w:rPr>
      </w:pPr>
      <w:r>
        <w:rPr>
          <w:rFonts w:ascii="Arial" w:cs="Arial" w:eastAsia="Arial" w:hAnsi="Arial"/>
          <w:sz w:val="18"/>
          <w:szCs w:val="18"/>
          <w:b w:val="1"/>
          <w:bCs w:val="1"/>
          <w:i w:val="1"/>
          <w:iCs w:val="1"/>
          <w:color w:val="auto"/>
        </w:rPr>
        <w:t>Any actual or perceived failure to comply with the evolving regulatory frameworks around the development and use of AI could adversely affect our business, results of operations, and financial condition.</w:t>
      </w:r>
    </w:p>
    <w:p>
      <w:pPr>
        <w:spacing w:after="0" w:line="125"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regulatory framework around the development and use of these emerging technologies is rapidly evolving, and many federal, state and foreign government bodies and agencies have introduced and/or are currently considering additional laws and regulations. Both in the United States and internationally, the development and use of AI Tools are the subject of evolving regulation by various governmental and regulatory agencies, and changes in laws, rules, directives and regulations governing the use of AI Tools may adversely affect the ability of our business to use or rely on AI Tools. As a result, implementation standards and enforcement practices are likely to remain uncertain for the foreseeable future, and we cannot yet determine the impact future laws, regulations, standards, or perception of their requirements may have on our business.</w:t>
      </w:r>
    </w:p>
    <w:p>
      <w:pPr>
        <w:spacing w:after="0" w:line="169"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Already, there are some existing legal regimes that regulate certain aspects of AI, and new laws regulating AI Tools are expected to enter into force in the United States and the EU in 2024. In October 2023, the President of the United States issued a broad Executive Order on the Safe, Secure and Trustworthy Development and Use of AI (the “Order”), emphasizing the need for transparency, accountability and fairness in the development and use of AI Tools.</w:t>
      </w:r>
    </w:p>
    <w:p>
      <w:pPr>
        <w:spacing w:after="0" w:line="237" w:lineRule="auto"/>
        <w:rPr>
          <w:sz w:val="20"/>
          <w:szCs w:val="20"/>
          <w:color w:val="auto"/>
        </w:rPr>
      </w:pPr>
      <w:r>
        <w:rPr>
          <w:rFonts w:ascii="Arial" w:cs="Arial" w:eastAsia="Arial" w:hAnsi="Arial"/>
          <w:sz w:val="18"/>
          <w:szCs w:val="18"/>
          <w:color w:val="auto"/>
        </w:rPr>
        <w:t>The Order established certain new requirements for the training, testing and cybersecurity of sophisticated AI models</w:t>
      </w:r>
    </w:p>
    <w:p>
      <w:pPr>
        <w:ind w:right="420"/>
        <w:spacing w:after="0" w:line="279" w:lineRule="auto"/>
        <w:rPr>
          <w:sz w:val="20"/>
          <w:szCs w:val="20"/>
          <w:color w:val="auto"/>
        </w:rPr>
      </w:pPr>
      <w:r>
        <w:rPr>
          <w:rFonts w:ascii="Arial" w:cs="Arial" w:eastAsia="Arial" w:hAnsi="Arial"/>
          <w:sz w:val="17"/>
          <w:szCs w:val="17"/>
          <w:color w:val="auto"/>
        </w:rPr>
        <w:t>and large-scale compute centers used to train AI models. The Order also instructed several other federal agencies to promulgate certain additional regulations within specific timeframes from the date of the Order regarding the development, use and marketing of AI Tools.</w:t>
      </w:r>
    </w:p>
    <w:p>
      <w:pPr>
        <w:spacing w:after="0" w:line="134"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Any of the foregoing, together with developing guidance and/or decisions in this area, may affect our ability to use AI Tools, require additional compliance measures and changes to our operations and processes regarding AI Tools, and result in increased compliance costs, and potential increases in the risk of civil claims against us. Any actual or perceived failure to comply with evolving regulatory frameworks around the development and use of AI Tools, could adversely affect our brand, reputation, business, results of operations, and financial condition.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0"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Failure to adequately protect our intellectual property, technology and confidential information could harm our business, financial condition and results of operations.</w:t>
      </w:r>
    </w:p>
    <w:p>
      <w:pPr>
        <w:spacing w:after="0" w:line="125" w:lineRule="exact"/>
        <w:rPr>
          <w:sz w:val="20"/>
          <w:szCs w:val="20"/>
          <w:color w:val="auto"/>
        </w:rPr>
      </w:pPr>
    </w:p>
    <w:p>
      <w:pPr>
        <w:ind w:right="20" w:firstLine="749"/>
        <w:spacing w:after="0" w:line="236" w:lineRule="auto"/>
        <w:rPr>
          <w:sz w:val="20"/>
          <w:szCs w:val="20"/>
          <w:color w:val="auto"/>
        </w:rPr>
      </w:pPr>
      <w:r>
        <w:rPr>
          <w:rFonts w:ascii="Arial" w:cs="Arial" w:eastAsia="Arial" w:hAnsi="Arial"/>
          <w:sz w:val="18"/>
          <w:szCs w:val="18"/>
          <w:color w:val="auto"/>
        </w:rPr>
        <w:t>The protection of intellectual property, technology and confidential information is crucial to the success of our businesses. Moreover, we will work to preserve the value of our Vroom® intellectual property rights where appropriate following the wind -down of our ecommerce operations. We rely on a combination of trademark, trade secret, patent and copyright law, as well as contractual restrictions, to protect our intellectual property (including our brand, technology and confidential information). 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We also cannot guarantee that others will not independently develop technology that has the same or similar functionality as our technology. Unauthorized parties may also attempt to copy or obtain and use our technology to develop competing solutions, and policing unauthorized use of our technology and intellectual property rights may be difficult and ineffective. Changes in the law or adverse court rulings may also negatively affect our ability to prevent others from using our technology. If our intellectual property rights are used or misappropriated by third parties, the value of our brand and intellectual property may be diminished and competitors may be able to more effectively mimic our products and methods of operations. Any of these events could materially adversely affect our business, financial condition or results of operations. Furthermore, we may face claims of infringement of third-party intellectual property that could interfere with our ability to market, promote and sell our brands, products and services. Any litigation to enforce our intellectual property rights or defend ourselves against claims of infringement of third-party intellectual property rights, regardless of merit, could be costly, divert attention of management and may not ultimately be resolved in our favor.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 Even if we were to prevail, the time and resources necessary to resolve such disputes could be costly, time-consuming and divert the attention of management from our business operations.</w:t>
      </w:r>
    </w:p>
    <w:p>
      <w:pPr>
        <w:spacing w:after="0" w:line="178"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If we fail to obtain protection for the intellectual property rights concerning our AI Tools, or later have our intellectual property rights invalidated or otherwise diminished, our competitors may be able to take advantage of our research and development efforts to develop competing products. Given the long history of development of AI Tools, other parties may have (or in the future may obtain) patents or other proprietary rights that would prevent, limit or interfere with our ability to make, use or sell our own AI Tools.</w:t>
      </w:r>
    </w:p>
    <w:p>
      <w:pPr>
        <w:spacing w:after="0" w:line="169" w:lineRule="exact"/>
        <w:rPr>
          <w:sz w:val="20"/>
          <w:szCs w:val="20"/>
          <w:color w:val="auto"/>
        </w:rPr>
      </w:pPr>
    </w:p>
    <w:p>
      <w:pPr>
        <w:ind w:right="360" w:firstLine="749"/>
        <w:spacing w:after="0" w:line="266" w:lineRule="auto"/>
        <w:rPr>
          <w:sz w:val="20"/>
          <w:szCs w:val="20"/>
          <w:color w:val="auto"/>
        </w:rPr>
      </w:pPr>
      <w:r>
        <w:rPr>
          <w:rFonts w:ascii="Arial" w:cs="Arial" w:eastAsia="Arial" w:hAnsi="Arial"/>
          <w:sz w:val="17"/>
          <w:szCs w:val="17"/>
          <w:color w:val="auto"/>
        </w:rPr>
        <w:t>We are currently the registrant of the vroom.com, texasdirectauto.com, carstory.com, vast.com and unitedautocredit.net internet domain names and various other related domain names. The regulation of domain names in the United States is subject to change. Regulatory bodies could establish additional top-level domains, appoint additional domain name registrars or modify the requirements for holding domain names. As a result, we may not be able to acquire or maintain domain names that are important for our business.</w:t>
      </w:r>
    </w:p>
    <w:p>
      <w:pPr>
        <w:spacing w:after="0" w:line="145" w:lineRule="exact"/>
        <w:rPr>
          <w:sz w:val="20"/>
          <w:szCs w:val="20"/>
          <w:color w:val="auto"/>
        </w:rPr>
      </w:pPr>
    </w:p>
    <w:p>
      <w:pPr>
        <w:ind w:right="200" w:firstLine="749"/>
        <w:spacing w:after="0"/>
        <w:rPr>
          <w:sz w:val="20"/>
          <w:szCs w:val="20"/>
          <w:color w:val="auto"/>
        </w:rPr>
      </w:pPr>
      <w:r>
        <w:rPr>
          <w:rFonts w:ascii="Arial" w:cs="Arial" w:eastAsia="Arial" w:hAnsi="Arial"/>
          <w:sz w:val="18"/>
          <w:szCs w:val="18"/>
          <w:color w:val="auto"/>
        </w:rPr>
        <w:t>In addition, we have registered certain trademarks that are important to our business, such as the “Vroom®”, “Sell Us Your Car®”, “CarStory®”, “Vast®” and “United Auto Credit®” trademarks. While we are seeking, and have secured registration of several of our trademarks in the U.S. and other foreign jurisdictions (including Canada and Europe), it is possible that others may assert senior rights to similar trademarks and seek to prevent our use and further registration of our trademarks in certain jurisdictions. Additionally, our pending trademark or service mark applications may not result in such marks being registered in a timely manner or at all. If we fail to adequately protect or enforce our rights under these trademarks, we may lose the ability to use those trademarks or to prevent others from using them, which could adversely harm our reputation and our business, financial condition and results of operations.</w:t>
      </w:r>
    </w:p>
    <w:p>
      <w:pPr>
        <w:spacing w:after="0" w:line="169"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While software can be protected under copyright law, we have chosen not to register any copyrights in our proprietary software, and instead, primarily rely on trade secret law to protect our proprietary software. In order to bring a copyright infringement lawsuit in the United States, the copyright must be registered. Accordingly, the remedies and damages available to us for unauthorized use of our software may be limited. Furthermore, our trade secrets, know-how and other proprietary materials may be revealed to the public or our competitors or independently developed by our competitors and, as a result, may no longer provide protection for the related intellectual property.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Our CarStory business has a number of patents and we may obtain additional patents in the future. We may fail to apply for patents on important products, methods and technologies in a timely fashion or at all, or we may fail to apply for patents in potentially relevant jurisdictions. Moreover, we may fail to obtain issuance of any of the patent applications we do file. Effective protection of patents is complex, expensive and difficult to maintain, both in terms of filing costs as well as the costs of defending and enforcing our rights in our patents.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w:t>
      </w:r>
    </w:p>
    <w:p>
      <w:pPr>
        <w:spacing w:after="0" w:line="173"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b w:val="1"/>
          <w:bCs w:val="1"/>
          <w:i w:val="1"/>
          <w:iCs w:val="1"/>
          <w:color w:val="auto"/>
        </w:rPr>
        <w:t>Our agreements with employees and consultants may not effectively prevent unauthorized use of our intellectual property, and we may be subject to claims asserting that our employees or, consultants have wrongfully used or disclosed alleged trade secrets of their current or former employers or claims asserting ownership of what we regard as our own intellectual property.</w:t>
      </w:r>
    </w:p>
    <w:p>
      <w:pPr>
        <w:spacing w:after="0" w:line="14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As part of our efforts to protect our intellectual property, technology and confidential information, we require employees and contractors who may be involved in the creation or development of intellectual property to enter into confidentiality and assignment of inventions agreements, and we also require certain third parties to enter into nondisclosure agreements. However, we may not be successful in having all such employees, contractors or third parties enter into such agreements. These agreements may not effectively grant all necessary rights to any inventions that may have been developed by our employees and consultants. In addition, while these agreements will give us contractual remedies upon unauthorized use or disclosure of our intellectual property or confidential information, these agreements may not effectively prevent unauthorized use or disclosure of our confidential information, intellectual property or technology and we may not be able to detect such unauthorized activity.</w:t>
      </w:r>
    </w:p>
    <w:p>
      <w:pPr>
        <w:spacing w:after="0" w:line="171" w:lineRule="exact"/>
        <w:rPr>
          <w:sz w:val="20"/>
          <w:szCs w:val="20"/>
          <w:color w:val="auto"/>
        </w:rPr>
      </w:pPr>
    </w:p>
    <w:p>
      <w:pPr>
        <w:ind w:right="360" w:firstLine="749"/>
        <w:spacing w:after="0" w:line="241" w:lineRule="auto"/>
        <w:rPr>
          <w:sz w:val="20"/>
          <w:szCs w:val="20"/>
          <w:color w:val="auto"/>
        </w:rPr>
      </w:pPr>
      <w:r>
        <w:rPr>
          <w:rFonts w:ascii="Arial" w:cs="Arial" w:eastAsia="Arial" w:hAnsi="Arial"/>
          <w:sz w:val="18"/>
          <w:szCs w:val="18"/>
          <w:color w:val="auto"/>
        </w:rPr>
        <w:t>Although we try to ensure that our employees, consultants and advisors do not use the proprietary information or know -how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which could be costly and time-consuming. If we fail in defending any such claims, in addition to paying monetary damages, we may lose valuable intellectual property rights or personnel. Even if we are successful in defending against such claims, litigation could result in substantial costs and divert the attention of management.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on licenses to use the intellectual property rights of third parties which are incorporated into our products and services. Failure to renew or expand existing licenses may require us to modify, limit or discontinue certain offerings, which could materially affect our business, financial condition and results of operations.</w:t>
      </w:r>
    </w:p>
    <w:p>
      <w:pPr>
        <w:spacing w:after="0" w:line="145"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color w:val="auto"/>
        </w:rPr>
        <w:t>We rely on products, technologies and intellectual property that we license from third parties for use in our products and services. We cannot assure that these third-party licenses, or support for such licensed products and technologies, will continue to be available to us on commercially reasonable terms, if at all. In the event that we cannot renew or expand existing licenses, we may be required to discontinue or limit our use of the products or services that include or incorporate the licensed intellectual property.</w:t>
      </w:r>
    </w:p>
    <w:p>
      <w:pPr>
        <w:spacing w:after="0" w:line="163"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We cannot be certain that our licensors are not infringing the intellectual property rights of others or that our suppliers and licensors have sufficient rights to the technology in all jurisdictions in which we may operate.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products and services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 If alternate technology cannot be obtained or developed, we may not be able to offer certain functionality as part of our products and services, which could adversely affect our business, financial condition and results of operations.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utilize third party open-source software components in some of the solutions we license to our clients deliverables we develop and create for our clients, and failure to comply with the terms of the underlying open-source software licenses could subject us or our clients to possible litigation.</w:t>
      </w:r>
    </w:p>
    <w:p>
      <w:pPr>
        <w:spacing w:after="0" w:line="145" w:lineRule="exact"/>
        <w:rPr>
          <w:sz w:val="20"/>
          <w:szCs w:val="20"/>
          <w:color w:val="auto"/>
        </w:rPr>
      </w:pPr>
    </w:p>
    <w:p>
      <w:pPr>
        <w:ind w:right="240" w:firstLine="749"/>
        <w:spacing w:after="0" w:line="238" w:lineRule="auto"/>
        <w:rPr>
          <w:sz w:val="20"/>
          <w:szCs w:val="20"/>
          <w:color w:val="auto"/>
        </w:rPr>
      </w:pPr>
      <w:r>
        <w:rPr>
          <w:rFonts w:ascii="Arial" w:cs="Arial" w:eastAsia="Arial" w:hAnsi="Arial"/>
          <w:sz w:val="18"/>
          <w:szCs w:val="18"/>
          <w:color w:val="auto"/>
        </w:rPr>
        <w:t>We use open-source software in some of our proprietary software, and we expect to continue to use open-source software in the future. The use and distribution of open-source software is accompanied by the risk that open-source licensors generally do not provide warranties, indemnification or other contractual provisions regarding the quality of the code or intellectual property infringement claims protections. To the extent that our proprietary software depends upon the successful operation of open-source software, any undetected errors or defects in this open-source software could prevent the deployment or impair the functionality of such technologies and injure our reputation. In addition, some open source licenses contain terms requiring us to make available source code for modifications or derivative works we create based upon the type of open-source software we use or grant other licenses to our intellectual property. Although we monitor our use of open-source software to avoid subjecting our software to conditions we do not intend, we cannot assure you that our processes for controlling our use of open-source software in our software will be effective. Additionally, we could be subject to third-party claims asserting ownership of, or demanding release of, the open-source software or derivative works that we developed using such software, or otherwise seeking to enforce the terms of the applicable open-source license. Such claims could result in litigation and/or substantial costs to defend and resolve.</w:t>
      </w:r>
    </w:p>
    <w:p>
      <w:pPr>
        <w:spacing w:after="0" w:line="168"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45" w:lineRule="exact"/>
        <w:rPr>
          <w:sz w:val="20"/>
          <w:szCs w:val="20"/>
          <w:color w:val="auto"/>
        </w:rPr>
      </w:pPr>
    </w:p>
    <w:p>
      <w:pPr>
        <w:ind w:right="220" w:firstLine="749"/>
        <w:spacing w:after="0" w:line="241" w:lineRule="auto"/>
        <w:rPr>
          <w:sz w:val="20"/>
          <w:szCs w:val="20"/>
          <w:color w:val="auto"/>
        </w:rPr>
      </w:pPr>
      <w:r>
        <w:rPr>
          <w:rFonts w:ascii="Arial" w:cs="Arial" w:eastAsia="Arial" w:hAnsi="Arial"/>
          <w:sz w:val="18"/>
          <w:szCs w:val="18"/>
          <w:color w:val="auto"/>
        </w:rPr>
        <w:t>Although we try to ensure that our employees, consultants and advisors do not use the proprietary information or know -how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69" w:lineRule="exact"/>
        <w:rPr>
          <w:sz w:val="20"/>
          <w:szCs w:val="20"/>
          <w:color w:val="auto"/>
        </w:rPr>
      </w:pPr>
    </w:p>
    <w:p>
      <w:pPr>
        <w:ind w:right="280" w:firstLine="749"/>
        <w:spacing w:after="0" w:line="243"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third parties or defend claims that they may bring against us to determine the ownership of what we regard as our intellectual property.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0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Our common stock price may be volatile and the value of our common stock has declined since our initial public offering and may continue to decline regardless of our operating performance, and you may not be able to resell your shares at or above the price which you paid for them.</w:t>
      </w:r>
    </w:p>
    <w:p>
      <w:pPr>
        <w:spacing w:after="0" w:line="145" w:lineRule="exact"/>
        <w:rPr>
          <w:sz w:val="20"/>
          <w:szCs w:val="20"/>
          <w:color w:val="auto"/>
        </w:rPr>
      </w:pPr>
    </w:p>
    <w:p>
      <w:pPr>
        <w:ind w:right="60" w:firstLine="749"/>
        <w:spacing w:after="0" w:line="271" w:lineRule="auto"/>
        <w:rPr>
          <w:sz w:val="20"/>
          <w:szCs w:val="20"/>
          <w:color w:val="auto"/>
        </w:rPr>
      </w:pPr>
      <w:r>
        <w:rPr>
          <w:rFonts w:ascii="Arial" w:cs="Arial" w:eastAsia="Arial" w:hAnsi="Arial"/>
          <w:sz w:val="18"/>
          <w:szCs w:val="18"/>
          <w:color w:val="auto"/>
        </w:rPr>
        <w:t>It is possible that an active trading market for shares of our common stock will not be sustained, which could make it difficult for you to sell your shares of common stock at an attractive price or at all.</w:t>
      </w:r>
    </w:p>
    <w:p>
      <w:pPr>
        <w:spacing w:after="0" w:line="139" w:lineRule="exact"/>
        <w:rPr>
          <w:sz w:val="20"/>
          <w:szCs w:val="20"/>
          <w:color w:val="auto"/>
        </w:rPr>
      </w:pPr>
    </w:p>
    <w:p>
      <w:pPr>
        <w:ind w:right="400" w:firstLine="749"/>
        <w:spacing w:after="0" w:line="301" w:lineRule="auto"/>
        <w:rPr>
          <w:sz w:val="20"/>
          <w:szCs w:val="20"/>
          <w:color w:val="auto"/>
        </w:rPr>
      </w:pPr>
      <w:r>
        <w:rPr>
          <w:rFonts w:ascii="Arial" w:cs="Arial" w:eastAsia="Arial" w:hAnsi="Arial"/>
          <w:sz w:val="17"/>
          <w:szCs w:val="17"/>
          <w:color w:val="auto"/>
        </w:rPr>
        <w:t>Many factors, some of which are outside our control, may cause the market price of our common stock to fluctuate significantly, including those described in this “Risk Factors” section and the "Risk Factors" section in our Annual Report, as well as the following:</w:t>
      </w:r>
    </w:p>
    <w:p>
      <w:pPr>
        <w:spacing w:after="0" w:line="224" w:lineRule="exact"/>
        <w:rPr>
          <w:sz w:val="20"/>
          <w:szCs w:val="20"/>
          <w:color w:val="auto"/>
        </w:rPr>
      </w:pPr>
    </w:p>
    <w:p>
      <w:pPr>
        <w:ind w:left="1020" w:right="40" w:hanging="504"/>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operating and financial performance and prospects, including as a result of operational changes and initiatives we are taking as part of our Value Maximization Plan;</w:t>
      </w:r>
    </w:p>
    <w:p>
      <w:pPr>
        <w:spacing w:after="0" w:line="45" w:lineRule="exact"/>
        <w:rPr>
          <w:rFonts w:ascii="Times New Roman" w:cs="Times New Roman" w:eastAsia="Times New Roman" w:hAnsi="Times New Roman"/>
          <w:sz w:val="18"/>
          <w:szCs w:val="18"/>
          <w:color w:val="auto"/>
        </w:rPr>
      </w:pPr>
    </w:p>
    <w:p>
      <w:pPr>
        <w:ind w:left="1020" w:right="500" w:hanging="504"/>
        <w:spacing w:after="0" w:line="270"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discontinuation of our ecommerce operations and wind-down of our used vehicle dealership business and our ability to reduce the related costs;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delisting of our common stock, as described below;</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grow and develop the UACC and CarStory businesses;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26"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liquidity and ability to raise capital;</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guidance regarding future quarterly or annual earnings, and our financial results in relation to previously issued guidance;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achieve the benefits of any cost saving measures;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future announcements concerning our businesses or our competitors’ businesses;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market and industry perception of our success, or lack thereof, in pursuing our business strategy;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market sentiment regarding growth companies that are not yet profitable;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or regulations which adversely affect our industry or us;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senior management or key personnel and the impact of reductions in our workforce;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issuances, exchanges or sales, or expected issuances, exchanges or sales of our capital stock;</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our dividend policy;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new, or adverse resolution of pending, litigation or other claims against us;</w:t>
      </w:r>
    </w:p>
    <w:p>
      <w:pPr>
        <w:spacing w:after="0" w:line="115" w:lineRule="exact"/>
        <w:rPr>
          <w:rFonts w:ascii="Times New Roman" w:cs="Times New Roman" w:eastAsia="Times New Roman" w:hAnsi="Times New Roman"/>
          <w:sz w:val="18"/>
          <w:szCs w:val="18"/>
          <w:color w:val="auto"/>
        </w:rPr>
      </w:pPr>
    </w:p>
    <w:p>
      <w:pPr>
        <w:ind w:left="1020" w:right="180" w:hanging="504"/>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global political unrest and wars, including geopolitical conflicts and war in Europe and the Middle East, which could delay and disrupt our business, and if such political unrest further escalates or leads to disruptions in the financial markets or puts further pressure on global supply chains, it could heighten many of the other risk factors included in this Item 1A;</w:t>
      </w:r>
    </w:p>
    <w:p>
      <w:pPr>
        <w:spacing w:after="0" w:line="61" w:lineRule="exact"/>
        <w:rPr>
          <w:rFonts w:ascii="Times New Roman" w:cs="Times New Roman" w:eastAsia="Times New Roman" w:hAnsi="Times New Roman"/>
          <w:sz w:val="18"/>
          <w:szCs w:val="18"/>
          <w:color w:val="auto"/>
        </w:rPr>
      </w:pPr>
    </w:p>
    <w:p>
      <w:pPr>
        <w:ind w:left="1020" w:right="60" w:hanging="504"/>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current inflationary environment in the United States and in other global economies, the impact of high interest rates and the impact of any recession or general economic downturn;</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volatility in the banking industry; and</w:t>
      </w:r>
    </w:p>
    <w:p>
      <w:pPr>
        <w:spacing w:after="0" w:line="115" w:lineRule="exact"/>
        <w:rPr>
          <w:rFonts w:ascii="Times New Roman" w:cs="Times New Roman" w:eastAsia="Times New Roman" w:hAnsi="Times New Roman"/>
          <w:sz w:val="18"/>
          <w:szCs w:val="18"/>
          <w:color w:val="auto"/>
        </w:rPr>
      </w:pPr>
    </w:p>
    <w:p>
      <w:pPr>
        <w:ind w:left="1020" w:right="260" w:hanging="504"/>
        <w:spacing w:after="0" w:line="252"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other changes in general market, economic and political conditions in the United States and global economies or financial markets, including those resulting from the federal government's ongoing negotiations regarding the federal debt limit, natural disasters, terrorist attacks, global pandemics, and responses to such events</w:t>
      </w:r>
    </w:p>
    <w:p>
      <w:pPr>
        <w:spacing w:after="0" w:line="156"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As a result, volatility in the market price of our common stock may prevent investors from being able to sell their common stock at or above the price which they paid for them. These broad market and industry factors may materially reduce the market price of our common stock, regardless of our operating performance. In addition, price volatility may be greater if the public float and trading volume of our common stock is low. As a result, you may suffer a loss on your investment. Broad market and industry fluctuations, as well as general economic, political, regulatory, and market conditions, may negatively impact the market price of our common stock.</w:t>
      </w:r>
    </w:p>
    <w:p>
      <w:pPr>
        <w:spacing w:after="0" w:line="166"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We have experienced significant declines in the market price of our common stock, and it could continue to decline in the future, including as a result of the execution and implementation of our Value Maximization Plan. Further declines in our stock price could, among other things, make it more difficult to raise capital on terms acceptable to us, or at all, and make it difficult for our investors to sell their shares of common stock. If our stock price again closes below $ 1.00 per share minimum bid price for 30 consecutive business days, we would be out of compliance with the $ 1.00 per share minimum bid price requirement for continued inclusion on the Nasdaq Global Select Market and our stock would be at risk of delisting. See "Risk Factors—We may be unable to satisfy a continued listing rule from the Nasdaq" and "Risk Factors—Our indebtedness and liabilities could limit the cash flow available for our operations, expose us to risks that could adversely affect our business, financial condition and results of operations and impair our ability to satisfy our debt obligations" for more information on the risk of delisting from the Nasdaq Global Select Market. In addition, companies that experience volatility in the market price of their securities often are the subject of securities class action litigation. For example, a consolidated class action is pending in the U.S. District Court for the Southern District of New York against us,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certain of our officers, and certain of our directors, among others, alleging violations of the federal securities laws. See Part I, Item 3. “Legal Proceedings.”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196"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businesses.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could also adversely affect the market price of our common stock.</w:t>
      </w:r>
    </w:p>
    <w:p>
      <w:pPr>
        <w:spacing w:after="0" w:line="170" w:lineRule="exact"/>
        <w:rPr>
          <w:sz w:val="20"/>
          <w:szCs w:val="20"/>
          <w:color w:val="auto"/>
        </w:rPr>
      </w:pPr>
    </w:p>
    <w:p>
      <w:pPr>
        <w:ind w:right="420"/>
        <w:spacing w:after="0" w:line="278"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125"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and adversely affect the market price and the voting and other rights of the holders of our common stock.</w:t>
      </w:r>
    </w:p>
    <w:p>
      <w:pPr>
        <w:spacing w:after="0" w:line="171"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The issuance by us of additional shares of common stock or convertible securities would significantly dilute your ownership of us and could adversely affect our stock price.</w:t>
      </w:r>
    </w:p>
    <w:p>
      <w:pPr>
        <w:spacing w:after="0" w:line="125"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We may seek additional equity or debt financing. The issuance of any additional capital stock would result in significant dilution to our stockholders. We also expect to continue to grant equity awards to employees, directors and consultants under our equity incentive plans.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171"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The issuance or sale of shares of our common stock, or rights to acquire shares of our common stock, could depress the trading price of our common stock and our notes, and would significantly dilute existing stockholders.</w:t>
      </w:r>
    </w:p>
    <w:p>
      <w:pPr>
        <w:spacing w:after="0" w:line="125"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We may conduct future offerings of our common stock, preferred stock or other securities that are convertible into or exercisable for our common stock to finance our operations or fund acquisitions, or for other purposes. On December 1, 2023, we filed a prospectus supplement with the SEC under which we may offer and sell from time to time and at our discretion shares of our common stock having an aggregate offering price of up to $50.0 million pursuant to an “at the market” offering program (the “ATM Program”). As of December 31, 2023, we had issued 43,483 shares of common stock under the ATM program for net proceeds of $2.4 million. In addition, as of December 31, 2023, we had reserved 53,537 shares of our common stock for issuance under our equity incentive plans. The Indenture for our Notes does not restrict our ability to issue additional equity securities. If we issue or sell additional shares of our common stock or rights to acquire shares of our common stock, if any of our existing stockholders sells a substantial amount of our common stock, or if the market perceives that such issuances or sales may occur, then the trading price of our common stock, and, accordingly, our Notes may significantly decline. In addition, our issuance or sale of additional shares of common stock would significantly dilute the ownership interests of our existing common stockholders, including noteholders who receive shares of our common stock upon conversion of their Notes.</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125" w:lineRule="exact"/>
        <w:rPr>
          <w:sz w:val="20"/>
          <w:szCs w:val="20"/>
          <w:color w:val="auto"/>
        </w:rPr>
      </w:pPr>
    </w:p>
    <w:p>
      <w:pPr>
        <w:ind w:right="60" w:firstLine="749"/>
        <w:spacing w:after="0" w:line="257" w:lineRule="auto"/>
        <w:rPr>
          <w:sz w:val="20"/>
          <w:szCs w:val="20"/>
          <w:color w:val="auto"/>
        </w:rPr>
      </w:pPr>
      <w:r>
        <w:rPr>
          <w:rFonts w:ascii="Arial" w:cs="Arial" w:eastAsia="Arial" w:hAnsi="Arial"/>
          <w:sz w:val="17"/>
          <w:szCs w:val="17"/>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 Other than shares held by our affiliates, stockholders who held our capital stock prior to completion of our IPO now hold freely tradable shares of our common stock without restriction or further registration requirements under the Securities Act, and therefore they may take steps to sell their shares or otherwise secure any unrecognized gains on those shares. Additionally, any shares of common stock held by our affiliates are eligible for resale pursuant to Rule 144 under the Securities Act, subject to the volume, manner of sale, holding period and other limitations of Rule 144.</w:t>
      </w:r>
    </w:p>
    <w:p>
      <w:pPr>
        <w:spacing w:after="0" w:line="153" w:lineRule="exact"/>
        <w:rPr>
          <w:sz w:val="20"/>
          <w:szCs w:val="20"/>
          <w:color w:val="auto"/>
        </w:rPr>
      </w:pPr>
    </w:p>
    <w:p>
      <w:pPr>
        <w:ind w:right="60" w:firstLine="749"/>
        <w:spacing w:after="0" w:line="258" w:lineRule="auto"/>
        <w:rPr>
          <w:sz w:val="20"/>
          <w:szCs w:val="20"/>
          <w:color w:val="auto"/>
        </w:rPr>
      </w:pPr>
      <w:r>
        <w:rPr>
          <w:rFonts w:ascii="Arial" w:cs="Arial" w:eastAsia="Arial" w:hAnsi="Arial"/>
          <w:sz w:val="17"/>
          <w:szCs w:val="17"/>
          <w:color w:val="auto"/>
        </w:rPr>
        <w:t>On December 1, 2023, we filed a prospectus supplement with the SEC for our ATM Program. As of December 31, 2023, we had issued 43,483 shares of common stock under our ATM program for net proceeds of $2.4 million. In addition, we filed a registration statement on Form S-8 to register shares of our common stock issued or reserved for issuance under our 2020 Incentive Award Plan and Second Amended and Restated 2014 Equity Incentive Plan, as well as a registration statement on Form S-8 to register shares of our common stock issued or reserved for issuance under our 2022 Inducement Award Plan. Subject to the satisfaction of vesting conditions, shares registered under these registration statements on Form S-8 became available for resale immediately in the public market without restriction.</w:t>
      </w:r>
    </w:p>
    <w:p>
      <w:pPr>
        <w:spacing w:after="0" w:line="155" w:lineRule="exact"/>
        <w:rPr>
          <w:sz w:val="20"/>
          <w:szCs w:val="20"/>
          <w:color w:val="auto"/>
        </w:rPr>
      </w:pPr>
    </w:p>
    <w:p>
      <w:pPr>
        <w:ind w:right="160" w:firstLine="749"/>
        <w:spacing w:after="0" w:line="301" w:lineRule="auto"/>
        <w:rPr>
          <w:sz w:val="20"/>
          <w:szCs w:val="20"/>
          <w:color w:val="auto"/>
        </w:rPr>
      </w:pPr>
      <w:r>
        <w:rPr>
          <w:rFonts w:ascii="Arial" w:cs="Arial" w:eastAsia="Arial" w:hAnsi="Arial"/>
          <w:sz w:val="17"/>
          <w:szCs w:val="17"/>
          <w:color w:val="auto"/>
        </w:rPr>
        <w:t>Further, certain holders of our common stock have rights, subject to some conditions, to require us to file registration statements covering the sale of their shares or to include their shares in registration statements that we may file on our behalf or for other stockholders.</w:t>
      </w:r>
    </w:p>
    <w:p>
      <w:pPr>
        <w:spacing w:after="0" w:line="116" w:lineRule="exact"/>
        <w:rPr>
          <w:sz w:val="20"/>
          <w:szCs w:val="20"/>
          <w:color w:val="auto"/>
        </w:rPr>
      </w:pPr>
    </w:p>
    <w:p>
      <w:pPr>
        <w:ind w:right="240" w:firstLine="749"/>
        <w:spacing w:after="0" w:line="301" w:lineRule="auto"/>
        <w:rPr>
          <w:sz w:val="20"/>
          <w:szCs w:val="20"/>
          <w:color w:val="auto"/>
        </w:rPr>
      </w:pPr>
      <w:r>
        <w:rPr>
          <w:rFonts w:ascii="Arial" w:cs="Arial" w:eastAsia="Arial" w:hAnsi="Arial"/>
          <w:sz w:val="17"/>
          <w:szCs w:val="17"/>
          <w:color w:val="auto"/>
        </w:rPr>
        <w:t>We are unable to predict the timing of or the effect that such sales may have on the prevailing market price of our common stock, which in turn may impact our continued listing on Nasdaq. See “We may be unable to satisfy a continued listing rule from the Nasdaq”.</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satisfy a continued listing rule from Nasdaq.</w:t>
      </w:r>
    </w:p>
    <w:p>
      <w:pPr>
        <w:spacing w:after="0" w:line="209" w:lineRule="exact"/>
        <w:rPr>
          <w:sz w:val="20"/>
          <w:szCs w:val="20"/>
          <w:color w:val="auto"/>
        </w:rPr>
      </w:pPr>
    </w:p>
    <w:p>
      <w:pPr>
        <w:ind w:right="80" w:firstLine="749"/>
        <w:spacing w:after="0" w:line="237" w:lineRule="auto"/>
        <w:rPr>
          <w:sz w:val="20"/>
          <w:szCs w:val="20"/>
          <w:color w:val="auto"/>
        </w:rPr>
      </w:pPr>
      <w:r>
        <w:rPr>
          <w:rFonts w:ascii="Arial" w:cs="Arial" w:eastAsia="Arial" w:hAnsi="Arial"/>
          <w:sz w:val="18"/>
          <w:szCs w:val="18"/>
          <w:color w:val="auto"/>
        </w:rPr>
        <w:t>The Nasdaq Stock Market LLC ("Nasdaq") maintains several requirements for continued listing of our common stock, one of which is the maintenance of a minimum closing bid price of $1.00. On December 21, 2023, we received written notice from Nasdaq notifying us that, for the prior 30 consecutive business days, the bid price for our common stock had closed below the $1.00 minimum bid price requirement for continued inclusion on the Nasdaq Global Select Market. On February 13, 2024, after obtaining stockholder approval, we effected a 1-for-80 reverse stock split (the “Reverse Stock Split”), and our stock began trading on a post-split adjusted basis on February 14, 2024. On February 29, 2024, we were notified by Nasdaq Listing Qualifications that the closing bid price of our common stock had been at $1.00 per share or greater for 11 consecutive business days, from February 14, 2024 to February 28, 2024. Accordingly, the Company has regained compliance with Nasdaq Listing Rule 5450(a)(1) and this matter is now closed. However, if our common stock again closes below the $1.00 per share minimum bid price required by Nasdaq for 30 consecutive business days, we would receive another notice of non-compliance with Nasdaq's listing standards and may be provided a period of 180 calendar days from the date of such notice to regain compliance with the minimum bid closing price requirement of at least $1.00 per share for a minimum of 10 consecutive business days. However, there can be no assurance that our common stock will continue to close at or above the $1.00 per share minimum bid price as required by Nasdaq, or that we will otherwise meet the requirements of Nasdaq for continued inclusion for trading on Nasdaq Global Select Market.</w:t>
      </w:r>
    </w:p>
    <w:p>
      <w:pPr>
        <w:spacing w:after="0" w:line="172" w:lineRule="exact"/>
        <w:rPr>
          <w:sz w:val="20"/>
          <w:szCs w:val="20"/>
          <w:color w:val="auto"/>
        </w:rPr>
      </w:pPr>
    </w:p>
    <w:p>
      <w:pPr>
        <w:ind w:right="560" w:firstLine="749"/>
        <w:spacing w:after="0" w:line="271" w:lineRule="auto"/>
        <w:rPr>
          <w:sz w:val="20"/>
          <w:szCs w:val="20"/>
          <w:color w:val="auto"/>
        </w:rPr>
      </w:pPr>
      <w:r>
        <w:rPr>
          <w:rFonts w:ascii="Arial" w:cs="Arial" w:eastAsia="Arial" w:hAnsi="Arial"/>
          <w:sz w:val="18"/>
          <w:szCs w:val="18"/>
          <w:color w:val="auto"/>
        </w:rPr>
        <w:t>We intend to continue to actively monitor the closing bid price of our common stock and, if we lose compliance with Nasdaq’s minimum bid price closing requirements, will consider all available options to regain compliance.</w:t>
      </w:r>
    </w:p>
    <w:p>
      <w:pPr>
        <w:spacing w:after="0" w:line="139"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If our common stock is delisted in the future, it is unlikely that we will be able to list our common stock on another national securities exchange and, as a result, we expect our securities would be quoted on an over-the-counter market. If this were to occur, we and our stockholders could face significant material adverse consequences, including limited availability of market quotations and analyst coverage for our common stock, and reduced liquidity for the trading of our securities. In addition, a delisting would constitute a fundamental change under the terms of our Indenture and make our Notes redeemable at par upon delisting (as described further below), and we could also experience a decreased ability to issue additional securities and obtain additional financing in the future. Delisting also could result in, among other things, 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loss of investor confidence or interest in strategic transactions or opportunities, us being subject to regulation in each state in which we offer our securities, and difficulty in recruiting and retaining personnel through equity incentive awards.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obligations associated with being a public company require significant resources and management attention.</w:t>
      </w:r>
    </w:p>
    <w:p>
      <w:pPr>
        <w:spacing w:after="0" w:line="196"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As a public company, we face significant legal, accounting, administrative and other costs and expenses. We are subject to the Exchange Act, the rules and regulations implemented by the SEC, the Sarbanes-Oxley Act of 2022, as amended (the "Sarbanes Oxley-Act"), the Wall Street Reform and Consumer Protection Act of 2020 (the “Dodd-Frank Act”), the Public Company Accounting Oversight Board (“PCAOB”) and Nasdaq rules and standards, each of which imposes additional reporting and other obligations on public companies. As a public company, we are required to, among other things:</w:t>
      </w:r>
    </w:p>
    <w:p>
      <w:pPr>
        <w:spacing w:after="0" w:line="274" w:lineRule="exact"/>
        <w:rPr>
          <w:sz w:val="20"/>
          <w:szCs w:val="20"/>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prepare, file and distribute annual, quarterly and current reports with respect to our business and financial condition;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prepare, file and distribute proxy statements and other stockholder communications;</w:t>
      </w:r>
    </w:p>
    <w:p>
      <w:pPr>
        <w:spacing w:after="0" w:line="115" w:lineRule="exact"/>
        <w:rPr>
          <w:rFonts w:ascii="Times New Roman" w:cs="Times New Roman" w:eastAsia="Times New Roman" w:hAnsi="Times New Roman"/>
          <w:sz w:val="18"/>
          <w:szCs w:val="18"/>
          <w:color w:val="auto"/>
        </w:rPr>
      </w:pPr>
    </w:p>
    <w:p>
      <w:pPr>
        <w:ind w:left="1020" w:right="480" w:hanging="504"/>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retain financial and accounting personnel and other experienced accounting and finance staff with the expertise to address complex accounting matters applicable to public companies;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institute comprehensive financial reporting and disclosure compliance procedures;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involve and retain outside counsel and accountants to assist us with the activities listed above;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enhance our investor relations function;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enforce new internal policies, including those relating to trading in our securities and disclosure controls and procedures;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comply with Nasdaq’s listing standards;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comply with the Sarbanes-Oxley Act.</w:t>
      </w:r>
    </w:p>
    <w:p>
      <w:pPr>
        <w:spacing w:after="0" w:line="210"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These rules and regulations and changes in laws, regulations and standards relating to corporate governance and public disclosure, which have created uncertainty for public companies, have and will continue to increase our legal and financial compliance costs and make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has and will continue to result in increased administrative expenses and a diversion of management’s time and attention from revenue-generating activities to compliance activities, which could have a material adverse effect on our businesses, financial condition and results of operations.</w:t>
      </w:r>
    </w:p>
    <w:p>
      <w:pPr>
        <w:spacing w:after="0" w:line="159"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In addition, the need to continue to develop the corporate infrastructure demanded of a public company may also divert management’s attention from implementing our business strategy, including our Value Maximization Plan, which could prevent us from improving our businesses, financial condition and results of operations.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comply with these requirements. We anticipate that these costs will materially increase our general and administrative expenses.</w:t>
      </w:r>
    </w:p>
    <w:p>
      <w:pPr>
        <w:spacing w:after="0" w:line="169" w:lineRule="exact"/>
        <w:rPr>
          <w:sz w:val="20"/>
          <w:szCs w:val="20"/>
          <w:color w:val="auto"/>
        </w:rPr>
      </w:pPr>
    </w:p>
    <w:p>
      <w:pPr>
        <w:ind w:right="200" w:firstLine="749"/>
        <w:spacing w:after="0" w:line="246" w:lineRule="auto"/>
        <w:rPr>
          <w:sz w:val="20"/>
          <w:szCs w:val="20"/>
          <w:color w:val="auto"/>
        </w:rPr>
      </w:pPr>
      <w:r>
        <w:rPr>
          <w:rFonts w:ascii="Arial" w:cs="Arial" w:eastAsia="Arial" w:hAnsi="Arial"/>
          <w:sz w:val="18"/>
          <w:szCs w:val="18"/>
          <w:color w:val="auto"/>
        </w:rPr>
        <w:t>Being a public company and complying with applicable rules and regulations could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125"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As of December 31, 2023, we are a “smaller reporting company” as defined under the rules promulgated under the Exchange Act. We will remain a smaller reporting company until the fiscal year following the determination that either (i) the value of our voting and non-voting common shares held by non-affiliates is $250 million or more measured on the last business day of our second fiscal quarter or (ii) our annual revenues are $100 million or more during the most recently completed fiscal year and the value of our voting and non-voting common shares held by non-affiliates is $700 million or more measured on the last business day of our second fiscal quarter.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or supplemental financial information.</w:t>
      </w:r>
    </w:p>
    <w:p>
      <w:pPr>
        <w:spacing w:after="0" w:line="171" w:lineRule="exact"/>
        <w:rPr>
          <w:sz w:val="20"/>
          <w:szCs w:val="20"/>
          <w:color w:val="auto"/>
        </w:rPr>
      </w:pPr>
    </w:p>
    <w:p>
      <w:pPr>
        <w:ind w:right="280" w:firstLine="749"/>
        <w:spacing w:after="0" w:line="252" w:lineRule="auto"/>
        <w:rPr>
          <w:sz w:val="20"/>
          <w:szCs w:val="20"/>
          <w:color w:val="auto"/>
        </w:rPr>
      </w:pPr>
      <w:r>
        <w:rPr>
          <w:rFonts w:ascii="Arial" w:cs="Arial" w:eastAsia="Arial" w:hAnsi="Arial"/>
          <w:sz w:val="18"/>
          <w:szCs w:val="18"/>
          <w:color w:val="auto"/>
        </w:rPr>
        <w:t>We cannot predict whether investors will find our common stock less attractive because we have chosen to rely on any these exemptions. If some investors find our common stock less attractive as a result, there may be a less active trading market for our common stock and our stock price may be reduced or more volatile.</w:t>
      </w:r>
    </w:p>
    <w:p>
      <w:pPr>
        <w:spacing w:after="0" w:line="159"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b w:val="1"/>
          <w:bCs w:val="1"/>
          <w:i w:val="1"/>
          <w:iCs w:val="1"/>
          <w:color w:val="auto"/>
        </w:rPr>
        <w:t>As a public reporting company, we are subject to rules and regulations established from time to time by the SEC and Nasdaq regarding our internal control over financial reporting. If we experience material weaknesses or otherwise fail to maintain effective internal control over financial reporting and disclosure controls and procedures, we may not be able to accurately report our financial results or report them in a timely manner, which may adversely affect investor confidence in us and, as a result, the value of our common stock.</w:t>
      </w:r>
    </w:p>
    <w:p>
      <w:pPr>
        <w:spacing w:after="0" w:line="155" w:lineRule="exact"/>
        <w:rPr>
          <w:sz w:val="20"/>
          <w:szCs w:val="20"/>
          <w:color w:val="auto"/>
        </w:rPr>
      </w:pPr>
    </w:p>
    <w:p>
      <w:pPr>
        <w:ind w:right="480" w:firstLine="749"/>
        <w:spacing w:after="0" w:line="246" w:lineRule="auto"/>
        <w:rPr>
          <w:sz w:val="20"/>
          <w:szCs w:val="20"/>
          <w:color w:val="auto"/>
        </w:rPr>
      </w:pPr>
      <w:r>
        <w:rPr>
          <w:rFonts w:ascii="Arial" w:cs="Arial" w:eastAsia="Arial" w:hAnsi="Arial"/>
          <w:sz w:val="18"/>
          <w:szCs w:val="18"/>
          <w:color w:val="auto"/>
        </w:rPr>
        <w:t>We are a public reporting company subject to the rules and regulations established from time to time by the SEC and Nasdaq. These rules and regulations require, among other things, that we establish and periodically evaluate procedures with respect to our disclosure controls and procedures and our internal control over financial reporting. Reporting obligations as a public company place a considerable strain on our financial and management systems, processes and controls, as well as on our personnel.</w:t>
      </w:r>
    </w:p>
    <w:p>
      <w:pPr>
        <w:spacing w:after="0" w:line="163"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Section 404(a) of the Sarbanes-Oxley Act (“Section 404(a)”) requires that management assess and report annually on the effectiveness of our internal control over financial reporting and identify any material weaknesses in our internal control over financial reporting. Additionally, Section 404(b) requires our independent registered public accounting firm to issue an annual report that addresses the effectiveness of our internal control over financial reporting. Our compliance with Section 404(a) will require that we incur substantial expenses and expend significant management efforts.</w:t>
      </w:r>
    </w:p>
    <w:p>
      <w:pPr>
        <w:spacing w:after="0" w:line="169"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If we identify material weaknesses in our internal control over financial reporting, our management will be unable to assert that our disclosure controls and procedures and our internal control over financial reporting is effective. If we are unable to assert that our internal control over financial reporting is effective, or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71"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operating results could be adversely affected.</w:t>
      </w:r>
    </w:p>
    <w:p>
      <w:pPr>
        <w:spacing w:after="0" w:line="125"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in Part II, Item 7 of this Annual Report on Form 10-K. The results of these estimates form the basis for making judgments about the carrying values of assets, liabilities, expenses and related disclosures. On an ongoing basis, we evaluate our estimates, including, among others, those related to income taxes, the realizability of inventory, stock-based compensation, revenue-related reserves, as well as impairment of goodwill and long-lived assets. Our operating results may be adversely affected if our assumptions change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or if actual circumstances differ from those in our assumptions, which could cause our operating results to fall below the expectations of securities analysts and investors, resulting in a decline in the price of our common stock.</w:t>
      </w:r>
    </w:p>
    <w:p>
      <w:pPr>
        <w:spacing w:after="0" w:line="139" w:lineRule="exact"/>
        <w:rPr>
          <w:sz w:val="20"/>
          <w:szCs w:val="20"/>
          <w:color w:val="auto"/>
        </w:rPr>
      </w:pPr>
    </w:p>
    <w:p>
      <w:pPr>
        <w:ind w:right="660" w:firstLine="749"/>
        <w:spacing w:after="0" w:line="271" w:lineRule="auto"/>
        <w:rPr>
          <w:sz w:val="20"/>
          <w:szCs w:val="20"/>
          <w:color w:val="auto"/>
        </w:rPr>
      </w:pPr>
      <w:r>
        <w:rPr>
          <w:rFonts w:ascii="Arial" w:cs="Arial" w:eastAsia="Arial" w:hAnsi="Arial"/>
          <w:sz w:val="18"/>
          <w:szCs w:val="18"/>
          <w:color w:val="auto"/>
        </w:rPr>
        <w:t>The implementation of new accounting requirements or other changes to GAAP could have a material adverse effect on our reported results of operations and financial condition.</w:t>
      </w:r>
    </w:p>
    <w:p>
      <w:pPr>
        <w:spacing w:after="0" w:line="141" w:lineRule="exact"/>
        <w:rPr>
          <w:sz w:val="20"/>
          <w:szCs w:val="20"/>
          <w:color w:val="auto"/>
        </w:rPr>
      </w:pPr>
    </w:p>
    <w:p>
      <w:pPr>
        <w:ind w:right="560" w:firstLine="50"/>
        <w:spacing w:after="0" w:line="249" w:lineRule="auto"/>
        <w:rPr>
          <w:sz w:val="20"/>
          <w:szCs w:val="20"/>
          <w:color w:val="auto"/>
        </w:rPr>
      </w:pPr>
      <w:r>
        <w:rPr>
          <w:rFonts w:ascii="Arial" w:cs="Arial" w:eastAsia="Arial" w:hAnsi="Arial"/>
          <w:sz w:val="18"/>
          <w:szCs w:val="18"/>
          <w:b w:val="1"/>
          <w:bCs w:val="1"/>
          <w:i w:val="1"/>
          <w:iCs w:val="1"/>
          <w:color w:val="auto"/>
        </w:rPr>
        <w:t>Increased scrutiny and changing expectations from investors, consumers, employees, regulators, and others regarding our environmental, social and governance practices and reporting could cause us to incur additional costs, devote additional resources and expose us to additional risks, which could adversely impact our reputation, customer attraction and retention, access to capital and employee recruitment and retention.</w:t>
      </w:r>
    </w:p>
    <w:p>
      <w:pPr>
        <w:spacing w:after="0" w:line="191" w:lineRule="exact"/>
        <w:rPr>
          <w:sz w:val="20"/>
          <w:szCs w:val="20"/>
          <w:color w:val="auto"/>
        </w:rPr>
      </w:pPr>
    </w:p>
    <w:p>
      <w:pPr>
        <w:ind w:right="260" w:firstLine="749"/>
        <w:spacing w:after="0" w:line="241" w:lineRule="auto"/>
        <w:rPr>
          <w:sz w:val="20"/>
          <w:szCs w:val="20"/>
          <w:color w:val="auto"/>
        </w:rPr>
      </w:pPr>
      <w:r>
        <w:rPr>
          <w:rFonts w:ascii="Arial" w:cs="Arial" w:eastAsia="Arial" w:hAnsi="Arial"/>
          <w:sz w:val="18"/>
          <w:szCs w:val="18"/>
          <w:color w:val="auto"/>
        </w:rPr>
        <w:t>Companies across all industries are facing increasing scrutiny related to their environmental, social and governance (“ESG”) practices and reporting. Investors, consumers, employees and other stakeholders have focused increasingly on ESG practices and placed increasing importance on the implications and social cost of their investments, purchases and other interactions with companies. With this increased focus, public reporting regarding ESG practices is becoming more broadly expected. If our ESG practices and reporting do not meet investor, consumer or employee expectations, which continue to evolve, our brand, reputation and customer retention may be negatively impacted.</w:t>
      </w:r>
    </w:p>
    <w:p>
      <w:pPr>
        <w:spacing w:after="0" w:line="169" w:lineRule="exact"/>
        <w:rPr>
          <w:sz w:val="20"/>
          <w:szCs w:val="20"/>
          <w:color w:val="auto"/>
        </w:rPr>
      </w:pPr>
    </w:p>
    <w:p>
      <w:pPr>
        <w:ind w:right="200" w:firstLine="749"/>
        <w:spacing w:after="0" w:line="271" w:lineRule="auto"/>
        <w:rPr>
          <w:sz w:val="20"/>
          <w:szCs w:val="20"/>
          <w:color w:val="auto"/>
        </w:rPr>
      </w:pPr>
      <w:r>
        <w:rPr>
          <w:rFonts w:ascii="Arial" w:cs="Arial" w:eastAsia="Arial" w:hAnsi="Arial"/>
          <w:sz w:val="18"/>
          <w:szCs w:val="18"/>
          <w:color w:val="auto"/>
        </w:rPr>
        <w:t>Our ability to achieve any ESG objective is subject to numerous risks, many of which are outside of our control. Examples of such risks include:</w:t>
      </w:r>
    </w:p>
    <w:p>
      <w:pPr>
        <w:spacing w:after="0" w:line="45" w:lineRule="exact"/>
        <w:rPr>
          <w:sz w:val="20"/>
          <w:szCs w:val="20"/>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and cost of low- or non-carbon-based energy sources;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evolving regulatory requirements affecting ESG standards or disclosures;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suppliers that can meet sustainability, diversity and other ESG standards that we may set;</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recruit, develop and retain diverse talent in our labor markets;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organic growth and acquisitions or dispositions of businesses or operations.</w:t>
      </w:r>
    </w:p>
    <w:p>
      <w:pPr>
        <w:spacing w:after="0" w:line="210" w:lineRule="exact"/>
        <w:rPr>
          <w:sz w:val="20"/>
          <w:szCs w:val="20"/>
          <w:color w:val="auto"/>
        </w:rPr>
      </w:pPr>
    </w:p>
    <w:p>
      <w:pPr>
        <w:ind w:right="180" w:firstLine="749"/>
        <w:spacing w:after="0" w:line="243" w:lineRule="auto"/>
        <w:rPr>
          <w:sz w:val="20"/>
          <w:szCs w:val="20"/>
          <w:color w:val="auto"/>
        </w:rPr>
      </w:pPr>
      <w:r>
        <w:rPr>
          <w:rFonts w:ascii="Arial" w:cs="Arial" w:eastAsia="Arial" w:hAnsi="Arial"/>
          <w:sz w:val="18"/>
          <w:szCs w:val="18"/>
          <w:color w:val="auto"/>
        </w:rPr>
        <w:t>If we fail, or are perceived to be failing, to meet the standards included in any sustainability disclosure or the expectations of our various stakeholders, it could negatively impact our reputation, customer attraction and retention, access to capital and employee retention. In addition, new sustainability rules and regulations have been adopted and may continue to be introduced in various states and other jurisdictions. Our failure to comply with any applicable rules or regulations could lead to penalties and adversely impact our reputation, customer attraction and retention, access to capital and employee retention.</w:t>
      </w:r>
    </w:p>
    <w:p>
      <w:pPr>
        <w:spacing w:after="0" w:line="168"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Provisions in the Indenture governing our outstanding convertible notes could delay or prevent an otherwise beneficial takeover of us.</w:t>
      </w:r>
    </w:p>
    <w:p>
      <w:pPr>
        <w:spacing w:after="0" w:line="125"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On June 18, 2021, we issued $625.0 million aggregate principal amount of Notes, of which $290.5 million aggregate principal amount are still outstanding. Certain provisions in our Notes and our indenture governing our Notes could make a third party attempt to acquire us more difficult or expensive. For example, if a takeover constitutes a fundamental change, then noteholders will have the right to require us to repurchase their Notes for cash. In addition, if a takeover constitutes a make-whole fundamental change, then we may be required to temporarily increase the conversion rate. In either case, and in other cases, our obligations under our Notes and our indenture could increase the cost of acquiring us or otherwise discourage a third party from acquiring us or removing incumbent management, including in a transaction that our security holders may view as favorable.</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b w:val="1"/>
          <w:bCs w:val="1"/>
          <w:i w:val="1"/>
          <w:iCs w:val="1"/>
          <w:color w:val="auto"/>
        </w:rPr>
        <w:t>We may need to seek or raise additional debt or equity capital to pursue our business objectives and respond to business opportunities, challenges or unforeseen circumstances. If such capital is not available to us, our business, financial condition and results of operations would be materially and adversely affected.</w:t>
      </w:r>
    </w:p>
    <w:p>
      <w:pPr>
        <w:spacing w:after="0" w:line="145" w:lineRule="exact"/>
        <w:rPr>
          <w:sz w:val="20"/>
          <w:szCs w:val="20"/>
          <w:color w:val="auto"/>
        </w:rPr>
      </w:pPr>
    </w:p>
    <w:p>
      <w:pPr>
        <w:ind w:right="180" w:firstLine="749"/>
        <w:spacing w:after="0" w:line="243" w:lineRule="auto"/>
        <w:rPr>
          <w:sz w:val="20"/>
          <w:szCs w:val="20"/>
          <w:color w:val="auto"/>
        </w:rPr>
      </w:pPr>
      <w:r>
        <w:rPr>
          <w:rFonts w:ascii="Arial" w:cs="Arial" w:eastAsia="Arial" w:hAnsi="Arial"/>
          <w:sz w:val="18"/>
          <w:szCs w:val="18"/>
          <w:color w:val="auto"/>
        </w:rPr>
        <w:t>We may need to seek or raise additional debt or equity capital to in pursuit of various goals, including without limitation to fund our operations, pursue our business objectives, respond to business opportunities, challenges or unforeseen circumstances, successfully execute on our Value Maximization Plan, develop new products or services or further improve existing products and services, and acquire complementary businesses and technologies. To the extent we decide to seek or raise additional capital, there can be no assurance that additional funds, including any additional equity or debt financings, will be available in amounts or on terms acceptable to us, if at all.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8"/>
          <w:szCs w:val="18"/>
          <w:color w:val="auto"/>
        </w:rPr>
        <w:t>Moreover, any debt financing that we secure would result in additional debt service obligations and the instruments governing such debt could provide for restrictive operating and financial covenants, security interests on our assets, and other terms that could be adverse to our current stakeholders, which may make it more difficult for us to obtain additional capital and to pursue business opportunities. Volatility in the credit markets may also have an adverse effect on our ability to obtain debt financing.</w:t>
      </w:r>
    </w:p>
    <w:p>
      <w:pPr>
        <w:spacing w:after="0" w:line="163" w:lineRule="exact"/>
        <w:rPr>
          <w:sz w:val="20"/>
          <w:szCs w:val="20"/>
          <w:color w:val="auto"/>
        </w:rPr>
      </w:pPr>
    </w:p>
    <w:p>
      <w:pPr>
        <w:ind w:right="60" w:firstLine="749"/>
        <w:spacing w:after="0" w:line="252" w:lineRule="auto"/>
        <w:rPr>
          <w:sz w:val="20"/>
          <w:szCs w:val="20"/>
          <w:color w:val="auto"/>
        </w:rPr>
      </w:pPr>
      <w:r>
        <w:rPr>
          <w:rFonts w:ascii="Arial" w:cs="Arial" w:eastAsia="Arial" w:hAnsi="Arial"/>
          <w:sz w:val="18"/>
          <w:szCs w:val="18"/>
          <w:color w:val="auto"/>
        </w:rPr>
        <w:t>If we raise additional funds through further issuances of equity or convertible debt securities, our existing stockholders would suffer significant dilution, and any new equity securities we issue could have rights, preferences and privileges superior to those of holders of our commons stock.</w:t>
      </w:r>
    </w:p>
    <w:p>
      <w:pPr>
        <w:spacing w:after="0" w:line="157" w:lineRule="exact"/>
        <w:rPr>
          <w:sz w:val="20"/>
          <w:szCs w:val="20"/>
          <w:color w:val="auto"/>
        </w:rPr>
      </w:pPr>
    </w:p>
    <w:p>
      <w:pPr>
        <w:ind w:right="20" w:firstLine="749"/>
        <w:spacing w:after="0" w:line="246" w:lineRule="auto"/>
        <w:rPr>
          <w:sz w:val="20"/>
          <w:szCs w:val="20"/>
          <w:color w:val="auto"/>
        </w:rPr>
      </w:pPr>
      <w:r>
        <w:rPr>
          <w:rFonts w:ascii="Arial" w:cs="Arial" w:eastAsia="Arial" w:hAnsi="Arial"/>
          <w:sz w:val="18"/>
          <w:szCs w:val="18"/>
          <w:color w:val="auto"/>
        </w:rPr>
        <w:t>If we require but are unable to obtain adequate financing or financing on terms or conditions satisfactory to us, we may be forced to obtain financing on undesirable terms or our ability to continue to pursue our business objectives, successfully respond to business opportunities, challenges or unforeseen circumstances, would be significantly limited, and our business, financial condition and results of operations would be materially and adversely affected.</w:t>
      </w:r>
    </w:p>
    <w:p>
      <w:pPr>
        <w:spacing w:after="0" w:line="165"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145" w:lineRule="exact"/>
        <w:rPr>
          <w:sz w:val="20"/>
          <w:szCs w:val="20"/>
          <w:color w:val="auto"/>
        </w:rPr>
      </w:pPr>
    </w:p>
    <w:p>
      <w:pPr>
        <w:ind w:right="80" w:firstLine="749"/>
        <w:spacing w:after="0" w:line="252"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could have the effect of rendering more difficult, delaying or preventing an acquisition deemed undesirable by our board of directors. Among others, our amended and restated certificate of incorporation and amended and restated bylaws include the following provisions:</w:t>
      </w:r>
    </w:p>
    <w:p>
      <w:pPr>
        <w:spacing w:after="0" w:line="265" w:lineRule="exact"/>
        <w:rPr>
          <w:sz w:val="20"/>
          <w:szCs w:val="20"/>
          <w:color w:val="auto"/>
        </w:rPr>
      </w:pPr>
    </w:p>
    <w:p>
      <w:pPr>
        <w:ind w:left="1020" w:right="640" w:hanging="504"/>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convening special stockholder meetings, which could make it difficult for our stockholders to adopt desired governance changes;</w:t>
      </w:r>
    </w:p>
    <w:p>
      <w:pPr>
        <w:spacing w:after="0" w:line="45" w:lineRule="exact"/>
        <w:rPr>
          <w:rFonts w:ascii="Times New Roman" w:cs="Times New Roman" w:eastAsia="Times New Roman" w:hAnsi="Times New Roman"/>
          <w:sz w:val="18"/>
          <w:szCs w:val="18"/>
          <w:color w:val="auto"/>
        </w:rPr>
      </w:pPr>
    </w:p>
    <w:p>
      <w:pPr>
        <w:ind w:left="1020" w:right="320" w:hanging="504"/>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w:t>
      </w:r>
    </w:p>
    <w:p>
      <w:pPr>
        <w:spacing w:after="0" w:line="45" w:lineRule="exact"/>
        <w:rPr>
          <w:rFonts w:ascii="Times New Roman" w:cs="Times New Roman" w:eastAsia="Times New Roman" w:hAnsi="Times New Roman"/>
          <w:sz w:val="18"/>
          <w:szCs w:val="18"/>
          <w:color w:val="auto"/>
        </w:rPr>
      </w:pPr>
    </w:p>
    <w:p>
      <w:pPr>
        <w:ind w:left="1020" w:right="280" w:hanging="504"/>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means that our stockholders will only be able to take action at a meeting of stockholders;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 forum selection clause, which means certain litigation against us can only be brought in Delaware;</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115" w:lineRule="exact"/>
        <w:rPr>
          <w:rFonts w:ascii="Times New Roman" w:cs="Times New Roman" w:eastAsia="Times New Roman" w:hAnsi="Times New Roman"/>
          <w:sz w:val="18"/>
          <w:szCs w:val="18"/>
          <w:color w:val="auto"/>
        </w:rPr>
      </w:pPr>
    </w:p>
    <w:p>
      <w:pPr>
        <w:ind w:left="1020" w:right="80" w:hanging="504"/>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certain amendments to our certificate of incorporation require the approval of two-thirds of the then outstanding voting power of our capital stock;</w:t>
      </w:r>
    </w:p>
    <w:p>
      <w:pPr>
        <w:spacing w:after="0" w:line="45" w:lineRule="exact"/>
        <w:rPr>
          <w:rFonts w:ascii="Times New Roman" w:cs="Times New Roman" w:eastAsia="Times New Roman" w:hAnsi="Times New Roman"/>
          <w:sz w:val="18"/>
          <w:szCs w:val="18"/>
          <w:color w:val="auto"/>
        </w:rPr>
      </w:pPr>
    </w:p>
    <w:p>
      <w:pPr>
        <w:ind w:left="1020" w:right="240" w:hanging="504"/>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our bylaws provide that the affirmative vote of two-thirds of the then-outstanding voting power of our capital stock, voting as a single class, is required for stockholders to amend or adopt any provision of our bylaws; and</w:t>
      </w:r>
    </w:p>
    <w:p>
      <w:pPr>
        <w:spacing w:after="0" w:line="45" w:lineRule="exact"/>
        <w:rPr>
          <w:rFonts w:ascii="Times New Roman" w:cs="Times New Roman" w:eastAsia="Times New Roman" w:hAnsi="Times New Roman"/>
          <w:sz w:val="18"/>
          <w:szCs w:val="18"/>
          <w:color w:val="auto"/>
        </w:rPr>
      </w:pPr>
    </w:p>
    <w:p>
      <w:pPr>
        <w:ind w:left="1020" w:right="120" w:hanging="504"/>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w:t>
      </w:r>
    </w:p>
    <w:p>
      <w:pPr>
        <w:spacing w:after="0" w:line="140" w:lineRule="exact"/>
        <w:rPr>
          <w:sz w:val="20"/>
          <w:szCs w:val="20"/>
          <w:color w:val="auto"/>
        </w:rPr>
      </w:pPr>
    </w:p>
    <w:p>
      <w:pPr>
        <w:ind w:right="80" w:firstLine="749"/>
        <w:spacing w:after="0" w:line="239"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As a Delaware corporation, we are also subject to provisions of Delaware law, including Section 203 of the Delaware General Corporation Law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w:t>
      </w:r>
    </w:p>
    <w:p>
      <w:pPr>
        <w:spacing w:after="0" w:line="171" w:lineRule="exact"/>
        <w:rPr>
          <w:sz w:val="20"/>
          <w:szCs w:val="20"/>
          <w:color w:val="auto"/>
        </w:rPr>
      </w:pPr>
    </w:p>
    <w:p>
      <w:pPr>
        <w:ind w:right="60" w:firstLine="749"/>
        <w:spacing w:after="0" w:line="271"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stockholders to receive a premium for their shares of our common stock and could also affect the price that some investors are willing to pay for our common stock.</w:t>
      </w:r>
    </w:p>
    <w:p>
      <w:pPr>
        <w:spacing w:after="0" w:line="141"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150" w:lineRule="exact"/>
        <w:rPr>
          <w:sz w:val="20"/>
          <w:szCs w:val="20"/>
          <w:color w:val="auto"/>
        </w:rPr>
      </w:pPr>
    </w:p>
    <w:p>
      <w:pPr>
        <w:jc w:val="both"/>
        <w:ind w:right="40" w:firstLine="749"/>
        <w:spacing w:after="0" w:line="259"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the Court of Chancery of the State of Delaware is the sole and exclusive forum for: (a) any derivative action or proceeding brought on our behalf;</w:t>
      </w:r>
    </w:p>
    <w:p>
      <w:pPr>
        <w:spacing w:after="0" w:line="1" w:lineRule="exact"/>
        <w:rPr>
          <w:sz w:val="20"/>
          <w:szCs w:val="20"/>
          <w:color w:val="auto"/>
        </w:rPr>
      </w:pPr>
    </w:p>
    <w:p>
      <w:pPr>
        <w:ind w:firstLine="8"/>
        <w:spacing w:after="0" w:line="236"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to our stockholders; (c) any action asserting a claim arising pursuant to the DGCL, our amended and restated certificate of incorporation or amended bylaws, or as to which the DGCL confers exclusive jurisdiction on the Court of Chancery of the State of Delaware; or (d) any action asserting a claim governed by the internal affairs doctrine; provided that the exclusive forum provisions will not apply to suits brought to enforce any liability or duty created by Exchange Act or to any claim for which the federal courts have exclusive jurisdiction. Our amended and restated certificate of incorporation further provides that, unless we consent in writing to the selection of an alternative forum, the federal district courts are the sole and exclusive forum for the resolution of any complaint asserting a cause of action arising under the Securities Act. 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171" w:lineRule="exact"/>
        <w:rPr>
          <w:sz w:val="20"/>
          <w:szCs w:val="20"/>
          <w:color w:val="auto"/>
        </w:rPr>
      </w:pPr>
    </w:p>
    <w:p>
      <w:pPr>
        <w:ind w:right="440"/>
        <w:spacing w:after="0" w:line="278" w:lineRule="auto"/>
        <w:rPr>
          <w:sz w:val="20"/>
          <w:szCs w:val="20"/>
          <w:color w:val="auto"/>
        </w:rPr>
      </w:pPr>
      <w:r>
        <w:rPr>
          <w:rFonts w:ascii="Arial" w:cs="Arial" w:eastAsia="Arial" w:hAnsi="Arial"/>
          <w:sz w:val="18"/>
          <w:szCs w:val="18"/>
          <w:b w:val="1"/>
          <w:bCs w:val="1"/>
          <w:i w:val="1"/>
          <w:iCs w:val="1"/>
          <w:color w:val="auto"/>
        </w:rPr>
        <w:t>If securities analysts continue not to publish research or reports about our company, or if they issue unfavorable commentary about us or our industry or downgrade our common stock, the price of our common stock could decline.</w:t>
      </w:r>
    </w:p>
    <w:p>
      <w:pPr>
        <w:spacing w:after="0" w:line="125" w:lineRule="exact"/>
        <w:rPr>
          <w:sz w:val="20"/>
          <w:szCs w:val="20"/>
          <w:color w:val="auto"/>
        </w:rPr>
      </w:pPr>
    </w:p>
    <w:p>
      <w:pPr>
        <w:ind w:right="240" w:firstLine="749"/>
        <w:spacing w:after="0" w:line="246" w:lineRule="auto"/>
        <w:rPr>
          <w:sz w:val="20"/>
          <w:szCs w:val="20"/>
          <w:color w:val="auto"/>
        </w:rPr>
      </w:pPr>
      <w:r>
        <w:rPr>
          <w:rFonts w:ascii="Arial" w:cs="Arial" w:eastAsia="Arial" w:hAnsi="Arial"/>
          <w:sz w:val="18"/>
          <w:szCs w:val="18"/>
          <w:color w:val="auto"/>
        </w:rPr>
        <w:t>Our stock price and trading volume may be influenced by the way analysts and investors interpret our financial information and other disclosures. If securities or industry analysts continue not to publish research or reports about our business, delay publishing reports about our business, or publish negative reports about our businesses, regardless of accuracy, our common stock price and trading volume could decline.</w:t>
      </w:r>
    </w:p>
    <w:p>
      <w:pPr>
        <w:spacing w:after="0" w:line="163" w:lineRule="exact"/>
        <w:rPr>
          <w:sz w:val="20"/>
          <w:szCs w:val="20"/>
          <w:color w:val="auto"/>
        </w:rPr>
      </w:pPr>
    </w:p>
    <w:p>
      <w:pPr>
        <w:ind w:right="160" w:firstLine="749"/>
        <w:spacing w:after="0" w:line="252"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if any. Currently, no analysts cover our company. The lack of analyst coverage could decrease demand for our common stock and our common stock price and trading volume may decline even further.</w:t>
      </w:r>
    </w:p>
    <w:p>
      <w:pPr>
        <w:spacing w:after="0" w:line="157" w:lineRule="exact"/>
        <w:rPr>
          <w:sz w:val="20"/>
          <w:szCs w:val="20"/>
          <w:color w:val="auto"/>
        </w:rPr>
      </w:pPr>
    </w:p>
    <w:p>
      <w:pPr>
        <w:ind w:right="440" w:firstLine="749"/>
        <w:spacing w:after="0" w:line="252" w:lineRule="auto"/>
        <w:rPr>
          <w:sz w:val="20"/>
          <w:szCs w:val="20"/>
          <w:color w:val="auto"/>
        </w:rPr>
      </w:pPr>
      <w:r>
        <w:rPr>
          <w:rFonts w:ascii="Arial" w:cs="Arial" w:eastAsia="Arial" w:hAnsi="Arial"/>
          <w:sz w:val="18"/>
          <w:szCs w:val="18"/>
          <w:color w:val="auto"/>
        </w:rPr>
        <w:t>Even if our common stock is actively covered by analysts in the future,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57" w:lineRule="exact"/>
        <w:rPr>
          <w:sz w:val="20"/>
          <w:szCs w:val="20"/>
          <w:color w:val="auto"/>
        </w:rPr>
      </w:pPr>
    </w:p>
    <w:p>
      <w:pPr>
        <w:ind w:right="140" w:firstLine="749"/>
        <w:spacing w:after="0" w:line="246" w:lineRule="auto"/>
        <w:rPr>
          <w:sz w:val="20"/>
          <w:szCs w:val="20"/>
          <w:color w:val="auto"/>
        </w:rPr>
      </w:pPr>
      <w:r>
        <w:rPr>
          <w:rFonts w:ascii="Arial" w:cs="Arial" w:eastAsia="Arial" w:hAnsi="Arial"/>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Risks Related to Tax Matters</w:t>
      </w:r>
    </w:p>
    <w:p>
      <w:pPr>
        <w:spacing w:after="0" w:line="200"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We may be limited in our ability to utilize, or may not be able to utilize, net operating loss carryforwards to reduce our future tax liability.</w:t>
      </w:r>
    </w:p>
    <w:p>
      <w:pPr>
        <w:spacing w:after="0" w:line="125" w:lineRule="exact"/>
        <w:rPr>
          <w:sz w:val="20"/>
          <w:szCs w:val="20"/>
          <w:color w:val="auto"/>
        </w:rPr>
      </w:pPr>
    </w:p>
    <w:p>
      <w:pPr>
        <w:ind w:right="80" w:firstLine="749"/>
        <w:spacing w:after="0" w:line="246" w:lineRule="auto"/>
        <w:rPr>
          <w:sz w:val="20"/>
          <w:szCs w:val="20"/>
          <w:color w:val="auto"/>
        </w:rPr>
      </w:pPr>
      <w:r>
        <w:rPr>
          <w:rFonts w:ascii="Arial" w:cs="Arial" w:eastAsia="Arial" w:hAnsi="Arial"/>
          <w:sz w:val="18"/>
          <w:szCs w:val="18"/>
          <w:color w:val="auto"/>
        </w:rPr>
        <w:t>As of December 31, 2023, we had substantial U.S. federal net operating loss (“NOL”) carryforwards, the utilization of which may be limited annually due to certain change in ownership provisions of Section 382 of the Internal Revenue Code of 1986, as amended (the “Code”). Some of our U.S. federal NOL carryforwards will begin to expire in 2028, with the remaining losses having no expiration. Please refer to Note 20 of our consolidated financial statements appearing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elsewhere in this Annual Report on Form 10-K for a further discussion of the carryforward of our NOLs. As of December 31, 2023, we maintain a full valuation allowance for our net deferred tax assets.</w:t>
      </w:r>
    </w:p>
    <w:p>
      <w:pPr>
        <w:spacing w:after="0" w:line="139"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An “ownership change” (generally defined as greater than 50-percentage-point cumulative changes in the equity ownership of certain stockholders over a rolling three-year period) under Section 382 of the Code may limit our ability to utilize fully our pre-change NOL carryforwards to reduce our taxable income in periods following the ownership change. In general, an ownership change would limit our ability to utilize U.S. federal NOL carryforwards to an amount equal to the aggregate value of our equity at the time of the ownership change multiplied by a specified tax-exempt interest rate, subject to increase by certain built-in gains. Similar provisions of state tax law may also apply to our state NOL carryforwards. We believe we have undergone an ownership change for purposes of Section 382 of the Code in each of 2013, 2014, 2015 and 2021, which substantially limits our ability to use U.S. federal NOL carryforwards generated prior to each such ownership change. In addition, future changes in our stock ownership, some of which may be beyond our control, could result in additional ownership changes under Section 382 of the Code.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could impact our results of operations and financial condition.</w:t>
      </w:r>
    </w:p>
    <w:p>
      <w:pPr>
        <w:spacing w:after="0" w:line="196" w:lineRule="exact"/>
        <w:rPr>
          <w:sz w:val="20"/>
          <w:szCs w:val="20"/>
          <w:color w:val="auto"/>
        </w:rPr>
      </w:pPr>
    </w:p>
    <w:p>
      <w:pPr>
        <w:ind w:right="160" w:firstLine="749"/>
        <w:spacing w:after="0" w:line="239" w:lineRule="auto"/>
        <w:rPr>
          <w:sz w:val="20"/>
          <w:szCs w:val="20"/>
          <w:color w:val="auto"/>
        </w:rPr>
      </w:pPr>
      <w:r>
        <w:rPr>
          <w:rFonts w:ascii="Arial" w:cs="Arial" w:eastAsia="Arial" w:hAnsi="Arial"/>
          <w:sz w:val="18"/>
          <w:szCs w:val="18"/>
          <w:color w:val="auto"/>
        </w:rPr>
        <w:t>We are subject to U.S. federal income tax, as well as income tax in certain states. Our provision for income taxes and cash tax liability in the future could be adversely affected by numerous factors including, changes in tax laws, regulations, accounting principles or interpretations thereof, which could materially and adversely impact our cash flows and our business, financial condition and results of operations in future periods. Increases in our effective tax rate could also materially affect our net results. In addition, the U.S. government may enact significant changes to the taxation of business entities including, among others, an increase in the corporate income tax rate and the imposition of minimum taxes. The likelihood of these changes being enacted or implemented is unclear. We are currently unable to predict whether such changes will occur and, if so, the ultimate impact on our business. Further, we are subject to the examination of our income and other tax returns by the IRS and state and local tax authorities, which could have an impact on our business, financial condition and results of operations.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Risk Factors</w:t>
      </w:r>
    </w:p>
    <w:p>
      <w:pPr>
        <w:spacing w:after="0" w:line="200" w:lineRule="exact"/>
        <w:rPr>
          <w:sz w:val="20"/>
          <w:szCs w:val="20"/>
          <w:color w:val="auto"/>
        </w:rPr>
      </w:pPr>
    </w:p>
    <w:p>
      <w:pPr>
        <w:ind w:right="360"/>
        <w:spacing w:after="0" w:line="278" w:lineRule="auto"/>
        <w:rPr>
          <w:sz w:val="20"/>
          <w:szCs w:val="20"/>
          <w:color w:val="auto"/>
        </w:rPr>
      </w:pPr>
      <w:r>
        <w:rPr>
          <w:rFonts w:ascii="Arial" w:cs="Arial" w:eastAsia="Arial" w:hAnsi="Arial"/>
          <w:sz w:val="18"/>
          <w:szCs w:val="18"/>
          <w:b w:val="1"/>
          <w:bCs w:val="1"/>
          <w:i w:val="1"/>
          <w:iCs w:val="1"/>
          <w:color w:val="auto"/>
        </w:rPr>
        <w:t>Our business is subject to the risk of natural disasters, adverse weather events and other catastrophic events, such as war and terrorism.</w:t>
      </w:r>
    </w:p>
    <w:p>
      <w:pPr>
        <w:spacing w:after="0" w:line="125"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Our business is vulnerable to damage or interruption from earthquakes, fires, floods, hurricanes, power losses, telecommunications failures, terrorist attacks, acts of war, global pandemics, human errors and similar events. The third-party systems and operations on which we rely are subject to similar risks. For example, a significant natural disaster, such as an earthquake, fire, flood or hurricane could have an adverse effect on our businesses, financial condition and operating results, and our insurance coverage may be insufficient to compensate us for losses that may occur. Global climate change is resulting in certain types of natural disasters occurring more frequently or with more intense effects. We may not have sufficient protection or recovery plans in some circumstances. As we rely heavily on our computer and communications systems and the internet to conduct our businesses and provide high-quality customer service, any disruptions could negatively affect our ability to run our businesses, which could have an adverse effect on our businesses, financial condition, and operating results.</w:t>
      </w:r>
    </w:p>
    <w:p>
      <w:pPr>
        <w:spacing w:after="0" w:line="168"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War and acts of terrorism in the United States and abroad could also cause disruptions in our businesses, consumer demand or the economy as a whole. For example, the ongoing geopolitical conflicts and war in Europe and the Middle East could result in a slowdown in global economic growth, rising inflation, market disruptions and increased volatility in commodity prices in the United States. The extent and duration of the military actions, sanctions and resulting market disruptions could be significant and could potentially have substantial impact on the global economy and our business for an unknown period of time. The broader consequences of geopolitical tensions, such as embargoes, regional instability and geopolitical shifts; airspace bans relating to certain routes, or strategic decisions to alter certain routes; and potential retaliatory action by governments against companies, cannot be predicted. We may incur expenses or delays relating to such events outside of our control, which could have a material adverse impact on our business, operating results and financial condition. Any such disruptions may also magnify the impact of other risks described in this Risk Factors section.</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results of operations.</w:t>
      </w:r>
    </w:p>
    <w:p>
      <w:pPr>
        <w:spacing w:after="0" w:line="125"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Our success will depend, in part, on our ability to successfully wind-down our ecommerce business and develop and evolve UACC and CarStory. Although we have no plans to do so as of the filing of this Annual Report on Form 10-K, we may in the future determine to grow our businesses through the acquisition of complementary businesses and technologies rather than through internal development, as we did with our prior acquisitions of UACC and CarStory. The identification of suitable acquisition candidates can be difficult, time-consuming and costly, and we may not be able to successfully complete identified acquisitions or realize their intended benefits. The risks we face in connection with acquisitions include:</w:t>
      </w:r>
    </w:p>
    <w:p>
      <w:pPr>
        <w:spacing w:after="0" w:line="74"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use of capital that could be used to improve our operations instead, and additional strain on our liquidity;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coordination of technology, research and development and sales and marketing functions;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employees from the acquired company;</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adverse reactions to the acquisition by an acquired company’s customers;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color w:val="auto"/>
        </w:rPr>
        <w:t>integration of the acquired company’s accounting, management information, human resources and other administrative systems;</w:t>
      </w:r>
    </w:p>
    <w:p>
      <w:pPr>
        <w:spacing w:after="0" w:line="127" w:lineRule="exact"/>
        <w:rPr>
          <w:rFonts w:ascii="Times New Roman" w:cs="Times New Roman" w:eastAsia="Times New Roman" w:hAnsi="Times New Roman"/>
          <w:sz w:val="17"/>
          <w:szCs w:val="17"/>
          <w:color w:val="auto"/>
        </w:rPr>
      </w:pPr>
    </w:p>
    <w:p>
      <w:pPr>
        <w:ind w:left="1020" w:right="100" w:hanging="504"/>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implement or improve controls, policies and procedures at a business that, prior to the acquisition, may have lacked effective controls, policies and procedures;</w:t>
      </w:r>
    </w:p>
    <w:p>
      <w:pPr>
        <w:spacing w:after="0" w:line="45" w:lineRule="exact"/>
        <w:rPr>
          <w:rFonts w:ascii="Times New Roman" w:cs="Times New Roman" w:eastAsia="Times New Roman" w:hAnsi="Times New Roman"/>
          <w:sz w:val="18"/>
          <w:szCs w:val="18"/>
          <w:color w:val="auto"/>
        </w:rPr>
      </w:pPr>
    </w:p>
    <w:p>
      <w:pPr>
        <w:ind w:left="1020" w:right="340" w:hanging="504"/>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write-offs of intangibles or other assets acquired in such transactions that may have an adverse effect our results of operations;</w:t>
      </w:r>
    </w:p>
    <w:p>
      <w:pPr>
        <w:spacing w:after="0" w:line="45" w:lineRule="exact"/>
        <w:rPr>
          <w:rFonts w:ascii="Times New Roman" w:cs="Times New Roman" w:eastAsia="Times New Roman" w:hAnsi="Times New Roman"/>
          <w:sz w:val="18"/>
          <w:szCs w:val="18"/>
          <w:color w:val="auto"/>
        </w:rPr>
      </w:pPr>
    </w:p>
    <w:p>
      <w:pPr>
        <w:ind w:left="1020" w:right="680" w:hanging="504"/>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45" w:lineRule="exact"/>
        <w:rPr>
          <w:rFonts w:ascii="Times New Roman" w:cs="Times New Roman" w:eastAsia="Times New Roman" w:hAnsi="Times New Roman"/>
          <w:sz w:val="18"/>
          <w:szCs w:val="18"/>
          <w:color w:val="auto"/>
        </w:rPr>
      </w:pPr>
    </w:p>
    <w:p>
      <w:pPr>
        <w:ind w:left="1020" w:right="460" w:hanging="504"/>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40"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could cause us to fail to realize the anticipated benefits of these acquisitions or investments, cause us to incur unanticipated liabilities and otherwise harm our business. Future acquisitions also could result in dilutive issuances of our equity securities, the incurrence of debt, contingent liabilities or amortization expenses, any of which could harm our financial condition. Also, the anticipated benefits of any acquisitions may not materialize. Any of these risks, if realized, could materially and adversely affect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196"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For example, insurance we maintain against liability claims may not continue to be available on terms acceptable to us and such coverage may not be adequate to cover the types of liabilities actually incurred. A successful claim brought against us, if not fully covered by available insurance coverage, could materially and adversely affect our business, financial condition and results of operations.</w:t>
      </w:r>
    </w:p>
    <w:p>
      <w:pPr>
        <w:spacing w:after="0" w:line="171"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the market price of our common stock may decline.</w:t>
      </w:r>
    </w:p>
    <w:p>
      <w:pPr>
        <w:spacing w:after="0" w:line="125" w:lineRule="exact"/>
        <w:rPr>
          <w:sz w:val="20"/>
          <w:szCs w:val="20"/>
          <w:color w:val="auto"/>
        </w:rPr>
      </w:pPr>
    </w:p>
    <w:p>
      <w:pPr>
        <w:ind w:right="20" w:firstLine="749"/>
        <w:spacing w:after="0" w:line="252" w:lineRule="auto"/>
        <w:rPr>
          <w:sz w:val="20"/>
          <w:szCs w:val="20"/>
          <w:color w:val="auto"/>
        </w:rPr>
      </w:pPr>
      <w:r>
        <w:rPr>
          <w:rFonts w:ascii="Arial" w:cs="Arial" w:eastAsia="Arial" w:hAnsi="Arial"/>
          <w:sz w:val="18"/>
          <w:szCs w:val="18"/>
          <w:color w:val="auto"/>
        </w:rPr>
        <w:t>From time to time, we provide public guidance on our expected operating and financial results for future periods. Any such guidance will be comprised of forward-looking statements subject to the risks and uncertainties described in this Annual Report on Form 10-K and in our other public filings and public statements. Any such guidance is prepared by our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management and is qualified by, and subject to, the assumptions and the other information contained or referred to in the relevant release and the factors described under “Special Note Regarding Forward-Looking Statements” in this Annual Report on Form 10-K and our current and periodic reports filed with the SEC.</w:t>
      </w:r>
    </w:p>
    <w:p>
      <w:pPr>
        <w:spacing w:after="0" w:line="157"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Guidance is based upon a number of assumptions and estimates that, although presented with numerical specificity, are inherently subject to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estimated ranges. The principal reason that we release this guidance is to provide a basis for our management to discuss our business outlook with analysts and investors. We do not accept any responsibility for any projections or reports published by any third parties. Moreover, even if we do issue public guidance, there can be no assurance that we will continue to do so in the future.</w:t>
      </w:r>
    </w:p>
    <w:p>
      <w:pPr>
        <w:spacing w:after="0" w:line="153"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Our actual results may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common stock may decline.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 sellers of our stock may be manipulative and may drive down the market price of our common stock.</w:t>
      </w:r>
    </w:p>
    <w:p>
      <w:pPr>
        <w:spacing w:after="0" w:line="196"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Short selling is the practice of selling securities that the seller does not own, but rather has borrowed or intends to borrow from a third party with the intention of buying identical securities at a later date to return to the lender. A short seller hopes to profit from a decline in the value of the securities between the sale of the borrowed securities and the purchase of the replacement shares, as the short seller expects to pay less in that purchase than it received in the sale. It is therefore in the short seller’s interest for the price of the stock to decline, and some short sellers publish, or arrange for the publication of, opinions or characterizations regarding the relevant issuer, often involving misrepresentations of the issuer’s business prospects and similar matters calculated to create negative market momentum, which may permit them to obtain profits for themselves as a result of selling the stock short.</w:t>
      </w:r>
    </w:p>
    <w:p>
      <w:pPr>
        <w:spacing w:after="0" w:line="169" w:lineRule="exact"/>
        <w:rPr>
          <w:sz w:val="20"/>
          <w:szCs w:val="20"/>
          <w:color w:val="auto"/>
        </w:rPr>
      </w:pPr>
    </w:p>
    <w:p>
      <w:pPr>
        <w:ind w:right="320" w:firstLine="749"/>
        <w:spacing w:after="0" w:line="246" w:lineRule="auto"/>
        <w:rPr>
          <w:sz w:val="20"/>
          <w:szCs w:val="20"/>
          <w:color w:val="auto"/>
        </w:rPr>
      </w:pPr>
      <w:r>
        <w:rPr>
          <w:rFonts w:ascii="Arial" w:cs="Arial" w:eastAsia="Arial" w:hAnsi="Arial"/>
          <w:sz w:val="18"/>
          <w:szCs w:val="18"/>
          <w:color w:val="auto"/>
        </w:rPr>
        <w:t>As a public entity, we may be the subject of concerted efforts by short sellers to spread negative information in order to gain a market advantage. In addition, the publication of misinformation may also result in lawsuits, the uncertainty and expense of which could adversely impact our businesses, financial condition, and reputation. There are no assurances that we will not face short sellers' efforts or similar tactics in the future, and the market price of our common stock may decline as a result of their actions.</w:t>
      </w:r>
    </w:p>
    <w:p>
      <w:pPr>
        <w:spacing w:after="0" w:line="165" w:lineRule="exact"/>
        <w:rPr>
          <w:sz w:val="20"/>
          <w:szCs w:val="20"/>
          <w:color w:val="auto"/>
        </w:rPr>
      </w:pPr>
    </w:p>
    <w:p>
      <w:pPr>
        <w:ind w:right="740"/>
        <w:spacing w:after="0" w:line="278" w:lineRule="auto"/>
        <w:rPr>
          <w:sz w:val="20"/>
          <w:szCs w:val="20"/>
          <w:color w:val="auto"/>
        </w:rPr>
      </w:pPr>
      <w:r>
        <w:rPr>
          <w:rFonts w:ascii="Arial" w:cs="Arial" w:eastAsia="Arial" w:hAnsi="Arial"/>
          <w:sz w:val="18"/>
          <w:szCs w:val="18"/>
          <w:b w:val="1"/>
          <w:bCs w:val="1"/>
          <w:i w:val="1"/>
          <w:iCs w:val="1"/>
          <w:color w:val="auto"/>
        </w:rPr>
        <w:t>Stockholder activism could disrupt our business, cause us to incur significant expenses, hinder execution of our business strategy, and impact our stock price.</w:t>
      </w:r>
    </w:p>
    <w:p>
      <w:pPr>
        <w:spacing w:after="0" w:line="125" w:lineRule="exact"/>
        <w:rPr>
          <w:sz w:val="20"/>
          <w:szCs w:val="20"/>
          <w:color w:val="auto"/>
        </w:rPr>
      </w:pPr>
    </w:p>
    <w:p>
      <w:pPr>
        <w:ind w:right="160" w:firstLine="749"/>
        <w:spacing w:after="0" w:line="239" w:lineRule="auto"/>
        <w:rPr>
          <w:sz w:val="20"/>
          <w:szCs w:val="20"/>
          <w:color w:val="auto"/>
        </w:rPr>
      </w:pPr>
      <w:r>
        <w:rPr>
          <w:rFonts w:ascii="Arial" w:cs="Arial" w:eastAsia="Arial" w:hAnsi="Arial"/>
          <w:sz w:val="18"/>
          <w:szCs w:val="18"/>
          <w:color w:val="auto"/>
        </w:rPr>
        <w:t>We may in the future be subject to stockholder activism, which can arise in a variety of predictable or unpredictable situations, and can result in substantial costs and divert management’s and our Board of Director’s attention and resources from our businesses. Additionally, stockholder activism could give rise to perceived uncertainties as to our long-term businesses, financial forecasts, future operations and strategic planning, harm our reputation, adversely affect our relationships with our business partners, and make it more difficult to attract and retain qualified personnel. We may also be required to incur significant fees and other expenses related to activist matters, including for third-party advisors that would be retained by us to assist in navigating activist situations. Our stock price could fluctuate due to trading activity associated with various announcements, developments, and share purchases over the course of an activist campaign or otherwise be adversely affected by the events, risks and uncertainties related to any such stockholder activism.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Risk Management and Strategy</w:t>
      </w:r>
    </w:p>
    <w:p>
      <w:pPr>
        <w:spacing w:after="0" w:line="198" w:lineRule="exact"/>
        <w:rPr>
          <w:sz w:val="20"/>
          <w:szCs w:val="20"/>
          <w:color w:val="auto"/>
        </w:rPr>
      </w:pPr>
    </w:p>
    <w:p>
      <w:pPr>
        <w:ind w:right="340" w:firstLine="749"/>
        <w:spacing w:after="0" w:line="271" w:lineRule="auto"/>
        <w:rPr>
          <w:sz w:val="20"/>
          <w:szCs w:val="20"/>
          <w:color w:val="auto"/>
        </w:rPr>
      </w:pPr>
      <w:r>
        <w:rPr>
          <w:rFonts w:ascii="Arial" w:cs="Arial" w:eastAsia="Arial" w:hAnsi="Arial"/>
          <w:sz w:val="18"/>
          <w:szCs w:val="18"/>
          <w:color w:val="auto"/>
        </w:rPr>
        <w:t>We have developed and implemented a cybersecurity risk management program intended to protect the confidentiality, integrity, and availability of our critical systems and information.</w:t>
      </w:r>
    </w:p>
    <w:p>
      <w:pPr>
        <w:spacing w:after="0" w:line="139" w:lineRule="exact"/>
        <w:rPr>
          <w:sz w:val="20"/>
          <w:szCs w:val="20"/>
          <w:color w:val="auto"/>
        </w:rPr>
      </w:pPr>
    </w:p>
    <w:p>
      <w:pPr>
        <w:ind w:right="320" w:firstLine="749"/>
        <w:spacing w:after="0" w:line="243" w:lineRule="auto"/>
        <w:rPr>
          <w:sz w:val="20"/>
          <w:szCs w:val="20"/>
          <w:color w:val="auto"/>
        </w:rPr>
      </w:pPr>
      <w:r>
        <w:rPr>
          <w:rFonts w:ascii="Arial" w:cs="Arial" w:eastAsia="Arial" w:hAnsi="Arial"/>
          <w:sz w:val="18"/>
          <w:szCs w:val="18"/>
          <w:color w:val="auto"/>
        </w:rPr>
        <w:t>We design and assess our program guided by a number of well-known industry standards, such as the National Institute of Standards and Technology (NIST) Risk Management Framework (RMF), International Organization for Standardization/International Electrotechnical Commission (ISO/IEC) 27001, and Center for Internet Security (CIS) Controls V8. This does not imply that we meet all of these standards, specifications, and requirements, only that we use these standards as a guide to help us identify, assess, and manage cybersecurity risks relevant to our business.</w:t>
      </w:r>
    </w:p>
    <w:p>
      <w:pPr>
        <w:spacing w:after="0" w:line="166" w:lineRule="exact"/>
        <w:rPr>
          <w:sz w:val="20"/>
          <w:szCs w:val="20"/>
          <w:color w:val="auto"/>
        </w:rPr>
      </w:pPr>
    </w:p>
    <w:p>
      <w:pPr>
        <w:ind w:right="180" w:firstLine="749"/>
        <w:spacing w:after="0" w:line="252" w:lineRule="auto"/>
        <w:rPr>
          <w:sz w:val="20"/>
          <w:szCs w:val="20"/>
          <w:color w:val="auto"/>
        </w:rPr>
      </w:pPr>
      <w:r>
        <w:rPr>
          <w:rFonts w:ascii="Arial" w:cs="Arial" w:eastAsia="Arial" w:hAnsi="Arial"/>
          <w:sz w:val="18"/>
          <w:szCs w:val="18"/>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Key features of our cybersecurity risk management program include, but are not limited to, the following:</w:t>
      </w:r>
    </w:p>
    <w:p>
      <w:pPr>
        <w:spacing w:after="0" w:line="103" w:lineRule="exact"/>
        <w:rPr>
          <w:sz w:val="20"/>
          <w:szCs w:val="20"/>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risk assessments designed to help identify material cybersecurity risks to our critical systems and, information;</w:t>
      </w:r>
    </w:p>
    <w:p>
      <w:pPr>
        <w:spacing w:after="0" w:line="115" w:lineRule="exact"/>
        <w:rPr>
          <w:rFonts w:ascii="Times New Roman" w:cs="Times New Roman" w:eastAsia="Times New Roman" w:hAnsi="Times New Roman"/>
          <w:sz w:val="18"/>
          <w:szCs w:val="18"/>
          <w:color w:val="auto"/>
        </w:rPr>
      </w:pPr>
    </w:p>
    <w:p>
      <w:pPr>
        <w:ind w:left="1020" w:right="320" w:hanging="504"/>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an information security program, led by our Senior Director, Information Security, principally responsible for managing (1) our cybersecurity risk assessment processes, (2) our security controls, and (3) our response to cybersecurity incidents;</w:t>
      </w:r>
    </w:p>
    <w:p>
      <w:pPr>
        <w:spacing w:after="0" w:line="45" w:lineRule="exact"/>
        <w:rPr>
          <w:rFonts w:ascii="Times New Roman" w:cs="Times New Roman" w:eastAsia="Times New Roman" w:hAnsi="Times New Roman"/>
          <w:sz w:val="18"/>
          <w:szCs w:val="18"/>
          <w:color w:val="auto"/>
        </w:rPr>
      </w:pPr>
    </w:p>
    <w:p>
      <w:pPr>
        <w:ind w:left="1020" w:right="780" w:hanging="504"/>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use of external service providers, where appropriate, to assess, test or otherwise assist with aspects of our security processes;</w:t>
      </w:r>
    </w:p>
    <w:p>
      <w:pPr>
        <w:spacing w:after="0" w:line="4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cybersecurity awareness training of our employees;</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 cybersecurity incident response plan that includes procedures for responding to cybersecurity incidents; and</w:t>
      </w:r>
    </w:p>
    <w:p>
      <w:pPr>
        <w:spacing w:after="0" w:line="11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risk management process for service providers, suppliers, and vendors based on their criticality and risk profile.</w:t>
      </w:r>
    </w:p>
    <w:p>
      <w:pPr>
        <w:spacing w:after="0" w:line="210" w:lineRule="exact"/>
        <w:rPr>
          <w:sz w:val="20"/>
          <w:szCs w:val="20"/>
          <w:color w:val="auto"/>
        </w:rPr>
      </w:pPr>
    </w:p>
    <w:p>
      <w:pPr>
        <w:ind w:right="220" w:firstLine="749"/>
        <w:spacing w:after="0"/>
        <w:rPr>
          <w:sz w:val="20"/>
          <w:szCs w:val="20"/>
          <w:color w:val="auto"/>
        </w:rPr>
      </w:pPr>
      <w:r>
        <w:rPr>
          <w:rFonts w:ascii="Arial" w:cs="Arial" w:eastAsia="Arial" w:hAnsi="Arial"/>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certain ongoing risks from cybersecurity threats that, if realized, are reasonably likely to materially affect us, including our operations, business strategy, results of operations, or financial condition. See “Risk Factors—Risks Related to Cybersecurity and Privacy—If we or our third-party providers sustain cyber-attacks or other privacy or data security incidents that result in security breaches, we could suffer a loss of sales and increased costs, exposure to significant liability, reputational harm and other negative consequences</w:t>
      </w:r>
      <w:r>
        <w:rPr>
          <w:rFonts w:ascii="Arial" w:cs="Arial" w:eastAsia="Arial" w:hAnsi="Arial"/>
          <w:sz w:val="18"/>
          <w:szCs w:val="18"/>
          <w:i w:val="1"/>
          <w:iCs w:val="1"/>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 Governance</w:t>
      </w:r>
    </w:p>
    <w:p>
      <w:pPr>
        <w:spacing w:after="0" w:line="198" w:lineRule="exact"/>
        <w:rPr>
          <w:sz w:val="20"/>
          <w:szCs w:val="20"/>
          <w:color w:val="auto"/>
        </w:rPr>
      </w:pPr>
    </w:p>
    <w:p>
      <w:pPr>
        <w:ind w:right="180" w:firstLine="749"/>
        <w:spacing w:after="0" w:line="243" w:lineRule="auto"/>
        <w:rPr>
          <w:sz w:val="20"/>
          <w:szCs w:val="20"/>
          <w:color w:val="auto"/>
        </w:rPr>
      </w:pPr>
      <w:r>
        <w:rPr>
          <w:rFonts w:ascii="Arial" w:cs="Arial" w:eastAsia="Arial" w:hAnsi="Arial"/>
          <w:sz w:val="18"/>
          <w:szCs w:val="18"/>
          <w:color w:val="auto"/>
        </w:rPr>
        <w:t>Our Board considers cybersecurity risk as part of its risk oversight function and has delegated to the Audit Committee (the "Committee") oversight of cybersecurity and other information technology risks. The Committee oversees management’s implementation of our cybersecurity risk management program. 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66" w:lineRule="exact"/>
        <w:rPr>
          <w:sz w:val="20"/>
          <w:szCs w:val="20"/>
          <w:color w:val="auto"/>
        </w:rPr>
      </w:pPr>
    </w:p>
    <w:p>
      <w:pPr>
        <w:ind w:firstLine="749"/>
        <w:spacing w:after="0" w:line="252" w:lineRule="auto"/>
        <w:rPr>
          <w:sz w:val="20"/>
          <w:szCs w:val="20"/>
          <w:color w:val="auto"/>
        </w:rPr>
      </w:pPr>
      <w:r>
        <w:rPr>
          <w:rFonts w:ascii="Arial" w:cs="Arial" w:eastAsia="Arial" w:hAnsi="Arial"/>
          <w:sz w:val="18"/>
          <w:szCs w:val="18"/>
          <w:color w:val="auto"/>
        </w:rPr>
        <w:t>Vroom’s Senior Director, Information Security reports to the Committee on a quarterly basis on our cybersecurity risks. In addition, the Senior Director, Information Security updates the Committee, as necessary, regarding any material cybersecurity incidents, as well as any incidents with lesser impact potential.</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 xml:space="preserve">The Committee periodically reports to the full Board regarding its activities, including those related to cybersecurity. Committee members receive presentations on cybersecurity topics from our Senior Director, Information Security, internal security staff or external experts as part of the Committee’s continuing education on topics that impact public companies. Our management team, including Vroom’s Chief Executive Officer, Chief Financial Officer, Chief Legal Officer, Chief People and Culture Officer, and Head of Technology, is responsible for assessing and managing our material risks from cybersecurity threats. The team has primary responsibility for our overall cybersecurity risk management program and supervises both our internal information security program and personnel and certain of our retained external cybersecurity consultants. Our </w:t>
      </w:r>
      <w:r>
        <w:rPr>
          <w:rFonts w:ascii="Arial" w:cs="Arial" w:eastAsia="Arial" w:hAnsi="Arial"/>
          <w:sz w:val="18"/>
          <w:szCs w:val="18"/>
          <w:color w:val="1D1C1D"/>
        </w:rPr>
        <w:t>Senior Director of Information Security, reports to the VP of Engineering and is the head of the Company’s</w:t>
      </w:r>
      <w:r>
        <w:rPr>
          <w:rFonts w:ascii="Arial" w:cs="Arial" w:eastAsia="Arial" w:hAnsi="Arial"/>
          <w:sz w:val="18"/>
          <w:szCs w:val="18"/>
          <w:color w:val="auto"/>
        </w:rPr>
        <w:t xml:space="preserve"> </w:t>
      </w:r>
      <w:r>
        <w:rPr>
          <w:rFonts w:ascii="Arial" w:cs="Arial" w:eastAsia="Arial" w:hAnsi="Arial"/>
          <w:sz w:val="18"/>
          <w:szCs w:val="18"/>
          <w:color w:val="1D1C1D"/>
        </w:rPr>
        <w:t>cybersecurity team. The Senior Director of Information Security is responsible for overseeing the Company’s security team and related initiatives. He has twenty-five years of experience in the technology industry with over ten years of experience in cybersecurity.</w:t>
      </w:r>
    </w:p>
    <w:p>
      <w:pPr>
        <w:spacing w:after="0" w:line="168" w:lineRule="exact"/>
        <w:rPr>
          <w:sz w:val="20"/>
          <w:szCs w:val="20"/>
          <w:color w:val="auto"/>
        </w:rPr>
      </w:pPr>
    </w:p>
    <w:p>
      <w:pPr>
        <w:jc w:val="both"/>
        <w:ind w:right="440" w:firstLine="749"/>
        <w:spacing w:after="0" w:line="246" w:lineRule="auto"/>
        <w:rPr>
          <w:sz w:val="20"/>
          <w:szCs w:val="20"/>
          <w:color w:val="auto"/>
        </w:rPr>
      </w:pPr>
      <w:r>
        <w:rPr>
          <w:rFonts w:ascii="Arial" w:cs="Arial" w:eastAsia="Arial" w:hAnsi="Arial"/>
          <w:sz w:val="18"/>
          <w:szCs w:val="18"/>
          <w:color w:val="auto"/>
        </w:rPr>
        <w:t>Our management team stays informed and monitors efforts to prevent, detect, mitigate, and remediate cybersecurity risks and incidents through various means, which may include briefings from internal information security personnel; threat intelligence and other information obtained from governmental, public or private sources, including external consultants engaged by us; and alerts and reports produced by security tools deployed in the IT environment.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8" w:lineRule="exact"/>
        <w:rPr>
          <w:sz w:val="20"/>
          <w:szCs w:val="20"/>
          <w:color w:val="auto"/>
        </w:rPr>
      </w:pPr>
    </w:p>
    <w:p>
      <w:pPr>
        <w:ind w:right="260" w:firstLine="749"/>
        <w:spacing w:after="0" w:line="246" w:lineRule="auto"/>
        <w:rPr>
          <w:sz w:val="20"/>
          <w:szCs w:val="20"/>
          <w:color w:val="auto"/>
        </w:rPr>
      </w:pPr>
      <w:r>
        <w:rPr>
          <w:rFonts w:ascii="Arial" w:cs="Arial" w:eastAsia="Arial" w:hAnsi="Arial"/>
          <w:sz w:val="18"/>
          <w:szCs w:val="18"/>
          <w:color w:val="auto"/>
        </w:rPr>
        <w:t>We lease office space in Houston, Texas, consisting of approximately 102,492 square feet of space under a lease that expires in November 2024. We have used this space as our corporate headquarters and to support our administrative functions, including finance, human resources, information technology, engineering, sales and marketing and other administrative functions, all of which supported our Ecommerce and Wholesale segments.</w:t>
      </w:r>
    </w:p>
    <w:p>
      <w:pPr>
        <w:spacing w:after="0" w:line="163" w:lineRule="exact"/>
        <w:rPr>
          <w:sz w:val="20"/>
          <w:szCs w:val="20"/>
          <w:color w:val="auto"/>
        </w:rPr>
      </w:pPr>
    </w:p>
    <w:p>
      <w:pPr>
        <w:ind w:firstLine="749"/>
        <w:spacing w:after="0" w:line="246" w:lineRule="auto"/>
        <w:rPr>
          <w:sz w:val="20"/>
          <w:szCs w:val="20"/>
          <w:color w:val="auto"/>
        </w:rPr>
      </w:pPr>
      <w:r>
        <w:rPr>
          <w:rFonts w:ascii="Arial" w:cs="Arial" w:eastAsia="Arial" w:hAnsi="Arial"/>
          <w:sz w:val="18"/>
          <w:szCs w:val="18"/>
          <w:color w:val="auto"/>
        </w:rPr>
        <w:t>In addition, we operated the TDA dealership outside Houston, Texas, consisting of approximately 58,000 square feet under a lease that expires in September 2024. This space included our Vroom VRC, and supported reconditioning and sales operations for our Ecommerce segment. In connection with the Value Maximization Plan and the wind-down of the ecommerce business, we intend to cease using both facilities.</w:t>
      </w:r>
    </w:p>
    <w:p>
      <w:pPr>
        <w:spacing w:after="0" w:line="163" w:lineRule="exact"/>
        <w:rPr>
          <w:sz w:val="20"/>
          <w:szCs w:val="20"/>
          <w:color w:val="auto"/>
        </w:rPr>
      </w:pPr>
    </w:p>
    <w:p>
      <w:pPr>
        <w:ind w:firstLine="749"/>
        <w:spacing w:after="0" w:line="246" w:lineRule="auto"/>
        <w:rPr>
          <w:sz w:val="20"/>
          <w:szCs w:val="20"/>
          <w:color w:val="auto"/>
        </w:rPr>
      </w:pPr>
      <w:r>
        <w:rPr>
          <w:rFonts w:ascii="Arial" w:cs="Arial" w:eastAsia="Arial" w:hAnsi="Arial"/>
          <w:sz w:val="18"/>
          <w:szCs w:val="18"/>
          <w:color w:val="auto"/>
        </w:rPr>
        <w:t>UACC leases office space in Newport Beach, California, consisting of approximately 20,058 square feet of space under a lease that expires on March 31, 2029. UACC uses this space as its corporate headquarters and to support UACC's retail indirect financing, including risk management, dealer compliance, finance and accounting, human resources, information technology, sales and marketing, credit underwriting and funding, all of which support our Retail Financing segment.</w:t>
      </w:r>
    </w:p>
    <w:p>
      <w:pPr>
        <w:spacing w:after="0" w:line="163"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In addition, UACC leases office space in Fort Worth, Texas, consisting of approximately 106,500 square feet of space under a lease that expires in September 2031. UACC uses this space as its servicing center and to support UACC's retail indirect financing, including servicing, collections, remarketing and recovery operations. UACC also leases office space outside of Buffalo, New York, consisting of approximately 12,000 square feet of space under a lease that expires in June 2031. UACC uses this space as its buyer center and to conduct credit underwriting operations in support of its indirect retail financing. The Fort Worth and Buffalo spaces support our Retail Financing segment.</w:t>
      </w:r>
    </w:p>
    <w:p>
      <w:pPr>
        <w:spacing w:after="0" w:line="169" w:lineRule="exact"/>
        <w:rPr>
          <w:sz w:val="20"/>
          <w:szCs w:val="20"/>
          <w:color w:val="auto"/>
        </w:rPr>
      </w:pPr>
    </w:p>
    <w:p>
      <w:pPr>
        <w:ind w:firstLine="749"/>
        <w:spacing w:after="0" w:line="252" w:lineRule="auto"/>
        <w:rPr>
          <w:sz w:val="20"/>
          <w:szCs w:val="20"/>
          <w:color w:val="auto"/>
        </w:rPr>
      </w:pPr>
      <w:r>
        <w:rPr>
          <w:rFonts w:ascii="Arial" w:cs="Arial" w:eastAsia="Arial" w:hAnsi="Arial"/>
          <w:sz w:val="18"/>
          <w:szCs w:val="18"/>
          <w:color w:val="auto"/>
        </w:rPr>
        <w:t>We have been negotiating early terminations of leases that are no longer needed for our ecommerce business. We believe our existing and planned facilities are sufficient for our current needs and that, should it be needed, suitable additional or alternative space will be available to accommodate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8" w:lineRule="exact"/>
        <w:rPr>
          <w:sz w:val="20"/>
          <w:szCs w:val="20"/>
          <w:color w:val="auto"/>
        </w:rPr>
      </w:pPr>
    </w:p>
    <w:p>
      <w:pPr>
        <w:ind w:right="100" w:firstLine="749"/>
        <w:spacing w:after="0" w:line="246" w:lineRule="auto"/>
        <w:rPr>
          <w:sz w:val="20"/>
          <w:szCs w:val="20"/>
          <w:color w:val="auto"/>
        </w:rPr>
      </w:pPr>
      <w:r>
        <w:rPr>
          <w:rFonts w:ascii="Arial" w:cs="Arial" w:eastAsia="Arial" w:hAnsi="Arial"/>
          <w:sz w:val="18"/>
          <w:szCs w:val="18"/>
          <w:color w:val="auto"/>
        </w:rPr>
        <w:t>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172" w:lineRule="exact"/>
        <w:rPr>
          <w:sz w:val="20"/>
          <w:szCs w:val="20"/>
          <w:color w:val="auto"/>
        </w:rPr>
      </w:pPr>
    </w:p>
    <w:p>
      <w:pPr>
        <w:ind w:right="60" w:firstLine="749"/>
        <w:spacing w:after="0" w:line="257" w:lineRule="auto"/>
        <w:rPr>
          <w:sz w:val="20"/>
          <w:szCs w:val="20"/>
          <w:color w:val="auto"/>
        </w:rPr>
      </w:pPr>
      <w:r>
        <w:rPr>
          <w:rFonts w:ascii="Arial" w:cs="Arial" w:eastAsia="Arial" w:hAnsi="Arial"/>
          <w:sz w:val="17"/>
          <w:szCs w:val="17"/>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53"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and the court has approved the parties’ stipulation that the case would remain stayed pending final resolution of In re: Vroom, Inc. Securities Litigation. This lawsuit remains in preliminary stages and there have been no substantive developments.</w:t>
      </w:r>
    </w:p>
    <w:p>
      <w:pPr>
        <w:spacing w:after="0" w:line="169"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222222"/>
        </w:rPr>
        <w:t>In January 2022, the Company received a non-public civil investigative demand from the Federal Trade Commission (“FTC”),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 702. The FTC advised the Company that it is authorized to negotiate a stipulated order and the Company intends to work cooperatively with the FTC towards a resolution. Because the matter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68" w:lineRule="exact"/>
        <w:rPr>
          <w:sz w:val="20"/>
          <w:szCs w:val="20"/>
          <w:color w:val="auto"/>
        </w:rPr>
      </w:pPr>
    </w:p>
    <w:p>
      <w:pPr>
        <w:ind w:right="60" w:firstLine="799"/>
        <w:spacing w:after="0" w:line="239"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In May 2022, Vroom Automotive, LLC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LLC and the Attorney General of the State of Texas reached a final agreement to resolve all claims in the petition, without any admission of wrongdoing by either Vroom entity. Under the agreement, the Company will pay a total of $2 million in civil penalties and $1 million in attorneys' fees, with the first half due in September 2024 and the remaining half due in September 2025, and abide permanently by an injunction of certain operational practices that were previously implemented. The agreement was approved by the District Court of Travis County on December 13, 2023.</w:t>
      </w:r>
    </w:p>
    <w:p>
      <w:pPr>
        <w:spacing w:after="0" w:line="166"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222222"/>
        </w:rPr>
        <w:t>In July 2022 and August 2022, respectively, certain plaintiffs filed two putative class action lawsuits in the District Court of Cleveland County, Oklahoma and the New York State Supreme Court, respectively, against Vroom, Inc., and Vroom Automotive LLC as defendants, alleging, among other things, deficiencies in Vroom’s titling and registration of sold vehicles: Blake Sonne, individually and on behalf of all others similar situated, v. Vroom Automotive, LLC and Vroom, Inc., No. CJ-2022-822 and Emely Reyes Martinez, on behalf of all others similarly situated, v. Vroom Automotive, LLC and Vroom Inc., No. 652684/2022. The Company removed the cases to the U.S. District Court for the Western District of Oklahoma (Case No. 22-cv-761) and the U.S. District Court for the Southern District of New York (Case No. 22-cv-7631), respectively, and filed motions to compel arbitration of all claims in both cases. In September 2023, Vroom’s motions to compel arbitration were granted in both cases, and the court actions stayed pending the outcome of any arbitration proceeding over the respective plaintiffs’ individual claims. On February 9, 2024, the parties filed a joint stipulation to dismiss the Sonne matter with prejudice.</w:t>
      </w:r>
    </w:p>
    <w:p>
      <w:pPr>
        <w:spacing w:after="0" w:line="168"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As previously disclosed, we have been subject to audits, requests for information, investigations and other inquiries from our regulators relating to increased customer complaints concerning the same or similar matters alleged in the State of Texas petition.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p>
    <w:p>
      <w:pPr>
        <w:spacing w:after="0" w:line="169" w:lineRule="exact"/>
        <w:rPr>
          <w:sz w:val="20"/>
          <w:szCs w:val="20"/>
          <w:color w:val="auto"/>
        </w:rPr>
      </w:pPr>
    </w:p>
    <w:p>
      <w:pPr>
        <w:jc w:val="center"/>
        <w:ind w:right="8500"/>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jc w:val="center"/>
        <w:ind w:right="8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INFORMATION ABOUT OUR EXECUTIVE OFFICERS AND DIRECTORS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the date of this Annual Report on Form</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2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5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Age</w:t>
            </w:r>
          </w:p>
        </w:tc>
        <w:tc>
          <w:tcPr>
            <w:tcW w:w="6660" w:type="dxa"/>
            <w:vAlign w:val="bottom"/>
            <w:gridSpan w:val="3"/>
          </w:tcPr>
          <w:p>
            <w:pPr>
              <w:ind w:left="240"/>
              <w:spacing w:after="0"/>
              <w:rPr>
                <w:sz w:val="20"/>
                <w:szCs w:val="20"/>
                <w:color w:val="auto"/>
              </w:rPr>
            </w:pPr>
            <w:r>
              <w:rPr>
                <w:rFonts w:ascii="Arial" w:cs="Arial" w:eastAsia="Arial" w:hAnsi="Arial"/>
                <w:sz w:val="18"/>
                <w:szCs w:val="18"/>
                <w:b w:val="1"/>
                <w:bCs w:val="1"/>
                <w:color w:val="auto"/>
              </w:rPr>
              <w:t>Position(s)</w:t>
            </w:r>
          </w:p>
        </w:tc>
      </w:tr>
      <w:tr>
        <w:trPr>
          <w:trHeight w:val="169"/>
        </w:trPr>
        <w:tc>
          <w:tcPr>
            <w:tcW w:w="500" w:type="dxa"/>
            <w:vAlign w:val="bottom"/>
            <w:tcBorders>
              <w:top w:val="single" w:sz="8" w:color="auto"/>
            </w:tcBorders>
          </w:tcPr>
          <w:p>
            <w:pPr>
              <w:spacing w:after="0"/>
              <w:rPr>
                <w:sz w:val="14"/>
                <w:szCs w:val="14"/>
                <w:color w:val="auto"/>
              </w:rPr>
            </w:pP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500" w:type="dxa"/>
            <w:vAlign w:val="bottom"/>
          </w:tcPr>
          <w:p>
            <w:pPr>
              <w:spacing w:after="0"/>
              <w:rPr>
                <w:sz w:val="14"/>
                <w:szCs w:val="14"/>
                <w:color w:val="auto"/>
              </w:rPr>
            </w:pPr>
          </w:p>
        </w:tc>
      </w:tr>
      <w:tr>
        <w:trPr>
          <w:trHeight w:val="239"/>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 Mylod, Jr.</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w:t>
            </w:r>
          </w:p>
        </w:tc>
        <w:tc>
          <w:tcPr>
            <w:tcW w:w="66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Chairperson of the Board</w:t>
            </w:r>
          </w:p>
        </w:tc>
      </w:tr>
      <w:tr>
        <w:trPr>
          <w:trHeight w:val="139"/>
        </w:trPr>
        <w:tc>
          <w:tcPr>
            <w:tcW w:w="5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500" w:type="dxa"/>
            <w:vAlign w:val="bottom"/>
            <w:shd w:val="clear" w:color="auto" w:fill="CCEEFF"/>
          </w:tcPr>
          <w:p>
            <w:pPr>
              <w:spacing w:after="0"/>
              <w:rPr>
                <w:sz w:val="12"/>
                <w:szCs w:val="12"/>
                <w:color w:val="auto"/>
              </w:rPr>
            </w:pPr>
          </w:p>
        </w:tc>
      </w:tr>
      <w:tr>
        <w:trPr>
          <w:trHeight w:val="239"/>
        </w:trPr>
        <w:tc>
          <w:tcPr>
            <w:tcW w:w="2920" w:type="dxa"/>
            <w:vAlign w:val="bottom"/>
            <w:gridSpan w:val="2"/>
          </w:tcPr>
          <w:p>
            <w:pPr>
              <w:spacing w:after="0"/>
              <w:rPr>
                <w:sz w:val="20"/>
                <w:szCs w:val="20"/>
                <w:color w:val="auto"/>
              </w:rPr>
            </w:pPr>
            <w:r>
              <w:rPr>
                <w:rFonts w:ascii="Arial" w:cs="Arial" w:eastAsia="Arial" w:hAnsi="Arial"/>
                <w:sz w:val="18"/>
                <w:szCs w:val="18"/>
                <w:color w:val="auto"/>
              </w:rPr>
              <w:t>Timothy M. Crow</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68</w:t>
            </w: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139"/>
        </w:trPr>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500" w:type="dxa"/>
            <w:vAlign w:val="bottom"/>
          </w:tcPr>
          <w:p>
            <w:pPr>
              <w:spacing w:after="0"/>
              <w:rPr>
                <w:sz w:val="12"/>
                <w:szCs w:val="12"/>
                <w:color w:val="auto"/>
              </w:rPr>
            </w:pPr>
          </w:p>
        </w:tc>
      </w:tr>
      <w:tr>
        <w:trPr>
          <w:trHeight w:val="239"/>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Farello</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66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139"/>
        </w:trPr>
        <w:tc>
          <w:tcPr>
            <w:tcW w:w="5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500" w:type="dxa"/>
            <w:vAlign w:val="bottom"/>
            <w:shd w:val="clear" w:color="auto" w:fill="CCEEFF"/>
          </w:tcPr>
          <w:p>
            <w:pPr>
              <w:spacing w:after="0"/>
              <w:rPr>
                <w:sz w:val="12"/>
                <w:szCs w:val="12"/>
                <w:color w:val="auto"/>
              </w:rPr>
            </w:pPr>
          </w:p>
        </w:tc>
      </w:tr>
      <w:tr>
        <w:trPr>
          <w:trHeight w:val="239"/>
        </w:trPr>
        <w:tc>
          <w:tcPr>
            <w:tcW w:w="2920" w:type="dxa"/>
            <w:vAlign w:val="bottom"/>
            <w:gridSpan w:val="2"/>
          </w:tcPr>
          <w:p>
            <w:pPr>
              <w:spacing w:after="0"/>
              <w:rPr>
                <w:sz w:val="20"/>
                <w:szCs w:val="20"/>
                <w:color w:val="auto"/>
              </w:rPr>
            </w:pPr>
            <w:r>
              <w:rPr>
                <w:rFonts w:ascii="Arial" w:cs="Arial" w:eastAsia="Arial" w:hAnsi="Arial"/>
                <w:sz w:val="18"/>
                <w:szCs w:val="18"/>
                <w:color w:val="auto"/>
              </w:rPr>
              <w:t>Laura W. Lang</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68</w:t>
            </w: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139"/>
        </w:trPr>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500" w:type="dxa"/>
            <w:vAlign w:val="bottom"/>
          </w:tcPr>
          <w:p>
            <w:pPr>
              <w:spacing w:after="0"/>
              <w:rPr>
                <w:sz w:val="12"/>
                <w:szCs w:val="12"/>
                <w:color w:val="auto"/>
              </w:rPr>
            </w:pPr>
          </w:p>
        </w:tc>
      </w:tr>
      <w:tr>
        <w:trPr>
          <w:trHeight w:val="239"/>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G. O’Shaughnessy</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w:t>
            </w:r>
          </w:p>
        </w:tc>
        <w:tc>
          <w:tcPr>
            <w:tcW w:w="66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Director</w:t>
            </w:r>
          </w:p>
        </w:tc>
      </w:tr>
      <w:tr>
        <w:trPr>
          <w:trHeight w:val="139"/>
        </w:trPr>
        <w:tc>
          <w:tcPr>
            <w:tcW w:w="5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5500" w:type="dxa"/>
            <w:vAlign w:val="bottom"/>
            <w:shd w:val="clear" w:color="auto" w:fill="CCEEFF"/>
          </w:tcPr>
          <w:p>
            <w:pPr>
              <w:spacing w:after="0"/>
              <w:rPr>
                <w:sz w:val="12"/>
                <w:szCs w:val="12"/>
                <w:color w:val="auto"/>
              </w:rPr>
            </w:pPr>
          </w:p>
        </w:tc>
      </w:tr>
      <w:tr>
        <w:trPr>
          <w:trHeight w:val="239"/>
        </w:trPr>
        <w:tc>
          <w:tcPr>
            <w:tcW w:w="2920" w:type="dxa"/>
            <w:vAlign w:val="bottom"/>
            <w:gridSpan w:val="2"/>
          </w:tcPr>
          <w:p>
            <w:pPr>
              <w:spacing w:after="0"/>
              <w:rPr>
                <w:sz w:val="20"/>
                <w:szCs w:val="20"/>
                <w:color w:val="auto"/>
              </w:rPr>
            </w:pPr>
            <w:r>
              <w:rPr>
                <w:rFonts w:ascii="Arial" w:cs="Arial" w:eastAsia="Arial" w:hAnsi="Arial"/>
                <w:sz w:val="18"/>
                <w:szCs w:val="18"/>
                <w:color w:val="auto"/>
              </w:rPr>
              <w:t>Paula B. Pretlow</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68</w:t>
            </w: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r>
      <w:tr>
        <w:trPr>
          <w:trHeight w:val="139"/>
        </w:trPr>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500" w:type="dxa"/>
            <w:vAlign w:val="bottom"/>
          </w:tcPr>
          <w:p>
            <w:pPr>
              <w:spacing w:after="0"/>
              <w:rPr>
                <w:sz w:val="12"/>
                <w:szCs w:val="12"/>
                <w:color w:val="auto"/>
              </w:rPr>
            </w:pPr>
          </w:p>
        </w:tc>
      </w:tr>
      <w:tr>
        <w:trPr>
          <w:trHeight w:val="197"/>
        </w:trPr>
        <w:tc>
          <w:tcPr>
            <w:tcW w:w="2920" w:type="dxa"/>
            <w:vAlign w:val="bottom"/>
            <w:gridSpan w:val="2"/>
            <w:shd w:val="clear" w:color="auto" w:fill="D0EEFF"/>
          </w:tcPr>
          <w:p>
            <w:pPr>
              <w:spacing w:after="0" w:line="197" w:lineRule="exact"/>
              <w:rPr>
                <w:sz w:val="20"/>
                <w:szCs w:val="20"/>
                <w:color w:val="auto"/>
              </w:rPr>
            </w:pPr>
            <w:r>
              <w:rPr>
                <w:rFonts w:ascii="Arial" w:cs="Arial" w:eastAsia="Arial" w:hAnsi="Arial"/>
                <w:sz w:val="18"/>
                <w:szCs w:val="18"/>
                <w:color w:val="auto"/>
              </w:rPr>
              <w:t>Thomas H. Shortt</w:t>
            </w:r>
          </w:p>
        </w:tc>
        <w:tc>
          <w:tcPr>
            <w:tcW w:w="1520" w:type="dxa"/>
            <w:vAlign w:val="bottom"/>
            <w:gridSpan w:val="3"/>
            <w:shd w:val="clear" w:color="auto" w:fill="D0EEFF"/>
          </w:tcPr>
          <w:p>
            <w:pPr>
              <w:jc w:val="right"/>
              <w:ind w:right="260"/>
              <w:spacing w:after="0" w:line="197" w:lineRule="exact"/>
              <w:rPr>
                <w:sz w:val="20"/>
                <w:szCs w:val="20"/>
                <w:color w:val="auto"/>
              </w:rPr>
            </w:pPr>
            <w:r>
              <w:rPr>
                <w:rFonts w:ascii="Arial" w:cs="Arial" w:eastAsia="Arial" w:hAnsi="Arial"/>
                <w:sz w:val="18"/>
                <w:szCs w:val="18"/>
                <w:color w:val="auto"/>
              </w:rPr>
              <w:t>55</w:t>
            </w:r>
          </w:p>
        </w:tc>
        <w:tc>
          <w:tcPr>
            <w:tcW w:w="6660" w:type="dxa"/>
            <w:vAlign w:val="bottom"/>
            <w:gridSpan w:val="3"/>
            <w:shd w:val="clear" w:color="auto" w:fill="D0EEFF"/>
          </w:tcPr>
          <w:p>
            <w:pPr>
              <w:ind w:left="240"/>
              <w:spacing w:after="0" w:line="197" w:lineRule="exact"/>
              <w:rPr>
                <w:sz w:val="20"/>
                <w:szCs w:val="20"/>
                <w:color w:val="auto"/>
              </w:rPr>
            </w:pPr>
            <w:r>
              <w:rPr>
                <w:rFonts w:ascii="Arial" w:cs="Arial" w:eastAsia="Arial" w:hAnsi="Arial"/>
                <w:sz w:val="18"/>
                <w:szCs w:val="18"/>
                <w:color w:val="auto"/>
              </w:rPr>
              <w:t>Chief Executive Officer, Director, and President and Chief Executive Officer of</w:t>
            </w:r>
          </w:p>
        </w:tc>
      </w:tr>
      <w:tr>
        <w:trPr>
          <w:trHeight w:val="239"/>
        </w:trPr>
        <w:tc>
          <w:tcPr>
            <w:tcW w:w="500" w:type="dxa"/>
            <w:vAlign w:val="bottom"/>
            <w:shd w:val="clear" w:color="auto" w:fill="D0EEFF"/>
          </w:tcPr>
          <w:p>
            <w:pPr>
              <w:spacing w:after="0"/>
              <w:rPr>
                <w:sz w:val="20"/>
                <w:szCs w:val="20"/>
                <w:color w:val="auto"/>
              </w:rPr>
            </w:pPr>
          </w:p>
        </w:tc>
        <w:tc>
          <w:tcPr>
            <w:tcW w:w="2420" w:type="dxa"/>
            <w:vAlign w:val="bottom"/>
            <w:shd w:val="clear" w:color="auto" w:fill="D0EEFF"/>
          </w:tcPr>
          <w:p>
            <w:pPr>
              <w:spacing w:after="0"/>
              <w:rPr>
                <w:sz w:val="20"/>
                <w:szCs w:val="20"/>
                <w:color w:val="auto"/>
              </w:rPr>
            </w:pPr>
          </w:p>
        </w:tc>
        <w:tc>
          <w:tcPr>
            <w:tcW w:w="900" w:type="dxa"/>
            <w:vAlign w:val="bottom"/>
            <w:shd w:val="clear" w:color="auto" w:fill="D0EEFF"/>
          </w:tcPr>
          <w:p>
            <w:pPr>
              <w:spacing w:after="0"/>
              <w:rPr>
                <w:sz w:val="20"/>
                <w:szCs w:val="20"/>
                <w:color w:val="auto"/>
              </w:rPr>
            </w:pPr>
          </w:p>
        </w:tc>
        <w:tc>
          <w:tcPr>
            <w:tcW w:w="340" w:type="dxa"/>
            <w:vAlign w:val="bottom"/>
            <w:shd w:val="clear" w:color="auto" w:fill="D0EEFF"/>
          </w:tcPr>
          <w:p>
            <w:pPr>
              <w:spacing w:after="0"/>
              <w:rPr>
                <w:sz w:val="20"/>
                <w:szCs w:val="20"/>
                <w:color w:val="auto"/>
              </w:rPr>
            </w:pPr>
          </w:p>
        </w:tc>
        <w:tc>
          <w:tcPr>
            <w:tcW w:w="280" w:type="dxa"/>
            <w:vAlign w:val="bottom"/>
            <w:shd w:val="clear" w:color="auto" w:fill="D0EEFF"/>
          </w:tcPr>
          <w:p>
            <w:pPr>
              <w:spacing w:after="0"/>
              <w:rPr>
                <w:sz w:val="20"/>
                <w:szCs w:val="20"/>
                <w:color w:val="auto"/>
              </w:rPr>
            </w:pPr>
          </w:p>
        </w:tc>
        <w:tc>
          <w:tcPr>
            <w:tcW w:w="6660" w:type="dxa"/>
            <w:vAlign w:val="bottom"/>
            <w:gridSpan w:val="3"/>
            <w:shd w:val="clear" w:color="auto" w:fill="D0EEFF"/>
          </w:tcPr>
          <w:p>
            <w:pPr>
              <w:ind w:left="240"/>
              <w:spacing w:after="0"/>
              <w:rPr>
                <w:sz w:val="20"/>
                <w:szCs w:val="20"/>
                <w:color w:val="auto"/>
              </w:rPr>
            </w:pPr>
            <w:r>
              <w:rPr>
                <w:rFonts w:ascii="Arial" w:cs="Arial" w:eastAsia="Arial" w:hAnsi="Arial"/>
                <w:sz w:val="18"/>
                <w:szCs w:val="18"/>
                <w:color w:val="auto"/>
              </w:rPr>
              <w:t>UACC</w:t>
            </w:r>
          </w:p>
        </w:tc>
      </w:tr>
      <w:tr>
        <w:trPr>
          <w:trHeight w:val="144"/>
        </w:trPr>
        <w:tc>
          <w:tcPr>
            <w:tcW w:w="500" w:type="dxa"/>
            <w:vAlign w:val="bottom"/>
            <w:shd w:val="clear" w:color="auto" w:fill="D0EEFF"/>
          </w:tcPr>
          <w:p>
            <w:pPr>
              <w:spacing w:after="0"/>
              <w:rPr>
                <w:sz w:val="12"/>
                <w:szCs w:val="12"/>
                <w:color w:val="auto"/>
              </w:rPr>
            </w:pPr>
          </w:p>
        </w:tc>
        <w:tc>
          <w:tcPr>
            <w:tcW w:w="2420" w:type="dxa"/>
            <w:vAlign w:val="bottom"/>
            <w:shd w:val="clear" w:color="auto" w:fill="D0EEFF"/>
          </w:tcPr>
          <w:p>
            <w:pPr>
              <w:spacing w:after="0"/>
              <w:rPr>
                <w:sz w:val="12"/>
                <w:szCs w:val="12"/>
                <w:color w:val="auto"/>
              </w:rPr>
            </w:pPr>
          </w:p>
        </w:tc>
        <w:tc>
          <w:tcPr>
            <w:tcW w:w="900" w:type="dxa"/>
            <w:vAlign w:val="bottom"/>
            <w:shd w:val="clear" w:color="auto" w:fill="D0EEFF"/>
          </w:tcPr>
          <w:p>
            <w:pPr>
              <w:spacing w:after="0"/>
              <w:rPr>
                <w:sz w:val="12"/>
                <w:szCs w:val="12"/>
                <w:color w:val="auto"/>
              </w:rPr>
            </w:pPr>
          </w:p>
        </w:tc>
        <w:tc>
          <w:tcPr>
            <w:tcW w:w="340" w:type="dxa"/>
            <w:vAlign w:val="bottom"/>
            <w:shd w:val="clear" w:color="auto" w:fill="D0EEFF"/>
          </w:tcPr>
          <w:p>
            <w:pPr>
              <w:spacing w:after="0"/>
              <w:rPr>
                <w:sz w:val="12"/>
                <w:szCs w:val="12"/>
                <w:color w:val="auto"/>
              </w:rPr>
            </w:pPr>
          </w:p>
        </w:tc>
        <w:tc>
          <w:tcPr>
            <w:tcW w:w="280" w:type="dxa"/>
            <w:vAlign w:val="bottom"/>
            <w:shd w:val="clear" w:color="auto" w:fill="D0EEFF"/>
          </w:tcPr>
          <w:p>
            <w:pPr>
              <w:spacing w:after="0"/>
              <w:rPr>
                <w:sz w:val="12"/>
                <w:szCs w:val="12"/>
                <w:color w:val="auto"/>
              </w:rPr>
            </w:pPr>
          </w:p>
        </w:tc>
        <w:tc>
          <w:tcPr>
            <w:tcW w:w="240" w:type="dxa"/>
            <w:vAlign w:val="bottom"/>
            <w:shd w:val="clear" w:color="auto" w:fill="D0EEFF"/>
          </w:tcPr>
          <w:p>
            <w:pPr>
              <w:spacing w:after="0"/>
              <w:rPr>
                <w:sz w:val="12"/>
                <w:szCs w:val="12"/>
                <w:color w:val="auto"/>
              </w:rPr>
            </w:pPr>
          </w:p>
        </w:tc>
        <w:tc>
          <w:tcPr>
            <w:tcW w:w="920" w:type="dxa"/>
            <w:vAlign w:val="bottom"/>
            <w:shd w:val="clear" w:color="auto" w:fill="D0EEFF"/>
          </w:tcPr>
          <w:p>
            <w:pPr>
              <w:spacing w:after="0"/>
              <w:rPr>
                <w:sz w:val="12"/>
                <w:szCs w:val="12"/>
                <w:color w:val="auto"/>
              </w:rPr>
            </w:pPr>
          </w:p>
        </w:tc>
        <w:tc>
          <w:tcPr>
            <w:tcW w:w="5500" w:type="dxa"/>
            <w:vAlign w:val="bottom"/>
            <w:shd w:val="clear" w:color="auto" w:fill="D0EEFF"/>
          </w:tcPr>
          <w:p>
            <w:pPr>
              <w:spacing w:after="0"/>
              <w:rPr>
                <w:sz w:val="12"/>
                <w:szCs w:val="12"/>
                <w:color w:val="auto"/>
              </w:rPr>
            </w:pPr>
          </w:p>
        </w:tc>
      </w:tr>
      <w:tr>
        <w:trPr>
          <w:trHeight w:val="239"/>
        </w:trPr>
        <w:tc>
          <w:tcPr>
            <w:tcW w:w="2920" w:type="dxa"/>
            <w:vAlign w:val="bottom"/>
            <w:gridSpan w:val="2"/>
          </w:tcPr>
          <w:p>
            <w:pPr>
              <w:spacing w:after="0"/>
              <w:rPr>
                <w:sz w:val="20"/>
                <w:szCs w:val="20"/>
                <w:color w:val="auto"/>
              </w:rPr>
            </w:pPr>
            <w:r>
              <w:rPr>
                <w:rFonts w:ascii="Arial" w:cs="Arial" w:eastAsia="Arial" w:hAnsi="Arial"/>
                <w:sz w:val="18"/>
                <w:szCs w:val="18"/>
                <w:color w:val="auto"/>
              </w:rPr>
              <w:t>Robert R. Krakowiak</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53</w:t>
            </w: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w:t>
            </w:r>
          </w:p>
        </w:tc>
      </w:tr>
      <w:tr>
        <w:trPr>
          <w:trHeight w:val="139"/>
        </w:trPr>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500" w:type="dxa"/>
            <w:vAlign w:val="bottom"/>
          </w:tcPr>
          <w:p>
            <w:pPr>
              <w:spacing w:after="0"/>
              <w:rPr>
                <w:sz w:val="12"/>
                <w:szCs w:val="12"/>
                <w:color w:val="auto"/>
              </w:rPr>
            </w:pPr>
          </w:p>
        </w:tc>
      </w:tr>
      <w:tr>
        <w:trPr>
          <w:trHeight w:val="239"/>
        </w:trPr>
        <w:tc>
          <w:tcPr>
            <w:tcW w:w="2920" w:type="dxa"/>
            <w:vAlign w:val="bottom"/>
            <w:gridSpan w:val="2"/>
            <w:shd w:val="clear" w:color="auto" w:fill="D0EEFF"/>
          </w:tcPr>
          <w:p>
            <w:pPr>
              <w:spacing w:after="0"/>
              <w:rPr>
                <w:sz w:val="20"/>
                <w:szCs w:val="20"/>
                <w:color w:val="auto"/>
              </w:rPr>
            </w:pPr>
            <w:r>
              <w:rPr>
                <w:rFonts w:ascii="Arial" w:cs="Arial" w:eastAsia="Arial" w:hAnsi="Arial"/>
                <w:sz w:val="18"/>
                <w:szCs w:val="18"/>
                <w:color w:val="auto"/>
              </w:rPr>
              <w:t>Patricia Moran</w:t>
            </w:r>
          </w:p>
        </w:tc>
        <w:tc>
          <w:tcPr>
            <w:tcW w:w="1520" w:type="dxa"/>
            <w:vAlign w:val="bottom"/>
            <w:gridSpan w:val="3"/>
            <w:shd w:val="clear" w:color="auto" w:fill="D0EEFF"/>
          </w:tcPr>
          <w:p>
            <w:pPr>
              <w:jc w:val="right"/>
              <w:ind w:right="260"/>
              <w:spacing w:after="0"/>
              <w:rPr>
                <w:sz w:val="20"/>
                <w:szCs w:val="20"/>
                <w:color w:val="auto"/>
              </w:rPr>
            </w:pPr>
            <w:r>
              <w:rPr>
                <w:rFonts w:ascii="Arial" w:cs="Arial" w:eastAsia="Arial" w:hAnsi="Arial"/>
                <w:sz w:val="18"/>
                <w:szCs w:val="18"/>
                <w:color w:val="auto"/>
              </w:rPr>
              <w:t>64</w:t>
            </w:r>
          </w:p>
        </w:tc>
        <w:tc>
          <w:tcPr>
            <w:tcW w:w="6660" w:type="dxa"/>
            <w:vAlign w:val="bottom"/>
            <w:gridSpan w:val="3"/>
            <w:shd w:val="clear" w:color="auto" w:fill="D0EEFF"/>
          </w:tcPr>
          <w:p>
            <w:pPr>
              <w:ind w:left="240"/>
              <w:spacing w:after="0"/>
              <w:rPr>
                <w:sz w:val="20"/>
                <w:szCs w:val="20"/>
                <w:color w:val="auto"/>
              </w:rPr>
            </w:pPr>
            <w:r>
              <w:rPr>
                <w:rFonts w:ascii="Arial" w:cs="Arial" w:eastAsia="Arial" w:hAnsi="Arial"/>
                <w:sz w:val="18"/>
                <w:szCs w:val="18"/>
                <w:color w:val="auto"/>
              </w:rPr>
              <w:t>Chief Legal Officer and Secretary</w:t>
            </w:r>
          </w:p>
        </w:tc>
      </w:tr>
      <w:tr>
        <w:trPr>
          <w:trHeight w:val="139"/>
        </w:trPr>
        <w:tc>
          <w:tcPr>
            <w:tcW w:w="500" w:type="dxa"/>
            <w:vAlign w:val="bottom"/>
            <w:shd w:val="clear" w:color="auto" w:fill="D0EEFF"/>
          </w:tcPr>
          <w:p>
            <w:pPr>
              <w:spacing w:after="0"/>
              <w:rPr>
                <w:sz w:val="12"/>
                <w:szCs w:val="12"/>
                <w:color w:val="auto"/>
              </w:rPr>
            </w:pPr>
          </w:p>
        </w:tc>
        <w:tc>
          <w:tcPr>
            <w:tcW w:w="2420" w:type="dxa"/>
            <w:vAlign w:val="bottom"/>
            <w:shd w:val="clear" w:color="auto" w:fill="D0EEFF"/>
          </w:tcPr>
          <w:p>
            <w:pPr>
              <w:spacing w:after="0"/>
              <w:rPr>
                <w:sz w:val="12"/>
                <w:szCs w:val="12"/>
                <w:color w:val="auto"/>
              </w:rPr>
            </w:pPr>
          </w:p>
        </w:tc>
        <w:tc>
          <w:tcPr>
            <w:tcW w:w="900" w:type="dxa"/>
            <w:vAlign w:val="bottom"/>
            <w:shd w:val="clear" w:color="auto" w:fill="D0EEFF"/>
          </w:tcPr>
          <w:p>
            <w:pPr>
              <w:spacing w:after="0"/>
              <w:rPr>
                <w:sz w:val="12"/>
                <w:szCs w:val="12"/>
                <w:color w:val="auto"/>
              </w:rPr>
            </w:pPr>
          </w:p>
        </w:tc>
        <w:tc>
          <w:tcPr>
            <w:tcW w:w="340" w:type="dxa"/>
            <w:vAlign w:val="bottom"/>
            <w:shd w:val="clear" w:color="auto" w:fill="D0EEFF"/>
          </w:tcPr>
          <w:p>
            <w:pPr>
              <w:spacing w:after="0"/>
              <w:rPr>
                <w:sz w:val="12"/>
                <w:szCs w:val="12"/>
                <w:color w:val="auto"/>
              </w:rPr>
            </w:pPr>
          </w:p>
        </w:tc>
        <w:tc>
          <w:tcPr>
            <w:tcW w:w="280" w:type="dxa"/>
            <w:vAlign w:val="bottom"/>
            <w:shd w:val="clear" w:color="auto" w:fill="D0EEFF"/>
          </w:tcPr>
          <w:p>
            <w:pPr>
              <w:spacing w:after="0"/>
              <w:rPr>
                <w:sz w:val="12"/>
                <w:szCs w:val="12"/>
                <w:color w:val="auto"/>
              </w:rPr>
            </w:pPr>
          </w:p>
        </w:tc>
        <w:tc>
          <w:tcPr>
            <w:tcW w:w="240" w:type="dxa"/>
            <w:vAlign w:val="bottom"/>
            <w:shd w:val="clear" w:color="auto" w:fill="D0EEFF"/>
          </w:tcPr>
          <w:p>
            <w:pPr>
              <w:spacing w:after="0"/>
              <w:rPr>
                <w:sz w:val="12"/>
                <w:szCs w:val="12"/>
                <w:color w:val="auto"/>
              </w:rPr>
            </w:pPr>
          </w:p>
        </w:tc>
        <w:tc>
          <w:tcPr>
            <w:tcW w:w="920" w:type="dxa"/>
            <w:vAlign w:val="bottom"/>
            <w:shd w:val="clear" w:color="auto" w:fill="D0EEFF"/>
          </w:tcPr>
          <w:p>
            <w:pPr>
              <w:spacing w:after="0"/>
              <w:rPr>
                <w:sz w:val="12"/>
                <w:szCs w:val="12"/>
                <w:color w:val="auto"/>
              </w:rPr>
            </w:pPr>
          </w:p>
        </w:tc>
        <w:tc>
          <w:tcPr>
            <w:tcW w:w="5500" w:type="dxa"/>
            <w:vAlign w:val="bottom"/>
            <w:shd w:val="clear" w:color="auto" w:fill="D0EEFF"/>
          </w:tcPr>
          <w:p>
            <w:pPr>
              <w:spacing w:after="0"/>
              <w:rPr>
                <w:sz w:val="12"/>
                <w:szCs w:val="12"/>
                <w:color w:val="auto"/>
              </w:rPr>
            </w:pPr>
          </w:p>
        </w:tc>
      </w:tr>
      <w:tr>
        <w:trPr>
          <w:trHeight w:val="239"/>
        </w:trPr>
        <w:tc>
          <w:tcPr>
            <w:tcW w:w="2920" w:type="dxa"/>
            <w:vAlign w:val="bottom"/>
            <w:gridSpan w:val="2"/>
          </w:tcPr>
          <w:p>
            <w:pPr>
              <w:spacing w:after="0"/>
              <w:rPr>
                <w:sz w:val="20"/>
                <w:szCs w:val="20"/>
                <w:color w:val="auto"/>
              </w:rPr>
            </w:pPr>
            <w:r>
              <w:rPr>
                <w:rFonts w:ascii="Arial" w:cs="Arial" w:eastAsia="Arial" w:hAnsi="Arial"/>
                <w:sz w:val="18"/>
                <w:szCs w:val="18"/>
                <w:color w:val="auto"/>
              </w:rPr>
              <w:t>C. Denise Stott</w:t>
            </w:r>
          </w:p>
        </w:tc>
        <w:tc>
          <w:tcPr>
            <w:tcW w:w="1520" w:type="dxa"/>
            <w:vAlign w:val="bottom"/>
            <w:gridSpan w:val="3"/>
          </w:tcPr>
          <w:p>
            <w:pPr>
              <w:jc w:val="right"/>
              <w:ind w:right="260"/>
              <w:spacing w:after="0"/>
              <w:rPr>
                <w:sz w:val="20"/>
                <w:szCs w:val="20"/>
                <w:color w:val="auto"/>
              </w:rPr>
            </w:pPr>
            <w:r>
              <w:rPr>
                <w:rFonts w:ascii="Arial" w:cs="Arial" w:eastAsia="Arial" w:hAnsi="Arial"/>
                <w:sz w:val="18"/>
                <w:szCs w:val="18"/>
                <w:color w:val="auto"/>
              </w:rPr>
              <w:t>56</w:t>
            </w:r>
          </w:p>
        </w:tc>
        <w:tc>
          <w:tcPr>
            <w:tcW w:w="6660" w:type="dxa"/>
            <w:vAlign w:val="bottom"/>
            <w:gridSpan w:val="3"/>
          </w:tcPr>
          <w:p>
            <w:pPr>
              <w:ind w:left="240"/>
              <w:spacing w:after="0"/>
              <w:rPr>
                <w:sz w:val="20"/>
                <w:szCs w:val="20"/>
                <w:color w:val="auto"/>
              </w:rPr>
            </w:pPr>
            <w:r>
              <w:rPr>
                <w:rFonts w:ascii="Arial" w:cs="Arial" w:eastAsia="Arial" w:hAnsi="Arial"/>
                <w:sz w:val="18"/>
                <w:szCs w:val="18"/>
                <w:color w:val="auto"/>
              </w:rPr>
              <w:t>Chief People and Culture Officer</w:t>
            </w:r>
          </w:p>
        </w:tc>
      </w:tr>
    </w:tbl>
    <w:p>
      <w:pPr>
        <w:spacing w:after="0" w:line="322"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auto"/>
        </w:rPr>
        <w:t xml:space="preserve">Robert J. Mylod, Jr. </w:t>
      </w:r>
      <w:r>
        <w:rPr>
          <w:rFonts w:ascii="Arial" w:cs="Arial" w:eastAsia="Arial" w:hAnsi="Arial"/>
          <w:sz w:val="18"/>
          <w:szCs w:val="18"/>
          <w:color w:val="auto"/>
        </w:rPr>
        <w:t>has served as a member of our Board of Directors since September 2015 and Independent Executive Chair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since May 2022. Mr. Mylod is the Managing Partner of Annox Capital Management, a private investment firm that he founded in 2013. Previously, Mr. Mylod served as Head of Worldwide Strategy &amp; Planning and Vice Chair for Bookings Holdings, Inc., an online travel services provider, from January 2009 to March 2011 and as its Chief Financial Officer and Vice Chairman from November 2000 to January 2009. He currently serves as the Chair of the board of directors and a member of the compensation committee of Booking Holdings, Inc. Mr. Mylod is also a member of the board of directors of several private companies. Mr. Mylod holds a Bachelor of Arts in English from the University of Michigan and a Master of Business Administration from the University of Chicago Booth School. We believe that Mr. Mylod’s experience as a venture capital investor and a senior finance executive, including having served as the chief financial officer and vice chairman of a large publicly traded online services provider, qualifies him to serve on our Board of Directors.</w:t>
      </w:r>
    </w:p>
    <w:p>
      <w:pPr>
        <w:spacing w:after="0" w:line="168"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Timothy M. Crow </w:t>
      </w:r>
      <w:r>
        <w:rPr>
          <w:rFonts w:ascii="Arial" w:cs="Arial" w:eastAsia="Arial" w:hAnsi="Arial"/>
          <w:sz w:val="18"/>
          <w:szCs w:val="18"/>
          <w:color w:val="auto"/>
        </w:rPr>
        <w:t>has served on our Board of Directors since October 2022. Mr. Crow is the Chief Executive Officer and Managing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Fernwood Holdings, a venture capital investment firm focused on hyper-growth innovators. Mr. Crow has led an accomplished career spanning more than 20 years in human capital management for leading consumer retail companies. From May 2002, Mr. Crow served in roles of increasing responsibility at The Home Depot, Inc., the world's largest home improvement specialty retailer, culminating in his role as Executive Vice President, Chief Human Resources Officer from February 2007 to July 2017. Prior to that, Mr. Crow served as Senior Vice President, Human Resources of Kmart Corporation, a leading general merchandise retailer, from May 1999 through May 2002. Mr. Crow previously served as a director of Milacron Holdings, Corp., a global leader in the plastic technology and processing industry, where he chaired its Leadership Development and Compensation Committee, and currently serves as a director of a number of private companies. Mr. Crow earned a Bachelor of Arts degree from California State University at Northridge. We believe that Mr. Crow’s extensive leadership experience, human capital management expertise, and investment experience qualifies him to serve on our board of directors.</w:t>
      </w:r>
    </w:p>
    <w:p>
      <w:pPr>
        <w:spacing w:after="0" w:line="17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auto"/>
        </w:rPr>
        <w:t xml:space="preserve">Michael Farello </w:t>
      </w:r>
      <w:r>
        <w:rPr>
          <w:rFonts w:ascii="Arial" w:cs="Arial" w:eastAsia="Arial" w:hAnsi="Arial"/>
          <w:sz w:val="18"/>
          <w:szCs w:val="18"/>
          <w:color w:val="auto"/>
        </w:rPr>
        <w:t>has served on our Board of Directors since July 2015. Since 2006, Mr. Farello has served as Managing Partner at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Catterton, a consumer-focused private equity firm. Prior to this, he served as an executive at Dell Technologies, Inc., a global end-to-end technology provider, from 2002 to 2005, and spent twelve years at McKinsey &amp; Company, a management consulting firm. Mr. Farello currently serves as a member of the board of directors of several private companies including FlashParking, Inc. and Hydrow Inc. Mr. Farello holds a Bachelor of Science from Stanford University and a Master of Business Administration from Harvard Business School. We believe Mr. Farello’s experience in</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private equity investments and expertise in the consumer sector, along with his service as a director at numerous companies, qualifies him to serve on our Board of Directors.</w:t>
      </w:r>
    </w:p>
    <w:p>
      <w:pPr>
        <w:spacing w:after="0" w:line="13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b w:val="1"/>
          <w:bCs w:val="1"/>
          <w:i w:val="1"/>
          <w:iCs w:val="1"/>
          <w:color w:val="auto"/>
        </w:rPr>
        <w:t xml:space="preserve">Laura W. Lang </w:t>
      </w:r>
      <w:r>
        <w:rPr>
          <w:rFonts w:ascii="Arial" w:cs="Arial" w:eastAsia="Arial" w:hAnsi="Arial"/>
          <w:sz w:val="18"/>
          <w:szCs w:val="18"/>
          <w:color w:val="auto"/>
        </w:rPr>
        <w:t>has served on our Board of Directors since May 2020. Ms. Lang has served as the Managing Director of Narragansett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Ventures, LLC, a strategic advisory firm focused on digital business transformation and growth investing, since January 2014. Since November 2018, Ms. Lang has also served as an adviser to L Catterton. Ms. Lang was the Chief Executive Officer of Time Inc., one of the largest branded media companies in the world, until 2013. From 2008 until she joined Time Inc. in 2012, Ms. Lang was Chief Executive Officer of Digitas Inc., a marketing and technology agency and unit of Publicis Groupe S.A. In addition, she headed the company’s pure-play digital agencies, including Razorfish, Big Fuel, Denuo and Phonevalley. Ms. Lang currently serves as a member of the board of directors and the talent and compensation and finance committees of V. F. Corporation, an international apparel and footwear company, and a member of the board of directors and chair of the compensation committee of Oscar Health Inc., a health insurance company built on a technology platform. She previously served as a member of the board of directors of Care.com Inc. from August 2014 to June 2016, Nutrisystem, Inc. from 2010 to 2012 and Benchmark Electronics, Inc. from 2005 to 2011. Ms. Lang holds a Bachelor of Arts from Tufts University and a Master of Business Administration from the Wharton School of the University of Pennsylvania. We believe Ms. Lang’s extensive leadership experience, digital and media expertise and service on the board of directors of other public companies qualifies her to serve on our Board of Directors.</w:t>
      </w:r>
    </w:p>
    <w:p>
      <w:pPr>
        <w:spacing w:after="0" w:line="17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 xml:space="preserve">Laura G. O’Shaughnessy </w:t>
      </w:r>
      <w:r>
        <w:rPr>
          <w:rFonts w:ascii="Arial" w:cs="Arial" w:eastAsia="Arial" w:hAnsi="Arial"/>
          <w:sz w:val="18"/>
          <w:szCs w:val="18"/>
          <w:color w:val="auto"/>
        </w:rPr>
        <w:t>has served on our Board of Directors since May 2020. Since December 2022, Ms. O'Shaughnessy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Chief Marketing Officer and Co-Founder of Picnic Group, a data-driven consumer packaged goods company where she oversees the scaling of founder-created consumer packaged food brands. Prior to The Picnic Group, Ms. O’Shaughnessy was a strategic growth and operations consultant for a number of direct to consumer brands. Previously she was the Chief Executive Officer of SocialCode, LLC (now named Code3), a technology company that manages digital and social advertising for leading consumer brands, which she co-founded in 2009 and led until August 2020. Ms. O’Shaughnessy currently serves as a member of the board of directors and of the audit committee and governance committee of Acuity Brands, and on the boards of directors of two nonprofits in Washington, D.C. Ms. O’Shaughnessy holds a Bachelor of Arts in Economics from the University of Chicago and a Master of Business Administration from the MIT Sloan School of Management. We believe Ms. O’Shaughnessy’s extensive leadership experience, including serving in a chief executive officer role, and digital and technology expertise, qualifies her to serve on our Board of Directors</w:t>
      </w:r>
      <w:r>
        <w:rPr>
          <w:rFonts w:ascii="Calibri" w:cs="Calibri" w:eastAsia="Calibri" w:hAnsi="Calibri"/>
          <w:sz w:val="19"/>
          <w:szCs w:val="19"/>
          <w:color w:val="auto"/>
        </w:rPr>
        <w:t>.</w:t>
      </w:r>
    </w:p>
    <w:p>
      <w:pPr>
        <w:spacing w:after="0" w:line="214"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auto"/>
        </w:rPr>
        <w:t xml:space="preserve">Paula B. Pretlow </w:t>
      </w:r>
      <w:r>
        <w:rPr>
          <w:rFonts w:ascii="Arial" w:cs="Arial" w:eastAsia="Arial" w:hAnsi="Arial"/>
          <w:sz w:val="18"/>
          <w:szCs w:val="18"/>
          <w:color w:val="auto"/>
        </w:rPr>
        <w:t>has served on our Board of Directors since April 2021. Ms. Pretlow is a former Senior Vice President of The Capital Group,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investment management firm, where she led the public fund business development and client relationship group and was also responsible for large client relationships from 1999 until 2011. Prior to joining The Capital Group, she worked for Montgomery Asset Management and Blackrock (formerly Barclays Global Investors). She is a member of the board of directors and serves on the audit and finance committee of Williams-Sonoma, Inc. She is also a member of the board of directors of Greenlight Financial Technology, Inc., where she serves on the audit committee. In addition, she currently serves as chair of the board of The Harry and Jeanette Weinberg Foundation, is a member of the board of trustees of The Kresge Foundation, and she is a charter board trustee of Northwestern University. Ms. Pretlow holds a Bachelor of Arts in Political Science and a Master of Business Administration, both from Northwestern University, and is a 2017 Fellow of Stanford’s Distinguished Careers Institute. We believe Ms. Pretlow’s extensive leadership experience, including roles in finance and business development, along with her experience as a director, qualify her to serve on our Board of Directors.</w:t>
      </w:r>
    </w:p>
    <w:p>
      <w:pPr>
        <w:spacing w:after="0" w:line="17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b w:val="1"/>
          <w:bCs w:val="1"/>
          <w:i w:val="1"/>
          <w:iCs w:val="1"/>
          <w:color w:val="auto"/>
        </w:rPr>
        <w:t xml:space="preserve">Thomas H. Shortt </w:t>
      </w:r>
      <w:r>
        <w:rPr>
          <w:rFonts w:ascii="Arial" w:cs="Arial" w:eastAsia="Arial" w:hAnsi="Arial"/>
          <w:sz w:val="18"/>
          <w:szCs w:val="18"/>
          <w:color w:val="auto"/>
        </w:rPr>
        <w:t>has served as the Company's Chief Executive Officer since May 2022 and previously served as the Company's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Officer from January 2022. Since March 1, 2024, Mr. Shortt has also served as President and Chief Executive Officer of UACC. Prior to joining Vroom, Mr. Shortt served as Senior Vice President at Walmart Inc. ("Walmart") starting in 2018, where he developed a comprehensive ecommerce supply chain strategy and led improvements through advanced analytics, processes, and systems. Prior to his time at Walmart, Mr. Shortt served as Senior Vice President of Supply Chain at The Home Depot, Inc. starting in 2013, and previously held senior leadership roles overseeing supply chain, fulfillment and logistics, with an emphasis on change management and business transformation, at ACCO Brands Corporation, Unisource Worldwide, Inc., Fisher Scientific International, Inc. and Office Depot, Inc. Mr. Shortt holds a Bachelor’s degree in Accounting from the University of Akron and is a graduate of the Harvard Business School Advanced Management Program. We believe that Mr. Shortt’s service as our chief executive officer and his expertise in supply chain, logistics, data analytics and change management qualifies him to serve on our Board of Directors.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Robert R. Krakowiak </w:t>
      </w:r>
      <w:r>
        <w:rPr>
          <w:rFonts w:ascii="Arial" w:cs="Arial" w:eastAsia="Arial" w:hAnsi="Arial"/>
          <w:sz w:val="18"/>
          <w:szCs w:val="18"/>
          <w:color w:val="auto"/>
        </w:rPr>
        <w:t>has served as Chief Financial Officer and Treasurer of Vroom since September, 2021. Prior to that he served as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and Treasurer of Stoneridge Corporation since August 2016 and was appointed as Executive Vice President in October 2018. Prior to joining Stoneridge, Mr. Krakowiak served as Vice President, Treasurer and Investor Relations at Visteon Corporation from 2012 until August 2016. Prior to that, Mr. Krakowiak held various financial positions at Owens Corning from 2005 to 2012. Mr. Krakowiak holds Bachelor of Science and Master of Science degrees in Electrical Engineering from the University of Michigan and an M.B.A. from the University of Chicago Booth School of Business.</w:t>
      </w:r>
    </w:p>
    <w:p>
      <w:pPr>
        <w:spacing w:after="0" w:line="169" w:lineRule="exact"/>
        <w:rPr>
          <w:sz w:val="20"/>
          <w:szCs w:val="20"/>
          <w:color w:val="auto"/>
        </w:rPr>
      </w:pPr>
    </w:p>
    <w:p>
      <w:pPr>
        <w:jc w:val="both"/>
        <w:ind w:right="80"/>
        <w:spacing w:after="0" w:line="253" w:lineRule="auto"/>
        <w:rPr>
          <w:sz w:val="20"/>
          <w:szCs w:val="20"/>
          <w:color w:val="auto"/>
        </w:rPr>
      </w:pPr>
      <w:r>
        <w:rPr>
          <w:rFonts w:ascii="Arial" w:cs="Arial" w:eastAsia="Arial" w:hAnsi="Arial"/>
          <w:sz w:val="17"/>
          <w:szCs w:val="17"/>
          <w:b w:val="1"/>
          <w:bCs w:val="1"/>
          <w:i w:val="1"/>
          <w:iCs w:val="1"/>
          <w:color w:val="auto"/>
        </w:rPr>
        <w:t xml:space="preserve">Patricia Moran </w:t>
      </w:r>
      <w:r>
        <w:rPr>
          <w:rFonts w:ascii="Arial" w:cs="Arial" w:eastAsia="Arial" w:hAnsi="Arial"/>
          <w:sz w:val="17"/>
          <w:szCs w:val="17"/>
          <w:color w:val="auto"/>
        </w:rPr>
        <w:t>has served as our Chief Legal Officer and Secretary since January 2019. Previously, Ms. Moran was a Managing Director,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Legal Officer and Secretary of Greenhill &amp; Co. Inc., a publicly traded, global independent investment bank, from April 2014 to October 2016, and a Senior Advisor from November 2016 to April 2017. Prior to joining Greenhill, Ms. Moran was a Partner at Skadden, Arps, Slate, Meagher &amp; Flom LLP, a leading global law firm where she had a 30-year career and chaired the New York office Diversity Committee. Ms.</w:t>
      </w:r>
    </w:p>
    <w:p>
      <w:pPr>
        <w:spacing w:after="0" w:line="3"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Moran has broad experience in corporate governance and corporate transactions, including mergers and acquisitions, private equity, joint ventures, restructurings and corporation finance. Ms. Moran holds a Bachelor of Science from the University of Scranton and a Juris Doctor from the Villanova University School of Law.</w:t>
      </w:r>
    </w:p>
    <w:p>
      <w:pPr>
        <w:spacing w:after="0" w:line="178" w:lineRule="exact"/>
        <w:rPr>
          <w:sz w:val="20"/>
          <w:szCs w:val="20"/>
          <w:color w:val="auto"/>
        </w:rPr>
      </w:pPr>
    </w:p>
    <w:p>
      <w:pPr>
        <w:jc w:val="both"/>
        <w:ind w:right="40"/>
        <w:spacing w:after="0" w:line="255" w:lineRule="auto"/>
        <w:rPr>
          <w:sz w:val="20"/>
          <w:szCs w:val="20"/>
          <w:color w:val="auto"/>
        </w:rPr>
      </w:pPr>
      <w:r>
        <w:rPr>
          <w:rFonts w:ascii="Arial" w:cs="Arial" w:eastAsia="Arial" w:hAnsi="Arial"/>
          <w:sz w:val="17"/>
          <w:szCs w:val="17"/>
          <w:b w:val="1"/>
          <w:bCs w:val="1"/>
          <w:i w:val="1"/>
          <w:iCs w:val="1"/>
          <w:color w:val="auto"/>
        </w:rPr>
        <w:t xml:space="preserve">C. Denise Stott </w:t>
      </w:r>
      <w:r>
        <w:rPr>
          <w:rFonts w:ascii="Arial" w:cs="Arial" w:eastAsia="Arial" w:hAnsi="Arial"/>
          <w:sz w:val="17"/>
          <w:szCs w:val="17"/>
          <w:color w:val="auto"/>
        </w:rPr>
        <w:t>has served as our Chief People and Culture Officer since November 2016. Previously, Ms. Stott was Senior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Human Resources at Undertone, a digital advertising company, from May 2013 to October 2016. Ms. Stott’s tenure at Undertone included leading the human resources function through multiple transformations including acquisitions and the eventual sale to a public company.</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From February 2010 until she joined Undertone, Ms. Stott was Vice President of Human Resources at Yodle, a leader in local online marketing, where she led people development through a focus on talent acquisition, employee engagement, employee training and compensation and benefits. Ms. Stott also served as Senior Vice President of Human Resources for ZenithOptimedia, a media and advertising services provider, from August 2007 to July 2009. Ms. Stott holds a Bachelor of Science in Mathematical Economics from Tulane University and a Master of Business Administration from Vanderbilt University.</w:t>
      </w: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8" w:right="41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98" w:lineRule="exact"/>
        <w:rPr>
          <w:sz w:val="20"/>
          <w:szCs w:val="20"/>
          <w:color w:val="auto"/>
        </w:rPr>
      </w:pPr>
    </w:p>
    <w:p>
      <w:pPr>
        <w:jc w:val="both"/>
        <w:ind w:firstLine="637"/>
        <w:spacing w:after="0" w:line="271" w:lineRule="auto"/>
        <w:rPr>
          <w:sz w:val="20"/>
          <w:szCs w:val="20"/>
          <w:color w:val="auto"/>
        </w:rPr>
      </w:pPr>
      <w:r>
        <w:rPr>
          <w:rFonts w:ascii="Arial" w:cs="Arial" w:eastAsia="Arial" w:hAnsi="Arial"/>
          <w:sz w:val="18"/>
          <w:szCs w:val="18"/>
          <w:color w:val="auto"/>
        </w:rPr>
        <w:t>On June 9, 2020, our common stock began trading on the Nasdaq Global Select Market under the ticker symbol "VRM." Prior to that date, there was no public trading market for our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98" w:lineRule="exact"/>
        <w:rPr>
          <w:sz w:val="20"/>
          <w:szCs w:val="20"/>
          <w:color w:val="auto"/>
        </w:rPr>
      </w:pPr>
    </w:p>
    <w:p>
      <w:pPr>
        <w:jc w:val="both"/>
        <w:ind w:firstLine="637"/>
        <w:spacing w:after="0" w:line="255" w:lineRule="auto"/>
        <w:rPr>
          <w:sz w:val="20"/>
          <w:szCs w:val="20"/>
          <w:color w:val="auto"/>
        </w:rPr>
      </w:pPr>
      <w:r>
        <w:rPr>
          <w:rFonts w:ascii="Arial" w:cs="Arial" w:eastAsia="Arial" w:hAnsi="Arial"/>
          <w:sz w:val="17"/>
          <w:szCs w:val="17"/>
          <w:color w:val="auto"/>
        </w:rPr>
        <w:t>We are authorized to issue up to 500,000,000 shares of common stock and up to 10,000,000 shares of preferred stock. As of March 7, 2024, there were 20 stockholders of record of our common stock. The actual number of stockholders is greater than this number of record holders, and includes stockholders who are beneficial owners, but whose shares are held in street name by brokers and other nominees.</w:t>
      </w:r>
    </w:p>
    <w:p>
      <w:pPr>
        <w:spacing w:after="0" w:line="2" w:lineRule="exact"/>
        <w:rPr>
          <w:sz w:val="20"/>
          <w:szCs w:val="20"/>
          <w:color w:val="auto"/>
        </w:rPr>
      </w:pPr>
    </w:p>
    <w:p>
      <w:pPr>
        <w:ind w:right="1600"/>
        <w:spacing w:after="0" w:line="458" w:lineRule="auto"/>
        <w:rPr>
          <w:sz w:val="20"/>
          <w:szCs w:val="20"/>
          <w:color w:val="auto"/>
        </w:rPr>
      </w:pPr>
      <w:r>
        <w:rPr>
          <w:rFonts w:ascii="Arial" w:cs="Arial" w:eastAsia="Arial" w:hAnsi="Arial"/>
          <w:sz w:val="18"/>
          <w:szCs w:val="18"/>
          <w:color w:val="auto"/>
        </w:rPr>
        <w:t xml:space="preserve">This number of holders of record also does not include stockholders whose shares may be held in trust by other entities. </w:t>
      </w:r>
      <w:r>
        <w:rPr>
          <w:rFonts w:ascii="Arial" w:cs="Arial" w:eastAsia="Arial" w:hAnsi="Arial"/>
          <w:sz w:val="18"/>
          <w:szCs w:val="18"/>
          <w:b w:val="1"/>
          <w:bCs w:val="1"/>
          <w:color w:val="auto"/>
        </w:rPr>
        <w:t>Dividend Policy</w:t>
      </w:r>
    </w:p>
    <w:p>
      <w:pPr>
        <w:spacing w:after="0" w:line="1" w:lineRule="exact"/>
        <w:rPr>
          <w:sz w:val="20"/>
          <w:szCs w:val="20"/>
          <w:color w:val="auto"/>
        </w:rPr>
      </w:pPr>
    </w:p>
    <w:p>
      <w:pPr>
        <w:ind w:right="60" w:firstLine="637"/>
        <w:spacing w:after="0" w:line="271" w:lineRule="auto"/>
        <w:rPr>
          <w:sz w:val="20"/>
          <w:szCs w:val="20"/>
          <w:color w:val="auto"/>
        </w:rPr>
      </w:pPr>
      <w:r>
        <w:rPr>
          <w:rFonts w:ascii="Arial" w:cs="Arial" w:eastAsia="Arial" w:hAnsi="Arial"/>
          <w:sz w:val="18"/>
          <w:szCs w:val="18"/>
          <w:color w:val="auto"/>
        </w:rPr>
        <w:t>We have not declared or paid any cash dividends on our common stock during the fiscal year and do not currently anticipate paying cash dividends in the foreseeable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9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196" w:lineRule="exact"/>
        <w:rPr>
          <w:sz w:val="20"/>
          <w:szCs w:val="20"/>
          <w:color w:val="auto"/>
        </w:rPr>
      </w:pPr>
    </w:p>
    <w:p>
      <w:pPr>
        <w:ind w:right="40" w:firstLine="637"/>
        <w:spacing w:after="0" w:line="246" w:lineRule="auto"/>
        <w:rPr>
          <w:sz w:val="20"/>
          <w:szCs w:val="20"/>
          <w:color w:val="auto"/>
        </w:rPr>
      </w:pPr>
      <w:r>
        <w:rPr>
          <w:rFonts w:ascii="Arial" w:cs="Arial" w:eastAsia="Arial" w:hAnsi="Arial"/>
          <w:sz w:val="18"/>
          <w:szCs w:val="18"/>
          <w:color w:val="auto"/>
        </w:rPr>
        <w:t>On June 11, 2020, we completed our IPO. The offer and sale of all of the shares in the IPO were registered under the Securities Act pursuant to a registration statement on Form S-1 (File No. 333-238482), as amended, which was declared effective by the SEC on June 8, 2020. There has been no material change in the planned use of proceeds from our IPO as described in our final prospectus filed with the SEC on June 9, 2020 pursuant to Rule 424(b)(4). As of December 31, 2023, we had fully utilized the net proceeds from our IPO.</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8" w:right="4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19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8" w:right="1440"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incorporated by reference into the section titled "Risk Factors" in Part I Item 1A of this Annual Report on Form 10-K. Additionally, our historical results are not necessarily indicative of the results that may be expected for any period in the future.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 Events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Maximization Plan</w:t>
      </w:r>
    </w:p>
    <w:p>
      <w:pPr>
        <w:spacing w:after="0" w:line="196"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 xml:space="preserve">On January 22, 2024, we announced that our Board had approved the Value Maximization Plan, pursuant to which we discontinued our ecommerce operations and are in the process of winding down our used vehicle dealership business in order to preserve liquidity and enable us to maximize stakeholder value through our remaining businesses. We have suspended transactions through vroom.com, completed transactions for customers who had previously contracted with us to purchase or sell a vehicle, halted purchases of additional vehicles, sold substantially all of our used vehicle inventory through wholesale channels and paid off our 2022 Vehicle Floorplan Facility. We continue to take other actions to maximize the value of our remaining ecommerce assets, reduce our outstanding commitments and preserve our liquidity, and have been executing a reduction-in-force commensurate with our reduced operations. </w:t>
      </w:r>
      <w:r>
        <w:rPr>
          <w:rFonts w:ascii="Arial" w:cs="Arial" w:eastAsia="Arial" w:hAnsi="Arial"/>
          <w:sz w:val="18"/>
          <w:szCs w:val="18"/>
          <w:color w:val="041022"/>
        </w:rPr>
        <w:t>Although we expect the ecommerce</w:t>
      </w:r>
      <w:r>
        <w:rPr>
          <w:rFonts w:ascii="Arial" w:cs="Arial" w:eastAsia="Arial" w:hAnsi="Arial"/>
          <w:sz w:val="18"/>
          <w:szCs w:val="18"/>
          <w:color w:val="auto"/>
        </w:rPr>
        <w:t xml:space="preserve"> </w:t>
      </w:r>
      <w:r>
        <w:rPr>
          <w:rFonts w:ascii="Arial" w:cs="Arial" w:eastAsia="Arial" w:hAnsi="Arial"/>
          <w:sz w:val="18"/>
          <w:szCs w:val="18"/>
          <w:color w:val="041022"/>
        </w:rPr>
        <w:t>wind down to be substantially complete by the end of the first quarter of 2024, we may incur additional wind-down costs through the end of 2024.</w:t>
      </w:r>
    </w:p>
    <w:p>
      <w:pPr>
        <w:spacing w:after="0" w:line="168" w:lineRule="exact"/>
        <w:rPr>
          <w:sz w:val="20"/>
          <w:szCs w:val="20"/>
          <w:color w:val="auto"/>
        </w:rPr>
      </w:pPr>
    </w:p>
    <w:p>
      <w:pPr>
        <w:ind w:right="20" w:firstLine="761"/>
        <w:spacing w:after="0" w:line="266" w:lineRule="auto"/>
        <w:rPr>
          <w:sz w:val="20"/>
          <w:szCs w:val="20"/>
          <w:color w:val="auto"/>
        </w:rPr>
      </w:pPr>
      <w:r>
        <w:rPr>
          <w:rFonts w:ascii="Arial" w:cs="Arial" w:eastAsia="Arial" w:hAnsi="Arial"/>
          <w:sz w:val="17"/>
          <w:szCs w:val="17"/>
          <w:color w:val="auto"/>
        </w:rPr>
        <w:t>We also own and operate UACC, a leading automotive finance company that offers vehicle financing to its customers through third-party dealers under the UACC brand, and CarStory, an artificial intelligence-powered analytics and digital services platform for automotive retail. The UACC and CarStory businesses will continue to serve their third-party customers, with their operations substantially unaffected by Vroom’s ecommerce wind-down. We will seek to grow and enhance the profitability of the UACC and CarStory businesses going forward.</w:t>
      </w:r>
    </w:p>
    <w:p>
      <w:pPr>
        <w:spacing w:after="0" w:line="145" w:lineRule="exact"/>
        <w:rPr>
          <w:sz w:val="20"/>
          <w:szCs w:val="20"/>
          <w:color w:val="auto"/>
        </w:rPr>
      </w:pPr>
    </w:p>
    <w:p>
      <w:pPr>
        <w:ind w:right="100" w:firstLine="761"/>
        <w:spacing w:after="0" w:line="243" w:lineRule="auto"/>
        <w:rPr>
          <w:sz w:val="20"/>
          <w:szCs w:val="20"/>
          <w:color w:val="auto"/>
        </w:rPr>
      </w:pPr>
      <w:r>
        <w:rPr>
          <w:rFonts w:ascii="Arial" w:cs="Arial" w:eastAsia="Arial" w:hAnsi="Arial"/>
          <w:sz w:val="18"/>
          <w:szCs w:val="18"/>
          <w:color w:val="auto"/>
        </w:rPr>
        <w:t xml:space="preserve">As a result of the Value Maximization Plan, we estimate that we will incur total cash charges of approximately $ 16.5 million for severance and other personnel-related costs and approximately $15.0 million in contract and lease termination costs. As part of a planned reduction-in-force under the Value Maximization Plan, we </w:t>
      </w:r>
      <w:r>
        <w:rPr>
          <w:rFonts w:ascii="Arial" w:cs="Arial" w:eastAsia="Arial" w:hAnsi="Arial"/>
          <w:sz w:val="18"/>
          <w:szCs w:val="18"/>
          <w:color w:val="041022"/>
        </w:rPr>
        <w:t>anticipate that approximately 800 employees will be impacted upon substantial</w:t>
      </w:r>
      <w:r>
        <w:rPr>
          <w:rFonts w:ascii="Arial" w:cs="Arial" w:eastAsia="Arial" w:hAnsi="Arial"/>
          <w:sz w:val="18"/>
          <w:szCs w:val="18"/>
          <w:color w:val="auto"/>
        </w:rPr>
        <w:t xml:space="preserve"> </w:t>
      </w:r>
      <w:r>
        <w:rPr>
          <w:rFonts w:ascii="Arial" w:cs="Arial" w:eastAsia="Arial" w:hAnsi="Arial"/>
          <w:sz w:val="18"/>
          <w:szCs w:val="18"/>
          <w:color w:val="041022"/>
        </w:rPr>
        <w:t>completion of the wind-down, resulting in a reduction of approximately 93% of the employees not engaged in UACC’s or CarStory’s ongoing operations.</w:t>
      </w:r>
    </w:p>
    <w:p>
      <w:pPr>
        <w:spacing w:after="0" w:line="166" w:lineRule="exact"/>
        <w:rPr>
          <w:sz w:val="20"/>
          <w:szCs w:val="20"/>
          <w:color w:val="auto"/>
        </w:rPr>
      </w:pPr>
    </w:p>
    <w:p>
      <w:pPr>
        <w:ind w:right="160" w:firstLine="761"/>
        <w:spacing w:after="0" w:line="243" w:lineRule="auto"/>
        <w:rPr>
          <w:sz w:val="20"/>
          <w:szCs w:val="20"/>
          <w:color w:val="auto"/>
        </w:rPr>
      </w:pPr>
      <w:r>
        <w:rPr>
          <w:rFonts w:ascii="Arial" w:cs="Arial" w:eastAsia="Arial" w:hAnsi="Arial"/>
          <w:sz w:val="18"/>
          <w:szCs w:val="18"/>
          <w:color w:val="auto"/>
        </w:rPr>
        <w:t>We determined a triggering event existed as of December 31, 2023, resulting in long–lived asset impairment charges of $47.4 million. The impairment charges consist of $ 23.9 million related to "Property and equipment, net", $22.2 million related to "Operating lease right-of-use assets", and $1.3 million related to "Other assets" on our consolidated balance sheet. Refer to Note 7 — Property and Equipment, Net and Note 12 — Leases in our consolidated financial statements included elsewhere in this Annual Report on Form 10-K for further discussion.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2022 Vehicle Floorplan Facility</w:t>
      </w:r>
    </w:p>
    <w:p>
      <w:pPr>
        <w:spacing w:after="0" w:line="196" w:lineRule="exact"/>
        <w:rPr>
          <w:sz w:val="20"/>
          <w:szCs w:val="20"/>
          <w:color w:val="auto"/>
        </w:rPr>
      </w:pPr>
    </w:p>
    <w:p>
      <w:pPr>
        <w:ind w:right="40" w:firstLine="761"/>
        <w:spacing w:after="0" w:line="246" w:lineRule="auto"/>
        <w:rPr>
          <w:sz w:val="20"/>
          <w:szCs w:val="20"/>
          <w:color w:val="auto"/>
        </w:rPr>
      </w:pPr>
      <w:r>
        <w:rPr>
          <w:rFonts w:ascii="Arial" w:cs="Arial" w:eastAsia="Arial" w:hAnsi="Arial"/>
          <w:sz w:val="18"/>
          <w:szCs w:val="18"/>
          <w:color w:val="auto"/>
        </w:rPr>
        <w:t>On January 19, 2024, we amended our 2022 Vehicle Floorplan Facility. As a result of the amendment, borrowings under the 2022 Vehicle Floorplan Facility were suspended for future vehicle purchases and we were required to maintain 40% of our outstanding borrowings in cash. In addition, all other financial covenants were eliminated. As a result of the liquidation of our vehicle inventory, we repaid the remaining outstanding balance related to the 2022 Vehicle Floorplan Facility in full and the agreement has been terminated.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Notice and Reverse Stock Split</w:t>
      </w:r>
    </w:p>
    <w:p>
      <w:pPr>
        <w:spacing w:after="0" w:line="236"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color w:val="auto"/>
        </w:rPr>
        <w:t>On December 21, 2023, we received written notice from The Nasdaq Stock Market LLC (“Nasdaq”) notifying us that, for the last 30 consecutive business days, the bid price for our common stock had closed below the $1.00 per share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minimum bid price requirement for continued inclusion on the Nasdaq Global Select Market pursuant to Nasdaq Listing Rule 5450(a)(1) (the "Minimum Bid Price Requirement").</w:t>
      </w:r>
    </w:p>
    <w:p>
      <w:pPr>
        <w:spacing w:after="0" w:line="139"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On February 13, 2024, after obtaining stockholder approval, we effected a 1-for-80 reverse stock split (the "Reverse Stock Split"), and our stock began trading on a post-split adjusted basis on February 14, 2024. On February 29, 2024, we were notified by the Nasdaq Listing Qualifications staff that the closing bid price of our common stock had been at $1.00 per share or greater for 11 consecutive business days, from February 14, 2024 to February 28, 2024. Accordingly, the Company has regained compliance with Nasdaq Listing Rule 5450(a)(1) and this matter is now closed. If our common stock again closes below the $1.00 per share minimum bid price required by Nasdaq for 30 consecutive business days, we would again receive another notice of non-compliance with Nasdaq's listing standards and face the risk of delisting.</w:t>
      </w:r>
    </w:p>
    <w:p>
      <w:pPr>
        <w:spacing w:after="0" w:line="169" w:lineRule="exact"/>
        <w:rPr>
          <w:sz w:val="20"/>
          <w:szCs w:val="20"/>
          <w:color w:val="auto"/>
        </w:rPr>
      </w:pPr>
    </w:p>
    <w:p>
      <w:pPr>
        <w:ind w:right="220" w:firstLine="749"/>
        <w:spacing w:after="0" w:line="271" w:lineRule="auto"/>
        <w:rPr>
          <w:sz w:val="20"/>
          <w:szCs w:val="20"/>
          <w:color w:val="auto"/>
        </w:rPr>
      </w:pPr>
      <w:r>
        <w:rPr>
          <w:rFonts w:ascii="Arial" w:cs="Arial" w:eastAsia="Arial" w:hAnsi="Arial"/>
          <w:sz w:val="18"/>
          <w:szCs w:val="18"/>
          <w:color w:val="auto"/>
        </w:rPr>
        <w:t>All shares of the Company’s common stock, stock-based instruments, and per-share data included in this Annual Report on Form 10-K have been retroactively adjusted as though the Reverse Stock Split has been effected prior to all periods presented.</w:t>
      </w:r>
    </w:p>
    <w:p>
      <w:pPr>
        <w:spacing w:after="0" w:line="1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ind w:right="60" w:firstLine="761"/>
        <w:spacing w:after="0" w:line="246" w:lineRule="auto"/>
        <w:rPr>
          <w:sz w:val="20"/>
          <w:szCs w:val="20"/>
          <w:color w:val="auto"/>
        </w:rPr>
      </w:pPr>
      <w:r>
        <w:rPr>
          <w:rFonts w:ascii="Arial" w:cs="Arial" w:eastAsia="Arial" w:hAnsi="Arial"/>
          <w:sz w:val="18"/>
          <w:szCs w:val="18"/>
          <w:color w:val="auto"/>
        </w:rPr>
        <w:t>During the fiscal year ended December 31, 2023, the period covered by this Annual Report on Form 10-K, Vroom operated an end-to-end ecommerce platform to buy and sell used vehicles. Vroom also owns United Auto Credit Corporation, a leading automotive finance company that offers vehicle financing to its customers through third-party dealers under the UACC brand, and the CarStory business, a leader in AI-powered analytics and digital services for automotive retail.</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Former Ecommerce Operations</w:t>
      </w:r>
    </w:p>
    <w:p>
      <w:pPr>
        <w:spacing w:after="0" w:line="198" w:lineRule="exact"/>
        <w:rPr>
          <w:sz w:val="20"/>
          <w:szCs w:val="20"/>
          <w:color w:val="auto"/>
        </w:rPr>
      </w:pPr>
    </w:p>
    <w:p>
      <w:pPr>
        <w:ind w:right="60" w:firstLine="761"/>
        <w:spacing w:after="0" w:line="237" w:lineRule="auto"/>
        <w:rPr>
          <w:sz w:val="20"/>
          <w:szCs w:val="20"/>
          <w:color w:val="auto"/>
        </w:rPr>
      </w:pPr>
      <w:r>
        <w:rPr>
          <w:rFonts w:ascii="Arial" w:cs="Arial" w:eastAsia="Arial" w:hAnsi="Arial"/>
          <w:sz w:val="18"/>
          <w:szCs w:val="18"/>
          <w:color w:val="auto"/>
        </w:rPr>
        <w:t xml:space="preserve">Vroom's ecommerce platform combined automotive ecommerce, vehicle operations and data science and experimentation to bring all phases of the car buying and selling process to consumers wherever they are, offering an extensive selection of used vehicles, transparent pricing, competitive financing, and at-home pick-up and delivery. Vroom’s ecommerce platform offered thousands of vehicles that had undergone detailed inspections, met proprietary reconditioning standards and were backed by a Vroom 90-day limited warranty. The platform provided comprehensive and transparent information on each of the vehicles we sold and provided buyers with a personalized, intuitive interface with specific sorting, searching and filtering functionality. The platform offered integrated, real-time financing solutions through strategic partnerships with automotive finance lenders and through our subsidiary, UACC. For consumers looking to sell their vehicles, the platform offered the ease of online submission of basic vehicle information to receive an on-demand appraisal. Vroom’s vehicle operations encompassed a vertically integrated approach to sourcing, transporting, reconditioning, delivering, and picking up vehicles. Data science and experimentation was at the core of Vrooms operations, and we relied on data science, machine learning and A/B and multivariate testing to continually drive optimization and operating leverage across our ecommerce and vehicle operations. </w:t>
      </w:r>
      <w:r>
        <w:rPr>
          <w:rFonts w:ascii="Arial" w:cs="Arial" w:eastAsia="Arial" w:hAnsi="Arial"/>
          <w:sz w:val="18"/>
          <w:szCs w:val="18"/>
          <w:color w:val="041022"/>
        </w:rPr>
        <w:t>Pursuant to the</w:t>
      </w:r>
      <w:r>
        <w:rPr>
          <w:rFonts w:ascii="Arial" w:cs="Arial" w:eastAsia="Arial" w:hAnsi="Arial"/>
          <w:sz w:val="18"/>
          <w:szCs w:val="18"/>
          <w:color w:val="auto"/>
        </w:rPr>
        <w:t xml:space="preserve"> </w:t>
      </w:r>
      <w:r>
        <w:rPr>
          <w:rFonts w:ascii="Arial" w:cs="Arial" w:eastAsia="Arial" w:hAnsi="Arial"/>
          <w:sz w:val="18"/>
          <w:szCs w:val="18"/>
          <w:color w:val="041022"/>
        </w:rPr>
        <w:t>Value Maximization Plan described above, we are conducting an orderly wind-down of our ecommerce business starting in 2024. Although we expect the ecommerce wind down to be substantially complete by the end of the first quarter of 2024, we may incur additional wind-down costs through the end of 2024.</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UACC</w:t>
      </w:r>
    </w:p>
    <w:p>
      <w:pPr>
        <w:spacing w:after="0" w:line="198" w:lineRule="exact"/>
        <w:rPr>
          <w:sz w:val="20"/>
          <w:szCs w:val="20"/>
          <w:color w:val="auto"/>
        </w:rPr>
      </w:pPr>
    </w:p>
    <w:p>
      <w:pPr>
        <w:ind w:right="60" w:firstLine="761"/>
        <w:spacing w:after="0" w:line="252" w:lineRule="auto"/>
        <w:rPr>
          <w:sz w:val="20"/>
          <w:szCs w:val="20"/>
          <w:color w:val="auto"/>
        </w:rPr>
      </w:pPr>
      <w:r>
        <w:rPr>
          <w:rFonts w:ascii="Arial" w:cs="Arial" w:eastAsia="Arial" w:hAnsi="Arial"/>
          <w:sz w:val="18"/>
          <w:szCs w:val="18"/>
          <w:color w:val="auto"/>
        </w:rPr>
        <w:t>UACC, which Vroom acquired in February 2022, is an indirect lender that offers vehicle financing to consumers through third-party dealers under the UACC brand, focusing primarily on the non-prime market. Prior to Vroom’s wind-down of its ecommerce operations, UACC also offered vehicle financing to Vroom’s customers through its ecommerce platform.</w:t>
      </w:r>
    </w:p>
    <w:p>
      <w:pPr>
        <w:spacing w:after="0" w:line="157" w:lineRule="exact"/>
        <w:rPr>
          <w:sz w:val="20"/>
          <w:szCs w:val="20"/>
          <w:color w:val="auto"/>
        </w:rPr>
      </w:pPr>
    </w:p>
    <w:p>
      <w:pPr>
        <w:ind w:right="140" w:firstLine="761"/>
        <w:spacing w:after="0" w:line="243" w:lineRule="auto"/>
        <w:rPr>
          <w:sz w:val="20"/>
          <w:szCs w:val="20"/>
          <w:color w:val="auto"/>
        </w:rPr>
      </w:pPr>
      <w:r>
        <w:rPr>
          <w:rFonts w:ascii="Arial" w:cs="Arial" w:eastAsia="Arial" w:hAnsi="Arial"/>
          <w:sz w:val="18"/>
          <w:szCs w:val="18"/>
          <w:color w:val="auto"/>
        </w:rPr>
        <w:t>UACC, which has been engaged in automotive finance since 1996, currently offers financing services to a nationwide network of thousands of manufacturer-franchised and independent motor vehicle dealers in 49 states, and we seek to expand that network over time. UACC enables these dealers to finance their customers' purchases of new and used automobiles, medium and light duty trucks and vans with competitive financing terms. The credit programs offered by UACC are primarily designed to serve consumers who have limited access to traditional motor vehicle financing.</w:t>
      </w:r>
    </w:p>
    <w:p>
      <w:pPr>
        <w:spacing w:after="0" w:line="166" w:lineRule="exact"/>
        <w:rPr>
          <w:sz w:val="20"/>
          <w:szCs w:val="20"/>
          <w:color w:val="auto"/>
        </w:rPr>
      </w:pPr>
    </w:p>
    <w:p>
      <w:pPr>
        <w:ind w:right="140" w:firstLine="761"/>
        <w:spacing w:after="0" w:line="271" w:lineRule="auto"/>
        <w:rPr>
          <w:sz w:val="20"/>
          <w:szCs w:val="20"/>
          <w:color w:val="auto"/>
        </w:rPr>
      </w:pPr>
      <w:r>
        <w:rPr>
          <w:rFonts w:ascii="Arial" w:cs="Arial" w:eastAsia="Arial" w:hAnsi="Arial"/>
          <w:sz w:val="18"/>
          <w:szCs w:val="18"/>
          <w:color w:val="auto"/>
        </w:rPr>
        <w:t>In addition to its financing expertise, the UACC platform brings with it extensive application processing, underwriting, and servicing capabilities. UACC services the retail installment sales contracts it originates or purchases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will continue to service the contracts it originated or purchased for customers of Vroom’s former ecommerce business. Because UACC focuses primarily on the non-prime market, it generally sustains a higher level of delinquencies and credit losses than that experienced by traditional motor vehicle financing sources. As of December 31, 2023, UACC serviced a portfolio of approximately 79,000 retail installment sales contracts with an aggregate principal outstanding balance of $1.1 billion.</w:t>
      </w:r>
    </w:p>
    <w:p>
      <w:pPr>
        <w:spacing w:after="0" w:line="163" w:lineRule="exact"/>
        <w:rPr>
          <w:sz w:val="20"/>
          <w:szCs w:val="20"/>
          <w:color w:val="auto"/>
        </w:rPr>
      </w:pPr>
    </w:p>
    <w:p>
      <w:pPr>
        <w:ind w:right="320" w:firstLine="761"/>
        <w:spacing w:after="0" w:line="271" w:lineRule="auto"/>
        <w:rPr>
          <w:sz w:val="20"/>
          <w:szCs w:val="20"/>
          <w:color w:val="auto"/>
        </w:rPr>
      </w:pPr>
      <w:r>
        <w:rPr>
          <w:rFonts w:ascii="Arial" w:cs="Arial" w:eastAsia="Arial" w:hAnsi="Arial"/>
          <w:sz w:val="18"/>
          <w:szCs w:val="18"/>
          <w:color w:val="auto"/>
        </w:rPr>
        <w:t>Loss before provision for income taxes for UACC on a standalone basis was $41.2 million and $ 16.2 million for the years ended December 31, 2023 and 2022, respectively, including intercompany eliminations of $17.7 million and $6.2 million, respectively.</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CarStory</w:t>
      </w:r>
    </w:p>
    <w:p>
      <w:pPr>
        <w:spacing w:after="0" w:line="198" w:lineRule="exact"/>
        <w:rPr>
          <w:sz w:val="20"/>
          <w:szCs w:val="20"/>
          <w:color w:val="auto"/>
        </w:rPr>
      </w:pPr>
    </w:p>
    <w:p>
      <w:pPr>
        <w:ind w:right="100" w:firstLine="761"/>
        <w:spacing w:after="0" w:line="252" w:lineRule="auto"/>
        <w:rPr>
          <w:sz w:val="20"/>
          <w:szCs w:val="20"/>
          <w:color w:val="auto"/>
        </w:rPr>
      </w:pPr>
      <w:r>
        <w:rPr>
          <w:rFonts w:ascii="Arial" w:cs="Arial" w:eastAsia="Arial" w:hAnsi="Arial"/>
          <w:sz w:val="18"/>
          <w:szCs w:val="18"/>
          <w:color w:val="auto"/>
        </w:rPr>
        <w:t>CarStory is a leader in AI-powered analytics and digital services for automotive retail. CarStory offers its digital retailing services to dealers, automotive financial services companies and others in the automotive industry, which use CarStory’s solutions to enhance their customer experience and drive increased vehicle purchases.</w:t>
      </w:r>
    </w:p>
    <w:p>
      <w:pPr>
        <w:spacing w:after="0" w:line="157"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CarStory drives automotive retail innovation by aggregating, optimizing and distributing data from thousands of automotive sources. CarStory tracks over three and a half million unique vehicle identification numbers ("VINs") listed for sale every day. This data is aggregated with demand insights from millions of consumer sessions and VIN data from CarStory's proprietary VIN database to generate accurate price and sales predictions. CarStory helps dealers optimize their pricing by leveraging data science models for retail pricing that provide predictive pricing for marketing, buying, selling and VIN-level features.</w:t>
      </w:r>
    </w:p>
    <w:p>
      <w:pPr>
        <w:spacing w:after="0" w:line="166" w:lineRule="exact"/>
        <w:rPr>
          <w:sz w:val="20"/>
          <w:szCs w:val="20"/>
          <w:color w:val="auto"/>
        </w:rPr>
      </w:pPr>
    </w:p>
    <w:p>
      <w:pPr>
        <w:ind w:right="60" w:firstLine="761"/>
        <w:spacing w:after="0" w:line="246" w:lineRule="auto"/>
        <w:rPr>
          <w:sz w:val="20"/>
          <w:szCs w:val="20"/>
          <w:color w:val="auto"/>
        </w:rPr>
      </w:pPr>
      <w:r>
        <w:rPr>
          <w:rFonts w:ascii="Arial" w:cs="Arial" w:eastAsia="Arial" w:hAnsi="Arial"/>
          <w:sz w:val="18"/>
          <w:szCs w:val="18"/>
          <w:color w:val="auto"/>
        </w:rPr>
        <w:t>In addition to its data analytics and digital services, CarStory powers white labeled storefronts for automotive marketplaces and finance companies. In developing its white label capabilities, CarStory also has developed a variety of consumer-focused functions designed to enhance the customer experience and drive conversion. CarStory's data and data science assets create significant opportunity for automotive AI product development, with over 200 million VINs, over three billion photos and price and price elasticity models.</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Our Segments</w:t>
      </w:r>
    </w:p>
    <w:p>
      <w:pPr>
        <w:spacing w:after="0" w:line="198" w:lineRule="exact"/>
        <w:rPr>
          <w:sz w:val="20"/>
          <w:szCs w:val="20"/>
          <w:color w:val="auto"/>
        </w:rPr>
      </w:pPr>
    </w:p>
    <w:p>
      <w:pPr>
        <w:ind w:right="480" w:firstLine="761"/>
        <w:spacing w:after="0" w:line="271" w:lineRule="auto"/>
        <w:rPr>
          <w:sz w:val="20"/>
          <w:szCs w:val="20"/>
          <w:color w:val="auto"/>
        </w:rPr>
      </w:pPr>
      <w:r>
        <w:rPr>
          <w:rFonts w:ascii="Arial" w:cs="Arial" w:eastAsia="Arial" w:hAnsi="Arial"/>
          <w:sz w:val="18"/>
          <w:szCs w:val="18"/>
          <w:color w:val="auto"/>
        </w:rPr>
        <w:t>In the year ended December 31, 2023 and prior periods, we managed and reported operating results through three reportable segments:</w:t>
      </w:r>
    </w:p>
    <w:p>
      <w:pPr>
        <w:spacing w:after="0" w:line="139" w:lineRule="exact"/>
        <w:rPr>
          <w:sz w:val="20"/>
          <w:szCs w:val="20"/>
          <w:color w:val="auto"/>
        </w:rPr>
      </w:pPr>
    </w:p>
    <w:p>
      <w:pPr>
        <w:ind w:left="1020" w:right="120" w:hanging="249"/>
        <w:spacing w:after="0" w:line="252"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(64.5% of 2023 revenue; 70.0% of 2022 revenue): The Ecommerce segment represents retail sales of used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through our ecommerce platform, revenue earned on vehicle financing originated by UACC or our third-party financing sources and sales of value-added products associated with those vehicles sales.</w:t>
      </w:r>
    </w:p>
    <w:p>
      <w:pPr>
        <w:spacing w:after="0" w:line="156" w:lineRule="exact"/>
        <w:rPr>
          <w:rFonts w:ascii="Times New Roman" w:cs="Times New Roman" w:eastAsia="Times New Roman" w:hAnsi="Times New Roman"/>
          <w:sz w:val="18"/>
          <w:szCs w:val="18"/>
          <w:color w:val="auto"/>
        </w:rPr>
      </w:pPr>
    </w:p>
    <w:p>
      <w:pPr>
        <w:ind w:left="1020" w:right="580" w:hanging="249"/>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(11.7% of 2023 revenue; 15.1% of 2022 revenue): The Wholesale segment represents sales of used vehicles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wholesale channels.</w:t>
      </w:r>
    </w:p>
    <w:p>
      <w:pPr>
        <w:spacing w:after="0" w:line="140" w:lineRule="exact"/>
        <w:rPr>
          <w:rFonts w:ascii="Times New Roman" w:cs="Times New Roman" w:eastAsia="Times New Roman" w:hAnsi="Times New Roman"/>
          <w:sz w:val="18"/>
          <w:szCs w:val="18"/>
          <w:color w:val="auto"/>
        </w:rPr>
      </w:pPr>
    </w:p>
    <w:p>
      <w:pPr>
        <w:ind w:left="1020" w:right="840" w:hanging="249"/>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Retail Financing </w:t>
      </w:r>
      <w:r>
        <w:rPr>
          <w:rFonts w:ascii="Arial" w:cs="Arial" w:eastAsia="Arial" w:hAnsi="Arial"/>
          <w:sz w:val="18"/>
          <w:szCs w:val="18"/>
          <w:color w:val="auto"/>
        </w:rPr>
        <w:t>(17.6% of 2023 revenue; 7.8% of 2022 revenue): The Retail Financing segment represents UACC’s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with its network of third-party dealership customers.</w:t>
      </w:r>
    </w:p>
    <w:p>
      <w:pPr>
        <w:spacing w:after="0" w:line="140" w:lineRule="exact"/>
        <w:rPr>
          <w:sz w:val="20"/>
          <w:szCs w:val="20"/>
          <w:color w:val="auto"/>
        </w:rPr>
      </w:pPr>
    </w:p>
    <w:p>
      <w:pPr>
        <w:ind w:right="500" w:firstLine="749"/>
        <w:spacing w:after="0" w:line="271" w:lineRule="auto"/>
        <w:rPr>
          <w:sz w:val="20"/>
          <w:szCs w:val="20"/>
          <w:color w:val="auto"/>
        </w:rPr>
      </w:pPr>
      <w:r>
        <w:rPr>
          <w:rFonts w:ascii="Arial" w:cs="Arial" w:eastAsia="Arial" w:hAnsi="Arial"/>
          <w:sz w:val="18"/>
          <w:szCs w:val="18"/>
          <w:color w:val="auto"/>
        </w:rPr>
        <w:t>As a result of the Value Maximization Plan and the wind-down of our ecommerce operations, we will discontinue reporting our results through our Ecommerce and Wholesale segments starting in the first quarter of 2024.</w:t>
      </w:r>
    </w:p>
    <w:p>
      <w:pPr>
        <w:spacing w:after="0" w:line="139" w:lineRule="exact"/>
        <w:rPr>
          <w:sz w:val="20"/>
          <w:szCs w:val="20"/>
          <w:color w:val="auto"/>
        </w:rPr>
      </w:pPr>
    </w:p>
    <w:p>
      <w:pPr>
        <w:ind w:right="420" w:firstLine="761"/>
        <w:spacing w:after="0" w:line="271" w:lineRule="auto"/>
        <w:rPr>
          <w:sz w:val="20"/>
          <w:szCs w:val="20"/>
          <w:color w:val="auto"/>
        </w:rPr>
      </w:pPr>
      <w:r>
        <w:rPr>
          <w:rFonts w:ascii="Arial" w:cs="Arial" w:eastAsia="Arial" w:hAnsi="Arial"/>
          <w:sz w:val="18"/>
          <w:szCs w:val="18"/>
          <w:color w:val="auto"/>
        </w:rPr>
        <w:t>Gross profit is defined as revenue less cost of sales for each segment. Reflected below is a summary of segment revenue and segment gross profit for the years ended December 31, 2023 and 2022:</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4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182"/>
        </w:trPr>
        <w:tc>
          <w:tcPr>
            <w:tcW w:w="7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Ecommerce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576,170</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1,364,195</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104,119</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293,528</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Retail Financing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156,938</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152,542</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55,976</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893,203</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1,948,901</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 (loss):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Ecommerce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59,231</w:t>
            </w:r>
          </w:p>
        </w:tc>
        <w:tc>
          <w:tcPr>
            <w:tcW w:w="28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99,973</w:t>
            </w:r>
          </w:p>
        </w:tc>
        <w:tc>
          <w:tcPr>
            <w:tcW w:w="100" w:type="dxa"/>
            <w:vAlign w:val="bottom"/>
          </w:tcPr>
          <w:p>
            <w:pPr>
              <w:spacing w:after="0"/>
              <w:rPr>
                <w:sz w:val="19"/>
                <w:szCs w:val="19"/>
                <w:color w:val="auto"/>
              </w:rPr>
            </w:pPr>
          </w:p>
        </w:tc>
      </w:tr>
      <w:tr>
        <w:trPr>
          <w:trHeight w:val="22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Wholesale</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(34,353 )</w:t>
            </w:r>
          </w:p>
        </w:tc>
        <w:tc>
          <w:tcPr>
            <w:tcW w:w="4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(10,620 )</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Retail Financing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125,610</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138,381</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11,459</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161,947</w:t>
            </w:r>
          </w:p>
        </w:tc>
        <w:tc>
          <w:tcPr>
            <w:tcW w:w="28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244,787</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-1086485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-1086485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-179070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98"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Prior to the wind-down of our ecommerce operations, including the periods presented in this Annual Report on Form 10-K, we regularly reviewed a number of metrics, including the following key operating and financial metrics, to evaluate our business, measure our performance, identify trends in our business, prepare financial forecasts and make strategic decisions. We believe these operational measures were useful in evaluating our performance, in addition to our financial results prepared in accordance with U.S. Generally Accepted Accounting Principles, or U.S. GAAP. You should read the key operating and financial metrics in conjunction with the following discussion of our results of operations and together with our consolidated financial statements and related notes included elsewhere in this Annual Report on Form 10-K. We focused heavily on metrics related to unit economics as improved gross profit per unit was a key element of our growth and profitability strategies. As a result of the Value Maximization Plan and the wind-down of our ecommerce operations, we have discontinued evaluating our business using these key operating and financial metrics in the first quarter of 2024.</w:t>
      </w:r>
    </w:p>
    <w:p>
      <w:pPr>
        <w:spacing w:after="0" w:line="168" w:lineRule="exact"/>
        <w:rPr>
          <w:sz w:val="20"/>
          <w:szCs w:val="20"/>
          <w:color w:val="auto"/>
        </w:rPr>
      </w:pPr>
    </w:p>
    <w:p>
      <w:pPr>
        <w:ind w:right="20" w:firstLine="764"/>
        <w:spacing w:after="0"/>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233"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762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2022</w:t>
            </w:r>
          </w:p>
        </w:tc>
      </w:tr>
      <w:tr>
        <w:trPr>
          <w:trHeight w:val="223"/>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Ecommerce units sold</w:t>
            </w:r>
          </w:p>
        </w:tc>
        <w:tc>
          <w:tcPr>
            <w:tcW w:w="3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17,401</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39,278</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Vehicle gross profit per ecommerce unit</w:t>
            </w:r>
          </w:p>
        </w:tc>
        <w:tc>
          <w:tcPr>
            <w:tcW w:w="3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594</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1,033</w:t>
            </w:r>
          </w:p>
        </w:tc>
      </w:tr>
      <w:tr>
        <w:trPr>
          <w:trHeight w:val="229"/>
        </w:trPr>
        <w:tc>
          <w:tcPr>
            <w:tcW w:w="4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33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2,809</w:t>
            </w:r>
          </w:p>
        </w:tc>
        <w:tc>
          <w:tcPr>
            <w:tcW w:w="1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1,512</w:t>
            </w:r>
          </w:p>
        </w:tc>
      </w:tr>
      <w:tr>
        <w:trPr>
          <w:trHeight w:val="223"/>
        </w:trPr>
        <w:tc>
          <w:tcPr>
            <w:tcW w:w="4380" w:type="dxa"/>
            <w:vAlign w:val="bottom"/>
          </w:tcPr>
          <w:p>
            <w:pPr>
              <w:ind w:left="20"/>
              <w:spacing w:after="0"/>
              <w:rPr>
                <w:sz w:val="20"/>
                <w:szCs w:val="20"/>
                <w:color w:val="auto"/>
              </w:rPr>
            </w:pPr>
            <w:r>
              <w:rPr>
                <w:rFonts w:ascii="Arial" w:cs="Arial" w:eastAsia="Arial" w:hAnsi="Arial"/>
                <w:sz w:val="18"/>
                <w:szCs w:val="18"/>
                <w:color w:val="auto"/>
              </w:rPr>
              <w:t>Total gross profit per ecommerce unit</w:t>
            </w:r>
          </w:p>
        </w:tc>
        <w:tc>
          <w:tcPr>
            <w:tcW w:w="3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3,403</w:t>
            </w: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2,545</w:t>
            </w:r>
          </w:p>
        </w:tc>
      </w:tr>
      <w:tr>
        <w:trPr>
          <w:trHeight w:val="20"/>
        </w:trPr>
        <w:tc>
          <w:tcPr>
            <w:tcW w:w="43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monthly unique visitors</w:t>
            </w:r>
          </w:p>
        </w:tc>
        <w:tc>
          <w:tcPr>
            <w:tcW w:w="3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2,060,804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1,866,197</w:t>
            </w: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Ecommerce average days to sale</w:t>
            </w:r>
          </w:p>
        </w:tc>
        <w:tc>
          <w:tcPr>
            <w:tcW w:w="3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131</w:t>
            </w:r>
          </w:p>
        </w:tc>
      </w:tr>
      <w:tr>
        <w:trPr>
          <w:trHeight w:val="229"/>
        </w:trPr>
        <w:tc>
          <w:tcPr>
            <w:tcW w:w="4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Inventory turnover</w:t>
            </w:r>
          </w:p>
        </w:tc>
        <w:tc>
          <w:tcPr>
            <w:tcW w:w="3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3.05</w:t>
            </w:r>
          </w:p>
        </w:tc>
      </w:tr>
      <w:tr>
        <w:trPr>
          <w:trHeight w:val="239"/>
        </w:trPr>
        <w:tc>
          <w:tcPr>
            <w:tcW w:w="4380" w:type="dxa"/>
            <w:vAlign w:val="bottom"/>
          </w:tcPr>
          <w:p>
            <w:pPr>
              <w:ind w:left="20"/>
              <w:spacing w:after="0"/>
              <w:rPr>
                <w:sz w:val="20"/>
                <w:szCs w:val="20"/>
                <w:color w:val="auto"/>
              </w:rPr>
            </w:pPr>
            <w:r>
              <w:rPr>
                <w:rFonts w:ascii="Arial" w:cs="Arial" w:eastAsia="Arial" w:hAnsi="Arial"/>
                <w:sz w:val="18"/>
                <w:szCs w:val="18"/>
                <w:color w:val="auto"/>
              </w:rPr>
              <w:t>Inventory days to supply</w:t>
            </w:r>
          </w:p>
        </w:tc>
        <w:tc>
          <w:tcPr>
            <w:tcW w:w="3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120</w:t>
            </w:r>
          </w:p>
        </w:tc>
      </w:tr>
      <w:tr>
        <w:trPr>
          <w:trHeight w:val="628"/>
        </w:trPr>
        <w:tc>
          <w:tcPr>
            <w:tcW w:w="4380" w:type="dxa"/>
            <w:vAlign w:val="bottom"/>
          </w:tcPr>
          <w:p>
            <w:pPr>
              <w:spacing w:after="0"/>
              <w:rPr>
                <w:sz w:val="24"/>
                <w:szCs w:val="24"/>
                <w:color w:val="auto"/>
              </w:rPr>
            </w:pPr>
          </w:p>
        </w:tc>
        <w:tc>
          <w:tcPr>
            <w:tcW w:w="3360" w:type="dxa"/>
            <w:vAlign w:val="bottom"/>
          </w:tcPr>
          <w:p>
            <w:pPr>
              <w:jc w:val="right"/>
              <w:ind w:right="1930"/>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745"/>
        </w:trPr>
        <w:tc>
          <w:tcPr>
            <w:tcW w:w="43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-1651635</wp:posOffset>
            </wp:positionV>
            <wp:extent cx="1111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196" w:lineRule="exact"/>
        <w:rPr>
          <w:sz w:val="20"/>
          <w:szCs w:val="20"/>
          <w:color w:val="auto"/>
        </w:rPr>
      </w:pPr>
    </w:p>
    <w:p>
      <w:pPr>
        <w:ind w:right="80" w:firstLine="761"/>
        <w:spacing w:after="0" w:line="243" w:lineRule="auto"/>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Program. Ecommerce units sold exclude on-site sales of vehicles at Texas Direct Auto ("TDA") and through the Wholesale segment. Each vehicle sale through our ecommerce platform also created the opportunity to leverage such sale to provide vehicle financing, sell value-added products and acquire trade-in vehicles from our customers, which we could either recondition and add to our inventory or sell through wholesale channels.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196"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vehicle reconditioning centers ("VRCs") and the aggregate costs of reconditioning those vehicles in that period, divided by the number of ecommerce units sold in that period.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196" w:lineRule="exact"/>
        <w:rPr>
          <w:sz w:val="20"/>
          <w:szCs w:val="20"/>
          <w:color w:val="auto"/>
        </w:rPr>
      </w:pPr>
    </w:p>
    <w:p>
      <w:pPr>
        <w:ind w:right="120" w:firstLine="761"/>
        <w:spacing w:after="0" w:line="239" w:lineRule="auto"/>
        <w:rPr>
          <w:sz w:val="20"/>
          <w:szCs w:val="20"/>
          <w:color w:val="auto"/>
        </w:rPr>
      </w:pPr>
      <w:r>
        <w:rPr>
          <w:rFonts w:ascii="Arial" w:cs="Arial" w:eastAsia="Arial" w:hAnsi="Arial"/>
          <w:sz w:val="18"/>
          <w:szCs w:val="18"/>
          <w:color w:val="auto"/>
        </w:rPr>
        <w:t>Product Gross Profit per ecommerce unit, which we refer to as Product GPPU, for a given period is defined as the aggregate fees earned on sales of third-party vehicle financing and value-added products in that period, net of the reserves for chargebacks on such products in that period, divided by the number of ecommerce units sold in that period. Because we were paid fees on the vehicle financing and value-added products we sold, our gross profit was equal to the revenue we generated from the sale of such products. Starting in 2022, Product Gross Profit also included (i) interest income earned on finance receivables from Vroom customers to finance vehicle sales that we originated through UACC before the contracts are sold, (ii) interest income on finance receivables held in consolidated VIEs less the interest expense incurred on securitization debt, and when applicable (iii) gain on sales of securitized finance receivables, divided by the number of ecommerce units sold in that period.</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196" w:lineRule="exact"/>
        <w:rPr>
          <w:sz w:val="20"/>
          <w:szCs w:val="20"/>
          <w:color w:val="auto"/>
        </w:rPr>
      </w:pPr>
    </w:p>
    <w:p>
      <w:pPr>
        <w:ind w:right="480" w:firstLine="761"/>
        <w:spacing w:after="0" w:line="271"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196" w:lineRule="exact"/>
        <w:rPr>
          <w:sz w:val="20"/>
          <w:szCs w:val="20"/>
          <w:color w:val="auto"/>
        </w:rPr>
      </w:pPr>
    </w:p>
    <w:p>
      <w:pPr>
        <w:ind w:right="220" w:firstLine="761"/>
        <w:spacing w:after="0" w:line="252"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 any period by dividing the aggregate monthly unique visitors during such period by the number of months in that period.</w:t>
      </w:r>
    </w:p>
    <w:p>
      <w:pPr>
        <w:spacing w:after="0" w:line="157" w:lineRule="exact"/>
        <w:rPr>
          <w:sz w:val="20"/>
          <w:szCs w:val="20"/>
          <w:color w:val="auto"/>
        </w:rPr>
      </w:pPr>
    </w:p>
    <w:p>
      <w:pPr>
        <w:ind w:right="20" w:firstLine="761"/>
        <w:spacing w:after="0" w:line="246"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196" w:lineRule="exact"/>
        <w:rPr>
          <w:sz w:val="20"/>
          <w:szCs w:val="20"/>
          <w:color w:val="auto"/>
        </w:rPr>
      </w:pPr>
    </w:p>
    <w:p>
      <w:pPr>
        <w:ind w:right="80" w:firstLine="761"/>
        <w:spacing w:after="0" w:line="243" w:lineRule="auto"/>
        <w:rPr>
          <w:sz w:val="20"/>
          <w:szCs w:val="20"/>
          <w:color w:val="auto"/>
        </w:rPr>
      </w:pPr>
      <w:r>
        <w:rPr>
          <w:rFonts w:ascii="Arial" w:cs="Arial" w:eastAsia="Arial" w:hAnsi="Arial"/>
          <w:sz w:val="18"/>
          <w:szCs w:val="18"/>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Ecommerce average days to sale excludes vehicles sold on-site at TDA and through the Wholesale segment.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turnover</w:t>
      </w:r>
    </w:p>
    <w:p>
      <w:pPr>
        <w:spacing w:after="0" w:line="196" w:lineRule="exact"/>
        <w:rPr>
          <w:sz w:val="20"/>
          <w:szCs w:val="20"/>
          <w:color w:val="auto"/>
        </w:rPr>
      </w:pPr>
    </w:p>
    <w:p>
      <w:pPr>
        <w:ind w:right="280" w:firstLine="749"/>
        <w:spacing w:after="0" w:line="271" w:lineRule="auto"/>
        <w:rPr>
          <w:sz w:val="20"/>
          <w:szCs w:val="20"/>
          <w:color w:val="auto"/>
        </w:rPr>
      </w:pPr>
      <w:r>
        <w:rPr>
          <w:rFonts w:ascii="Arial" w:cs="Arial" w:eastAsia="Arial" w:hAnsi="Arial"/>
          <w:sz w:val="18"/>
          <w:szCs w:val="18"/>
          <w:color w:val="auto"/>
        </w:rPr>
        <w:t>We calculate inventory turnover for a given period as total retail and wholesale cost of sales for the respective period annualized and divided by average inventory (computed using the current and immediately preceding quarter-end balances).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days to supply</w:t>
      </w:r>
    </w:p>
    <w:p>
      <w:pPr>
        <w:spacing w:after="0" w:line="196"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color w:val="auto"/>
        </w:rPr>
        <w:t>We calculate inventory days to supply for a given period by dividing average inventory by total retail and wholesale cost of sales per day for the respective period.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ind w:right="80" w:firstLine="764"/>
        <w:spacing w:after="0" w:line="239" w:lineRule="auto"/>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Adjusted EBITDA, and Adjusted EBITDA excluding securitization gain.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171" w:lineRule="exact"/>
        <w:rPr>
          <w:sz w:val="20"/>
          <w:szCs w:val="20"/>
          <w:color w:val="auto"/>
        </w:rPr>
      </w:pPr>
    </w:p>
    <w:p>
      <w:pPr>
        <w:ind w:right="140" w:firstLine="764"/>
        <w:spacing w:after="0" w:line="246" w:lineRule="auto"/>
        <w:rPr>
          <w:sz w:val="20"/>
          <w:szCs w:val="20"/>
          <w:color w:val="auto"/>
        </w:rPr>
      </w:pPr>
      <w:r>
        <w:rPr>
          <w:rFonts w:ascii="Arial" w:cs="Arial" w:eastAsia="Arial" w:hAnsi="Arial"/>
          <w:sz w:val="18"/>
          <w:szCs w:val="18"/>
          <w:color w:val="auto"/>
        </w:rPr>
        <w:t>EBITDA, Adjusted EBITDA, and Adjusted EBITDA excluding securitization gain are supplemental performance measures that our management uses to assess our operating performance and the operating leverage in our business. Because EBITDA, Adjusted EBITDA, and Adjusted EBITDA excluding securitization gain facilitate internal comparisons of our historical operating performance on a more consistent basis, we use these measures for business planning purposes.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and Adjusted EBITDA excluding securitization gain</w:t>
      </w:r>
    </w:p>
    <w:p>
      <w:pPr>
        <w:spacing w:after="0" w:line="196"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calculate EBITDA as net loss before interest expense, interest income, income tax expense and depreciation and amortization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expense.</w:t>
      </w:r>
    </w:p>
    <w:p>
      <w:pPr>
        <w:spacing w:after="0" w:line="180" w:lineRule="exact"/>
        <w:rPr>
          <w:sz w:val="20"/>
          <w:szCs w:val="20"/>
          <w:color w:val="auto"/>
        </w:rPr>
      </w:pPr>
    </w:p>
    <w:p>
      <w:pPr>
        <w:ind w:right="100" w:firstLine="764"/>
        <w:spacing w:after="0" w:line="238" w:lineRule="auto"/>
        <w:rPr>
          <w:sz w:val="20"/>
          <w:szCs w:val="20"/>
          <w:color w:val="auto"/>
        </w:rPr>
      </w:pPr>
      <w:r>
        <w:rPr>
          <w:rFonts w:ascii="Arial" w:cs="Arial" w:eastAsia="Arial" w:hAnsi="Arial"/>
          <w:sz w:val="18"/>
          <w:szCs w:val="18"/>
          <w:color w:val="auto"/>
        </w:rPr>
        <w:t>We calculate Adjusted EBITDA as EBITDA adjusted to exclude severance costs, gain on debt extinguishment, severe weather-related costs, long-lived asset impairment charges, goodwill impairment charge, realignment costs, acquisition related costs, and the acceleration of non-cash stock-based compensation. Changes in fair value of financial instruments can fluctuate significantly from period to period and were previously related primarily to historical finance receivables and debt that have been securitized, and were acquired on February 1, 2022 from UACC. As a result of market conditions at the time, the financial instruments related to the 2022-2 and 2023-1 securitization transactions are recognized on balance-sheet and accounted for under the fair value option. See Note 17 — Financial Instruments and Fair Value Measurements to our consolidated financial statements included elsewhere in this Annual Report on Form 10-K. As a result, the majority of our finance receivables are now carried at fair value and a significant portion of the risk of loss associated with these finance receivables have been retained by UACC. We therefore have determined we will no longer make any adjustments for such fluctuations in fair value to our Adjusted EBITDA results. We have recast the prior periods presented to conform to current period presentation. We may account for future securitizations as on balance sheet transactions depending on market conditions.</w:t>
      </w:r>
    </w:p>
    <w:p>
      <w:pPr>
        <w:spacing w:after="0" w:line="169" w:lineRule="exact"/>
        <w:rPr>
          <w:sz w:val="20"/>
          <w:szCs w:val="20"/>
          <w:color w:val="auto"/>
        </w:rPr>
      </w:pPr>
    </w:p>
    <w:p>
      <w:pPr>
        <w:ind w:right="40" w:firstLine="764"/>
        <w:spacing w:after="0" w:line="252" w:lineRule="auto"/>
        <w:rPr>
          <w:sz w:val="20"/>
          <w:szCs w:val="20"/>
          <w:color w:val="auto"/>
        </w:rPr>
      </w:pPr>
      <w:r>
        <w:rPr>
          <w:rFonts w:ascii="Arial" w:cs="Arial" w:eastAsia="Arial" w:hAnsi="Arial"/>
          <w:sz w:val="18"/>
          <w:szCs w:val="18"/>
          <w:color w:val="auto"/>
        </w:rPr>
        <w:t>We calculate Adjusted EBITDA excluding securitization gain as Adjusted EBITDA adjusted to exclude the securitization gain from the sale of UACC's finance receivables as it provides a useful perspective on the underlying operating results and trends as well as a means to compare our period-over-period results.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right="240" w:firstLine="764"/>
        <w:spacing w:after="0" w:line="271" w:lineRule="auto"/>
        <w:rPr>
          <w:sz w:val="20"/>
          <w:szCs w:val="20"/>
          <w:color w:val="auto"/>
        </w:rPr>
      </w:pPr>
      <w:r>
        <w:rPr>
          <w:rFonts w:ascii="Arial" w:cs="Arial" w:eastAsia="Arial" w:hAnsi="Arial"/>
          <w:sz w:val="18"/>
          <w:szCs w:val="18"/>
          <w:color w:val="auto"/>
        </w:rPr>
        <w:t>The following table presents a reconciliation of EBITDA, Adjusted EBITDA, and Adjusted EBITDA excluding securitization gain to net loss, which is the most directly comparable U.S. GAAP measure:</w:t>
      </w:r>
    </w:p>
    <w:p>
      <w:pPr>
        <w:spacing w:after="0" w:line="162"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40" w:type="dxa"/>
            <w:vAlign w:val="bottom"/>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182"/>
        </w:trPr>
        <w:tc>
          <w:tcPr>
            <w:tcW w:w="7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12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(365,540 )</w:t>
            </w: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(451,910 )</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45,445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40,693</w:t>
            </w:r>
          </w:p>
        </w:tc>
        <w:tc>
          <w:tcPr>
            <w:tcW w:w="100" w:type="dxa"/>
            <w:vAlign w:val="bottom"/>
            <w:shd w:val="clear" w:color="auto" w:fill="CFF0FC"/>
          </w:tcPr>
          <w:p>
            <w:pPr>
              <w:spacing w:after="0"/>
              <w:rPr>
                <w:sz w:val="19"/>
                <w:szCs w:val="19"/>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(21,158 )</w:t>
            </w:r>
          </w:p>
        </w:tc>
        <w:tc>
          <w:tcPr>
            <w:tcW w:w="5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(19,363 )</w:t>
            </w:r>
          </w:p>
        </w:tc>
      </w:tr>
      <w:tr>
        <w:trPr>
          <w:trHeight w:val="22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(19,680 )</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43,476</w:t>
            </w:r>
          </w:p>
        </w:tc>
        <w:tc>
          <w:tcPr>
            <w:tcW w:w="2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38,707</w:t>
            </w:r>
          </w:p>
        </w:tc>
        <w:tc>
          <w:tcPr>
            <w:tcW w:w="100" w:type="dxa"/>
            <w:vAlign w:val="bottom"/>
          </w:tcPr>
          <w:p>
            <w:pPr>
              <w:spacing w:after="0"/>
              <w:rPr>
                <w:sz w:val="19"/>
                <w:szCs w:val="19"/>
                <w:color w:val="auto"/>
              </w:rPr>
            </w:pPr>
          </w:p>
        </w:tc>
      </w:tr>
      <w:tr>
        <w:trPr>
          <w:trHeight w:val="26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EBITDA</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(297,162 )</w:t>
            </w: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(411,553 )</w:t>
            </w:r>
          </w:p>
        </w:tc>
      </w:tr>
      <w:tr>
        <w:trPr>
          <w:trHeight w:val="210"/>
        </w:trPr>
        <w:tc>
          <w:tcPr>
            <w:tcW w:w="74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Severance costs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6,703</w:t>
            </w:r>
          </w:p>
        </w:tc>
        <w:tc>
          <w:tcPr>
            <w:tcW w:w="280" w:type="dxa"/>
            <w:vAlign w:val="bottom"/>
            <w:tcBorders>
              <w:top w:val="single" w:sz="8" w:color="CFF0FC"/>
            </w:tcBorders>
          </w:tcPr>
          <w:p>
            <w:pPr>
              <w:spacing w:after="0"/>
              <w:rPr>
                <w:sz w:val="18"/>
                <w:szCs w:val="18"/>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8"/>
                <w:szCs w:val="18"/>
                <w:color w:val="auto"/>
              </w:rPr>
            </w:pPr>
          </w:p>
        </w:tc>
      </w:tr>
      <w:tr>
        <w:trPr>
          <w:trHeight w:val="22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debt extinguishment</w:t>
            </w:r>
          </w:p>
        </w:tc>
        <w:tc>
          <w:tcPr>
            <w:tcW w:w="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(37,878 )</w:t>
            </w:r>
          </w:p>
        </w:tc>
        <w:tc>
          <w:tcPr>
            <w:tcW w:w="5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(164,684 )</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Hail storm costs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2,353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Long-lived asset impairment charges</w:t>
            </w: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48,748</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5,806</w:t>
            </w:r>
          </w:p>
        </w:tc>
        <w:tc>
          <w:tcPr>
            <w:tcW w:w="100" w:type="dxa"/>
            <w:vAlign w:val="bottom"/>
            <w:shd w:val="clear" w:color="auto" w:fill="CFF0FC"/>
          </w:tcPr>
          <w:p>
            <w:pPr>
              <w:spacing w:after="0"/>
              <w:rPr>
                <w:sz w:val="19"/>
                <w:szCs w:val="19"/>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Goodwill impairment charge</w:t>
            </w:r>
          </w:p>
        </w:tc>
        <w:tc>
          <w:tcPr>
            <w:tcW w:w="40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201,703</w:t>
            </w:r>
          </w:p>
        </w:tc>
        <w:tc>
          <w:tcPr>
            <w:tcW w:w="100" w:type="dxa"/>
            <w:vAlign w:val="bottom"/>
          </w:tcPr>
          <w:p>
            <w:pPr>
              <w:spacing w:after="0"/>
              <w:rPr>
                <w:sz w:val="19"/>
                <w:szCs w:val="19"/>
                <w:color w:val="auto"/>
              </w:rPr>
            </w:pPr>
          </w:p>
        </w:tc>
      </w:tr>
      <w:tr>
        <w:trPr>
          <w:trHeight w:val="22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Realignment costs</w:t>
            </w:r>
          </w:p>
        </w:tc>
        <w:tc>
          <w:tcPr>
            <w:tcW w:w="40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15,025</w:t>
            </w:r>
          </w:p>
        </w:tc>
        <w:tc>
          <w:tcPr>
            <w:tcW w:w="100" w:type="dxa"/>
            <w:vAlign w:val="bottom"/>
            <w:shd w:val="clear" w:color="auto" w:fill="CFF0FC"/>
          </w:tcPr>
          <w:p>
            <w:pPr>
              <w:spacing w:after="0"/>
              <w:rPr>
                <w:sz w:val="19"/>
                <w:szCs w:val="19"/>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Acquisition related costs</w:t>
            </w:r>
          </w:p>
        </w:tc>
        <w:tc>
          <w:tcPr>
            <w:tcW w:w="40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19"/>
                <w:szCs w:val="19"/>
                <w:color w:val="auto"/>
              </w:rPr>
            </w:pPr>
          </w:p>
        </w:tc>
      </w:tr>
      <w:tr>
        <w:trPr>
          <w:trHeight w:val="22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Acceleration of non-cash stock-based compensation</w:t>
            </w:r>
          </w:p>
        </w:tc>
        <w:tc>
          <w:tcPr>
            <w:tcW w:w="4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(277,236 )</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(345,611 )</w:t>
            </w:r>
          </w:p>
        </w:tc>
      </w:tr>
      <w:tr>
        <w:trPr>
          <w:trHeight w:val="20"/>
        </w:trPr>
        <w:tc>
          <w:tcPr>
            <w:tcW w:w="7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gain</w:t>
            </w: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(45,589 )</w:t>
            </w:r>
          </w:p>
        </w:tc>
      </w:tr>
      <w:tr>
        <w:trPr>
          <w:trHeight w:val="20"/>
        </w:trPr>
        <w:tc>
          <w:tcPr>
            <w:tcW w:w="74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440" w:type="dxa"/>
            <w:vAlign w:val="bottom"/>
          </w:tcPr>
          <w:p>
            <w:pPr>
              <w:ind w:left="20"/>
              <w:spacing w:after="0"/>
              <w:rPr>
                <w:sz w:val="20"/>
                <w:szCs w:val="20"/>
                <w:color w:val="auto"/>
              </w:rPr>
            </w:pPr>
            <w:r>
              <w:rPr>
                <w:rFonts w:ascii="Arial" w:cs="Arial" w:eastAsia="Arial" w:hAnsi="Arial"/>
                <w:sz w:val="18"/>
                <w:szCs w:val="18"/>
                <w:color w:val="auto"/>
              </w:rPr>
              <w:t>Adjusted EBITDA excluding securitization gain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(277,236 )</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(391,200 )</w:t>
            </w:r>
          </w:p>
        </w:tc>
      </w:tr>
      <w:tr>
        <w:trPr>
          <w:trHeight w:val="20"/>
        </w:trPr>
        <w:tc>
          <w:tcPr>
            <w:tcW w:w="7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5810250</wp:posOffset>
            </wp:positionH>
            <wp:positionV relativeFrom="paragraph">
              <wp:posOffset>-1694815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-1677670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-1694815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-504825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-179070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198" w:lineRule="exact"/>
        <w:rPr>
          <w:sz w:val="20"/>
          <w:szCs w:val="20"/>
          <w:color w:val="auto"/>
        </w:rPr>
      </w:pPr>
    </w:p>
    <w:p>
      <w:pPr>
        <w:ind w:right="380" w:firstLine="761"/>
        <w:spacing w:after="0" w:line="271"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our dealer network to increase vehicle finance offerings</w:t>
      </w:r>
    </w:p>
    <w:p>
      <w:pPr>
        <w:spacing w:after="0" w:line="196" w:lineRule="exact"/>
        <w:rPr>
          <w:sz w:val="20"/>
          <w:szCs w:val="20"/>
          <w:color w:val="auto"/>
        </w:rPr>
      </w:pPr>
    </w:p>
    <w:p>
      <w:pPr>
        <w:ind w:right="120" w:firstLine="761"/>
        <w:spacing w:after="0" w:line="243" w:lineRule="auto"/>
        <w:rPr>
          <w:sz w:val="20"/>
          <w:szCs w:val="20"/>
          <w:color w:val="auto"/>
        </w:rPr>
      </w:pPr>
      <w:r>
        <w:rPr>
          <w:rFonts w:ascii="Arial" w:cs="Arial" w:eastAsia="Arial" w:hAnsi="Arial"/>
          <w:sz w:val="18"/>
          <w:szCs w:val="18"/>
          <w:color w:val="auto"/>
        </w:rPr>
        <w:t>We intend to grow our automotive financing business. UACC will continue to provide financing services to its existing dealer network and will seek to expand its network over time. UACC provides funding that allows manufacturer-franchised and independent motor vehicle dealers to finance new and used vehicles. Currently, UACC serves a nationwide network of thousands of dealers in 49 states. UACC's credit programs are primarily designed to serve consumers who have limited access to traditional vehicle financing, although UACC intends to expand its offerings across a broader range of the credit spectrum going forward.</w:t>
      </w:r>
    </w:p>
    <w:p>
      <w:pPr>
        <w:spacing w:after="0" w:line="166" w:lineRule="exact"/>
        <w:rPr>
          <w:sz w:val="20"/>
          <w:szCs w:val="20"/>
          <w:color w:val="auto"/>
        </w:rPr>
      </w:pPr>
    </w:p>
    <w:p>
      <w:pPr>
        <w:ind w:right="420" w:firstLine="761"/>
        <w:spacing w:after="0" w:line="246" w:lineRule="auto"/>
        <w:rPr>
          <w:sz w:val="20"/>
          <w:szCs w:val="20"/>
          <w:color w:val="auto"/>
        </w:rPr>
      </w:pPr>
      <w:r>
        <w:rPr>
          <w:rFonts w:ascii="Arial" w:cs="Arial" w:eastAsia="Arial" w:hAnsi="Arial"/>
          <w:sz w:val="18"/>
          <w:szCs w:val="18"/>
          <w:color w:val="auto"/>
        </w:rPr>
        <w:t>As of December 31, 2023, automobile contracts originated from Vroom customers or purchased from Vroom represented approximately 30% of UACC's total serviced loan portfolio. If UACC is unable to replace the volume of automobile contracts it previously received from the Vroom ecommerce business, our business, financial condition, and results of operations could be materially adversely affected.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manage credit losses and enhance profitability at UACC</w:t>
      </w:r>
    </w:p>
    <w:p>
      <w:pPr>
        <w:spacing w:after="0" w:line="196" w:lineRule="exact"/>
        <w:rPr>
          <w:sz w:val="20"/>
          <w:szCs w:val="20"/>
          <w:color w:val="auto"/>
        </w:rPr>
      </w:pPr>
    </w:p>
    <w:p>
      <w:pPr>
        <w:ind w:right="20" w:firstLine="761"/>
        <w:spacing w:after="0" w:line="239" w:lineRule="auto"/>
        <w:rPr>
          <w:sz w:val="20"/>
          <w:szCs w:val="20"/>
          <w:color w:val="auto"/>
        </w:rPr>
      </w:pPr>
      <w:r>
        <w:rPr>
          <w:rFonts w:ascii="Arial" w:cs="Arial" w:eastAsia="Arial" w:hAnsi="Arial"/>
          <w:sz w:val="18"/>
          <w:szCs w:val="18"/>
          <w:color w:val="auto"/>
        </w:rPr>
        <w:t>While credit losses are inherent in the automotive finance receivables business, several variables have affected UACC’s recent loss and delinquency rates, including rising interest rates, the current inflationary environment and vehicle depreciation. UACC is currently experiencing higher loss severity and higher losses on its finance receivables, which has negatively impacted the fair value of our finance receivables and the losses recognized for the year ended December 31, 2023. Higher than anticipated credit losses contributed to a pre-tax net loss at UACC of approximately $41.2 million for the year ended December 31, 2023, and are expected to continue to negatively impact our business in 2024, especially because UACC primarily operates in the non-prime sector of the market which is expected to have more volatility.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securitize UACC's loan portfolio</w:t>
      </w:r>
    </w:p>
    <w:p>
      <w:pPr>
        <w:spacing w:after="0" w:line="196" w:lineRule="exact"/>
        <w:rPr>
          <w:sz w:val="20"/>
          <w:szCs w:val="20"/>
          <w:color w:val="auto"/>
        </w:rPr>
      </w:pPr>
    </w:p>
    <w:p>
      <w:pPr>
        <w:ind w:right="20" w:firstLine="761"/>
        <w:spacing w:after="0" w:line="266" w:lineRule="auto"/>
        <w:rPr>
          <w:sz w:val="20"/>
          <w:szCs w:val="20"/>
          <w:color w:val="auto"/>
        </w:rPr>
      </w:pPr>
      <w:r>
        <w:rPr>
          <w:rFonts w:ascii="Arial" w:cs="Arial" w:eastAsia="Arial" w:hAnsi="Arial"/>
          <w:sz w:val="17"/>
          <w:szCs w:val="17"/>
          <w:color w:val="auto"/>
        </w:rPr>
        <w:t>The success of UACC's business is highly dependent on the ability to securitize and sell the automotive finance receivables that it underwrites or acquires. As a result of high interest rates, the current inflationary environment and vehicle depreciation in the used automotive industry, UACC is experiencing higher loss severity. As a result, UACC may not be able to securitize its loan portfolio on favorable terms, or may not be able to sell the subordinate notes or residual certificates issued in its securitizations at a favorable price or at all.</w:t>
      </w:r>
    </w:p>
    <w:p>
      <w:pPr>
        <w:spacing w:after="0" w:line="145" w:lineRule="exact"/>
        <w:rPr>
          <w:sz w:val="20"/>
          <w:szCs w:val="20"/>
          <w:color w:val="auto"/>
        </w:rPr>
      </w:pPr>
    </w:p>
    <w:p>
      <w:pPr>
        <w:ind w:firstLine="761"/>
        <w:spacing w:after="0" w:line="258" w:lineRule="auto"/>
        <w:rPr>
          <w:sz w:val="20"/>
          <w:szCs w:val="20"/>
          <w:color w:val="auto"/>
        </w:rPr>
      </w:pPr>
      <w:r>
        <w:rPr>
          <w:rFonts w:ascii="Arial" w:cs="Arial" w:eastAsia="Arial" w:hAnsi="Arial"/>
          <w:sz w:val="17"/>
          <w:szCs w:val="17"/>
          <w:color w:val="auto"/>
        </w:rPr>
        <w:t>If UACC fails to sell the subordinate notes or the residual interests, it will preclude us from recognizing the sale and result in the securitization trust being consolidated and therefore remaining on balance sheet. In January 2023, UACC completed the 2023-1 securitization transaction, selling the investment grade rated asset-backed securities, and in April 2023, UACC sold the non-investment grade rated securities. As a result of market conditions at the time, which led to unfavorable pricing, UACC retained the residual interests and we accounted for the 2023-1 securitization transaction as secured borrowings. The related finance receivables and securitization debt remain on balance sheet. In the future, we may account for UACC securitizations as on balance sheet transactions depending on the market conditions.</w:t>
      </w:r>
    </w:p>
    <w:p>
      <w:pPr>
        <w:spacing w:after="0" w:line="155" w:lineRule="exact"/>
        <w:rPr>
          <w:sz w:val="20"/>
          <w:szCs w:val="20"/>
          <w:color w:val="auto"/>
        </w:rPr>
      </w:pPr>
    </w:p>
    <w:p>
      <w:pPr>
        <w:ind w:right="300" w:firstLine="761"/>
        <w:spacing w:after="0" w:line="246" w:lineRule="auto"/>
        <w:rPr>
          <w:sz w:val="20"/>
          <w:szCs w:val="20"/>
          <w:color w:val="auto"/>
        </w:rPr>
      </w:pPr>
      <w:r>
        <w:rPr>
          <w:rFonts w:ascii="Arial" w:cs="Arial" w:eastAsia="Arial" w:hAnsi="Arial"/>
          <w:sz w:val="18"/>
          <w:szCs w:val="18"/>
          <w:color w:val="auto"/>
        </w:rPr>
        <w:t>In addition, due to the increased loss severity, UACC elected to waive monthly servicing fees related to the 2022-2 securitization transaction in the first quarter of 2023. The waiver of monthly servicing fees related to the 2022-2 securitization transaction resulted in consolidation of the related finance receivables and securitization debt on our financial statements. Waiver of monthly servicing fees also resulted in reduced servicing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96" w:lineRule="exact"/>
        <w:rPr>
          <w:sz w:val="20"/>
          <w:szCs w:val="20"/>
          <w:color w:val="auto"/>
        </w:rPr>
      </w:pPr>
    </w:p>
    <w:p>
      <w:pPr>
        <w:ind w:right="20" w:firstLine="761"/>
        <w:spacing w:after="0" w:line="238" w:lineRule="auto"/>
        <w:rPr>
          <w:sz w:val="20"/>
          <w:szCs w:val="20"/>
          <w:color w:val="auto"/>
        </w:rPr>
      </w:pPr>
      <w:r>
        <w:rPr>
          <w:rFonts w:ascii="Arial" w:cs="Arial" w:eastAsia="Arial" w:hAnsi="Arial"/>
          <w:sz w:val="18"/>
          <w:szCs w:val="18"/>
          <w:color w:val="auto"/>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typically depreciate at a faster rate in the last two quarters of each year and a slower rate in the first two quarters of each year. However, the past few years have not followed typical depreciation trends and there remains continued uncertainty surrounding market trends. Consistent with market trends, UACC generally experiences increased funding activity during the first quarter through tax season. Delinquencies also tend to be lower during the first quarter through tax season and higher during the latter half of the year. See “Risk Factors—Risks Related to Our Financial Condition and Results of Operations—We may experience seasonal and other fluctuations in our quarterly results of operations, which may not fully reflect the underlying performance of our business” in our Annual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Factors</w:t>
      </w:r>
    </w:p>
    <w:p>
      <w:pPr>
        <w:spacing w:after="0" w:line="196" w:lineRule="exact"/>
        <w:rPr>
          <w:sz w:val="20"/>
          <w:szCs w:val="20"/>
          <w:color w:val="auto"/>
        </w:rPr>
      </w:pPr>
    </w:p>
    <w:p>
      <w:pPr>
        <w:ind w:right="140" w:firstLine="761"/>
        <w:spacing w:after="0"/>
        <w:rPr>
          <w:sz w:val="20"/>
          <w:szCs w:val="20"/>
          <w:color w:val="auto"/>
        </w:rPr>
      </w:pPr>
      <w:r>
        <w:rPr>
          <w:rFonts w:ascii="Arial" w:cs="Arial" w:eastAsia="Arial" w:hAnsi="Arial"/>
          <w:sz w:val="18"/>
          <w:szCs w:val="18"/>
          <w:color w:val="auto"/>
        </w:rPr>
        <w:t>Both the United States and global economies are experiencing a sustained inflationary environment and the Federal Reserve’s efforts to tame inflation have led to increased interest rates, which affects automotive finance rates, reducing discretionary spending and making vehicle financing more costly and less accessible to many consumers. In December 2023, the Federal Reserve announced that it expects to cut interest rates in 2024; however it is too soon to know the degree to which rates may be cut and the impact it may have on the economy. Moreover, geopolitical conflicts and war, including those in Europe and the Middle East, have increased global economic and political uncertainty, which has caused dramatic fluctuations in global financial markets. A significant escalation or expansion of economic disruption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could continue to impact consumer spending, broaden inflationary costs, and could have a material adverse effect on our results of operations. We will continue to actively monitor and develop responses to these disruptions, but depending on duration and severity, these trends could continue to negatively impact our business in 2024.</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96" w:lineRule="exact"/>
        <w:rPr>
          <w:sz w:val="20"/>
          <w:szCs w:val="20"/>
          <w:color w:val="auto"/>
        </w:rPr>
      </w:pPr>
    </w:p>
    <w:p>
      <w:pPr>
        <w:ind w:right="300" w:firstLine="761"/>
        <w:spacing w:after="0" w:line="246" w:lineRule="auto"/>
        <w:rPr>
          <w:sz w:val="20"/>
          <w:szCs w:val="20"/>
          <w:color w:val="auto"/>
        </w:rPr>
      </w:pPr>
      <w:r>
        <w:rPr>
          <w:rFonts w:ascii="Arial" w:cs="Arial" w:eastAsia="Arial" w:hAnsi="Arial"/>
          <w:sz w:val="18"/>
          <w:szCs w:val="18"/>
          <w:color w:val="auto"/>
        </w:rPr>
        <w:t>In connection with the Value Maximization Plan, in January 2024 we started to wind-down our ecommerce operations, including both retail and wholesale vehicle sales which also reduced associated product revenue. Therefore, each of the retail vehicle revenue, wholesale vehicle revenue, and the associated product revenue described below will not be applicable to our results of operations going forward.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196" w:lineRule="exact"/>
        <w:rPr>
          <w:sz w:val="20"/>
          <w:szCs w:val="20"/>
          <w:color w:val="auto"/>
        </w:rPr>
      </w:pPr>
    </w:p>
    <w:p>
      <w:pPr>
        <w:ind w:right="80" w:firstLine="761"/>
        <w:spacing w:after="0" w:line="246" w:lineRule="auto"/>
        <w:rPr>
          <w:sz w:val="20"/>
          <w:szCs w:val="20"/>
          <w:color w:val="auto"/>
        </w:rPr>
      </w:pPr>
      <w:r>
        <w:rPr>
          <w:rFonts w:ascii="Arial" w:cs="Arial" w:eastAsia="Arial" w:hAnsi="Arial"/>
          <w:sz w:val="18"/>
          <w:szCs w:val="18"/>
          <w:color w:val="auto"/>
        </w:rPr>
        <w:t>Historically, we sold retail vehicles through both our ecommerce platform and TDA. Revenue from vehicle sales, including any delivery charges, was recognized when vehicles were delivered to the customers or picked up at our TDA retail location, net of a reserve for estimated returns. The number of units sold and the average selling price (“ASP”) per unit were the primary factors impacting our retail revenue stream.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196" w:lineRule="exact"/>
        <w:rPr>
          <w:sz w:val="20"/>
          <w:szCs w:val="20"/>
          <w:color w:val="auto"/>
        </w:rPr>
      </w:pPr>
    </w:p>
    <w:p>
      <w:pPr>
        <w:ind w:right="100" w:firstLine="761"/>
        <w:spacing w:after="0" w:line="246" w:lineRule="auto"/>
        <w:rPr>
          <w:sz w:val="20"/>
          <w:szCs w:val="20"/>
          <w:color w:val="auto"/>
        </w:rPr>
      </w:pPr>
      <w:r>
        <w:rPr>
          <w:rFonts w:ascii="Arial" w:cs="Arial" w:eastAsia="Arial" w:hAnsi="Arial"/>
          <w:sz w:val="18"/>
          <w:szCs w:val="18"/>
          <w:color w:val="auto"/>
        </w:rPr>
        <w:t>Historically, we sold vehicles that do not meet our Vroom retail sales criteria through wholesale channels. Vehicles sold through wholesale channels were acquired from customers who traded-in their vehicles when making a purchase from us, from customers who sold their vehicle to us in direct-buy transactions, and from liquidation of vehicles previously listed for retail sale. The number of wholesale vehicles sold and the ASP per unit were the primary drivers of wholesale revenue.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96" w:lineRule="exact"/>
        <w:rPr>
          <w:sz w:val="20"/>
          <w:szCs w:val="20"/>
          <w:color w:val="auto"/>
        </w:rPr>
      </w:pPr>
    </w:p>
    <w:p>
      <w:pPr>
        <w:ind w:right="140" w:firstLine="761"/>
        <w:spacing w:after="0" w:line="252" w:lineRule="auto"/>
        <w:rPr>
          <w:sz w:val="20"/>
          <w:szCs w:val="20"/>
          <w:color w:val="auto"/>
        </w:rPr>
      </w:pPr>
      <w:r>
        <w:rPr>
          <w:rFonts w:ascii="Arial" w:cs="Arial" w:eastAsia="Arial" w:hAnsi="Arial"/>
          <w:sz w:val="18"/>
          <w:szCs w:val="18"/>
          <w:color w:val="auto"/>
        </w:rPr>
        <w:t>Historically, we generated revenue by financing vehicle sales through UACC, earning fees on sales of third-party financing, and sales of value-added products to our customers in connection with vehicle sales, such as vehicle service contracts, GAP protection and tire and wheel coverage.</w:t>
      </w:r>
    </w:p>
    <w:p>
      <w:pPr>
        <w:spacing w:after="0" w:line="157" w:lineRule="exact"/>
        <w:rPr>
          <w:sz w:val="20"/>
          <w:szCs w:val="20"/>
          <w:color w:val="auto"/>
        </w:rPr>
      </w:pPr>
    </w:p>
    <w:p>
      <w:pPr>
        <w:ind w:right="40" w:firstLine="761"/>
        <w:spacing w:after="0" w:line="243" w:lineRule="auto"/>
        <w:rPr>
          <w:sz w:val="20"/>
          <w:szCs w:val="20"/>
          <w:color w:val="auto"/>
        </w:rPr>
      </w:pPr>
      <w:r>
        <w:rPr>
          <w:rFonts w:ascii="Arial" w:cs="Arial" w:eastAsia="Arial" w:hAnsi="Arial"/>
          <w:sz w:val="18"/>
          <w:szCs w:val="18"/>
          <w:color w:val="auto"/>
        </w:rPr>
        <w:t xml:space="preserve">We generate ecommerce product revenue from receivables generated by financing provided to Vroom customers through UACC. We earn interest income on such finance receivables before the contracts are sold, interest income on finance receivables held in consolidated VIEs, and, when applicable, gain on the sales of securitized finance receivables. We account for sales of finance receivables in accordance with ASC Topic 860, </w:t>
      </w:r>
      <w:r>
        <w:rPr>
          <w:rFonts w:ascii="Arial" w:cs="Arial" w:eastAsia="Arial" w:hAnsi="Arial"/>
          <w:sz w:val="18"/>
          <w:szCs w:val="18"/>
          <w:i w:val="1"/>
          <w:iCs w:val="1"/>
          <w:color w:val="auto"/>
        </w:rPr>
        <w:t>Transfers and Servicing of Financial Assets ("ASC 860")</w:t>
      </w:r>
      <w:r>
        <w:rPr>
          <w:rFonts w:ascii="Arial" w:cs="Arial" w:eastAsia="Arial" w:hAnsi="Arial"/>
          <w:sz w:val="18"/>
          <w:szCs w:val="18"/>
          <w:color w:val="auto"/>
        </w:rPr>
        <w:t>. Refer to "Finance revenue" below for further details.</w:t>
      </w:r>
    </w:p>
    <w:p>
      <w:pPr>
        <w:spacing w:after="0" w:line="166"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We also earned fees on third-party financing and value-added products pursuant to arrangements with the third parties that sold and administered these products. For accounting purposes, we were an agent for these transactions and, as a result, we recognized fees on a net basis when the customer entered into an arrangement to purchase these products or obtain third-party financing, which was typically at the time of a vehicle sale. Our gross profit on product revenue is equal to the revenue we generate. Product revenue was affected by the number of vehicles sold, the attachment rate of value-added products and the amount of fees we receive on each product. Product revenue also consisted of estimated profit-sharing amounts to which we were entitled based on the performance of third-party protection products once a required claims period has passed. A portion of the fees we received was subject to chargeback in the event of early termination, default, or prepayment of the contracts by our customers. We recognized product revenue net of reserves for estimated chargebacks.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revenue</w:t>
      </w:r>
    </w:p>
    <w:p>
      <w:pPr>
        <w:spacing w:after="0" w:line="196" w:lineRule="exact"/>
        <w:rPr>
          <w:sz w:val="20"/>
          <w:szCs w:val="20"/>
          <w:color w:val="auto"/>
        </w:rPr>
      </w:pPr>
    </w:p>
    <w:p>
      <w:pPr>
        <w:ind w:right="120" w:firstLine="764"/>
        <w:spacing w:after="0" w:line="271" w:lineRule="auto"/>
        <w:rPr>
          <w:sz w:val="20"/>
          <w:szCs w:val="20"/>
          <w:color w:val="auto"/>
        </w:rPr>
      </w:pPr>
      <w:r>
        <w:rPr>
          <w:rFonts w:ascii="Arial" w:cs="Arial" w:eastAsia="Arial" w:hAnsi="Arial"/>
          <w:sz w:val="18"/>
          <w:szCs w:val="18"/>
          <w:color w:val="auto"/>
        </w:rPr>
        <w:t>Our finance revenue is related to finance receivables originated or acquired by UACC through its network of third-party dealership customers and consists of interest income earned on finance receivables before the contracts are sold,</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interest income earned on finance receivables held in consolidated VIEs, and, when applicable, gains on the sale of securitized finance receivables.</w:t>
      </w:r>
    </w:p>
    <w:p>
      <w:pPr>
        <w:spacing w:after="0" w:line="139" w:lineRule="exact"/>
        <w:rPr>
          <w:sz w:val="20"/>
          <w:szCs w:val="20"/>
          <w:color w:val="auto"/>
        </w:rPr>
      </w:pPr>
    </w:p>
    <w:p>
      <w:pPr>
        <w:ind w:right="20" w:firstLine="764"/>
        <w:spacing w:after="0" w:line="243" w:lineRule="auto"/>
        <w:rPr>
          <w:sz w:val="20"/>
          <w:szCs w:val="20"/>
          <w:color w:val="auto"/>
        </w:rPr>
      </w:pPr>
      <w:r>
        <w:rPr>
          <w:rFonts w:ascii="Arial" w:cs="Arial" w:eastAsia="Arial" w:hAnsi="Arial"/>
          <w:sz w:val="18"/>
          <w:szCs w:val="18"/>
          <w:color w:val="auto"/>
        </w:rPr>
        <w:t>UACC acquires and services finance receivables from its network of third-party dealership customers and generates revenue through the sales of these financing receivables. We account for sales of finance receivables in accordance with ASC Topic 860, Transfers and Servicing of Financial Assets ("ASC 860"). In order for transfers of the finance receivables to qualify as sales, the finance receivables being transferred must be legally isolated, may not be constrained by restrictions from further transfer, and must be deemed to be beyond our control.</w:t>
      </w:r>
    </w:p>
    <w:p>
      <w:pPr>
        <w:spacing w:after="0" w:line="166" w:lineRule="exact"/>
        <w:rPr>
          <w:sz w:val="20"/>
          <w:szCs w:val="20"/>
          <w:color w:val="auto"/>
        </w:rPr>
      </w:pPr>
    </w:p>
    <w:p>
      <w:pPr>
        <w:ind w:right="380" w:firstLine="764"/>
        <w:spacing w:after="0" w:line="271" w:lineRule="auto"/>
        <w:rPr>
          <w:sz w:val="20"/>
          <w:szCs w:val="20"/>
          <w:color w:val="auto"/>
        </w:rPr>
      </w:pPr>
      <w:r>
        <w:rPr>
          <w:rFonts w:ascii="Arial" w:cs="Arial" w:eastAsia="Arial" w:hAnsi="Arial"/>
          <w:sz w:val="18"/>
          <w:szCs w:val="18"/>
          <w:color w:val="auto"/>
        </w:rPr>
        <w:t>For any securitization transactions that are accounted for as secured borrowings, we recognize interest income, which includes finance charges and servicing fees in accordance with the terms of the related customer agreements.</w:t>
      </w:r>
    </w:p>
    <w:p>
      <w:pPr>
        <w:spacing w:after="0" w:line="139" w:lineRule="exact"/>
        <w:rPr>
          <w:sz w:val="20"/>
          <w:szCs w:val="20"/>
          <w:color w:val="auto"/>
        </w:rPr>
      </w:pPr>
    </w:p>
    <w:p>
      <w:pPr>
        <w:ind w:firstLine="764"/>
        <w:spacing w:after="0" w:line="237" w:lineRule="auto"/>
        <w:rPr>
          <w:sz w:val="20"/>
          <w:szCs w:val="20"/>
          <w:color w:val="auto"/>
        </w:rPr>
      </w:pPr>
      <w:r>
        <w:rPr>
          <w:rFonts w:ascii="Arial" w:cs="Arial" w:eastAsia="Arial" w:hAnsi="Arial"/>
          <w:sz w:val="18"/>
          <w:szCs w:val="18"/>
          <w:color w:val="auto"/>
        </w:rPr>
        <w:t>In February 2022, UACC completed the 2022-1 securitization transaction, which qualified as a sale, therefore we recorded a gain on the sale of the finance receivables. The amount of the gain is equal to the fair value of the net proceeds received less the carrying amount of the finance receivables. In July 2022, UACC sold a pool of finance receivables in the 2022-2 securitization transaction. Originally, we concluded that we were not the primary beneficiary of the 2022-2 securitization trust, and therefore we did not consolidate the 2022-2 trust. From January to March 2023, although not contractually required, UACC elected to waive its servicing fee on the 2022-2 securitization, due to higher-than-expected losses. Since UACC has the power to direct the significant activities of the VIE, as it is the servicer, and additionally it absorbs the risk of loss, we concluded that we are the primary beneficiary of the VIE. In March 2023, we accounted for the transaction as secured borrowings and consolidated the 2022-2 securitization trust. The beneficial interest was then eliminated. In January 2023, UACC completed the 2023-1 securitization transaction, selling the investment grade rated asset-backed securities, and in April 2023, UACC sold the non-investment grade rated securities. As a result of market conditions at the time, which led to unfavorable pricing, UACC retained the residual interests and we accounted for the 2023-1 securitization transaction as secured borrowings. The related finance receivables and securitization debt remain on the balance sheet. We may account for future securitizations as on balance sheet transactions depending on the market conditions.</w:t>
      </w:r>
    </w:p>
    <w:p>
      <w:pPr>
        <w:spacing w:after="0" w:line="175" w:lineRule="exact"/>
        <w:rPr>
          <w:sz w:val="20"/>
          <w:szCs w:val="20"/>
          <w:color w:val="auto"/>
        </w:rPr>
      </w:pPr>
    </w:p>
    <w:p>
      <w:pPr>
        <w:ind w:right="80" w:firstLine="764"/>
        <w:spacing w:after="0" w:line="252" w:lineRule="auto"/>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Fees are earned monthly at an annual rate of approximately 4% for the 2022-1 securitization transaction and 3.25% for the 2022-2 and 2023-1 securitization transactions of the outstanding principal balance of the finance receivables serviced.</w:t>
      </w:r>
    </w:p>
    <w:p>
      <w:pPr>
        <w:spacing w:after="0" w:line="157" w:lineRule="exact"/>
        <w:rPr>
          <w:sz w:val="20"/>
          <w:szCs w:val="20"/>
          <w:color w:val="auto"/>
        </w:rPr>
      </w:pPr>
    </w:p>
    <w:p>
      <w:pPr>
        <w:jc w:val="both"/>
        <w:ind w:right="460" w:firstLine="764"/>
        <w:spacing w:after="0" w:line="252" w:lineRule="auto"/>
        <w:rPr>
          <w:sz w:val="20"/>
          <w:szCs w:val="20"/>
          <w:color w:val="auto"/>
        </w:rPr>
      </w:pPr>
      <w:r>
        <w:rPr>
          <w:rFonts w:ascii="Arial" w:cs="Arial" w:eastAsia="Arial" w:hAnsi="Arial"/>
          <w:sz w:val="18"/>
          <w:szCs w:val="18"/>
          <w:color w:val="auto"/>
        </w:rPr>
        <w:t>As a result of high interest rates, the current inflationary environment and vehicle depreciation in the used automotive industry, UACC is experiencing higher loss severity. The increased loss severity could lead to reduced servicing income if UACC elects to waive monthly servicing fees going forward as it did in the first quarter of 2023.</w:t>
      </w:r>
    </w:p>
    <w:p>
      <w:pPr>
        <w:spacing w:after="0" w:line="157" w:lineRule="exact"/>
        <w:rPr>
          <w:sz w:val="20"/>
          <w:szCs w:val="20"/>
          <w:color w:val="auto"/>
        </w:rPr>
      </w:pPr>
    </w:p>
    <w:p>
      <w:pPr>
        <w:ind w:right="520" w:firstLine="761"/>
        <w:spacing w:after="0" w:line="271" w:lineRule="auto"/>
        <w:rPr>
          <w:sz w:val="20"/>
          <w:szCs w:val="20"/>
          <w:color w:val="auto"/>
        </w:rPr>
      </w:pPr>
      <w:r>
        <w:rPr>
          <w:rFonts w:ascii="Arial" w:cs="Arial" w:eastAsia="Arial" w:hAnsi="Arial"/>
          <w:sz w:val="18"/>
          <w:szCs w:val="18"/>
          <w:color w:val="auto"/>
        </w:rPr>
        <w:t>See “Note 3—Revenue Recognition” and "Note 4 – Variable Interest Entities and Securitizations" to our consolidated financial statements included elsewhere in this Annual Report on Form 10-K.</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96" w:lineRule="exact"/>
        <w:rPr>
          <w:sz w:val="20"/>
          <w:szCs w:val="20"/>
          <w:color w:val="auto"/>
        </w:rPr>
      </w:pPr>
    </w:p>
    <w:p>
      <w:pPr>
        <w:ind w:right="40" w:firstLine="761"/>
        <w:spacing w:after="0" w:line="252" w:lineRule="auto"/>
        <w:rPr>
          <w:sz w:val="20"/>
          <w:szCs w:val="20"/>
          <w:color w:val="auto"/>
        </w:rPr>
      </w:pPr>
      <w:r>
        <w:rPr>
          <w:rFonts w:ascii="Arial" w:cs="Arial" w:eastAsia="Arial" w:hAnsi="Arial"/>
          <w:sz w:val="18"/>
          <w:szCs w:val="18"/>
          <w:color w:val="auto"/>
        </w:rPr>
        <w:t>In connection with the Value Maximization Plan, we started to wind-down our ecommerce operations in January 2024. Therefore, each of the retail cost of sales, wholesale cost of sales, and the associated product cost of sales described below will not be applicable to our results of operations going forward.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cost of sales</w:t>
      </w:r>
    </w:p>
    <w:p>
      <w:pPr>
        <w:spacing w:after="0" w:line="196" w:lineRule="exact"/>
        <w:rPr>
          <w:sz w:val="20"/>
          <w:szCs w:val="20"/>
          <w:color w:val="auto"/>
        </w:rPr>
      </w:pPr>
    </w:p>
    <w:p>
      <w:pPr>
        <w:ind w:right="60" w:firstLine="761"/>
        <w:spacing w:after="0" w:line="241" w:lineRule="auto"/>
        <w:rPr>
          <w:sz w:val="20"/>
          <w:szCs w:val="20"/>
          <w:color w:val="auto"/>
        </w:rPr>
      </w:pPr>
      <w:r>
        <w:rPr>
          <w:rFonts w:ascii="Arial" w:cs="Arial" w:eastAsia="Arial" w:hAnsi="Arial"/>
          <w:sz w:val="18"/>
          <w:szCs w:val="18"/>
          <w:color w:val="auto"/>
        </w:rPr>
        <w:t>Retail cost of sales primarily included the costs to acquire vehicles, inbound transportation costs and direct and indirect reconditioning costs associated with preparing vehicles for sale. Costs to acquire vehicles were primarily driven by the inventory source, vehicle mix and general supply and demand conditions of the used vehicle market. Inbound transportation costs included costs to transport the vehicle to our VRCs. Reconditioning costs included parts, labor and third-party reconditioning costs directly attributable to the vehicle and allocated overhead costs. Cost of sales also included any accounting adjustments to reflect vehicle inventory at the lower of cost or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cost of sales</w:t>
      </w:r>
    </w:p>
    <w:p>
      <w:pPr>
        <w:spacing w:after="0" w:line="196" w:lineRule="exact"/>
        <w:rPr>
          <w:sz w:val="20"/>
          <w:szCs w:val="20"/>
          <w:color w:val="auto"/>
        </w:rPr>
      </w:pPr>
    </w:p>
    <w:p>
      <w:pPr>
        <w:ind w:right="380" w:firstLine="761"/>
        <w:spacing w:after="0" w:line="271" w:lineRule="auto"/>
        <w:rPr>
          <w:sz w:val="20"/>
          <w:szCs w:val="20"/>
          <w:color w:val="auto"/>
        </w:rPr>
      </w:pPr>
      <w:r>
        <w:rPr>
          <w:rFonts w:ascii="Arial" w:cs="Arial" w:eastAsia="Arial" w:hAnsi="Arial"/>
          <w:sz w:val="18"/>
          <w:szCs w:val="18"/>
          <w:color w:val="auto"/>
        </w:rPr>
        <w:t>Wholesale cost of sales primarily included costs to acquire vehicles sold through wholesale channels as well as any accounting adjustments to reflect vehicle inventory at the lower of cost or net realizable value.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cost of sales</w:t>
      </w:r>
    </w:p>
    <w:p>
      <w:pPr>
        <w:spacing w:after="0" w:line="196" w:lineRule="exact"/>
        <w:rPr>
          <w:sz w:val="20"/>
          <w:szCs w:val="20"/>
          <w:color w:val="auto"/>
        </w:rPr>
      </w:pPr>
    </w:p>
    <w:p>
      <w:pPr>
        <w:ind w:right="60" w:firstLine="761"/>
        <w:spacing w:after="0" w:line="271" w:lineRule="auto"/>
        <w:rPr>
          <w:sz w:val="20"/>
          <w:szCs w:val="20"/>
          <w:color w:val="auto"/>
        </w:rPr>
      </w:pPr>
      <w:r>
        <w:rPr>
          <w:rFonts w:ascii="Arial" w:cs="Arial" w:eastAsia="Arial" w:hAnsi="Arial"/>
          <w:sz w:val="18"/>
          <w:szCs w:val="18"/>
          <w:color w:val="auto"/>
        </w:rPr>
        <w:t>Product cost of sales consists of interest expense incurred on securitization debt related to finance receivables originated by UACC for Vroom customers.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cost of sales</w:t>
      </w:r>
    </w:p>
    <w:p>
      <w:pPr>
        <w:spacing w:after="0" w:line="196" w:lineRule="exact"/>
        <w:rPr>
          <w:sz w:val="20"/>
          <w:szCs w:val="20"/>
          <w:color w:val="auto"/>
        </w:rPr>
      </w:pPr>
    </w:p>
    <w:p>
      <w:pPr>
        <w:ind w:right="200" w:firstLine="761"/>
        <w:spacing w:after="0" w:line="271" w:lineRule="auto"/>
        <w:rPr>
          <w:sz w:val="20"/>
          <w:szCs w:val="20"/>
          <w:color w:val="auto"/>
        </w:rPr>
      </w:pPr>
      <w:r>
        <w:rPr>
          <w:rFonts w:ascii="Arial" w:cs="Arial" w:eastAsia="Arial" w:hAnsi="Arial"/>
          <w:sz w:val="18"/>
          <w:szCs w:val="18"/>
          <w:color w:val="auto"/>
        </w:rPr>
        <w:t>Finance cost of sales consists of interest expense incurred on securitization debt originated by UACC for its network of third-party dealership customers and collection expenses related to servicing finance receivables.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6" w:lineRule="exact"/>
        <w:rPr>
          <w:sz w:val="20"/>
          <w:szCs w:val="20"/>
          <w:color w:val="auto"/>
        </w:rPr>
      </w:pPr>
    </w:p>
    <w:p>
      <w:pPr>
        <w:ind w:right="120" w:firstLine="761"/>
        <w:spacing w:after="0" w:line="246" w:lineRule="auto"/>
        <w:rPr>
          <w:sz w:val="20"/>
          <w:szCs w:val="20"/>
          <w:color w:val="auto"/>
        </w:rPr>
      </w:pPr>
      <w:r>
        <w:rPr>
          <w:rFonts w:ascii="Arial" w:cs="Arial" w:eastAsia="Arial" w:hAnsi="Arial"/>
          <w:sz w:val="18"/>
          <w:szCs w:val="18"/>
          <w:color w:val="auto"/>
        </w:rPr>
        <w:t>Our selling, general, and administrative expenses, which we refer to as SG&amp;A expenses, historically consisted primarily of advertising and marketing expenses, outbound transportation costs, employee compensation, occupancy costs of our facilities, professional fees for accounting, auditing, tax, legal and consulting services and software and IT costs. Going forward, we expect our SG&amp;A expenses to decrease significantly as a result of the wind-down of our ecommerce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96" w:lineRule="exact"/>
        <w:rPr>
          <w:sz w:val="20"/>
          <w:szCs w:val="20"/>
          <w:color w:val="auto"/>
        </w:rPr>
      </w:pPr>
    </w:p>
    <w:p>
      <w:pPr>
        <w:ind w:firstLine="761"/>
        <w:spacing w:after="0" w:line="266" w:lineRule="auto"/>
        <w:rPr>
          <w:sz w:val="20"/>
          <w:szCs w:val="20"/>
          <w:color w:val="auto"/>
        </w:rPr>
      </w:pPr>
      <w:r>
        <w:rPr>
          <w:rFonts w:ascii="Arial" w:cs="Arial" w:eastAsia="Arial" w:hAnsi="Arial"/>
          <w:sz w:val="17"/>
          <w:szCs w:val="17"/>
          <w:color w:val="auto"/>
        </w:rPr>
        <w:t>Our depreciation and amortization expense primarily includes: depreciation related to our leasehold improvements and logistics fleet; amortization related to intangible assets in acquired businesses; and capitalized internal use software costs incurred in the development of our platform and website applications. Depreciation expense related to our Vroom VRC and the portion of depreciation expense for our proprietary logistics fleet related to inbound transportation is included in cost of sales in the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196" w:lineRule="exact"/>
        <w:rPr>
          <w:sz w:val="20"/>
          <w:szCs w:val="20"/>
          <w:color w:val="auto"/>
        </w:rPr>
      </w:pPr>
    </w:p>
    <w:p>
      <w:pPr>
        <w:ind w:right="320" w:firstLine="761"/>
        <w:spacing w:after="0" w:line="271" w:lineRule="auto"/>
        <w:rPr>
          <w:sz w:val="20"/>
          <w:szCs w:val="20"/>
          <w:color w:val="auto"/>
        </w:rPr>
      </w:pPr>
      <w:r>
        <w:rPr>
          <w:rFonts w:ascii="Arial" w:cs="Arial" w:eastAsia="Arial" w:hAnsi="Arial"/>
          <w:sz w:val="18"/>
          <w:szCs w:val="18"/>
          <w:color w:val="auto"/>
        </w:rPr>
        <w:t>Impairment charges represent charges to write down the carrying amount of goodwill and other long-lived assets to fair value as well as lease impairment charges related to closing physical office locations and Sell Us Your Car® centers.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196" w:lineRule="exact"/>
        <w:rPr>
          <w:sz w:val="20"/>
          <w:szCs w:val="20"/>
          <w:color w:val="auto"/>
        </w:rPr>
      </w:pPr>
    </w:p>
    <w:p>
      <w:pPr>
        <w:ind w:right="160" w:firstLine="749"/>
        <w:spacing w:after="0" w:line="271" w:lineRule="auto"/>
        <w:rPr>
          <w:sz w:val="20"/>
          <w:szCs w:val="20"/>
          <w:color w:val="auto"/>
        </w:rPr>
      </w:pPr>
      <w:r>
        <w:rPr>
          <w:rFonts w:ascii="Arial" w:cs="Arial" w:eastAsia="Arial" w:hAnsi="Arial"/>
          <w:sz w:val="18"/>
          <w:szCs w:val="18"/>
          <w:color w:val="auto"/>
        </w:rPr>
        <w:t>Gain on debt extinguishment represents the gain recognized from the repurchase of a portion of our outstanding Convertible Senior Notes due 2026 (the "Notes") in open-market transactions.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ind w:right="100" w:firstLine="761"/>
        <w:spacing w:after="0" w:line="252" w:lineRule="auto"/>
        <w:rPr>
          <w:sz w:val="20"/>
          <w:szCs w:val="20"/>
          <w:color w:val="auto"/>
        </w:rPr>
      </w:pPr>
      <w:r>
        <w:rPr>
          <w:rFonts w:ascii="Arial" w:cs="Arial" w:eastAsia="Arial" w:hAnsi="Arial"/>
          <w:sz w:val="18"/>
          <w:szCs w:val="18"/>
          <w:color w:val="auto"/>
        </w:rPr>
        <w:t>Our interest expense primarily includes (i) interest expense related to our 2022 Vehicle Floorplan Facility, which was used to finance our inventory, (ii) interest expense on our Notes, (iii) interest expense on UACC's Warehouse Credit Facilities, which are used to fund our finance receivables, and (iv) interest expense on UACC's financing of beneficial interests in securitizations.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6" w:lineRule="exact"/>
        <w:rPr>
          <w:sz w:val="20"/>
          <w:szCs w:val="20"/>
          <w:color w:val="auto"/>
        </w:rPr>
      </w:pPr>
    </w:p>
    <w:p>
      <w:pPr>
        <w:ind w:right="340" w:firstLine="761"/>
        <w:spacing w:after="0" w:line="271" w:lineRule="auto"/>
        <w:rPr>
          <w:sz w:val="20"/>
          <w:szCs w:val="20"/>
          <w:color w:val="auto"/>
        </w:rPr>
      </w:pPr>
      <w:r>
        <w:rPr>
          <w:rFonts w:ascii="Arial" w:cs="Arial" w:eastAsia="Arial" w:hAnsi="Arial"/>
          <w:sz w:val="18"/>
          <w:szCs w:val="18"/>
          <w:color w:val="auto"/>
        </w:rPr>
        <w:t>Interest income primarily represents interest credits earned on cash deposits maintained in relation to our 2022 Vehicle Floorplan Facility as well as interest earned on cash and cash equivalents.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net</w:t>
      </w:r>
    </w:p>
    <w:p>
      <w:pPr>
        <w:spacing w:after="0" w:line="196" w:lineRule="exact"/>
        <w:rPr>
          <w:sz w:val="20"/>
          <w:szCs w:val="20"/>
          <w:color w:val="auto"/>
        </w:rPr>
      </w:pPr>
    </w:p>
    <w:p>
      <w:pPr>
        <w:ind w:right="760" w:firstLine="761"/>
        <w:spacing w:after="0" w:line="271" w:lineRule="auto"/>
        <w:rPr>
          <w:sz w:val="20"/>
          <w:szCs w:val="20"/>
          <w:color w:val="auto"/>
        </w:rPr>
      </w:pPr>
      <w:r>
        <w:rPr>
          <w:rFonts w:ascii="Arial" w:cs="Arial" w:eastAsia="Arial" w:hAnsi="Arial"/>
          <w:sz w:val="18"/>
          <w:szCs w:val="18"/>
          <w:color w:val="auto"/>
        </w:rPr>
        <w:t>Other loss, net primarily represents realized and unrealized losses on finance receivables, securitization debt and beneficial interests in securitizations as well as recoveries from losses previously recognized on finance receivables.</w:t>
      </w:r>
    </w:p>
    <w:p>
      <w:pPr>
        <w:spacing w:after="0" w:line="13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consolidated results of operations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4"/>
          </w:tcPr>
          <w:p>
            <w:pPr>
              <w:jc w:val="center"/>
              <w:ind w:left="973"/>
              <w:spacing w:after="0"/>
              <w:rPr>
                <w:sz w:val="20"/>
                <w:szCs w:val="20"/>
                <w:color w:val="auto"/>
              </w:rPr>
            </w:pPr>
            <w:r>
              <w:rPr>
                <w:rFonts w:ascii="Arial" w:cs="Arial" w:eastAsia="Arial" w:hAnsi="Arial"/>
                <w:sz w:val="14"/>
                <w:szCs w:val="14"/>
                <w:b w:val="1"/>
                <w:bCs w:val="1"/>
                <w:color w:val="auto"/>
              </w:rPr>
              <w:t>Year Ended</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center"/>
              <w:ind w:left="973"/>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5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60" w:type="dxa"/>
            <w:vAlign w:val="bottom"/>
            <w:gridSpan w:val="4"/>
          </w:tcPr>
          <w:p>
            <w:pPr>
              <w:jc w:val="center"/>
              <w:ind w:left="973"/>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Retail vehicle,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565,972</w:t>
            </w:r>
          </w:p>
        </w:tc>
        <w:tc>
          <w:tcPr>
            <w:tcW w:w="7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1,425,842</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(60.3 )%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Wholesale vehicle</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104,119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293,528</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(64.5 )%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Product, net</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52,253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62,747</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Finance</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156,938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152,542</w:t>
            </w: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13,921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14,242</w:t>
            </w:r>
          </w:p>
        </w:tc>
        <w:tc>
          <w:tcPr>
            <w:tcW w:w="1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893,203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1,948,901</w:t>
            </w:r>
          </w:p>
        </w:tc>
        <w:tc>
          <w:tcPr>
            <w:tcW w:w="1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(54.2 )%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Retail vehicle</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553,565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1,382,005</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(59.9 )%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Wholesale vehicle</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138,472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304,148</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3,337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Finance</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31,328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14,161</w:t>
            </w: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121.2 %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4,554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Total cost of sales</w:t>
            </w:r>
          </w:p>
        </w:tc>
        <w:tc>
          <w:tcPr>
            <w:tcW w:w="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731,256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1,704,114</w:t>
            </w:r>
          </w:p>
        </w:tc>
        <w:tc>
          <w:tcPr>
            <w:tcW w:w="1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(57.1 )%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Total gross profit</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161,947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244,787</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340,657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566,387</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(39.9 )%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42,769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38,290</w:t>
            </w: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48,748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211,873</w:t>
            </w:r>
          </w:p>
        </w:tc>
        <w:tc>
          <w:tcPr>
            <w:tcW w:w="10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(77.0 )%</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(270,227 )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(571,763 )</w:t>
            </w:r>
          </w:p>
        </w:tc>
        <w:tc>
          <w:tcPr>
            <w:tcW w:w="1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52.7 %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Gain on debt extinguishment</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(37,878 )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(164,684 )</w:t>
            </w: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77.0 %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45,445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40,693</w:t>
            </w: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(21,158 )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(19,363 )</w:t>
            </w:r>
          </w:p>
        </w:tc>
        <w:tc>
          <w:tcPr>
            <w:tcW w:w="1740" w:type="dxa"/>
            <w:vAlign w:val="bottom"/>
            <w:gridSpan w:val="3"/>
          </w:tcPr>
          <w:p>
            <w:pPr>
              <w:jc w:val="right"/>
              <w:ind w:right="40"/>
              <w:spacing w:after="0"/>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Other loss (income), net</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108,289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43,181</w:t>
            </w:r>
          </w:p>
        </w:tc>
        <w:tc>
          <w:tcPr>
            <w:tcW w:w="1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150.8 %</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Loss before provision (benefit) for income taxes</w:t>
            </w:r>
          </w:p>
        </w:tc>
        <w:tc>
          <w:tcPr>
            <w:tcW w:w="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(364,925 )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(471,590 )</w:t>
            </w:r>
          </w:p>
        </w:tc>
        <w:tc>
          <w:tcPr>
            <w:tcW w:w="1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spacing w:after="0"/>
              <w:rPr>
                <w:sz w:val="19"/>
                <w:szCs w:val="19"/>
                <w:color w:val="auto"/>
              </w:rPr>
            </w:pPr>
          </w:p>
        </w:tc>
        <w:tc>
          <w:tcPr>
            <w:tcW w:w="1640" w:type="dxa"/>
            <w:vAlign w:val="bottom"/>
          </w:tcPr>
          <w:p>
            <w:pPr>
              <w:jc w:val="right"/>
              <w:ind w:right="53"/>
              <w:spacing w:after="0"/>
              <w:rPr>
                <w:sz w:val="20"/>
                <w:szCs w:val="20"/>
                <w:color w:val="auto"/>
              </w:rPr>
            </w:pPr>
            <w:r>
              <w:rPr>
                <w:rFonts w:ascii="Arial" w:cs="Arial" w:eastAsia="Arial" w:hAnsi="Arial"/>
                <w:sz w:val="18"/>
                <w:szCs w:val="18"/>
                <w:color w:val="auto"/>
              </w:rPr>
              <w:t>615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(19,680 )</w:t>
            </w:r>
          </w:p>
        </w:tc>
        <w:tc>
          <w:tcPr>
            <w:tcW w:w="1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103.1 %</w:t>
            </w:r>
          </w:p>
        </w:tc>
        <w:tc>
          <w:tcPr>
            <w:tcW w:w="0" w:type="dxa"/>
            <w:vAlign w:val="bottom"/>
          </w:tcPr>
          <w:p>
            <w:pPr>
              <w:spacing w:after="0"/>
              <w:rPr>
                <w:sz w:val="1"/>
                <w:szCs w:val="1"/>
                <w:color w:val="auto"/>
              </w:rPr>
            </w:pPr>
          </w:p>
        </w:tc>
      </w:tr>
      <w:tr>
        <w:trPr>
          <w:trHeight w:val="20"/>
        </w:trPr>
        <w:tc>
          <w:tcPr>
            <w:tcW w:w="5840" w:type="dxa"/>
            <w:vAlign w:val="bottom"/>
            <w:vMerge w:val="restart"/>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4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(365,540 )</w:t>
            </w:r>
          </w:p>
        </w:tc>
        <w:tc>
          <w:tcPr>
            <w:tcW w:w="180" w:type="dxa"/>
            <w:vAlign w:val="bottom"/>
          </w:tcPr>
          <w:p>
            <w:pPr>
              <w:spacing w:after="0"/>
              <w:rPr>
                <w:sz w:val="19"/>
                <w:szCs w:val="19"/>
                <w:color w:val="auto"/>
              </w:rPr>
            </w:pPr>
          </w:p>
        </w:tc>
        <w:tc>
          <w:tcPr>
            <w:tcW w:w="540" w:type="dxa"/>
            <w:vAlign w:val="bottom"/>
            <w:gridSpan w:val="2"/>
          </w:tcPr>
          <w:p>
            <w:pPr>
              <w:jc w:val="right"/>
              <w:ind w:right="44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(451,910 )</w:t>
            </w:r>
          </w:p>
        </w:tc>
        <w:tc>
          <w:tcPr>
            <w:tcW w:w="100" w:type="dxa"/>
            <w:vAlign w:val="bottom"/>
          </w:tcPr>
          <w:p>
            <w:pPr>
              <w:spacing w:after="0"/>
              <w:rPr>
                <w:sz w:val="19"/>
                <w:szCs w:val="19"/>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-3561080</wp:posOffset>
            </wp:positionV>
            <wp:extent cx="713232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-3270250</wp:posOffset>
            </wp:positionV>
            <wp:extent cx="7132320" cy="145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-2970530</wp:posOffset>
            </wp:positionV>
            <wp:extent cx="713232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-2679700</wp:posOffset>
            </wp:positionV>
            <wp:extent cx="713232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-2388235</wp:posOffset>
            </wp:positionV>
            <wp:extent cx="713232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-1797685</wp:posOffset>
            </wp:positionV>
            <wp:extent cx="713232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-1506220</wp:posOffset>
            </wp:positionV>
            <wp:extent cx="713232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-1206500</wp:posOffset>
            </wp:positionV>
            <wp:extent cx="7132320" cy="145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-915670</wp:posOffset>
            </wp:positionV>
            <wp:extent cx="71323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-2097405</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p>
      <w:pPr>
        <w:spacing w:after="0" w:line="39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historically managed and reported operating results through three reportable segments:</w:t>
      </w:r>
    </w:p>
    <w:p>
      <w:pPr>
        <w:spacing w:after="0" w:line="198" w:lineRule="exact"/>
        <w:rPr>
          <w:sz w:val="20"/>
          <w:szCs w:val="20"/>
          <w:color w:val="auto"/>
        </w:rPr>
      </w:pPr>
    </w:p>
    <w:p>
      <w:pPr>
        <w:ind w:left="1020" w:right="240" w:hanging="251"/>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(64.5% of 2023 revenue; 70.0% of 2022 revenue): The Ecommerce segment represents retail sales of used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through our ecommerce platform, revenue earned on vehicle financing originated by UACC or our third-party financing sources and sales of value-added products associated with those vehicles sales.</w:t>
      </w:r>
    </w:p>
    <w:p>
      <w:pPr>
        <w:spacing w:after="0" w:line="156" w:lineRule="exact"/>
        <w:rPr>
          <w:rFonts w:ascii="Times New Roman" w:cs="Times New Roman" w:eastAsia="Times New Roman" w:hAnsi="Times New Roman"/>
          <w:sz w:val="18"/>
          <w:szCs w:val="18"/>
          <w:color w:val="auto"/>
        </w:rPr>
      </w:pPr>
    </w:p>
    <w:p>
      <w:pPr>
        <w:ind w:left="1020" w:right="700" w:hanging="251"/>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(11.7% of 2023 revenue; 15.1% of 2022 revenue): The Wholesale segment represents sales of used vehicles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wholesale channels.</w:t>
      </w:r>
    </w:p>
    <w:p>
      <w:pPr>
        <w:spacing w:after="0" w:line="140" w:lineRule="exact"/>
        <w:rPr>
          <w:rFonts w:ascii="Times New Roman" w:cs="Times New Roman" w:eastAsia="Times New Roman" w:hAnsi="Times New Roman"/>
          <w:sz w:val="18"/>
          <w:szCs w:val="18"/>
          <w:color w:val="auto"/>
        </w:rPr>
      </w:pPr>
    </w:p>
    <w:p>
      <w:pPr>
        <w:ind w:left="1020" w:right="960" w:hanging="249"/>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Retail Financing </w:t>
      </w:r>
      <w:r>
        <w:rPr>
          <w:rFonts w:ascii="Arial" w:cs="Arial" w:eastAsia="Arial" w:hAnsi="Arial"/>
          <w:sz w:val="18"/>
          <w:szCs w:val="18"/>
          <w:color w:val="auto"/>
        </w:rPr>
        <w:t>(17.6% of 2023 revenue; 7.8% of 2022 revenue): The Retail Financing segment represents UACC’s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with its network of third-party dealership customers.</w:t>
      </w:r>
    </w:p>
    <w:p>
      <w:pPr>
        <w:spacing w:after="0" w:line="140" w:lineRule="exact"/>
        <w:rPr>
          <w:sz w:val="20"/>
          <w:szCs w:val="20"/>
          <w:color w:val="auto"/>
        </w:rPr>
      </w:pPr>
    </w:p>
    <w:p>
      <w:pPr>
        <w:ind w:right="620" w:firstLine="761"/>
        <w:spacing w:after="0" w:line="271" w:lineRule="auto"/>
        <w:rPr>
          <w:sz w:val="20"/>
          <w:szCs w:val="20"/>
          <w:color w:val="auto"/>
        </w:rPr>
      </w:pPr>
      <w:r>
        <w:rPr>
          <w:rFonts w:ascii="Arial" w:cs="Arial" w:eastAsia="Arial" w:hAnsi="Arial"/>
          <w:sz w:val="18"/>
          <w:szCs w:val="18"/>
          <w:color w:val="auto"/>
        </w:rPr>
        <w:t>As a result of the Value Maximization Plan and the wind-down of our ecommerce operations, we will discontinue reporting our results through our Ecommerce and Wholesale segments starting in the first quarter of 2024.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2023 and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6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4"/>
          </w:tcPr>
          <w:p>
            <w:pPr>
              <w:jc w:val="center"/>
              <w:ind w:right="151"/>
              <w:spacing w:after="0" w:line="159" w:lineRule="exact"/>
              <w:rPr>
                <w:sz w:val="20"/>
                <w:szCs w:val="20"/>
                <w:color w:val="auto"/>
              </w:rPr>
            </w:pPr>
            <w:r>
              <w:rPr>
                <w:rFonts w:ascii="Arial" w:cs="Arial" w:eastAsia="Arial" w:hAnsi="Arial"/>
                <w:sz w:val="14"/>
                <w:szCs w:val="14"/>
                <w:b w:val="1"/>
                <w:bCs w:val="1"/>
                <w:color w:val="auto"/>
              </w:rPr>
              <w:t>(in thousands, except unit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rPr>
              <w:t>data and average days to sale)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Ecommerce units sold</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17,401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(21,877 )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(55.7 )%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Ecommerce revenue:</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Vehicle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523,945</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1,304,797</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(780,852 )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(59.8 )%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52,225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59,398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(7,173 )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Total ecommerce revenue</w:t>
            </w: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576,170</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1,364,195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(788,025 )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(57.8 )%</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Ecommerce gross profit: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Vehicle gross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10,343</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40,575</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(30,232 )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(74.5 )%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Product gross profit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48,888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59,398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(10,510 )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Total ecommerce gross profit</w:t>
            </w: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59,231</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99,973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(40,742 )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(40.8 )%</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Average vehicle selling price per ecommerce unit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30,110</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33,220</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(3,110 )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Product revenue per ecommerce unit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98.5 %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Gross profit per ecommerce unit:</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Vehicle gross profit per ecommerce unit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594</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1,033</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(439 )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(42.5 )%</w:t>
            </w:r>
          </w:p>
        </w:tc>
        <w:tc>
          <w:tcPr>
            <w:tcW w:w="0" w:type="dxa"/>
            <w:vAlign w:val="bottom"/>
          </w:tcPr>
          <w:p>
            <w:pPr>
              <w:spacing w:after="0"/>
              <w:rPr>
                <w:sz w:val="1"/>
                <w:szCs w:val="1"/>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Product gross profit per ecommerce unit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1,512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1,297</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85.8 %</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Total gross profit per ecommerce unit</w:t>
            </w: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0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3,403</w:t>
            </w:r>
          </w:p>
        </w:tc>
        <w:tc>
          <w:tcPr>
            <w:tcW w:w="24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2,545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20"/>
              <w:spacing w:after="0"/>
              <w:rPr>
                <w:sz w:val="20"/>
                <w:szCs w:val="20"/>
                <w:color w:val="auto"/>
              </w:rPr>
            </w:pPr>
            <w:r>
              <w:rPr>
                <w:rFonts w:ascii="Arial" w:cs="Arial" w:eastAsia="Arial" w:hAnsi="Arial"/>
                <w:sz w:val="18"/>
                <w:szCs w:val="18"/>
                <w:color w:val="auto"/>
              </w:rPr>
              <w:t>Ecommerce average days to sale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56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65.6 %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-2437130</wp:posOffset>
            </wp:positionV>
            <wp:extent cx="713232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-2145665</wp:posOffset>
            </wp:positionV>
            <wp:extent cx="7132320"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-1529715</wp:posOffset>
            </wp:positionV>
            <wp:extent cx="7132320"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-913130</wp:posOffset>
            </wp:positionV>
            <wp:extent cx="7132320" cy="145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-621665</wp:posOffset>
            </wp:positionV>
            <wp:extent cx="713232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-1846580</wp:posOffset>
            </wp:positionV>
            <wp:extent cx="7132320" cy="1714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-1229995</wp:posOffset>
            </wp:positionV>
            <wp:extent cx="7132320"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1714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196" w:lineRule="exact"/>
        <w:rPr>
          <w:sz w:val="20"/>
          <w:szCs w:val="20"/>
          <w:color w:val="auto"/>
        </w:rPr>
      </w:pPr>
    </w:p>
    <w:p>
      <w:pPr>
        <w:ind w:right="240" w:firstLine="761"/>
        <w:spacing w:after="0" w:line="246" w:lineRule="auto"/>
        <w:rPr>
          <w:sz w:val="20"/>
          <w:szCs w:val="20"/>
          <w:color w:val="auto"/>
        </w:rPr>
      </w:pPr>
      <w:r>
        <w:rPr>
          <w:rFonts w:ascii="Arial" w:cs="Arial" w:eastAsia="Arial" w:hAnsi="Arial"/>
          <w:sz w:val="18"/>
          <w:szCs w:val="18"/>
          <w:color w:val="auto"/>
        </w:rPr>
        <w:t>Ecommerce units sold decreased 21,877, or 55.7%, from 39,278 for the year ended December 31, 2022 to 17,401 for the year ended December 31, 2023. This decrease was driven by our strategic decision to prioritize unit economics over unit sales volume starting in the second quarter of 2022, our decision to reduce vehicle acquisitions during the fourth quarter of 2023, pressure on servicing our demand as a result of reducing third-party sales support staff and scaling our internal sales team, as well as macroeconomic factors.</w:t>
      </w:r>
    </w:p>
    <w:p>
      <w:pPr>
        <w:spacing w:after="0" w:line="163" w:lineRule="exact"/>
        <w:rPr>
          <w:sz w:val="20"/>
          <w:szCs w:val="20"/>
          <w:color w:val="auto"/>
        </w:rPr>
      </w:pPr>
    </w:p>
    <w:p>
      <w:pPr>
        <w:ind w:right="260" w:firstLine="761"/>
        <w:spacing w:after="0" w:line="246" w:lineRule="auto"/>
        <w:rPr>
          <w:sz w:val="20"/>
          <w:szCs w:val="20"/>
          <w:color w:val="auto"/>
        </w:rPr>
      </w:pPr>
      <w:r>
        <w:rPr>
          <w:rFonts w:ascii="Arial" w:cs="Arial" w:eastAsia="Arial" w:hAnsi="Arial"/>
          <w:sz w:val="18"/>
          <w:szCs w:val="18"/>
          <w:color w:val="auto"/>
        </w:rPr>
        <w:t>Ecommerce average days to sale increased from 131 days for the year ended December 31, 2022 to 217 days for the year ended December 31, 2023. We undertook various initiatives to address the operational challenges created by our prior rapid growth from 2020 through the first quarter of 2022, in particular with titling and registration processes. While these initiatives were designed to improve our transaction processing, enhance our customer experience, and</w:t>
      </w:r>
    </w:p>
    <w:p>
      <w:pPr>
        <w:spacing w:after="0" w:line="16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reduce our regulatory risk, they resulted in delays in listing vehicles for sale and caused a higher portion of our unit sales throughout 2023 to be from aged inventory, which increased the number of days between our acquisition of vehicles and the final delivery of such vehicles to customers.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96" w:lineRule="exact"/>
        <w:rPr>
          <w:sz w:val="20"/>
          <w:szCs w:val="20"/>
          <w:color w:val="auto"/>
        </w:rPr>
      </w:pPr>
    </w:p>
    <w:p>
      <w:pPr>
        <w:ind w:right="120" w:firstLine="761"/>
        <w:spacing w:after="0" w:line="243" w:lineRule="auto"/>
        <w:rPr>
          <w:sz w:val="20"/>
          <w:szCs w:val="20"/>
          <w:color w:val="auto"/>
        </w:rPr>
      </w:pPr>
      <w:r>
        <w:rPr>
          <w:rFonts w:ascii="Arial" w:cs="Arial" w:eastAsia="Arial" w:hAnsi="Arial"/>
          <w:sz w:val="18"/>
          <w:szCs w:val="18"/>
          <w:color w:val="auto"/>
        </w:rPr>
        <w:t>Ecommerce vehicle revenue decreased $780.9 million, or 59.8%, from $1,304.8 million for the year ended December 31, 2022 to $523.9 million for the year ended December 31, 2023. The decrease in ecommerce vehicle revenue was primarily attributable to the 21,877 decrease in ecommerce units sold, which decreased vehicle revenue by $726.8 million, and a decrease in ASP per unit, which decreased from $33,220 for the year ended December 31, 2022 to $30,110 for the year ended December 31, 2023 and decreased vehicle revenue by $54.1 million. The decrease in ASP per unit was primarily due to significant market appreciation in the first half of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96" w:lineRule="exact"/>
        <w:rPr>
          <w:sz w:val="20"/>
          <w:szCs w:val="20"/>
          <w:color w:val="auto"/>
        </w:rPr>
      </w:pPr>
    </w:p>
    <w:p>
      <w:pPr>
        <w:ind w:right="100" w:firstLine="761"/>
        <w:spacing w:after="0" w:line="241" w:lineRule="auto"/>
        <w:rPr>
          <w:sz w:val="20"/>
          <w:szCs w:val="20"/>
          <w:color w:val="auto"/>
        </w:rPr>
      </w:pPr>
      <w:r>
        <w:rPr>
          <w:rFonts w:ascii="Arial" w:cs="Arial" w:eastAsia="Arial" w:hAnsi="Arial"/>
          <w:sz w:val="18"/>
          <w:szCs w:val="18"/>
          <w:color w:val="auto"/>
        </w:rPr>
        <w:t>Ecommerce product revenue decreased $7.2 million, or 12.1%, from $59.4 million for the year ended December 31, 2022 to $52.2 million for the year ended December 31, 2023. The decrease in ecommerce product revenue was primarily attributable to the 21,877 decrease in ecommerce units sold, which decreased product revenue by $33.1 million, partially offset by an increase in product revenue per unit, which increased from $1,512 for the year ended December 31, 2022 to $3,001 for the year ended December 31, 2023 and increased product revenue by $25.9 million. The increase in product revenue per unit was primarily due to an increase in interest income earned on finance receivables from Vroom customers originated or serviced by UACC as compared to the year ended December 31,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Ecommerce vehicle gross profit decreased $30.3 million, or 74.5%, from $40.6 million for the year ended December 31, 2022 to</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$10.3 million for the year ended December 31, 2023. The decrease in vehicle gross profit was primarily attributable to the 21,877 decrease in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ecommerce units sold, which decreased vehicle gross profit by $22.7 million. Additionally, vehicle gross profit per unit decreased $439 from</w:t>
      </w:r>
    </w:p>
    <w:p>
      <w:pPr>
        <w:spacing w:after="0" w:line="234" w:lineRule="auto"/>
        <w:rPr>
          <w:sz w:val="20"/>
          <w:szCs w:val="20"/>
          <w:color w:val="auto"/>
        </w:rPr>
      </w:pPr>
      <w:r>
        <w:rPr>
          <w:rFonts w:ascii="Arial" w:cs="Arial" w:eastAsia="Arial" w:hAnsi="Arial"/>
          <w:sz w:val="18"/>
          <w:szCs w:val="18"/>
          <w:color w:val="auto"/>
        </w:rPr>
        <w:t>$1,033 for the year ended December 31, 2022 to $594 for year ended December 31, 2023, which decreased vehicle gross profit by $7.6</w:t>
      </w:r>
    </w:p>
    <w:p>
      <w:pPr>
        <w:spacing w:after="0" w:line="235" w:lineRule="auto"/>
        <w:rPr>
          <w:sz w:val="20"/>
          <w:szCs w:val="20"/>
          <w:color w:val="auto"/>
        </w:rPr>
      </w:pPr>
      <w:r>
        <w:rPr>
          <w:rFonts w:ascii="Arial" w:cs="Arial" w:eastAsia="Arial" w:hAnsi="Arial"/>
          <w:sz w:val="18"/>
          <w:szCs w:val="18"/>
          <w:color w:val="auto"/>
        </w:rPr>
        <w:t>million. The decrease was primarily driven by lower sales margin on aged inventory and higher reconditioning costs per unit related to an</w:t>
      </w:r>
    </w:p>
    <w:p>
      <w:pPr>
        <w:spacing w:after="0" w:line="234" w:lineRule="auto"/>
        <w:rPr>
          <w:sz w:val="20"/>
          <w:szCs w:val="20"/>
          <w:color w:val="auto"/>
        </w:rPr>
      </w:pPr>
      <w:r>
        <w:rPr>
          <w:rFonts w:ascii="Arial" w:cs="Arial" w:eastAsia="Arial" w:hAnsi="Arial"/>
          <w:sz w:val="18"/>
          <w:szCs w:val="18"/>
          <w:color w:val="auto"/>
        </w:rPr>
        <w:t>increased mix of higher mileage and aged vehicles along with significant parts inflation. The decreases were partially offset by a lower</w:t>
      </w:r>
    </w:p>
    <w:p>
      <w:pPr>
        <w:spacing w:after="0"/>
        <w:rPr>
          <w:sz w:val="20"/>
          <w:szCs w:val="20"/>
          <w:color w:val="auto"/>
        </w:rPr>
      </w:pPr>
      <w:r>
        <w:rPr>
          <w:rFonts w:ascii="Arial" w:cs="Arial" w:eastAsia="Arial" w:hAnsi="Arial"/>
          <w:sz w:val="18"/>
          <w:szCs w:val="18"/>
          <w:color w:val="auto"/>
        </w:rPr>
        <w:t>inventory reserve as a result of a decrease in inventory levels as we continued to sell through our aged inventory.</w:t>
      </w:r>
    </w:p>
    <w:p>
      <w:pPr>
        <w:spacing w:after="0" w:line="180" w:lineRule="exact"/>
        <w:rPr>
          <w:sz w:val="20"/>
          <w:szCs w:val="20"/>
          <w:color w:val="auto"/>
        </w:rPr>
      </w:pPr>
    </w:p>
    <w:p>
      <w:pPr>
        <w:jc w:val="both"/>
        <w:ind w:right="100" w:firstLine="761"/>
        <w:spacing w:after="0" w:line="252" w:lineRule="auto"/>
        <w:rPr>
          <w:sz w:val="20"/>
          <w:szCs w:val="20"/>
          <w:color w:val="auto"/>
        </w:rPr>
      </w:pPr>
      <w:r>
        <w:rPr>
          <w:rFonts w:ascii="Arial" w:cs="Arial" w:eastAsia="Arial" w:hAnsi="Arial"/>
          <w:sz w:val="18"/>
          <w:szCs w:val="18"/>
          <w:color w:val="auto"/>
        </w:rPr>
        <w:t>As we made progress on our initiatives to address the operational challenges created by our prior rapid growth from 2020 through the first quarter of 2022, a higher portion of our unit sales in 2023 was from aged inventory, which negatively impacted our sales margin and GPPU.</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96" w:lineRule="exact"/>
        <w:rPr>
          <w:sz w:val="20"/>
          <w:szCs w:val="20"/>
          <w:color w:val="auto"/>
        </w:rPr>
      </w:pPr>
    </w:p>
    <w:p>
      <w:pPr>
        <w:ind w:right="20" w:firstLine="761"/>
        <w:spacing w:after="0" w:line="258" w:lineRule="auto"/>
        <w:rPr>
          <w:sz w:val="20"/>
          <w:szCs w:val="20"/>
          <w:color w:val="auto"/>
        </w:rPr>
      </w:pPr>
      <w:r>
        <w:rPr>
          <w:rFonts w:ascii="Arial" w:cs="Arial" w:eastAsia="Arial" w:hAnsi="Arial"/>
          <w:sz w:val="17"/>
          <w:szCs w:val="17"/>
          <w:color w:val="auto"/>
        </w:rPr>
        <w:t>Ecommerce product gross profit decreased $10.5 million, or 17.7%, from $59.4 million for the year ended December 31, 2022 to $48.9 million for the year ended December 31, 2023. The decrease in ecommerce product gross profit was primarily attributable to the 21,877 decrease in ecommerce units sold, which decreased product gross profit by $33.1 million, partially offset by a $1,297 increase in product gross profit per unit, which increased product gross profit by $22.6 million. Product gross profit per unit increased from $1,512 for the year ended December 31, 2022 to $2,809 for the year ended December 31, 2023, primarily due to an increase in interest income earned, partially offset by interest expense on securitization debt related to Vroom customers' finance receivables originated or serviced by UACC.</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3"/>
          </w:tcPr>
          <w:p>
            <w:pPr>
              <w:jc w:val="center"/>
              <w:ind w:left="55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5"/>
        </w:trPr>
        <w:tc>
          <w:tcPr>
            <w:tcW w:w="5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2"/>
        </w:trPr>
        <w:tc>
          <w:tcPr>
            <w:tcW w:w="5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r>
      <w:tr>
        <w:trPr>
          <w:trHeight w:val="182"/>
        </w:trPr>
        <w:tc>
          <w:tcPr>
            <w:tcW w:w="5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(in thousands, except unit data)</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Wholesale units sold</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7,094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20,876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(13,782 )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(66.0 )%</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Wholesale revenue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104,119</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293,528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(189,409 )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(64.5 )%</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Wholesale gross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(34,353 )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(10,620 )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(23,733 )</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223.5 %</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Average selling price per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14,677</w:t>
            </w:r>
          </w:p>
        </w:tc>
        <w:tc>
          <w:tcPr>
            <w:tcW w:w="2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14,061</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616</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4.4 %</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Wholesale gross loss per unit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(4,843 )</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(509 )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(4,334 )</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851.5 %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-727075</wp:posOffset>
            </wp:positionV>
            <wp:extent cx="7132320"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Units</w:t>
      </w:r>
    </w:p>
    <w:p>
      <w:pPr>
        <w:spacing w:after="0" w:line="196" w:lineRule="exact"/>
        <w:rPr>
          <w:sz w:val="20"/>
          <w:szCs w:val="20"/>
          <w:color w:val="auto"/>
        </w:rPr>
      </w:pPr>
    </w:p>
    <w:p>
      <w:pPr>
        <w:ind w:right="220" w:firstLine="761"/>
        <w:spacing w:after="0" w:line="252" w:lineRule="auto"/>
        <w:rPr>
          <w:sz w:val="20"/>
          <w:szCs w:val="20"/>
          <w:color w:val="auto"/>
        </w:rPr>
      </w:pPr>
      <w:r>
        <w:rPr>
          <w:rFonts w:ascii="Arial" w:cs="Arial" w:eastAsia="Arial" w:hAnsi="Arial"/>
          <w:sz w:val="18"/>
          <w:szCs w:val="18"/>
          <w:color w:val="auto"/>
        </w:rPr>
        <w:t>Wholesale units sold decreased 13,782, or 66.0%, from 20,876 for the year ended December 31, 2022 to 7,094 for the year ended December 31, 2023, primarily driven by a decrease in wholesale units purchased from consumers and a lower number of trade-in vehicles associated with the decrease in the number of ecommerce units sold.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Revenue</w:t>
      </w:r>
    </w:p>
    <w:p>
      <w:pPr>
        <w:spacing w:after="0" w:line="196" w:lineRule="exact"/>
        <w:rPr>
          <w:sz w:val="20"/>
          <w:szCs w:val="20"/>
          <w:color w:val="auto"/>
        </w:rPr>
      </w:pPr>
    </w:p>
    <w:p>
      <w:pPr>
        <w:ind w:right="300" w:firstLine="761"/>
        <w:spacing w:after="0" w:line="246" w:lineRule="auto"/>
        <w:rPr>
          <w:sz w:val="20"/>
          <w:szCs w:val="20"/>
          <w:color w:val="auto"/>
        </w:rPr>
      </w:pPr>
      <w:r>
        <w:rPr>
          <w:rFonts w:ascii="Arial" w:cs="Arial" w:eastAsia="Arial" w:hAnsi="Arial"/>
          <w:sz w:val="18"/>
          <w:szCs w:val="18"/>
          <w:color w:val="auto"/>
        </w:rPr>
        <w:t>Wholesale revenue decreased $189.4 million, or 64.5%, from $293.5 million for the year ended December 31, 2022 to $104.1 million for the year ended December 31, 2023. The decrease was primarily attributable to a 13,782 decrease in wholesale units sold, which decreased wholesale revenue by $193.8 million, partially offset by a higher ASP per wholesale unit, which increased wholesale revenue by $4.4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Gross Loss</w:t>
      </w:r>
    </w:p>
    <w:p>
      <w:pPr>
        <w:spacing w:after="0" w:line="196"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Wholesale gross loss increased $23.8 million, or 223.5%, from $10.6 million for the year ended December 31, 2022 to $34.4 million for the year ended December 31, 2023. The change was primarily attributable to a $4,334 increase in wholesale gross loss per unit from $509 for the year ended December 31, 2022 to $4,843 for the year ended December 31, 2023, which increased wholesale gross loss by $30.8 million, partially offset by a 13,782 decrease in wholesale units sold, which decreased wholesale gross loss by $7.0 million.</w:t>
      </w:r>
    </w:p>
    <w:p>
      <w:pPr>
        <w:spacing w:after="0" w:line="163" w:lineRule="exact"/>
        <w:rPr>
          <w:sz w:val="20"/>
          <w:szCs w:val="20"/>
          <w:color w:val="auto"/>
        </w:rPr>
      </w:pPr>
    </w:p>
    <w:p>
      <w:pPr>
        <w:ind w:right="340" w:firstLine="761"/>
        <w:spacing w:after="0" w:line="271" w:lineRule="auto"/>
        <w:rPr>
          <w:sz w:val="20"/>
          <w:szCs w:val="20"/>
          <w:color w:val="auto"/>
        </w:rPr>
      </w:pPr>
      <w:r>
        <w:rPr>
          <w:rFonts w:ascii="Arial" w:cs="Arial" w:eastAsia="Arial" w:hAnsi="Arial"/>
          <w:sz w:val="18"/>
          <w:szCs w:val="18"/>
          <w:color w:val="auto"/>
        </w:rPr>
        <w:t>The increase in wholesale gross loss per unit was primarily driven by lower sales margins as a result of wholesale liquidations for aged inventory and vehicles damaged by hail storms in the second and third quarter of 2023 and a higher inventory reserve.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our Retail Financing segment results of operations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5"/>
        </w:trPr>
        <w:tc>
          <w:tcPr>
            <w:tcW w:w="5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82"/>
        </w:trPr>
        <w:tc>
          <w:tcPr>
            <w:tcW w:w="56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5"/>
                <w:szCs w:val="15"/>
                <w:color w:val="auto"/>
              </w:rPr>
            </w:pP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r>
      <w:tr>
        <w:trPr>
          <w:trHeight w:val="182"/>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Retail Financing 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156,938</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152,542</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4,396</w:t>
            </w: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2.9 %</w:t>
            </w:r>
          </w:p>
        </w:tc>
      </w:tr>
      <w:tr>
        <w:trPr>
          <w:trHeight w:val="239"/>
        </w:trPr>
        <w:tc>
          <w:tcPr>
            <w:tcW w:w="5600" w:type="dxa"/>
            <w:vAlign w:val="bottom"/>
          </w:tcPr>
          <w:p>
            <w:pPr>
              <w:ind w:left="20"/>
              <w:spacing w:after="0"/>
              <w:rPr>
                <w:sz w:val="20"/>
                <w:szCs w:val="20"/>
                <w:color w:val="auto"/>
              </w:rPr>
            </w:pPr>
            <w:r>
              <w:rPr>
                <w:rFonts w:ascii="Arial" w:cs="Arial" w:eastAsia="Arial" w:hAnsi="Arial"/>
                <w:sz w:val="18"/>
                <w:szCs w:val="18"/>
                <w:color w:val="auto"/>
              </w:rPr>
              <w:t>Retail Financing gross profit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125,610</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138,381</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(12,771 )</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5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Revenue</w:t>
      </w:r>
    </w:p>
    <w:p>
      <w:pPr>
        <w:spacing w:after="0" w:line="196" w:lineRule="exact"/>
        <w:rPr>
          <w:sz w:val="20"/>
          <w:szCs w:val="20"/>
          <w:color w:val="auto"/>
        </w:rPr>
      </w:pPr>
    </w:p>
    <w:p>
      <w:pPr>
        <w:ind w:right="260" w:firstLine="764"/>
        <w:spacing w:after="0" w:line="243" w:lineRule="auto"/>
        <w:rPr>
          <w:sz w:val="20"/>
          <w:szCs w:val="20"/>
          <w:color w:val="auto"/>
        </w:rPr>
      </w:pPr>
      <w:r>
        <w:rPr>
          <w:rFonts w:ascii="Arial" w:cs="Arial" w:eastAsia="Arial" w:hAnsi="Arial"/>
          <w:sz w:val="18"/>
          <w:szCs w:val="18"/>
          <w:color w:val="auto"/>
        </w:rPr>
        <w:t>Retail Financing revenue increased $ 4.4 million, or 2.9%, from $152.5 million for the year ended December 31, 2022 to $156.9 million for the year ended December 31, 2023. The increase was primarily driven by an increase in interest and discount income from $78.6 million for the year ended December 31, 2022 to $140.6 million for the year ended December 31, 2023 related to income earned on finance receivables with third-party dealership customers as a result of new originations and the consolidation of the 2022-2 and 2023-1 securitization transactions. The increase was</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partially offset by the gain on sale of finance receivables of $45.6 million for the year ended December 31, 2022 related to the 2022-1 and 2022-2 securitization transactions.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Financing Gross Profit</w:t>
      </w:r>
    </w:p>
    <w:p>
      <w:pPr>
        <w:spacing w:after="0" w:line="196" w:lineRule="exact"/>
        <w:rPr>
          <w:sz w:val="20"/>
          <w:szCs w:val="20"/>
          <w:color w:val="auto"/>
        </w:rPr>
      </w:pPr>
    </w:p>
    <w:p>
      <w:pPr>
        <w:ind w:right="100" w:firstLine="764"/>
        <w:spacing w:after="0" w:line="239" w:lineRule="auto"/>
        <w:rPr>
          <w:sz w:val="20"/>
          <w:szCs w:val="20"/>
          <w:color w:val="auto"/>
        </w:rPr>
      </w:pPr>
      <w:r>
        <w:rPr>
          <w:rFonts w:ascii="Arial" w:cs="Arial" w:eastAsia="Arial" w:hAnsi="Arial"/>
          <w:sz w:val="18"/>
          <w:szCs w:val="18"/>
          <w:color w:val="auto"/>
        </w:rPr>
        <w:t>Retail Financing gross profit decreased $12.8 million, or 9.2%, from $138.4 million for the year ended December 31, 2022 to $125.6 million for the year ended December 31, 2023. The decrease was primarily driven by the gain on sale of finance receivables of $45.6 million for the year ended December 31, 2022 related to the 2022-1 and 2022-2 securitization transactions. Additionally, the decrease was a result of an increase in collection expenses related to servicing finance receivables originated or acquired by UACC and an increase in interest expense on securitization debt from $3.4 million for the year ended December 31, 2022 to $18.6 million for the year ended December 31, 2023. The decrease was partially offset by an increase in interest and discount income earned on finance receivables with third-party dealership customers as a result of new originations and the consolidation of the 2022-2 and 2023-1 securitization transactions, as described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rPr>
              <w:t>Year Ended</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40" w:type="dxa"/>
            <w:vAlign w:val="bottom"/>
            <w:gridSpan w:val="3"/>
          </w:tcPr>
          <w:p>
            <w:pPr>
              <w:jc w:val="center"/>
              <w:ind w:left="476"/>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Compensation &amp; benefits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166,056</w:t>
            </w:r>
          </w:p>
        </w:tc>
        <w:tc>
          <w:tcPr>
            <w:tcW w:w="70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251,153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(85,097 )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Marketing expense</w:t>
            </w:r>
          </w:p>
        </w:tc>
        <w:tc>
          <w:tcPr>
            <w:tcW w:w="3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48,440</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79,670</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(31,230 )</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(39.2 )%</w:t>
            </w:r>
          </w:p>
        </w:tc>
        <w:tc>
          <w:tcPr>
            <w:tcW w:w="0" w:type="dxa"/>
            <w:vAlign w:val="bottom"/>
          </w:tcPr>
          <w:p>
            <w:pPr>
              <w:spacing w:after="0"/>
              <w:rPr>
                <w:sz w:val="1"/>
                <w:szCs w:val="1"/>
                <w:color w:val="auto"/>
              </w:rPr>
            </w:pPr>
          </w:p>
        </w:tc>
      </w:tr>
      <w:tr>
        <w:trPr>
          <w:trHeight w:val="256"/>
        </w:trPr>
        <w:tc>
          <w:tcPr>
            <w:tcW w:w="582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Outbound logistics </w:t>
            </w:r>
            <w:r>
              <w:rPr>
                <w:rFonts w:ascii="Arial" w:cs="Arial" w:eastAsia="Arial" w:hAnsi="Arial"/>
                <w:sz w:val="24"/>
                <w:szCs w:val="24"/>
                <w:color w:val="auto"/>
                <w:vertAlign w:val="superscript"/>
              </w:rPr>
              <w:t>(1)</w:t>
            </w: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8,466</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39,023</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(30,557 )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(78.3 )%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Occupancy and related costs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18,010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23,363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(5,353 )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20,129</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33,455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(13,326 )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(39.8 )%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Software and IT costs</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36,466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44,570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(8,104 )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43,090</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95,153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(52,063 )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(54.7 )%</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8"/>
                <w:szCs w:val="18"/>
                <w:color w:val="auto"/>
              </w:rPr>
              <w:t>Total selling, general &amp; administrative expenses</w:t>
            </w: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340,657</w:t>
            </w:r>
          </w:p>
        </w:tc>
        <w:tc>
          <w:tcPr>
            <w:tcW w:w="24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566,387</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(225,730 )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(39.9 )%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-1198245</wp:posOffset>
            </wp:positionV>
            <wp:extent cx="7132320"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132320"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9" w:lineRule="exact"/>
        <w:rPr>
          <w:sz w:val="20"/>
          <w:szCs w:val="20"/>
          <w:color w:val="auto"/>
        </w:rPr>
      </w:pPr>
    </w:p>
    <w:p>
      <w:pPr>
        <w:ind w:left="1020" w:right="180" w:hanging="504"/>
        <w:spacing w:after="0" w:line="262" w:lineRule="auto"/>
        <w:tabs>
          <w:tab w:leader="none" w:pos="10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Outbound logistics primarily includes third-party transportation fees as well as cost related to operating our proprietary logistics network, including fuel, tolls, and maintenance expenses associated with vehicle deliveries. Inbound transportation costs, from the point of acquisition to the relevant reconditioning facility, are included in cost of sales.</w:t>
      </w:r>
    </w:p>
    <w:p>
      <w:pPr>
        <w:spacing w:after="0" w:line="151" w:lineRule="exact"/>
        <w:rPr>
          <w:sz w:val="20"/>
          <w:szCs w:val="20"/>
          <w:color w:val="auto"/>
        </w:rPr>
      </w:pPr>
    </w:p>
    <w:p>
      <w:pPr>
        <w:ind w:right="260" w:firstLine="764"/>
        <w:spacing w:after="0" w:line="271" w:lineRule="auto"/>
        <w:rPr>
          <w:sz w:val="20"/>
          <w:szCs w:val="20"/>
          <w:color w:val="auto"/>
        </w:rPr>
      </w:pPr>
      <w:r>
        <w:rPr>
          <w:rFonts w:ascii="Arial" w:cs="Arial" w:eastAsia="Arial" w:hAnsi="Arial"/>
          <w:sz w:val="18"/>
          <w:szCs w:val="18"/>
          <w:color w:val="auto"/>
        </w:rPr>
        <w:t>SG&amp;A expenses decreased $225.7 million, or 39.9%, from $566.4 million for the year ended December 31, 2022 to $340.7 million for the year ended December 31, 2023. The total decrease was primarily caused by:</w:t>
      </w:r>
    </w:p>
    <w:p>
      <w:pPr>
        <w:spacing w:after="0" w:line="139" w:lineRule="exact"/>
        <w:rPr>
          <w:sz w:val="20"/>
          <w:szCs w:val="20"/>
          <w:color w:val="auto"/>
        </w:rPr>
      </w:pPr>
    </w:p>
    <w:p>
      <w:pPr>
        <w:ind w:left="1140" w:hanging="371"/>
        <w:spacing w:after="0"/>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$85.1 million decrease in compensation and benefits primarily as a result of workforce reductions;</w:t>
      </w:r>
    </w:p>
    <w:p>
      <w:pPr>
        <w:spacing w:after="0" w:line="210" w:lineRule="exact"/>
        <w:rPr>
          <w:rFonts w:ascii="Times New Roman" w:cs="Times New Roman" w:eastAsia="Times New Roman" w:hAnsi="Times New Roman"/>
          <w:sz w:val="18"/>
          <w:szCs w:val="18"/>
          <w:color w:val="auto"/>
        </w:rPr>
      </w:pPr>
    </w:p>
    <w:p>
      <w:pPr>
        <w:ind w:left="1140" w:right="140" w:hanging="371"/>
        <w:spacing w:after="0" w:line="270" w:lineRule="auto"/>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$31.2 million decrease in marketing expense contemplated by our long-term roadmap, our previous business strategy for our ecommerce business;</w:t>
      </w:r>
    </w:p>
    <w:p>
      <w:pPr>
        <w:spacing w:after="0" w:line="140" w:lineRule="exact"/>
        <w:rPr>
          <w:rFonts w:ascii="Times New Roman" w:cs="Times New Roman" w:eastAsia="Times New Roman" w:hAnsi="Times New Roman"/>
          <w:sz w:val="18"/>
          <w:szCs w:val="18"/>
          <w:color w:val="auto"/>
        </w:rPr>
      </w:pPr>
    </w:p>
    <w:p>
      <w:pPr>
        <w:ind w:left="1140" w:right="100" w:hanging="371"/>
        <w:spacing w:after="0" w:line="270" w:lineRule="auto"/>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$30.6 million decrease in outbound logistics costs attributable to the decrease in ecommerce units sold as well as a decrease in outbound logistics cost per ecommerce unit;</w:t>
      </w:r>
    </w:p>
    <w:p>
      <w:pPr>
        <w:spacing w:after="0" w:line="140" w:lineRule="exact"/>
        <w:rPr>
          <w:rFonts w:ascii="Times New Roman" w:cs="Times New Roman" w:eastAsia="Times New Roman" w:hAnsi="Times New Roman"/>
          <w:sz w:val="18"/>
          <w:szCs w:val="18"/>
          <w:color w:val="auto"/>
        </w:rPr>
      </w:pPr>
    </w:p>
    <w:p>
      <w:pPr>
        <w:ind w:left="1140" w:right="140" w:hanging="371"/>
        <w:spacing w:after="0" w:line="270" w:lineRule="auto"/>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$13.3 million decrease in professional fees primarily related to costs incurred in connection with the UACC Acquisition during the first quarter of 2022 as well as a decrease in legal and other consulting fees;</w:t>
      </w:r>
    </w:p>
    <w:p>
      <w:pPr>
        <w:spacing w:after="0" w:line="140" w:lineRule="exact"/>
        <w:rPr>
          <w:rFonts w:ascii="Times New Roman" w:cs="Times New Roman" w:eastAsia="Times New Roman" w:hAnsi="Times New Roman"/>
          <w:sz w:val="18"/>
          <w:szCs w:val="18"/>
          <w:color w:val="auto"/>
        </w:rPr>
      </w:pPr>
    </w:p>
    <w:p>
      <w:pPr>
        <w:ind w:left="1140" w:right="280" w:hanging="371"/>
        <w:spacing w:after="0" w:line="270" w:lineRule="auto"/>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$8.1 million decrease in software and IT costs primarily related to volume-based fees as a result of reduced headcount and more efficient targeted software use;</w:t>
      </w:r>
    </w:p>
    <w:p>
      <w:pPr>
        <w:spacing w:after="0" w:line="140" w:lineRule="exact"/>
        <w:rPr>
          <w:rFonts w:ascii="Times New Roman" w:cs="Times New Roman" w:eastAsia="Times New Roman" w:hAnsi="Times New Roman"/>
          <w:sz w:val="18"/>
          <w:szCs w:val="18"/>
          <w:color w:val="auto"/>
        </w:rPr>
      </w:pPr>
    </w:p>
    <w:p>
      <w:pPr>
        <w:ind w:left="1140" w:right="200" w:hanging="371"/>
        <w:spacing w:after="0" w:line="270" w:lineRule="auto"/>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 $5.4 million decrease in occupancy expense primarily as a result of physical office location closures from the second quarter of 2022 through the second quarter of 2023; and</w:t>
      </w:r>
    </w:p>
    <w:p>
      <w:pPr>
        <w:spacing w:after="0" w:line="140" w:lineRule="exact"/>
        <w:rPr>
          <w:rFonts w:ascii="Times New Roman" w:cs="Times New Roman" w:eastAsia="Times New Roman" w:hAnsi="Times New Roman"/>
          <w:sz w:val="18"/>
          <w:szCs w:val="18"/>
          <w:color w:val="auto"/>
        </w:rPr>
      </w:pPr>
    </w:p>
    <w:p>
      <w:pPr>
        <w:ind w:left="1140" w:right="420" w:hanging="371"/>
        <w:spacing w:after="0" w:line="274" w:lineRule="auto"/>
        <w:tabs>
          <w:tab w:leader="none" w:pos="1140" w:val="left"/>
        </w:tabs>
        <w:numPr>
          <w:ilvl w:val="0"/>
          <w:numId w:val="20"/>
        </w:numPr>
        <w:rPr>
          <w:rFonts w:ascii="Times New Roman" w:cs="Times New Roman" w:eastAsia="Times New Roman" w:hAnsi="Times New Roman"/>
          <w:sz w:val="17"/>
          <w:szCs w:val="17"/>
          <w:color w:val="auto"/>
        </w:rPr>
      </w:pPr>
      <w:r>
        <w:rPr>
          <w:rFonts w:ascii="Arial" w:cs="Arial" w:eastAsia="Arial" w:hAnsi="Arial"/>
          <w:sz w:val="17"/>
          <w:szCs w:val="17"/>
          <w:color w:val="auto"/>
        </w:rPr>
        <w:t>a $52.1 million decrease in other SG&amp;A expenses primarily due to a decrease in our non-recurring costs, including legal settlements and rental car expenses, as we worked to address our operational challenges created by our rapid growth from 2020 through the first quarter of 2022 as well as reduced fixed and variable costs contemplated by our long-term roadmap.</w:t>
      </w:r>
    </w:p>
    <w:p>
      <w:pPr>
        <w:spacing w:after="0" w:line="35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40" w:firstLine="761"/>
        <w:spacing w:after="0" w:line="271" w:lineRule="auto"/>
        <w:rPr>
          <w:sz w:val="20"/>
          <w:szCs w:val="20"/>
          <w:color w:val="auto"/>
        </w:rPr>
      </w:pPr>
      <w:r>
        <w:rPr>
          <w:rFonts w:ascii="Arial" w:cs="Arial" w:eastAsia="Arial" w:hAnsi="Arial"/>
          <w:sz w:val="18"/>
          <w:szCs w:val="18"/>
          <w:color w:val="auto"/>
        </w:rPr>
        <w:t>We expect SG&amp;A expenses to decrease in the future driven by further reductions in both fixed and variable cost components as we wind-down our ecommerce business and complete our announced workforce reduction.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96"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Depreciation and amortization expenses increased $4.5 million, or 11.7%, from $ 38.3 million for the year ended December 31, 2022 to $42.8 million for the year ended December 31, 2023. The increase was primarily due to an additional month of amortization expense of intangible assets acquired as part of the UACC Acquisition for the year ended December 31, 2023 and amortization related to our capitalized internal use software costs incurred in the development of our platform and website applications.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w:t>
      </w:r>
    </w:p>
    <w:p>
      <w:pPr>
        <w:spacing w:after="0" w:line="196" w:lineRule="exact"/>
        <w:rPr>
          <w:sz w:val="20"/>
          <w:szCs w:val="20"/>
          <w:color w:val="auto"/>
        </w:rPr>
      </w:pPr>
    </w:p>
    <w:p>
      <w:pPr>
        <w:ind w:right="300" w:firstLine="749"/>
        <w:spacing w:after="0" w:line="243" w:lineRule="auto"/>
        <w:rPr>
          <w:sz w:val="20"/>
          <w:szCs w:val="20"/>
          <w:color w:val="auto"/>
        </w:rPr>
      </w:pPr>
      <w:r>
        <w:rPr>
          <w:rFonts w:ascii="Arial" w:cs="Arial" w:eastAsia="Arial" w:hAnsi="Arial"/>
          <w:sz w:val="18"/>
          <w:szCs w:val="18"/>
          <w:color w:val="auto"/>
        </w:rPr>
        <w:t>Impairment charges of $ 48.7 million for the year ended December 31, 2023 primarily consist of $47.4 million long–lived asset impairment charges as a result of a triggering event as of December 31, 2023. Impairment charges of $211.9 million for the year ended December 31, 2022 represent an impairment charge to write down the carrying amount of the goodwill to fair value, lease impairment charges related to closing physical office locations, Stafford reconditioning facility and Sell Us Your Car® centers, and impairment of long-lived assets no longer in use.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debt extinguishment</w:t>
      </w:r>
    </w:p>
    <w:p>
      <w:pPr>
        <w:spacing w:after="0" w:line="196" w:lineRule="exact"/>
        <w:rPr>
          <w:sz w:val="20"/>
          <w:szCs w:val="20"/>
          <w:color w:val="auto"/>
        </w:rPr>
      </w:pPr>
    </w:p>
    <w:p>
      <w:pPr>
        <w:ind w:right="180" w:firstLine="749"/>
        <w:spacing w:after="0" w:line="252" w:lineRule="auto"/>
        <w:rPr>
          <w:sz w:val="20"/>
          <w:szCs w:val="20"/>
          <w:color w:val="auto"/>
        </w:rPr>
      </w:pPr>
      <w:r>
        <w:rPr>
          <w:rFonts w:ascii="Arial" w:cs="Arial" w:eastAsia="Arial" w:hAnsi="Arial"/>
          <w:sz w:val="18"/>
          <w:szCs w:val="18"/>
          <w:color w:val="auto"/>
        </w:rPr>
        <w:t>Gain on debt extinguishment represents a gain of $ 37.9 million and $164.7 million for the years ended December 31, 2023 and 2022, respectively, related to the repurchase of $74.2 million and $254.3 million in aggregate principal balance of the Notes, net of deferred issuance costs, for $36.5 million and $90.2 million,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Interest expense increased $4.7 million, or 11.7%, from $40.7 million for the year ended December 31, 2022 to $45.4 million for the year ended December 31, 2023. Interest expense incurred on UACC's Warehouse Credit Facilities increased as a result of an increase in the outstanding balance. The increase was offset by a decrease in interest expense related to a lower outstanding balance on the 2022 Vehicle Floorplan Facility, as well as a decrease in interest expense on the Notes due to the repurchase of a portion of the Notes during the second half of 2022 and during 2023.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6" w:lineRule="exact"/>
        <w:rPr>
          <w:sz w:val="20"/>
          <w:szCs w:val="20"/>
          <w:color w:val="auto"/>
        </w:rPr>
      </w:pPr>
    </w:p>
    <w:p>
      <w:pPr>
        <w:ind w:right="240" w:firstLine="761"/>
        <w:spacing w:after="0" w:line="252" w:lineRule="auto"/>
        <w:rPr>
          <w:sz w:val="20"/>
          <w:szCs w:val="20"/>
          <w:color w:val="auto"/>
        </w:rPr>
      </w:pPr>
      <w:r>
        <w:rPr>
          <w:rFonts w:ascii="Arial" w:cs="Arial" w:eastAsia="Arial" w:hAnsi="Arial"/>
          <w:sz w:val="18"/>
          <w:szCs w:val="18"/>
          <w:color w:val="auto"/>
        </w:rPr>
        <w:t>Interest income increased $ 1.8 million, or 9.3%, from $19.4 million for the year ended December 31, 2022 to $ 21.2 million for the year ended December 31, 2023. The increase in interest income was primarily driven by higher interest rates earned on cash and cash equivalents.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 net</w:t>
      </w:r>
    </w:p>
    <w:p>
      <w:pPr>
        <w:spacing w:after="0" w:line="196" w:lineRule="exact"/>
        <w:rPr>
          <w:sz w:val="20"/>
          <w:szCs w:val="20"/>
          <w:color w:val="auto"/>
        </w:rPr>
      </w:pPr>
    </w:p>
    <w:p>
      <w:pPr>
        <w:ind w:right="200" w:firstLine="764"/>
        <w:spacing w:after="0" w:line="246" w:lineRule="auto"/>
        <w:rPr>
          <w:sz w:val="20"/>
          <w:szCs w:val="20"/>
          <w:color w:val="auto"/>
        </w:rPr>
      </w:pPr>
      <w:r>
        <w:rPr>
          <w:rFonts w:ascii="Arial" w:cs="Arial" w:eastAsia="Arial" w:hAnsi="Arial"/>
          <w:sz w:val="18"/>
          <w:szCs w:val="18"/>
          <w:color w:val="auto"/>
        </w:rPr>
        <w:t xml:space="preserve">Other loss, net increased $ 65.1 million, or 150.8%, from $43.2 million for the year ended December 31, 2022 to $108.3 million for the year ended December 31, 2023. </w:t>
      </w:r>
      <w:r>
        <w:rPr>
          <w:rFonts w:ascii="Arial" w:cs="Arial" w:eastAsia="Arial" w:hAnsi="Arial"/>
          <w:sz w:val="18"/>
          <w:szCs w:val="18"/>
          <w:color w:val="1D1C1D"/>
        </w:rPr>
        <w:t>The increase in other loss was primarily driven by an increase in realized and unrealized losses on</w:t>
      </w:r>
      <w:r>
        <w:rPr>
          <w:rFonts w:ascii="Arial" w:cs="Arial" w:eastAsia="Arial" w:hAnsi="Arial"/>
          <w:sz w:val="18"/>
          <w:szCs w:val="18"/>
          <w:color w:val="auto"/>
        </w:rPr>
        <w:t xml:space="preserve"> </w:t>
      </w:r>
      <w:r>
        <w:rPr>
          <w:rFonts w:ascii="Arial" w:cs="Arial" w:eastAsia="Arial" w:hAnsi="Arial"/>
          <w:sz w:val="18"/>
          <w:szCs w:val="18"/>
          <w:color w:val="1D1C1D"/>
        </w:rPr>
        <w:t xml:space="preserve">finance receivables as a result of a </w:t>
      </w:r>
      <w:r>
        <w:rPr>
          <w:rFonts w:ascii="Arial" w:cs="Arial" w:eastAsia="Arial" w:hAnsi="Arial"/>
          <w:sz w:val="18"/>
          <w:szCs w:val="18"/>
          <w:color w:val="000000"/>
        </w:rPr>
        <w:t>larger loan portfolio as well as higher loss rates on our overall portfolio as of December 31, 2023 as</w:t>
      </w:r>
      <w:r>
        <w:rPr>
          <w:rFonts w:ascii="Arial" w:cs="Arial" w:eastAsia="Arial" w:hAnsi="Arial"/>
          <w:sz w:val="18"/>
          <w:szCs w:val="18"/>
          <w:color w:val="1D1C1D"/>
        </w:rPr>
        <w:t xml:space="preserve"> </w:t>
      </w:r>
      <w:r>
        <w:rPr>
          <w:rFonts w:ascii="Arial" w:cs="Arial" w:eastAsia="Arial" w:hAnsi="Arial"/>
          <w:sz w:val="18"/>
          <w:szCs w:val="18"/>
          <w:color w:val="000000"/>
        </w:rPr>
        <w:t>compared to December 31, 2022.</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right="40" w:firstLine="761"/>
        <w:spacing w:after="0" w:line="243" w:lineRule="auto"/>
        <w:rPr>
          <w:sz w:val="20"/>
          <w:szCs w:val="20"/>
          <w:color w:val="auto"/>
        </w:rPr>
      </w:pPr>
      <w:r>
        <w:rPr>
          <w:rFonts w:ascii="Arial" w:cs="Arial" w:eastAsia="Arial" w:hAnsi="Arial"/>
          <w:sz w:val="18"/>
          <w:szCs w:val="18"/>
          <w:color w:val="auto"/>
        </w:rPr>
        <w:t>As of December 31, 2023, we had cash and cash equivalents of $135.6 million and restricted cash of $73.2 million. Restricted cash primarily includes restricted cash required under UACC's securitization transactions and Warehouse Credit Facilities of $49.1 million and cash deposits required under our 2022 Vehicle Floorplan Facility of $22.7 million. Prior to the wind-down of our ecommerce operations, our primary source of liquidity was cash generated through financing activities. Additionally, we had excess borrowing capacity of $56.9 million under UACC's Warehouse Credit Facilities as of December 31, 2023.</w:t>
      </w:r>
    </w:p>
    <w:p>
      <w:pPr>
        <w:spacing w:after="0" w:line="166" w:lineRule="exact"/>
        <w:rPr>
          <w:sz w:val="20"/>
          <w:szCs w:val="20"/>
          <w:color w:val="auto"/>
        </w:rPr>
      </w:pPr>
    </w:p>
    <w:p>
      <w:pPr>
        <w:ind w:right="60" w:firstLine="764"/>
        <w:spacing w:after="0" w:line="252" w:lineRule="auto"/>
        <w:rPr>
          <w:sz w:val="20"/>
          <w:szCs w:val="20"/>
          <w:color w:val="auto"/>
        </w:rPr>
      </w:pPr>
      <w:r>
        <w:rPr>
          <w:rFonts w:ascii="Arial" w:cs="Arial" w:eastAsia="Arial" w:hAnsi="Arial"/>
          <w:sz w:val="18"/>
          <w:szCs w:val="18"/>
          <w:color w:val="auto"/>
        </w:rPr>
        <w:t>On January 19, 2024, we amended our 2022 Vehicle Floorplan Facility. As a result of the amendment, borrowings under the 2022 Vehicle Floorplan Facility were suspended for future vehicle purchases and we were required to maintain 40% of our outstanding borrowings in cash. In addition, all other financial covenants were eliminated. As a result of the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liquidation of our vehicle inventory, we repaid all amounts outstanding under the 2022 Vehicle Floorplan Facility in full and the agreement has been terminated.</w:t>
      </w:r>
    </w:p>
    <w:p>
      <w:pPr>
        <w:spacing w:after="0" w:line="139" w:lineRule="exact"/>
        <w:rPr>
          <w:sz w:val="20"/>
          <w:szCs w:val="20"/>
          <w:color w:val="auto"/>
        </w:rPr>
      </w:pPr>
    </w:p>
    <w:p>
      <w:pPr>
        <w:ind w:right="100" w:firstLine="814"/>
        <w:spacing w:after="0" w:line="246" w:lineRule="auto"/>
        <w:rPr>
          <w:sz w:val="20"/>
          <w:szCs w:val="20"/>
          <w:color w:val="auto"/>
        </w:rPr>
      </w:pPr>
      <w:r>
        <w:rPr>
          <w:rFonts w:ascii="Arial" w:cs="Arial" w:eastAsia="Arial" w:hAnsi="Arial"/>
          <w:sz w:val="18"/>
          <w:szCs w:val="18"/>
          <w:color w:val="auto"/>
        </w:rPr>
        <w:t>We expect to use our cash and cash equivalents to finance our future capital requirements and UACC’s Warehouse Credit Facilities to fund our finance receivables.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w:t>
      </w:r>
    </w:p>
    <w:p>
      <w:pPr>
        <w:spacing w:after="0" w:line="163" w:lineRule="exact"/>
        <w:rPr>
          <w:sz w:val="20"/>
          <w:szCs w:val="20"/>
          <w:color w:val="auto"/>
        </w:rPr>
      </w:pPr>
    </w:p>
    <w:p>
      <w:pPr>
        <w:ind w:right="220" w:firstLine="764"/>
        <w:spacing w:after="0" w:line="252" w:lineRule="auto"/>
        <w:rPr>
          <w:sz w:val="20"/>
          <w:szCs w:val="20"/>
          <w:color w:val="auto"/>
        </w:rPr>
      </w:pPr>
      <w:r>
        <w:rPr>
          <w:rFonts w:ascii="Arial" w:cs="Arial" w:eastAsia="Arial" w:hAnsi="Arial"/>
          <w:sz w:val="18"/>
          <w:szCs w:val="18"/>
          <w:color w:val="auto"/>
        </w:rPr>
        <w:t>As of February 29, 2024, we had cash and cash equivalents of approximately $94.0 million. We anticipate that our existing cash and cash equivalents and UACC's Warehouse Credit Facilities will be sufficient to support the Company for at least the next twelve months from the date of this Annual Report on Form 10-K.</w:t>
      </w:r>
    </w:p>
    <w:p>
      <w:pPr>
        <w:spacing w:after="0" w:line="157" w:lineRule="exact"/>
        <w:rPr>
          <w:sz w:val="20"/>
          <w:szCs w:val="20"/>
          <w:color w:val="auto"/>
        </w:rPr>
      </w:pPr>
    </w:p>
    <w:p>
      <w:pPr>
        <w:ind w:firstLine="764"/>
        <w:spacing w:after="0"/>
        <w:rPr>
          <w:sz w:val="20"/>
          <w:szCs w:val="20"/>
          <w:color w:val="auto"/>
        </w:rPr>
      </w:pPr>
      <w:r>
        <w:rPr>
          <w:rFonts w:ascii="Arial" w:cs="Arial" w:eastAsia="Arial" w:hAnsi="Arial"/>
          <w:sz w:val="18"/>
          <w:szCs w:val="18"/>
          <w:color w:val="auto"/>
        </w:rPr>
        <w:t>In addition to our ongoing cash requirements, our liquidity will also be used to fund costs related to the announced wind-down of our ecommerce operations, primarily in relation to severance and early contract and lease termination payments. Such payments could be significant and have a material effect on our cash flows from operations. Our future capital requirements will depend on many factors, including our ability to successfully implement the Value Maximization Plan and realize its benefits, available advance rates on our Warehouse Credit Facilities, our ability to complete additional securitization transactions at terms favorable to us, and our future credit losses. We have no significant debt maturities due until July 2026 and the payments on our securitization debt are funded by cashflows on the finance receivables within the securitization trusts.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96" w:lineRule="exact"/>
        <w:rPr>
          <w:sz w:val="20"/>
          <w:szCs w:val="20"/>
          <w:color w:val="auto"/>
        </w:rPr>
      </w:pPr>
    </w:p>
    <w:p>
      <w:pPr>
        <w:ind w:left="780"/>
        <w:spacing w:after="0"/>
        <w:rPr>
          <w:sz w:val="20"/>
          <w:szCs w:val="20"/>
          <w:color w:val="auto"/>
        </w:rPr>
      </w:pPr>
      <w:r>
        <w:rPr>
          <w:rFonts w:ascii="Arial" w:cs="Arial" w:eastAsia="Arial" w:hAnsi="Arial"/>
          <w:sz w:val="17"/>
          <w:szCs w:val="17"/>
          <w:color w:val="auto"/>
        </w:rPr>
        <w:t>On June 18, 2021, we issued $625.0 million aggregate principal amount of the Notes pursuant to an indenture between us and U.S.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Bank National Association, as trustee (the “Indenture”).</w:t>
      </w:r>
    </w:p>
    <w:p>
      <w:pPr>
        <w:spacing w:after="0" w:line="180"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were approximately $608.9 million. During the year ended December 31, 2023, the conditions allowing holders of the Notes to convert were not met.</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During the year ended December 31, 2023, we repurchased $74.2 million in aggregate principal amount of the Notes, net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deferred issuance costs, for $36.5 million, respectively, in open-market transactions. We recognized a gain on extinguishment of debt of</w:t>
      </w:r>
    </w:p>
    <w:p>
      <w:pPr>
        <w:spacing w:after="0" w:line="234" w:lineRule="auto"/>
        <w:rPr>
          <w:sz w:val="20"/>
          <w:szCs w:val="20"/>
          <w:color w:val="auto"/>
        </w:rPr>
      </w:pPr>
      <w:r>
        <w:rPr>
          <w:rFonts w:ascii="Arial" w:cs="Arial" w:eastAsia="Arial" w:hAnsi="Arial"/>
          <w:sz w:val="18"/>
          <w:szCs w:val="18"/>
          <w:color w:val="auto"/>
        </w:rPr>
        <w:t>$37.9 million for the year ended December 31, 2023. As a result of these repurchases and repurchases made in 2022, as of December 31,</w:t>
      </w:r>
    </w:p>
    <w:p>
      <w:pPr>
        <w:spacing w:after="0" w:line="235" w:lineRule="auto"/>
        <w:rPr>
          <w:sz w:val="20"/>
          <w:szCs w:val="20"/>
          <w:color w:val="auto"/>
        </w:rPr>
      </w:pPr>
      <w:r>
        <w:rPr>
          <w:rFonts w:ascii="Arial" w:cs="Arial" w:eastAsia="Arial" w:hAnsi="Arial"/>
          <w:sz w:val="18"/>
          <w:szCs w:val="18"/>
          <w:color w:val="auto"/>
        </w:rPr>
        <w:t>2023, $286.8 million aggregate principal amount of the Notes remain outstanding, net of deferred issuance costs of $3.7 million. Subject to</w:t>
      </w:r>
    </w:p>
    <w:p>
      <w:pPr>
        <w:spacing w:after="0" w:line="234" w:lineRule="auto"/>
        <w:rPr>
          <w:sz w:val="20"/>
          <w:szCs w:val="20"/>
          <w:color w:val="auto"/>
        </w:rPr>
      </w:pPr>
      <w:r>
        <w:rPr>
          <w:rFonts w:ascii="Arial" w:cs="Arial" w:eastAsia="Arial" w:hAnsi="Arial"/>
          <w:sz w:val="18"/>
          <w:szCs w:val="18"/>
          <w:color w:val="auto"/>
        </w:rPr>
        <w:t>market conditions and availability, we may continue to opportunistically repurchase Notes from time to time to reduce our outstanding</w:t>
      </w:r>
    </w:p>
    <w:p>
      <w:pPr>
        <w:spacing w:after="0" w:line="235" w:lineRule="auto"/>
        <w:rPr>
          <w:sz w:val="20"/>
          <w:szCs w:val="20"/>
          <w:color w:val="auto"/>
        </w:rPr>
      </w:pPr>
      <w:r>
        <w:rPr>
          <w:rFonts w:ascii="Arial" w:cs="Arial" w:eastAsia="Arial" w:hAnsi="Arial"/>
          <w:sz w:val="18"/>
          <w:szCs w:val="18"/>
          <w:color w:val="auto"/>
        </w:rPr>
        <w:t>indebtedness at a discount. Refer to Note 13 — Long Term Debt of our consolidated financial statements included elsewhere in this Annual</w:t>
      </w:r>
    </w:p>
    <w:p>
      <w:pPr>
        <w:spacing w:after="0"/>
        <w:rPr>
          <w:sz w:val="20"/>
          <w:szCs w:val="20"/>
          <w:color w:val="auto"/>
        </w:rPr>
      </w:pPr>
      <w:r>
        <w:rPr>
          <w:rFonts w:ascii="Arial" w:cs="Arial" w:eastAsia="Arial" w:hAnsi="Arial"/>
          <w:sz w:val="18"/>
          <w:szCs w:val="18"/>
          <w:color w:val="auto"/>
        </w:rPr>
        <w:t>Report on Form 10-K, for further discussion.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196" w:lineRule="exact"/>
        <w:rPr>
          <w:sz w:val="20"/>
          <w:szCs w:val="20"/>
          <w:color w:val="auto"/>
        </w:rPr>
      </w:pPr>
    </w:p>
    <w:p>
      <w:pPr>
        <w:ind w:right="20" w:firstLine="764"/>
        <w:spacing w:after="0" w:line="241" w:lineRule="auto"/>
        <w:rPr>
          <w:sz w:val="20"/>
          <w:szCs w:val="20"/>
          <w:color w:val="auto"/>
        </w:rPr>
      </w:pPr>
      <w:r>
        <w:rPr>
          <w:rFonts w:ascii="Arial" w:cs="Arial" w:eastAsia="Arial" w:hAnsi="Arial"/>
          <w:sz w:val="18"/>
          <w:szCs w:val="18"/>
          <w:color w:val="auto"/>
        </w:rPr>
        <w:t>Subject to market conditions, we plan to sell finance receivables originated by UACC through asset-backed securitization transactions. In January 2023, UACC sold approximately $238.7 million of investment grade rated asset-backed securities in the 2023-1 auto loan securitization transaction for proceeds of $237.8 million. On April 19, 2023, UACC sold the non-investment grade rated securities related to the 2023-1 securitization transaction for $23.1 million. The securitization trust is collateralized by finance receivables with an aggregate principal balance of $326.4 million. As a result of market conditions at the time, which led to unfavorable pricing, UACC retained the residual interests, and we accounted for the 2023-1 securitization transaction as secured borrowings.</w:t>
      </w:r>
    </w:p>
    <w:p>
      <w:pPr>
        <w:spacing w:after="0" w:line="169" w:lineRule="exact"/>
        <w:rPr>
          <w:sz w:val="20"/>
          <w:szCs w:val="20"/>
          <w:color w:val="auto"/>
        </w:rPr>
      </w:pPr>
    </w:p>
    <w:p>
      <w:pPr>
        <w:ind w:right="160" w:firstLine="764"/>
        <w:spacing w:after="0" w:line="246" w:lineRule="auto"/>
        <w:rPr>
          <w:sz w:val="20"/>
          <w:szCs w:val="20"/>
          <w:color w:val="auto"/>
        </w:rPr>
      </w:pPr>
      <w:r>
        <w:rPr>
          <w:rFonts w:ascii="Arial" w:cs="Arial" w:eastAsia="Arial" w:hAnsi="Arial"/>
          <w:sz w:val="18"/>
          <w:szCs w:val="18"/>
          <w:color w:val="auto"/>
        </w:rPr>
        <w:t>In the year ended December 31, 2022, UACC sold $523.7 million of rated asset-backed securities and $49.6 million of residual certificates in 2022-1 and 2022-2 auto loan securitization transactions for proceeds of $582.9 million. The securitization trusts are collateralized by finance receivables with an aggregate principal balance of $603.5 million and have a carrying value of $534.6 million at the time of sale.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both"/>
        <w:ind w:right="380" w:firstLine="764"/>
        <w:spacing w:after="0" w:line="252" w:lineRule="auto"/>
        <w:rPr>
          <w:sz w:val="20"/>
          <w:szCs w:val="20"/>
          <w:color w:val="auto"/>
        </w:rPr>
      </w:pPr>
      <w:r>
        <w:rPr>
          <w:rFonts w:ascii="Arial" w:cs="Arial" w:eastAsia="Arial" w:hAnsi="Arial"/>
          <w:sz w:val="18"/>
          <w:szCs w:val="18"/>
          <w:color w:val="auto"/>
        </w:rPr>
        <w:t>Finance receivables are serviced by UACC. UACC retains at least 5% of the notes and residual certificates sold as required by applicable risk retention rules and generally uses the proceeds of the securitization transactions to pay down outstanding debt under its Warehouse Credit Facilities.</w:t>
      </w:r>
    </w:p>
    <w:p>
      <w:pPr>
        <w:spacing w:after="0" w:line="157" w:lineRule="exact"/>
        <w:rPr>
          <w:sz w:val="20"/>
          <w:szCs w:val="20"/>
          <w:color w:val="auto"/>
        </w:rPr>
      </w:pPr>
    </w:p>
    <w:p>
      <w:pPr>
        <w:ind w:right="360" w:firstLine="764"/>
        <w:spacing w:after="0" w:line="271" w:lineRule="auto"/>
        <w:rPr>
          <w:sz w:val="20"/>
          <w:szCs w:val="20"/>
          <w:color w:val="auto"/>
        </w:rPr>
      </w:pPr>
      <w:r>
        <w:rPr>
          <w:rFonts w:ascii="Arial" w:cs="Arial" w:eastAsia="Arial" w:hAnsi="Arial"/>
          <w:sz w:val="18"/>
          <w:szCs w:val="18"/>
          <w:color w:val="auto"/>
        </w:rPr>
        <w:t>Depending on market conditions, future securitization transactions may be accounted for as secured borrowings and remain on balance sheet.</w:t>
      </w:r>
    </w:p>
    <w:p>
      <w:pPr>
        <w:spacing w:after="0" w:line="139" w:lineRule="exact"/>
        <w:rPr>
          <w:sz w:val="20"/>
          <w:szCs w:val="20"/>
          <w:color w:val="auto"/>
        </w:rPr>
      </w:pPr>
    </w:p>
    <w:p>
      <w:pPr>
        <w:ind w:right="440" w:firstLine="764"/>
        <w:spacing w:after="0" w:line="266" w:lineRule="auto"/>
        <w:rPr>
          <w:sz w:val="20"/>
          <w:szCs w:val="20"/>
          <w:color w:val="auto"/>
        </w:rPr>
      </w:pPr>
      <w:r>
        <w:rPr>
          <w:rFonts w:ascii="Arial" w:cs="Arial" w:eastAsia="Arial" w:hAnsi="Arial"/>
          <w:sz w:val="17"/>
          <w:szCs w:val="17"/>
          <w:color w:val="auto"/>
        </w:rPr>
        <w:t>As a result of high interest rates, the current inflationary environment and vehicle depreciation in the used automotive industry, UACC is experiencing higher loss severity. The increased loss severity could lead to reduced servicing income if UACC elects to waive monthly servicing fees going forward as it did in the first quarter of 2023. The waiver of monthly servicing fees related to the 2022-2 securitization transaction resulted in consolidation of the related finance receivables and securitization debt on our financial statements.</w:t>
      </w:r>
    </w:p>
    <w:p>
      <w:pPr>
        <w:spacing w:after="0" w:line="145" w:lineRule="exact"/>
        <w:rPr>
          <w:sz w:val="20"/>
          <w:szCs w:val="20"/>
          <w:color w:val="auto"/>
        </w:rPr>
      </w:pPr>
    </w:p>
    <w:p>
      <w:pPr>
        <w:ind w:right="140" w:firstLine="764"/>
        <w:spacing w:after="0" w:line="271" w:lineRule="auto"/>
        <w:rPr>
          <w:sz w:val="20"/>
          <w:szCs w:val="20"/>
          <w:color w:val="auto"/>
        </w:rPr>
      </w:pPr>
      <w:r>
        <w:rPr>
          <w:rFonts w:ascii="Arial" w:cs="Arial" w:eastAsia="Arial" w:hAnsi="Arial"/>
          <w:sz w:val="18"/>
          <w:szCs w:val="18"/>
          <w:color w:val="auto"/>
        </w:rPr>
        <w:t>Refer to Note 4 — Variable Interest Entities and Securitizations to our consolidated financial statements included elsewhere in this Annual Report on Form 10-K, for further discussion.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Risk Retention Financing Facility</w:t>
      </w:r>
    </w:p>
    <w:p>
      <w:pPr>
        <w:spacing w:after="0" w:line="196" w:lineRule="exact"/>
        <w:rPr>
          <w:sz w:val="20"/>
          <w:szCs w:val="20"/>
          <w:color w:val="auto"/>
        </w:rPr>
      </w:pPr>
    </w:p>
    <w:p>
      <w:pPr>
        <w:ind w:right="100" w:firstLine="749"/>
        <w:spacing w:after="0" w:line="236" w:lineRule="auto"/>
        <w:rPr>
          <w:sz w:val="20"/>
          <w:szCs w:val="20"/>
          <w:color w:val="auto"/>
        </w:rPr>
      </w:pPr>
      <w:r>
        <w:rPr>
          <w:rFonts w:ascii="Arial" w:cs="Arial" w:eastAsia="Arial" w:hAnsi="Arial"/>
          <w:sz w:val="18"/>
          <w:szCs w:val="18"/>
          <w:color w:val="auto"/>
        </w:rPr>
        <w:t>On May 3, 2023, UACC entered into a Risk Retention Financing Facility enabling it to finance asset-backed securities issued in its securitization transactions and held by UACC pursuant to applicable risk retention rules. Under this facility, UACC sells such retained interests and agrees to repurchase them at fair value on a future date. In its initial transaction under this facility, UACC pledged $24.5 million of its retained beneficial interests as collateral, and received proceeds of $ 24.1 million, with expected repurchase dates ranging from March 2025 to September 2029. The securitization trusts will distribute payments related to UACC's pledged beneficial interests in securitizations directly to the lenders, which will reduce the beneficial interests in securitizations and the related debt balance</w:t>
      </w:r>
      <w:r>
        <w:rPr>
          <w:rFonts w:ascii="Calibri" w:cs="Calibri" w:eastAsia="Calibri" w:hAnsi="Calibri"/>
          <w:sz w:val="19"/>
          <w:szCs w:val="19"/>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Warehouse Credit Facilities</w:t>
      </w:r>
    </w:p>
    <w:p>
      <w:pPr>
        <w:spacing w:after="0" w:line="196" w:lineRule="exact"/>
        <w:rPr>
          <w:sz w:val="20"/>
          <w:szCs w:val="20"/>
          <w:color w:val="auto"/>
        </w:rPr>
      </w:pPr>
    </w:p>
    <w:p>
      <w:pPr>
        <w:ind w:firstLine="764"/>
        <w:spacing w:after="0" w:line="239" w:lineRule="auto"/>
        <w:rPr>
          <w:sz w:val="20"/>
          <w:szCs w:val="20"/>
          <w:color w:val="auto"/>
        </w:rPr>
      </w:pPr>
      <w:r>
        <w:rPr>
          <w:rFonts w:ascii="Arial" w:cs="Arial" w:eastAsia="Arial" w:hAnsi="Arial"/>
          <w:sz w:val="18"/>
          <w:szCs w:val="18"/>
          <w:color w:val="auto"/>
        </w:rPr>
        <w:t>UACC has four senior secured warehouse facility agreements the (“Warehouse Credit Facilities”) with banking institutions. The Warehouse Credit Facilities are collateralized by eligible finance receivables and available borrowings are computed based on a percentage of eligible finance receivables. The aggregate borrowing limit is $825.0 million with maturities between June 2025 and September 2025. As of December 31, 2023, outstanding borrowings related to the Warehouse Credit Facilities were $421.3 million and we were in compliance with all covenants related to the Warehouse Credit Facilities. Failure to satisfy these and or any other requirements contained within the agreements would restrict access to the Warehouse Credit Facilities and could have a material adverse effect on our financial condition, results of operations and liquidity. Certain breaches of covenants may also result in acceleration of the repayment of borrowings prior to the scheduled maturity. Refer to Note 11 — Warehouse Credit Facilities of Consolidated VIEs to our consolidated financial statements included elsewhere in this Annual Report on Form 10-K, for further discussion.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96"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Prior to the wind-down of our ecommerce operations, we entered into various noncancelable operating lease agreements for office space, the Company’s reconditioning facility, the TDA retail location, the Company’s Sell Us Your Car centers, regional logistics hubs, parking lots, other facilities, and equipment used in the normal course of business, and, as of December 31, 2023 operating lease obligations were $33.9 million, with $10.7 million payable within 12 months. As of December 31, 2023, UACC had an additional operating lease that has not yet commenced with future lease payments of approximately $1.2 million. The lease is expected to commence over the next 12 months with initial lease terms of approximately 7 years. As a result of the Value Maximization Plan, we have been negotiating early terminations of our lease obligations. As of March 8, 2024, we have reduced our aggregate future operating lease obligations by $4.9 million. Our ongoing lease obligations will depend on the outcomes of discussions and negotiations (a number of which are currently ongoing) with counterparties to the leases we still intend to terminate or modify. See "Note 12—Leases,” to our consolidated financial statements included elsewhere in this Annual Report on Form 10-K for further detail of our obligations and the timing of expected future payments.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our cash flows for the years ended December 31, 2023 and 2022: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2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rPr>
              <w:t>Year Ended</w:t>
            </w:r>
          </w:p>
        </w:tc>
        <w:tc>
          <w:tcPr>
            <w:tcW w:w="1180" w:type="dxa"/>
            <w:vAlign w:val="bottom"/>
          </w:tcPr>
          <w:p>
            <w:pPr>
              <w:spacing w:after="0"/>
              <w:rPr>
                <w:sz w:val="14"/>
                <w:szCs w:val="14"/>
                <w:color w:val="auto"/>
              </w:rPr>
            </w:pPr>
          </w:p>
        </w:tc>
      </w:tr>
      <w:tr>
        <w:trPr>
          <w:trHeight w:val="185"/>
        </w:trPr>
        <w:tc>
          <w:tcPr>
            <w:tcW w:w="7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center"/>
              <w:ind w:left="577"/>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r>
      <w:tr>
        <w:trPr>
          <w:trHeight w:val="182"/>
        </w:trPr>
        <w:tc>
          <w:tcPr>
            <w:tcW w:w="76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r>
      <w:tr>
        <w:trPr>
          <w:trHeight w:val="182"/>
        </w:trPr>
        <w:tc>
          <w:tcPr>
            <w:tcW w:w="7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2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5"/>
                <w:szCs w:val="15"/>
                <w:color w:val="auto"/>
              </w:rPr>
            </w:pPr>
          </w:p>
        </w:tc>
      </w:tr>
      <w:tr>
        <w:trPr>
          <w:trHeight w:val="229"/>
        </w:trPr>
        <w:tc>
          <w:tcPr>
            <w:tcW w:w="7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(533,684 )</w:t>
            </w:r>
          </w:p>
        </w:tc>
        <w:tc>
          <w:tcPr>
            <w:tcW w:w="70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(109,065 )</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tcPr>
          <w:p>
            <w:pPr>
              <w:spacing w:after="0"/>
              <w:rPr>
                <w:sz w:val="19"/>
                <w:szCs w:val="19"/>
                <w:color w:val="auto"/>
              </w:rPr>
            </w:pP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173,153</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(164,212 )</w:t>
            </w:r>
          </w:p>
        </w:tc>
      </w:tr>
      <w:tr>
        <w:trPr>
          <w:trHeight w:val="229"/>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97,340</w:t>
            </w:r>
          </w:p>
        </w:tc>
        <w:tc>
          <w:tcPr>
            <w:tcW w:w="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(469,488 )</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(263,191 )</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(742,765 )</w:t>
            </w:r>
          </w:p>
        </w:tc>
      </w:tr>
      <w:tr>
        <w:trPr>
          <w:trHeight w:val="229"/>
        </w:trPr>
        <w:tc>
          <w:tcPr>
            <w:tcW w:w="7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4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472,010</w:t>
            </w:r>
          </w:p>
        </w:tc>
        <w:tc>
          <w:tcPr>
            <w:tcW w:w="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1,214,775</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7"/>
              <w:spacing w:after="0"/>
              <w:rPr>
                <w:sz w:val="20"/>
                <w:szCs w:val="20"/>
                <w:color w:val="auto"/>
              </w:rPr>
            </w:pPr>
            <w:r>
              <w:rPr>
                <w:rFonts w:ascii="Arial" w:cs="Arial" w:eastAsia="Arial" w:hAnsi="Arial"/>
                <w:sz w:val="18"/>
                <w:szCs w:val="18"/>
                <w:color w:val="auto"/>
              </w:rPr>
              <w:t>208,819</w:t>
            </w: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472,010</w:t>
            </w:r>
          </w:p>
        </w:tc>
      </w:tr>
      <w:tr>
        <w:trPr>
          <w:trHeight w:val="20"/>
        </w:trPr>
        <w:tc>
          <w:tcPr>
            <w:tcW w:w="7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5947410</wp:posOffset>
            </wp:positionH>
            <wp:positionV relativeFrom="paragraph">
              <wp:posOffset>-478790</wp:posOffset>
            </wp:positionV>
            <wp:extent cx="111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-179070</wp:posOffset>
            </wp:positionV>
            <wp:extent cx="1111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36" w:lineRule="exact"/>
        <w:rPr>
          <w:sz w:val="20"/>
          <w:szCs w:val="20"/>
          <w:color w:val="auto"/>
        </w:rPr>
      </w:pPr>
    </w:p>
    <w:p>
      <w:pPr>
        <w:ind w:right="100" w:firstLine="761"/>
        <w:spacing w:after="0" w:line="239" w:lineRule="auto"/>
        <w:rPr>
          <w:sz w:val="20"/>
          <w:szCs w:val="20"/>
          <w:color w:val="auto"/>
        </w:rPr>
      </w:pPr>
      <w:r>
        <w:rPr>
          <w:rFonts w:ascii="Arial" w:cs="Arial" w:eastAsia="Arial" w:hAnsi="Arial"/>
          <w:sz w:val="18"/>
          <w:szCs w:val="18"/>
          <w:color w:val="auto"/>
        </w:rPr>
        <w:t>Net cash flows used in operating activities increased by $424.6 million, from $109.1 million for the year ended December 31, 2022 to $533.7 million for the year ended December 31, 2023. For the year ended December 31, 2022, the cash used in operating activities was partially offset by the proceeds from the sale of finance receivables held for sale related to the 2021-2 and 2022-2 securitization transactions of $509.6 million. The remaining increase in net cash used in operating activities is due to a change in working capital of $155.1 million, primarily related to the change in inventory levels. The increases were partially offset by a $149.3 million decrease in net loss after reconciling adjustments for the year ended December 31, 2023, as compared to the year ended December 31, 2022, a decrease of originations of finance receivables held for sale of $43.4 million, and an increase in principal payments received on finance receivables held for sale of $41.3 million</w:t>
      </w:r>
    </w:p>
    <w:p>
      <w:pPr>
        <w:spacing w:after="0" w:line="171" w:lineRule="exact"/>
        <w:rPr>
          <w:sz w:val="20"/>
          <w:szCs w:val="20"/>
          <w:color w:val="auto"/>
        </w:rPr>
      </w:pPr>
    </w:p>
    <w:p>
      <w:pPr>
        <w:ind w:right="40" w:firstLine="761"/>
        <w:spacing w:after="0" w:line="271" w:lineRule="auto"/>
        <w:rPr>
          <w:sz w:val="20"/>
          <w:szCs w:val="20"/>
          <w:color w:val="auto"/>
        </w:rPr>
      </w:pPr>
      <w:r>
        <w:rPr>
          <w:rFonts w:ascii="Arial" w:cs="Arial" w:eastAsia="Arial" w:hAnsi="Arial"/>
          <w:sz w:val="18"/>
          <w:szCs w:val="18"/>
          <w:color w:val="auto"/>
        </w:rPr>
        <w:t>As the 2023-1 securitization transaction was accounted for as secured borrowings, the proceeds are included as a financing activity in our consolidated statement of cash flows.</w:t>
      </w:r>
    </w:p>
    <w:p>
      <w:pPr>
        <w:spacing w:after="0" w:line="139" w:lineRule="exact"/>
        <w:rPr>
          <w:sz w:val="20"/>
          <w:szCs w:val="20"/>
          <w:color w:val="auto"/>
        </w:rPr>
      </w:pPr>
    </w:p>
    <w:p>
      <w:pPr>
        <w:ind w:right="180" w:firstLine="761"/>
        <w:spacing w:after="0" w:line="271" w:lineRule="auto"/>
        <w:rPr>
          <w:sz w:val="20"/>
          <w:szCs w:val="20"/>
          <w:color w:val="auto"/>
        </w:rPr>
      </w:pPr>
      <w:r>
        <w:rPr>
          <w:rFonts w:ascii="Arial" w:cs="Arial" w:eastAsia="Arial" w:hAnsi="Arial"/>
          <w:sz w:val="18"/>
          <w:szCs w:val="18"/>
          <w:color w:val="auto"/>
        </w:rPr>
        <w:t>We financed a majority of our inventory with the 2022 Vehicle Floorplan Facility. In accordance with U.S. GAAP, we report all cash flows arising in connection with the 2022 Vehicle Floorplan Facility as a financing activity in our consolidated statement of cash flows.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36"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Net cash flows from investing activities changed $337.4 million, from net cash used in investing activities of $164.2 million for the year ended December 31, 2022 to net cash provided by investing activities of $173.2 million for the year ended December 31, 2023. The change was primarily a result of the UACC Acquisition in February 2022 which resulted in cash outflow of $267.5 million during the year ended December 31, 2022, a decrease in purchases of finance receivables at fair value of $53.1 million, an increase in principal payments received on finance receivables at fair value of $42.4 million, and the consolidation of the 2022-2 securitization transaction which resulted in a cash inflow of $11.4 million during the year ended December 31, 2023. The changes were partially offset by a decrease in proceeds from the sale of finance receivables at fair value for the 2022-1 and 2022-2 securitization transactions of $43.3 million, which resulted in a cash inflow during the year ended December 31,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5" w:lineRule="exact"/>
        <w:rPr>
          <w:sz w:val="20"/>
          <w:szCs w:val="20"/>
          <w:color w:val="auto"/>
        </w:rPr>
      </w:pPr>
    </w:p>
    <w:p>
      <w:pPr>
        <w:ind w:right="60" w:firstLine="761"/>
        <w:spacing w:after="0" w:line="239" w:lineRule="auto"/>
        <w:rPr>
          <w:sz w:val="20"/>
          <w:szCs w:val="20"/>
          <w:color w:val="auto"/>
        </w:rPr>
      </w:pPr>
      <w:r>
        <w:rPr>
          <w:rFonts w:ascii="Arial" w:cs="Arial" w:eastAsia="Arial" w:hAnsi="Arial"/>
          <w:sz w:val="18"/>
          <w:szCs w:val="18"/>
          <w:color w:val="auto"/>
        </w:rPr>
        <w:t>Net cash flows from financing activities changed $566.8 million, from net cash used in financing activities of $469.5 million for the year ended December 31, 2022 to net cash provided by financing activities of $97.3 million for the year ended December 31, 2023. The change was primarily related to proceeds from borrowings under secured financing arrangements of $262.0 million, an increase in net cash inflow of $136.0 million related to our Warehouse Credit Facilities, a decrease in net repayments of $110.0 million related to our 2022 Vehicle Floorplan Facility, a decrease in the repurchase of convertible senior notes of $53.7 million, and proceeds from financing beneficial interests in securitizations of $24.5 million for the year ended December 31, 2023. The changes were partially offset by an increase in principal repayments under secured financing agreements and financing beneficial interests in securitizations of $15.6 million and $8.7 million, respectively.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8" w:lineRule="exact"/>
        <w:rPr>
          <w:sz w:val="20"/>
          <w:szCs w:val="20"/>
          <w:color w:val="auto"/>
        </w:rPr>
      </w:pPr>
    </w:p>
    <w:p>
      <w:pPr>
        <w:ind w:firstLine="637"/>
        <w:spacing w:after="0" w:line="241" w:lineRule="auto"/>
        <w:rPr>
          <w:sz w:val="20"/>
          <w:szCs w:val="20"/>
          <w:color w:val="auto"/>
        </w:rPr>
      </w:pPr>
      <w:r>
        <w:rPr>
          <w:rFonts w:ascii="Arial" w:cs="Arial" w:eastAsia="Arial" w:hAnsi="Arial"/>
          <w:sz w:val="18"/>
          <w:szCs w:val="18"/>
          <w:color w:val="auto"/>
        </w:rPr>
        <w:t>Our consolidated financial statements are prepared in accordance with GAAP. The preparation of consolidated financial statements requires us to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169" w:lineRule="exact"/>
        <w:rPr>
          <w:sz w:val="20"/>
          <w:szCs w:val="20"/>
          <w:color w:val="auto"/>
        </w:rPr>
      </w:pPr>
    </w:p>
    <w:p>
      <w:pPr>
        <w:ind w:right="100" w:firstLine="637"/>
        <w:spacing w:after="0" w:line="252" w:lineRule="auto"/>
        <w:rPr>
          <w:sz w:val="20"/>
          <w:szCs w:val="20"/>
          <w:color w:val="auto"/>
        </w:rPr>
      </w:pPr>
      <w:r>
        <w:rPr>
          <w:rFonts w:ascii="Arial" w:cs="Arial" w:eastAsia="Arial" w:hAnsi="Arial"/>
          <w:sz w:val="18"/>
          <w:szCs w:val="18"/>
          <w:color w:val="auto"/>
        </w:rPr>
        <w:t>The critical accounting policies that reflect our more significant judgments and estimates used in the preparation of our consolidated financial statements include those described in Note 2—Summary of Significant Accounting Policies and Note 3—Revenue Recognition to our consolidated financial statements included elsewhere in this Annual Report on Form 10-K.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98" w:lineRule="exact"/>
        <w:rPr>
          <w:sz w:val="20"/>
          <w:szCs w:val="20"/>
          <w:color w:val="auto"/>
        </w:rPr>
      </w:pPr>
    </w:p>
    <w:p>
      <w:pPr>
        <w:ind w:right="140" w:firstLine="761"/>
        <w:spacing w:after="0" w:line="252" w:lineRule="auto"/>
        <w:rPr>
          <w:sz w:val="20"/>
          <w:szCs w:val="20"/>
          <w:color w:val="auto"/>
        </w:rPr>
      </w:pPr>
      <w:r>
        <w:rPr>
          <w:rFonts w:ascii="Arial" w:cs="Arial" w:eastAsia="Arial" w:hAnsi="Arial"/>
          <w:sz w:val="18"/>
          <w:szCs w:val="18"/>
          <w:color w:val="auto"/>
        </w:rPr>
        <w:t>Refer to “Note 2—Summary of Significant Accounting Policies” to our consolidated financial statements included elsewhere in this Annual Report on Form 10-K for a discussion about new accounting pronouncements adopted and not yet adopted as of the date of this report.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are a smaller reporting company as defined in Rule 12b-2 of the Exchange Act and are not required to provide the information otherwise required under this Item 7A.</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8" w:right="45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10460" w:type="dxa"/>
            <w:vAlign w:val="bottom"/>
            <w:gridSpan w:val="10"/>
          </w:tcPr>
          <w:p>
            <w:pPr>
              <w:spacing w:after="0"/>
              <w:rPr>
                <w:sz w:val="20"/>
                <w:szCs w:val="20"/>
                <w:color w:val="auto"/>
              </w:rPr>
            </w:pPr>
            <w:r>
              <w:rPr>
                <w:rFonts w:ascii="Arial" w:cs="Arial" w:eastAsia="Arial" w:hAnsi="Arial"/>
                <w:sz w:val="18"/>
                <w:szCs w:val="18"/>
                <w:color w:val="0000FF"/>
              </w:rPr>
              <w:t>Table of Contents</w:t>
            </w:r>
          </w:p>
        </w:tc>
        <w:tc>
          <w:tcPr>
            <w:tcW w:w="78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77"/>
        </w:trPr>
        <w:tc>
          <w:tcPr>
            <w:tcW w:w="1046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78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40" w:type="dxa"/>
            <w:vAlign w:val="bottom"/>
            <w:gridSpan w:val="8"/>
          </w:tcPr>
          <w:p>
            <w:pPr>
              <w:jc w:val="center"/>
              <w:ind w:right="6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78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331"/>
        </w:trPr>
        <w:tc>
          <w:tcPr>
            <w:tcW w:w="20" w:type="dxa"/>
            <w:vAlign w:val="bottom"/>
          </w:tcPr>
          <w:p>
            <w:pPr>
              <w:spacing w:after="0"/>
              <w:rPr>
                <w:sz w:val="24"/>
                <w:szCs w:val="24"/>
                <w:color w:val="auto"/>
              </w:rPr>
            </w:pPr>
          </w:p>
        </w:tc>
        <w:tc>
          <w:tcPr>
            <w:tcW w:w="10440" w:type="dxa"/>
            <w:vAlign w:val="bottom"/>
            <w:gridSpan w:val="9"/>
          </w:tcPr>
          <w:p>
            <w:pPr>
              <w:spacing w:after="0"/>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238</w:t>
            </w: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Arial" w:cs="Arial" w:eastAsia="Arial" w:hAnsi="Arial"/>
                <w:sz w:val="18"/>
                <w:szCs w:val="18"/>
                <w:color w:val="0000FF"/>
              </w:rPr>
              <w:t>Consolidated Balance Sheets as of December 31, 2023 and 2022</w:t>
            </w: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20" w:type="dxa"/>
            <w:vAlign w:val="bottom"/>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1740" w:type="dxa"/>
            <w:vAlign w:val="bottom"/>
            <w:tcBorders>
              <w:right w:val="single" w:sz="8" w:color="0000EE"/>
            </w:tcBorders>
            <w:gridSpan w:val="2"/>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Consolidated Statements of Operations for the Years Ended December 31, 2023 and 2022</w:t>
            </w:r>
          </w:p>
        </w:tc>
        <w:tc>
          <w:tcPr>
            <w:tcW w:w="20" w:type="dxa"/>
            <w:vAlign w:val="bottom"/>
            <w:tcBorders>
              <w:bottom w:val="single" w:sz="8" w:color="0000EE"/>
            </w:tcBorders>
          </w:tcPr>
          <w:p>
            <w:pPr>
              <w:spacing w:after="0"/>
              <w:rPr>
                <w:sz w:val="18"/>
                <w:szCs w:val="18"/>
                <w:color w:val="auto"/>
              </w:rPr>
            </w:pPr>
          </w:p>
        </w:tc>
        <w:tc>
          <w:tcPr>
            <w:tcW w:w="32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9"/>
        </w:trPr>
        <w:tc>
          <w:tcPr>
            <w:tcW w:w="20" w:type="dxa"/>
            <w:vAlign w:val="bottom"/>
          </w:tcPr>
          <w:p>
            <w:pPr>
              <w:spacing w:after="0"/>
              <w:rPr>
                <w:sz w:val="18"/>
                <w:szCs w:val="18"/>
                <w:color w:val="auto"/>
              </w:rPr>
            </w:pPr>
          </w:p>
        </w:tc>
        <w:tc>
          <w:tcPr>
            <w:tcW w:w="10440" w:type="dxa"/>
            <w:vAlign w:val="bottom"/>
            <w:gridSpan w:val="9"/>
          </w:tcPr>
          <w:p>
            <w:pPr>
              <w:spacing w:after="0"/>
              <w:rPr>
                <w:sz w:val="20"/>
                <w:szCs w:val="20"/>
                <w:color w:val="auto"/>
              </w:rPr>
            </w:pPr>
            <w:r>
              <w:rPr>
                <w:rFonts w:ascii="Arial" w:cs="Arial" w:eastAsia="Arial" w:hAnsi="Arial"/>
                <w:sz w:val="18"/>
                <w:szCs w:val="18"/>
                <w:color w:val="0000FF"/>
              </w:rPr>
              <w:t>Consolidated Statements of Changes in Stockholders' Equity for the Years Ended December 31, 2023 and 2022</w:t>
            </w: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9"/>
        </w:trPr>
        <w:tc>
          <w:tcPr>
            <w:tcW w:w="20" w:type="dxa"/>
            <w:vAlign w:val="bottom"/>
          </w:tcPr>
          <w:p>
            <w:pPr>
              <w:spacing w:after="0"/>
              <w:rPr>
                <w:sz w:val="18"/>
                <w:szCs w:val="18"/>
                <w:color w:val="auto"/>
              </w:rPr>
            </w:pPr>
          </w:p>
        </w:tc>
        <w:tc>
          <w:tcPr>
            <w:tcW w:w="726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9"/>
              </w:rPr>
              <w:t>Consolidated Statements of Cash Flows for the Years Ended December 31, 2023 and 2022</w:t>
            </w:r>
          </w:p>
        </w:tc>
        <w:tc>
          <w:tcPr>
            <w:tcW w:w="1640" w:type="dxa"/>
            <w:vAlign w:val="bottom"/>
            <w:tcBorders>
              <w:top w:val="single" w:sz="8" w:color="0000FF"/>
            </w:tcBorders>
          </w:tcPr>
          <w:p>
            <w:pPr>
              <w:spacing w:after="0"/>
              <w:rPr>
                <w:sz w:val="18"/>
                <w:szCs w:val="18"/>
                <w:color w:val="auto"/>
              </w:rPr>
            </w:pPr>
          </w:p>
        </w:tc>
        <w:tc>
          <w:tcPr>
            <w:tcW w:w="15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9"/>
        </w:trPr>
        <w:tc>
          <w:tcPr>
            <w:tcW w:w="20" w:type="dxa"/>
            <w:vAlign w:val="bottom"/>
          </w:tcPr>
          <w:p>
            <w:pPr>
              <w:spacing w:after="0"/>
              <w:rPr>
                <w:sz w:val="18"/>
                <w:szCs w:val="18"/>
                <w:color w:val="auto"/>
              </w:rPr>
            </w:pPr>
          </w:p>
        </w:tc>
        <w:tc>
          <w:tcPr>
            <w:tcW w:w="350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6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901"/>
        </w:trPr>
        <w:tc>
          <w:tcPr>
            <w:tcW w:w="7220" w:type="dxa"/>
            <w:vAlign w:val="bottom"/>
            <w:gridSpan w:val="6"/>
          </w:tcPr>
          <w:p>
            <w:pPr>
              <w:jc w:val="right"/>
              <w:ind w:right="150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Vroom, Inc.</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96"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 xml:space="preserve">We have audited the accompanying consolidated balance sheets of Vroom, Inc. and its subsidiaries (the “Company”) as of December 31, 2023 and 2022, and the related consolidated statements of operations, of changes in stockholders’ equity and of cash flows for the years then ended, including the related notes (collectively referred to as the “consolidated financial statements”). We also have audited the Company's internal control over financial reporting as of December 31, 2023,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Committee of Sponsoring Organizations of the Treadway Commission (COSO).</w:t>
      </w:r>
    </w:p>
    <w:p>
      <w:pPr>
        <w:spacing w:after="0" w:line="166"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2023 and 2022, and the results of its operations and its cash flows for the years then ended in conformity with accounting principles generally accepted in the United States of America. Also in our opinion, the Company maintained, in all material respects, effective internal control over financial reporting as of December 31, 2023, based on criteria established in In</w:t>
      </w:r>
      <w:r>
        <w:rPr>
          <w:rFonts w:ascii="Arial" w:cs="Arial" w:eastAsia="Arial" w:hAnsi="Arial"/>
          <w:sz w:val="18"/>
          <w:szCs w:val="18"/>
          <w:i w:val="1"/>
          <w:iCs w:val="1"/>
          <w:color w:val="auto"/>
        </w:rPr>
        <w:t>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Integrated Framework </w:t>
      </w:r>
      <w:r>
        <w:rPr>
          <w:rFonts w:ascii="Arial" w:cs="Arial" w:eastAsia="Arial" w:hAnsi="Arial"/>
          <w:sz w:val="18"/>
          <w:szCs w:val="18"/>
          <w:color w:val="auto"/>
        </w:rPr>
        <w:t>(2013) issued by the COSO.</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9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96" w:lineRule="exact"/>
        <w:rPr>
          <w:sz w:val="20"/>
          <w:szCs w:val="20"/>
          <w:color w:val="auto"/>
        </w:rPr>
      </w:pPr>
    </w:p>
    <w:p>
      <w:pPr>
        <w:jc w:val="both"/>
        <w:ind w:right="60"/>
        <w:spacing w:after="0" w:line="252" w:lineRule="auto"/>
        <w:rPr>
          <w:sz w:val="20"/>
          <w:szCs w:val="20"/>
          <w:color w:val="auto"/>
        </w:rPr>
      </w:pPr>
      <w:r>
        <w:rPr>
          <w:rFonts w:ascii="Arial" w:cs="Arial" w:eastAsia="Arial" w:hAnsi="Arial"/>
          <w:sz w:val="18"/>
          <w:szCs w:val="18"/>
          <w:color w:val="auto"/>
        </w:rPr>
        <w:t>As discussed in Note 1 – Value Maximization Plan to the consolidated financial statements, in 2024, the Board of Directors approved a value maximization plan, pursuant to which the Company discontinued its ecommerce operations and is winding down its used vehicle dealership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jc w:val="both"/>
        <w:ind w:right="100"/>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9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Retail Vehicle, Net Revenues</w:t>
      </w:r>
    </w:p>
    <w:p>
      <w:pPr>
        <w:spacing w:after="0" w:line="196"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As described in Note 3 to the consolidated financial statements, the Company’s revenue for the year ended December 31, 2023 included retail vehicle, net revenues of $566.0 million. The Company recognizes revenue for used vehicle sales generally at a point in time when the vehicles are delivered to the customer or picked up by the customer. The revenue recognized by the Company includes the agreed upon transaction price, including any delivery charges and document fees stated within the customer contract.</w:t>
      </w:r>
    </w:p>
    <w:p>
      <w:pPr>
        <w:spacing w:after="0" w:line="163"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The principal consideration for our determination that performing procedures relating to the recognition of retail vehicle, net revenues is a critical audit matter is a high degree of auditor effort in performing procedures related to recognition of the Company’s retail vehicle, net revenues.</w:t>
      </w:r>
    </w:p>
    <w:p>
      <w:pPr>
        <w:spacing w:after="0" w:line="157"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revenue at the transaction price when the used vehicle has been delivered to the customer or picked up by the customer. These procedures also included, among others (i) testing a sample of retail vehicle, net revenue transactions by obtaining and inspecting source documents, such as customer contracts, delivery documents, and cash receipts and (ii) testing the timing of revenue recognition for a sample of retail vehicle, net revenue transactions before December 31, 2023 by obtaining and inspecting source documents, such as customer contracts and delivery documents.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March 13,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2"/>
          </w:tcPr>
          <w:p>
            <w:pPr>
              <w:ind w:left="1240"/>
              <w:spacing w:after="0"/>
              <w:rPr>
                <w:sz w:val="20"/>
                <w:szCs w:val="20"/>
                <w:color w:val="auto"/>
              </w:rPr>
            </w:pPr>
            <w:r>
              <w:rPr>
                <w:rFonts w:ascii="Arial" w:cs="Arial" w:eastAsia="Arial" w:hAnsi="Arial"/>
                <w:sz w:val="14"/>
                <w:szCs w:val="14"/>
                <w:b w:val="1"/>
                <w:bCs w:val="1"/>
                <w:color w:val="auto"/>
                <w:w w:val="97"/>
              </w:rPr>
              <w:t>As of</w:t>
            </w: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4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4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71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135,585</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398,915</w:t>
            </w:r>
          </w:p>
        </w:tc>
        <w:tc>
          <w:tcPr>
            <w:tcW w:w="0" w:type="dxa"/>
            <w:vAlign w:val="bottom"/>
          </w:tcPr>
          <w:p>
            <w:pPr>
              <w:spacing w:after="0"/>
              <w:rPr>
                <w:sz w:val="1"/>
                <w:szCs w:val="1"/>
                <w:color w:val="auto"/>
              </w:rPr>
            </w:pPr>
          </w:p>
        </w:tc>
      </w:tr>
      <w:tr>
        <w:trPr>
          <w:trHeight w:val="188"/>
        </w:trPr>
        <w:tc>
          <w:tcPr>
            <w:tcW w:w="7440" w:type="dxa"/>
            <w:vAlign w:val="bottom"/>
          </w:tcPr>
          <w:p>
            <w:pPr>
              <w:ind w:left="20"/>
              <w:spacing w:after="0"/>
              <w:rPr>
                <w:sz w:val="20"/>
                <w:szCs w:val="20"/>
                <w:color w:val="auto"/>
              </w:rPr>
            </w:pPr>
            <w:r>
              <w:rPr>
                <w:rFonts w:ascii="Arial" w:cs="Arial" w:eastAsia="Arial" w:hAnsi="Arial"/>
                <w:sz w:val="16"/>
                <w:szCs w:val="16"/>
                <w:color w:val="auto"/>
              </w:rPr>
              <w:t>Restricted cash (including restricted cash of consolidated VIEs of $49.1 million and $24.7 million,</w:t>
            </w: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respectively)</w:t>
            </w:r>
          </w:p>
        </w:tc>
        <w:tc>
          <w:tcPr>
            <w:tcW w:w="40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73,234</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73,095</w:t>
            </w:r>
          </w:p>
        </w:tc>
        <w:tc>
          <w:tcPr>
            <w:tcW w:w="0" w:type="dxa"/>
            <w:vAlign w:val="bottom"/>
          </w:tcPr>
          <w:p>
            <w:pPr>
              <w:spacing w:after="0"/>
              <w:rPr>
                <w:sz w:val="1"/>
                <w:szCs w:val="1"/>
                <w:color w:val="auto"/>
              </w:rPr>
            </w:pPr>
          </w:p>
        </w:tc>
      </w:tr>
      <w:tr>
        <w:trPr>
          <w:trHeight w:val="217"/>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Accounts receivable, net of allowance of $11.2 million and $21.5 million, respectively</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9,139</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13,967</w:t>
            </w:r>
          </w:p>
        </w:tc>
        <w:tc>
          <w:tcPr>
            <w:tcW w:w="0" w:type="dxa"/>
            <w:vAlign w:val="bottom"/>
          </w:tcPr>
          <w:p>
            <w:pPr>
              <w:spacing w:after="0"/>
              <w:rPr>
                <w:sz w:val="1"/>
                <w:szCs w:val="1"/>
                <w:color w:val="auto"/>
              </w:rPr>
            </w:pPr>
          </w:p>
        </w:tc>
      </w:tr>
      <w:tr>
        <w:trPr>
          <w:trHeight w:val="188"/>
        </w:trPr>
        <w:tc>
          <w:tcPr>
            <w:tcW w:w="7440" w:type="dxa"/>
            <w:vAlign w:val="bottom"/>
          </w:tcPr>
          <w:p>
            <w:pPr>
              <w:ind w:left="20"/>
              <w:spacing w:after="0"/>
              <w:rPr>
                <w:sz w:val="20"/>
                <w:szCs w:val="20"/>
                <w:color w:val="auto"/>
              </w:rPr>
            </w:pPr>
            <w:r>
              <w:rPr>
                <w:rFonts w:ascii="Arial" w:cs="Arial" w:eastAsia="Arial" w:hAnsi="Arial"/>
                <w:sz w:val="16"/>
                <w:szCs w:val="16"/>
                <w:color w:val="auto"/>
              </w:rPr>
              <w:t>Finance receivables at fair value (including finance receivables of consolidated VIEs of $11.8 million</w:t>
            </w: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and $11.5 million, respectively)</w:t>
            </w:r>
          </w:p>
        </w:tc>
        <w:tc>
          <w:tcPr>
            <w:tcW w:w="40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12,501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12,939</w:t>
            </w: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 receivables held for sale, net (including finance receivables of consolidated VIEs of</w:t>
            </w:r>
          </w:p>
        </w:tc>
        <w:tc>
          <w:tcPr>
            <w:tcW w:w="4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$457.2 million and $305.9 million, respectively)</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503,546</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321,626</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Inventory</w:t>
            </w:r>
          </w:p>
        </w:tc>
        <w:tc>
          <w:tcPr>
            <w:tcW w:w="40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163,250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320,648</w:t>
            </w: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Beneficial interests in securitizations</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4,485</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20,592</w:t>
            </w:r>
          </w:p>
        </w:tc>
        <w:tc>
          <w:tcPr>
            <w:tcW w:w="0" w:type="dxa"/>
            <w:vAlign w:val="bottom"/>
          </w:tcPr>
          <w:p>
            <w:pPr>
              <w:spacing w:after="0"/>
              <w:rPr>
                <w:sz w:val="1"/>
                <w:szCs w:val="1"/>
                <w:color w:val="auto"/>
              </w:rPr>
            </w:pPr>
          </w:p>
        </w:tc>
      </w:tr>
      <w:tr>
        <w:trPr>
          <w:trHeight w:val="188"/>
        </w:trPr>
        <w:tc>
          <w:tcPr>
            <w:tcW w:w="744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 (including other current assets of consolidated VIEs of</w:t>
            </w:r>
          </w:p>
        </w:tc>
        <w:tc>
          <w:tcPr>
            <w:tcW w:w="400" w:type="dxa"/>
            <w:vAlign w:val="bottom"/>
          </w:tcPr>
          <w:p>
            <w:pPr>
              <w:spacing w:after="0"/>
              <w:rPr>
                <w:sz w:val="16"/>
                <w:szCs w:val="16"/>
                <w:color w:val="auto"/>
              </w:rPr>
            </w:pPr>
          </w:p>
        </w:tc>
        <w:tc>
          <w:tcPr>
            <w:tcW w:w="1440" w:type="dxa"/>
            <w:vAlign w:val="bottom"/>
            <w:vMerge w:val="restart"/>
          </w:tcPr>
          <w:p>
            <w:pPr>
              <w:jc w:val="right"/>
              <w:ind w:right="40"/>
              <w:spacing w:after="0"/>
              <w:rPr>
                <w:sz w:val="20"/>
                <w:szCs w:val="20"/>
                <w:color w:val="auto"/>
              </w:rPr>
            </w:pPr>
            <w:r>
              <w:rPr>
                <w:rFonts w:ascii="Arial" w:cs="Arial" w:eastAsia="Arial" w:hAnsi="Arial"/>
                <w:sz w:val="16"/>
                <w:szCs w:val="16"/>
                <w:color w:val="auto"/>
              </w:rPr>
              <w:t>50,899</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vMerge w:val="restart"/>
          </w:tcPr>
          <w:p>
            <w:pPr>
              <w:jc w:val="right"/>
              <w:ind w:right="39"/>
              <w:spacing w:after="0"/>
              <w:rPr>
                <w:sz w:val="20"/>
                <w:szCs w:val="20"/>
                <w:color w:val="auto"/>
              </w:rPr>
            </w:pPr>
            <w:r>
              <w:rPr>
                <w:rFonts w:ascii="Arial" w:cs="Arial" w:eastAsia="Arial" w:hAnsi="Arial"/>
                <w:sz w:val="16"/>
                <w:szCs w:val="16"/>
                <w:color w:val="auto"/>
              </w:rPr>
              <w:t>58,327</w:t>
            </w:r>
          </w:p>
        </w:tc>
        <w:tc>
          <w:tcPr>
            <w:tcW w:w="0" w:type="dxa"/>
            <w:vAlign w:val="bottom"/>
          </w:tcPr>
          <w:p>
            <w:pPr>
              <w:spacing w:after="0"/>
              <w:rPr>
                <w:sz w:val="1"/>
                <w:szCs w:val="1"/>
                <w:color w:val="auto"/>
              </w:rPr>
            </w:pPr>
          </w:p>
        </w:tc>
      </w:tr>
      <w:tr>
        <w:trPr>
          <w:trHeight w:val="203"/>
        </w:trPr>
        <w:tc>
          <w:tcPr>
            <w:tcW w:w="7440" w:type="dxa"/>
            <w:vAlign w:val="bottom"/>
          </w:tcPr>
          <w:p>
            <w:pPr>
              <w:ind w:left="20"/>
              <w:spacing w:after="0"/>
              <w:rPr>
                <w:sz w:val="20"/>
                <w:szCs w:val="20"/>
                <w:color w:val="auto"/>
              </w:rPr>
            </w:pPr>
            <w:r>
              <w:rPr>
                <w:rFonts w:ascii="Arial" w:cs="Arial" w:eastAsia="Arial" w:hAnsi="Arial"/>
                <w:sz w:val="16"/>
                <w:szCs w:val="16"/>
                <w:color w:val="auto"/>
              </w:rPr>
              <w:t>$25.2 million and $11.7 million, respectively)</w:t>
            </w:r>
          </w:p>
        </w:tc>
        <w:tc>
          <w:tcPr>
            <w:tcW w:w="4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current assets</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952,639</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1,220,109</w:t>
            </w:r>
          </w:p>
        </w:tc>
        <w:tc>
          <w:tcPr>
            <w:tcW w:w="0" w:type="dxa"/>
            <w:vAlign w:val="bottom"/>
          </w:tcPr>
          <w:p>
            <w:pPr>
              <w:spacing w:after="0"/>
              <w:rPr>
                <w:sz w:val="1"/>
                <w:szCs w:val="1"/>
                <w:color w:val="auto"/>
              </w:rPr>
            </w:pPr>
          </w:p>
        </w:tc>
      </w:tr>
      <w:tr>
        <w:trPr>
          <w:trHeight w:val="188"/>
        </w:trPr>
        <w:tc>
          <w:tcPr>
            <w:tcW w:w="7440" w:type="dxa"/>
            <w:vAlign w:val="bottom"/>
          </w:tcPr>
          <w:p>
            <w:pPr>
              <w:ind w:left="20"/>
              <w:spacing w:after="0"/>
              <w:rPr>
                <w:sz w:val="20"/>
                <w:szCs w:val="20"/>
                <w:color w:val="auto"/>
              </w:rPr>
            </w:pPr>
            <w:r>
              <w:rPr>
                <w:rFonts w:ascii="Arial" w:cs="Arial" w:eastAsia="Arial" w:hAnsi="Arial"/>
                <w:sz w:val="16"/>
                <w:szCs w:val="16"/>
                <w:color w:val="auto"/>
              </w:rPr>
              <w:t>Finance receivables at fair value (including finance receivables of consolidated VIEs of</w:t>
            </w: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$329.6 million and $119.6 million, respectively)</w:t>
            </w:r>
          </w:p>
        </w:tc>
        <w:tc>
          <w:tcPr>
            <w:tcW w:w="40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336,169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140,235</w:t>
            </w:r>
          </w:p>
        </w:tc>
        <w:tc>
          <w:tcPr>
            <w:tcW w:w="0" w:type="dxa"/>
            <w:vAlign w:val="bottom"/>
          </w:tcPr>
          <w:p>
            <w:pPr>
              <w:spacing w:after="0"/>
              <w:rPr>
                <w:sz w:val="1"/>
                <w:szCs w:val="1"/>
                <w:color w:val="auto"/>
              </w:rPr>
            </w:pPr>
          </w:p>
        </w:tc>
      </w:tr>
      <w:tr>
        <w:trPr>
          <w:trHeight w:val="217"/>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Property and equipment, net</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24,132</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50,201</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40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131,892</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158,910</w:t>
            </w: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right-of-use assets</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7,063</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23,568</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Other assets (including other assets of consolidated VIEs of $1.8 million and $0 million, respectively)</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23,527</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26,004</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1,475,422</w:t>
            </w: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1,619,027</w:t>
            </w:r>
          </w:p>
        </w:tc>
        <w:tc>
          <w:tcPr>
            <w:tcW w:w="0" w:type="dxa"/>
            <w:vAlign w:val="bottom"/>
          </w:tcPr>
          <w:p>
            <w:pPr>
              <w:spacing w:after="0"/>
              <w:rPr>
                <w:sz w:val="1"/>
                <w:szCs w:val="1"/>
                <w:color w:val="auto"/>
              </w:rPr>
            </w:pPr>
          </w:p>
        </w:tc>
      </w:tr>
      <w:tr>
        <w:trPr>
          <w:trHeight w:val="197"/>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 Liabilities:</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26,762</w:t>
            </w:r>
          </w:p>
        </w:tc>
        <w:tc>
          <w:tcPr>
            <w:tcW w:w="16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34,702</w:t>
            </w: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expenses (including accrued expenses of consolidated VIEs of $4.0 million and $1.5 million,</w:t>
            </w:r>
          </w:p>
        </w:tc>
        <w:tc>
          <w:tcPr>
            <w:tcW w:w="4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52,452</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76,795</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Vehicle floorplan</w:t>
            </w:r>
          </w:p>
        </w:tc>
        <w:tc>
          <w:tcPr>
            <w:tcW w:w="40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151,178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276,988</w:t>
            </w: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Warehouse credit facilities of consolidated VIEs</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421,268</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229,518</w:t>
            </w:r>
          </w:p>
        </w:tc>
        <w:tc>
          <w:tcPr>
            <w:tcW w:w="0" w:type="dxa"/>
            <w:vAlign w:val="bottom"/>
          </w:tcPr>
          <w:p>
            <w:pPr>
              <w:spacing w:after="0"/>
              <w:rPr>
                <w:sz w:val="1"/>
                <w:szCs w:val="1"/>
                <w:color w:val="auto"/>
              </w:rPr>
            </w:pPr>
          </w:p>
        </w:tc>
      </w:tr>
      <w:tr>
        <w:trPr>
          <w:trHeight w:val="188"/>
        </w:trPr>
        <w:tc>
          <w:tcPr>
            <w:tcW w:w="7440" w:type="dxa"/>
            <w:vAlign w:val="bottom"/>
          </w:tcPr>
          <w:p>
            <w:pPr>
              <w:ind w:left="20"/>
              <w:spacing w:after="0"/>
              <w:rPr>
                <w:sz w:val="20"/>
                <w:szCs w:val="20"/>
                <w:color w:val="auto"/>
              </w:rPr>
            </w:pPr>
            <w:r>
              <w:rPr>
                <w:rFonts w:ascii="Arial" w:cs="Arial" w:eastAsia="Arial" w:hAnsi="Arial"/>
                <w:sz w:val="16"/>
                <w:szCs w:val="16"/>
                <w:color w:val="auto"/>
              </w:rPr>
              <w:t>Current portion of long-term debt (including current portion of securitization debt of consolidated VIEs</w:t>
            </w: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at fair value of $163.5 million and $47.2 million, respectively)</w:t>
            </w:r>
          </w:p>
        </w:tc>
        <w:tc>
          <w:tcPr>
            <w:tcW w:w="40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172,410</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47,239</w:t>
            </w:r>
          </w:p>
        </w:tc>
        <w:tc>
          <w:tcPr>
            <w:tcW w:w="0" w:type="dxa"/>
            <w:vAlign w:val="bottom"/>
          </w:tcPr>
          <w:p>
            <w:pPr>
              <w:spacing w:after="0"/>
              <w:rPr>
                <w:sz w:val="1"/>
                <w:szCs w:val="1"/>
                <w:color w:val="auto"/>
              </w:rPr>
            </w:pPr>
          </w:p>
        </w:tc>
      </w:tr>
      <w:tr>
        <w:trPr>
          <w:trHeight w:val="217"/>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revenue</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14,025</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10,655</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Operating lease liabilities, current</w:t>
            </w:r>
          </w:p>
        </w:tc>
        <w:tc>
          <w:tcPr>
            <w:tcW w:w="40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8,737</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9,730</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current liabilities</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9,974</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17,693</w:t>
            </w: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40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856,806</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703,320</w:t>
            </w: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Long-term debt, net of current portion (including securitization debt of consolidated VIEs of</w:t>
            </w:r>
          </w:p>
        </w:tc>
        <w:tc>
          <w:tcPr>
            <w:tcW w:w="4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$150.6 million and $32.6 million at fair value, respectively)</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454,173</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402,154</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Operating lease liabilities, excluding current portion</w:t>
            </w:r>
          </w:p>
        </w:tc>
        <w:tc>
          <w:tcPr>
            <w:tcW w:w="40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25,183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20,129</w:t>
            </w: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long-term liabilities (including other long-term liabilities of consolidated VIEs of $10.4 million</w:t>
            </w:r>
          </w:p>
        </w:tc>
        <w:tc>
          <w:tcPr>
            <w:tcW w:w="400" w:type="dxa"/>
            <w:vAlign w:val="bottom"/>
            <w:shd w:val="clear" w:color="auto" w:fill="CFF0FC"/>
          </w:tcPr>
          <w:p>
            <w:pPr>
              <w:spacing w:after="0"/>
              <w:rPr>
                <w:sz w:val="16"/>
                <w:szCs w:val="16"/>
                <w:color w:val="auto"/>
              </w:rPr>
            </w:pPr>
          </w:p>
        </w:tc>
        <w:tc>
          <w:tcPr>
            <w:tcW w:w="1440" w:type="dxa"/>
            <w:vAlign w:val="bottom"/>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17,109</w:t>
            </w: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3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18,183</w:t>
            </w:r>
          </w:p>
        </w:tc>
        <w:tc>
          <w:tcPr>
            <w:tcW w:w="0" w:type="dxa"/>
            <w:vAlign w:val="bottom"/>
          </w:tcPr>
          <w:p>
            <w:pPr>
              <w:spacing w:after="0"/>
              <w:rPr>
                <w:sz w:val="1"/>
                <w:szCs w:val="1"/>
                <w:color w:val="auto"/>
              </w:rPr>
            </w:pPr>
          </w:p>
        </w:tc>
      </w:tr>
      <w:tr>
        <w:trPr>
          <w:trHeight w:val="203"/>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and $7.4 million, respectively)</w:t>
            </w:r>
          </w:p>
        </w:tc>
        <w:tc>
          <w:tcPr>
            <w:tcW w:w="4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1,353,271</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1,143,786</w:t>
            </w:r>
          </w:p>
        </w:tc>
        <w:tc>
          <w:tcPr>
            <w:tcW w:w="0" w:type="dxa"/>
            <w:vAlign w:val="bottom"/>
          </w:tcPr>
          <w:p>
            <w:pPr>
              <w:spacing w:after="0"/>
              <w:rPr>
                <w:sz w:val="1"/>
                <w:szCs w:val="1"/>
                <w:color w:val="auto"/>
              </w:rPr>
            </w:pPr>
          </w:p>
        </w:tc>
      </w:tr>
      <w:tr>
        <w:trPr>
          <w:trHeight w:val="210"/>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contingencies (Note 14)</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stock, $0.001 par value; 500,000,000 shares authorized as of December 31, 2023 and</w:t>
            </w:r>
          </w:p>
        </w:tc>
        <w:tc>
          <w:tcPr>
            <w:tcW w:w="4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2022; 1,791,286 and 1,727,525 shares issued and outstanding as of December 31, 2023 and 2022,</w:t>
            </w:r>
          </w:p>
        </w:tc>
        <w:tc>
          <w:tcPr>
            <w:tcW w:w="4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respectively</w:t>
            </w:r>
          </w:p>
        </w:tc>
        <w:tc>
          <w:tcPr>
            <w:tcW w:w="4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7440" w:type="dxa"/>
            <w:vAlign w:val="bottom"/>
          </w:tcPr>
          <w:p>
            <w:pPr>
              <w:ind w:left="20"/>
              <w:spacing w:after="0"/>
              <w:rPr>
                <w:sz w:val="20"/>
                <w:szCs w:val="20"/>
                <w:color w:val="auto"/>
              </w:rPr>
            </w:pPr>
            <w:r>
              <w:rPr>
                <w:rFonts w:ascii="Arial" w:cs="Arial" w:eastAsia="Arial" w:hAnsi="Arial"/>
                <w:sz w:val="16"/>
                <w:szCs w:val="16"/>
                <w:color w:val="auto"/>
              </w:rPr>
              <w:t>Additional paid-in-capital</w:t>
            </w:r>
          </w:p>
        </w:tc>
        <w:tc>
          <w:tcPr>
            <w:tcW w:w="400" w:type="dxa"/>
            <w:vAlign w:val="bottom"/>
          </w:tcPr>
          <w:p>
            <w:pPr>
              <w:spacing w:after="0"/>
              <w:rPr>
                <w:sz w:val="18"/>
                <w:szCs w:val="18"/>
                <w:color w:val="auto"/>
              </w:rPr>
            </w:pPr>
          </w:p>
        </w:tc>
        <w:tc>
          <w:tcPr>
            <w:tcW w:w="1440" w:type="dxa"/>
            <w:vAlign w:val="bottom"/>
          </w:tcPr>
          <w:p>
            <w:pPr>
              <w:jc w:val="right"/>
              <w:ind w:right="40"/>
              <w:spacing w:after="0"/>
              <w:rPr>
                <w:sz w:val="20"/>
                <w:szCs w:val="20"/>
                <w:color w:val="auto"/>
              </w:rPr>
            </w:pPr>
            <w:r>
              <w:rPr>
                <w:rFonts w:ascii="Arial" w:cs="Arial" w:eastAsia="Arial" w:hAnsi="Arial"/>
                <w:sz w:val="16"/>
                <w:szCs w:val="16"/>
                <w:color w:val="auto"/>
              </w:rPr>
              <w:t>2,088,381</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2,075,931</w:t>
            </w:r>
          </w:p>
        </w:tc>
        <w:tc>
          <w:tcPr>
            <w:tcW w:w="0" w:type="dxa"/>
            <w:vAlign w:val="bottom"/>
          </w:tcPr>
          <w:p>
            <w:pPr>
              <w:spacing w:after="0"/>
              <w:rPr>
                <w:sz w:val="1"/>
                <w:szCs w:val="1"/>
                <w:color w:val="auto"/>
              </w:rPr>
            </w:pPr>
          </w:p>
        </w:tc>
      </w:tr>
      <w:tr>
        <w:trPr>
          <w:trHeight w:val="216"/>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Accumulated deficit</w:t>
            </w:r>
          </w:p>
        </w:tc>
        <w:tc>
          <w:tcPr>
            <w:tcW w:w="4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(1,966,232 )</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(1,600,692 )</w:t>
            </w:r>
          </w:p>
        </w:tc>
        <w:tc>
          <w:tcPr>
            <w:tcW w:w="0" w:type="dxa"/>
            <w:vAlign w:val="bottom"/>
          </w:tcPr>
          <w:p>
            <w:pPr>
              <w:spacing w:after="0"/>
              <w:rPr>
                <w:sz w:val="1"/>
                <w:szCs w:val="1"/>
                <w:color w:val="auto"/>
              </w:rPr>
            </w:pP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122,151</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475,241</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1,475,422</w:t>
            </w:r>
          </w:p>
        </w:tc>
        <w:tc>
          <w:tcPr>
            <w:tcW w:w="16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1,619,027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-3818255</wp:posOffset>
            </wp:positionV>
            <wp:extent cx="1028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-3801110</wp:posOffset>
            </wp:positionV>
            <wp:extent cx="1028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-2182495</wp:posOffset>
            </wp:positionV>
            <wp:extent cx="1028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-1395095</wp:posOffset>
            </wp:positionV>
            <wp:extent cx="1028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-316230</wp:posOffset>
            </wp:positionV>
            <wp:extent cx="1028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1028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1028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consolidated financial statements</w:t>
      </w:r>
      <w:r>
        <w:rPr>
          <w:rFonts w:ascii="Arial" w:cs="Arial" w:eastAsia="Arial" w:hAnsi="Arial"/>
          <w:sz w:val="18"/>
          <w:szCs w:val="18"/>
          <w:color w:val="auto"/>
        </w:rPr>
        <w:t>.</w:t>
      </w:r>
    </w:p>
    <w:p>
      <w:pPr>
        <w:sectPr>
          <w:pgSz w:w="11900" w:h="16838" w:orient="portrait"/>
          <w:cols w:equalWidth="0" w:num="1">
            <w:col w:w="11240"/>
          </w:cols>
          <w:pgMar w:left="320" w:top="768"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OPERATIONS</w:t>
      </w:r>
    </w:p>
    <w:p>
      <w:pPr>
        <w:ind w:left="340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24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Retail vehicle, net</w:t>
            </w:r>
          </w:p>
        </w:tc>
        <w:tc>
          <w:tcPr>
            <w:tcW w:w="1080" w:type="dxa"/>
            <w:vAlign w:val="bottom"/>
          </w:tcPr>
          <w:p>
            <w:pPr>
              <w:jc w:val="right"/>
              <w:ind w:right="8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565,972</w:t>
            </w:r>
          </w:p>
        </w:tc>
        <w:tc>
          <w:tcPr>
            <w:tcW w:w="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1,425,842</w:t>
            </w: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Wholesale vehicle</w:t>
            </w: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104,119</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293,528</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Product, net</w:t>
            </w:r>
          </w:p>
        </w:tc>
        <w:tc>
          <w:tcPr>
            <w:tcW w:w="108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52,253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62,747</w:t>
            </w: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Finance</w:t>
            </w: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156,938</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152,542</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13,921</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14,242</w:t>
            </w:r>
          </w:p>
        </w:tc>
        <w:tc>
          <w:tcPr>
            <w:tcW w:w="0" w:type="dxa"/>
            <w:vAlign w:val="bottom"/>
          </w:tcPr>
          <w:p>
            <w:pPr>
              <w:spacing w:after="0"/>
              <w:rPr>
                <w:sz w:val="1"/>
                <w:szCs w:val="1"/>
                <w:color w:val="auto"/>
              </w:rPr>
            </w:pPr>
          </w:p>
        </w:tc>
      </w:tr>
      <w:tr>
        <w:trPr>
          <w:trHeight w:val="210"/>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revenue</w:t>
            </w: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893,203</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1,948,901</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Retail vehicle</w:t>
            </w: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553,565</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1,382,005</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Wholesale vehicle</w:t>
            </w:r>
          </w:p>
        </w:tc>
        <w:tc>
          <w:tcPr>
            <w:tcW w:w="108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138,472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304,148</w:t>
            </w: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Product</w:t>
            </w: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3,337</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Finance</w:t>
            </w:r>
          </w:p>
        </w:tc>
        <w:tc>
          <w:tcPr>
            <w:tcW w:w="108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31,328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14,161</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4,554</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3,800</w:t>
            </w:r>
          </w:p>
        </w:tc>
        <w:tc>
          <w:tcPr>
            <w:tcW w:w="0" w:type="dxa"/>
            <w:vAlign w:val="bottom"/>
          </w:tcPr>
          <w:p>
            <w:pPr>
              <w:spacing w:after="0"/>
              <w:rPr>
                <w:sz w:val="1"/>
                <w:szCs w:val="1"/>
                <w:color w:val="auto"/>
              </w:rPr>
            </w:pP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Total cost of sales</w:t>
            </w:r>
          </w:p>
        </w:tc>
        <w:tc>
          <w:tcPr>
            <w:tcW w:w="10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731,256</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1,704,114</w:t>
            </w:r>
          </w:p>
        </w:tc>
        <w:tc>
          <w:tcPr>
            <w:tcW w:w="0" w:type="dxa"/>
            <w:vAlign w:val="bottom"/>
          </w:tcPr>
          <w:p>
            <w:pPr>
              <w:spacing w:after="0"/>
              <w:rPr>
                <w:sz w:val="1"/>
                <w:szCs w:val="1"/>
                <w:color w:val="auto"/>
              </w:rPr>
            </w:pPr>
          </w:p>
        </w:tc>
      </w:tr>
      <w:tr>
        <w:trPr>
          <w:trHeight w:val="210"/>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gross profit</w:t>
            </w: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161,947</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244,787</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08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340,657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566,387</w:t>
            </w: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Depreciation and amortization</w:t>
            </w: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42,769</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38,290</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Impairment charges</w:t>
            </w:r>
          </w:p>
        </w:tc>
        <w:tc>
          <w:tcPr>
            <w:tcW w:w="10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48,748</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211,873</w:t>
            </w:r>
          </w:p>
        </w:tc>
        <w:tc>
          <w:tcPr>
            <w:tcW w:w="0" w:type="dxa"/>
            <w:vAlign w:val="bottom"/>
          </w:tcPr>
          <w:p>
            <w:pPr>
              <w:spacing w:after="0"/>
              <w:rPr>
                <w:sz w:val="1"/>
                <w:szCs w:val="1"/>
                <w:color w:val="auto"/>
              </w:rPr>
            </w:pPr>
          </w:p>
        </w:tc>
      </w:tr>
      <w:tr>
        <w:trPr>
          <w:trHeight w:val="210"/>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(270,227 )</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(571,763 )</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Gain on debt extinguishment</w:t>
            </w:r>
          </w:p>
        </w:tc>
        <w:tc>
          <w:tcPr>
            <w:tcW w:w="1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(37,878 )</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(164,684 )</w:t>
            </w:r>
          </w:p>
        </w:tc>
        <w:tc>
          <w:tcPr>
            <w:tcW w:w="0" w:type="dxa"/>
            <w:vAlign w:val="bottom"/>
          </w:tcPr>
          <w:p>
            <w:pPr>
              <w:spacing w:after="0"/>
              <w:rPr>
                <w:sz w:val="1"/>
                <w:szCs w:val="1"/>
                <w:color w:val="auto"/>
              </w:rPr>
            </w:pPr>
          </w:p>
        </w:tc>
      </w:tr>
      <w:tr>
        <w:trPr>
          <w:trHeight w:val="216"/>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0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45,445</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40,693</w:t>
            </w:r>
          </w:p>
        </w:tc>
        <w:tc>
          <w:tcPr>
            <w:tcW w:w="0" w:type="dxa"/>
            <w:vAlign w:val="bottom"/>
          </w:tcPr>
          <w:p>
            <w:pPr>
              <w:spacing w:after="0"/>
              <w:rPr>
                <w:sz w:val="1"/>
                <w:szCs w:val="1"/>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1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(21,158 )</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(19,363 )</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loss (income), net</w:t>
            </w:r>
          </w:p>
        </w:tc>
        <w:tc>
          <w:tcPr>
            <w:tcW w:w="10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108,289</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43,181</w:t>
            </w:r>
          </w:p>
        </w:tc>
        <w:tc>
          <w:tcPr>
            <w:tcW w:w="0" w:type="dxa"/>
            <w:vAlign w:val="bottom"/>
          </w:tcPr>
          <w:p>
            <w:pPr>
              <w:spacing w:after="0"/>
              <w:rPr>
                <w:sz w:val="1"/>
                <w:szCs w:val="1"/>
                <w:color w:val="auto"/>
              </w:rPr>
            </w:pP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Loss before provision (benefit) for income taxes</w:t>
            </w:r>
          </w:p>
        </w:tc>
        <w:tc>
          <w:tcPr>
            <w:tcW w:w="1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(364,925 )</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(471,590 )</w:t>
            </w:r>
          </w:p>
        </w:tc>
        <w:tc>
          <w:tcPr>
            <w:tcW w:w="0" w:type="dxa"/>
            <w:vAlign w:val="bottom"/>
          </w:tcPr>
          <w:p>
            <w:pPr>
              <w:spacing w:after="0"/>
              <w:rPr>
                <w:sz w:val="1"/>
                <w:szCs w:val="1"/>
                <w:color w:val="auto"/>
              </w:rPr>
            </w:pPr>
          </w:p>
        </w:tc>
      </w:tr>
      <w:tr>
        <w:trPr>
          <w:trHeight w:val="216"/>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Provision (benefit) for income taxes</w:t>
            </w:r>
          </w:p>
        </w:tc>
        <w:tc>
          <w:tcPr>
            <w:tcW w:w="10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615</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(19,680 )</w:t>
            </w:r>
          </w:p>
        </w:tc>
        <w:tc>
          <w:tcPr>
            <w:tcW w:w="0" w:type="dxa"/>
            <w:vAlign w:val="bottom"/>
          </w:tcPr>
          <w:p>
            <w:pPr>
              <w:spacing w:after="0"/>
              <w:rPr>
                <w:sz w:val="1"/>
                <w:szCs w:val="1"/>
                <w:color w:val="auto"/>
              </w:rPr>
            </w:pP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Net loss</w:t>
            </w:r>
          </w:p>
        </w:tc>
        <w:tc>
          <w:tcPr>
            <w:tcW w:w="1080" w:type="dxa"/>
            <w:vAlign w:val="bottom"/>
          </w:tcPr>
          <w:p>
            <w:pPr>
              <w:jc w:val="right"/>
              <w:ind w:right="88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(365,540 )</w:t>
            </w:r>
          </w:p>
        </w:tc>
        <w:tc>
          <w:tcPr>
            <w:tcW w:w="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(451,910 )</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1080" w:type="dxa"/>
            <w:vAlign w:val="bottom"/>
            <w:shd w:val="clear" w:color="auto" w:fill="CFF0FC"/>
          </w:tcPr>
          <w:p>
            <w:pPr>
              <w:jc w:val="right"/>
              <w:ind w:right="8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(209.70 )</w:t>
            </w:r>
          </w:p>
        </w:tc>
        <w:tc>
          <w:tcPr>
            <w:tcW w:w="5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(262.15 )</w:t>
            </w:r>
          </w:p>
        </w:tc>
        <w:tc>
          <w:tcPr>
            <w:tcW w:w="0" w:type="dxa"/>
            <w:vAlign w:val="bottom"/>
          </w:tcPr>
          <w:p>
            <w:pPr>
              <w:spacing w:after="0"/>
              <w:rPr>
                <w:sz w:val="1"/>
                <w:szCs w:val="1"/>
                <w:color w:val="auto"/>
              </w:rPr>
            </w:pPr>
          </w:p>
        </w:tc>
      </w:tr>
      <w:tr>
        <w:trPr>
          <w:trHeight w:val="182"/>
        </w:trPr>
        <w:tc>
          <w:tcPr>
            <w:tcW w:w="724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6"/>
                <w:szCs w:val="16"/>
                <w:color w:val="auto"/>
              </w:rPr>
              <w:t>Weighted-average number of shares outstanding used to compute net loss per share attributable</w:t>
            </w:r>
          </w:p>
        </w:tc>
        <w:tc>
          <w:tcPr>
            <w:tcW w:w="10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w w:val="98"/>
              </w:rPr>
              <w:t>1,743,128</w:t>
            </w:r>
          </w:p>
        </w:tc>
        <w:tc>
          <w:tcPr>
            <w:tcW w:w="18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1,723,843</w:t>
            </w:r>
          </w:p>
        </w:tc>
        <w:tc>
          <w:tcPr>
            <w:tcW w:w="0" w:type="dxa"/>
            <w:vAlign w:val="bottom"/>
          </w:tcPr>
          <w:p>
            <w:pPr>
              <w:spacing w:after="0"/>
              <w:rPr>
                <w:sz w:val="1"/>
                <w:szCs w:val="1"/>
                <w:color w:val="auto"/>
              </w:rPr>
            </w:pPr>
          </w:p>
        </w:tc>
      </w:tr>
      <w:tr>
        <w:trPr>
          <w:trHeight w:val="176"/>
        </w:trPr>
        <w:tc>
          <w:tcPr>
            <w:tcW w:w="7240" w:type="dxa"/>
            <w:vAlign w:val="bottom"/>
          </w:tcPr>
          <w:p>
            <w:pPr>
              <w:ind w:left="20"/>
              <w:spacing w:after="0" w:line="176" w:lineRule="exact"/>
              <w:rPr>
                <w:sz w:val="20"/>
                <w:szCs w:val="20"/>
                <w:color w:val="auto"/>
              </w:rPr>
            </w:pPr>
            <w:r>
              <w:rPr>
                <w:rFonts w:ascii="Arial" w:cs="Arial" w:eastAsia="Arial" w:hAnsi="Arial"/>
                <w:sz w:val="16"/>
                <w:szCs w:val="16"/>
                <w:color w:val="auto"/>
              </w:rPr>
              <w:t>to common stockholders, basic and diluted</w:t>
            </w:r>
          </w:p>
        </w:tc>
        <w:tc>
          <w:tcPr>
            <w:tcW w:w="10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-2251075</wp:posOffset>
            </wp:positionV>
            <wp:extent cx="1111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-855345</wp:posOffset>
            </wp:positionV>
            <wp:extent cx="1111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-572770</wp:posOffset>
            </wp:positionV>
            <wp:extent cx="1111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-264795</wp:posOffset>
            </wp:positionV>
            <wp:extent cx="1111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consolidated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2300" w:type="dxa"/>
            <w:vAlign w:val="bottom"/>
            <w:gridSpan w:val="3"/>
            <w:vMerge w:val="restart"/>
          </w:tcPr>
          <w:p>
            <w:pPr>
              <w:jc w:val="right"/>
              <w:ind w:right="442"/>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221"/>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30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21"/>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2"/>
        </w:trPr>
        <w:tc>
          <w:tcPr>
            <w:tcW w:w="4660" w:type="dxa"/>
            <w:vAlign w:val="bottom"/>
          </w:tcPr>
          <w:p>
            <w:pPr>
              <w:spacing w:after="0"/>
              <w:rPr>
                <w:sz w:val="15"/>
                <w:szCs w:val="15"/>
                <w:color w:val="auto"/>
              </w:rPr>
            </w:pPr>
          </w:p>
        </w:tc>
        <w:tc>
          <w:tcPr>
            <w:tcW w:w="128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1,713,662</w:t>
            </w:r>
          </w:p>
        </w:tc>
        <w:tc>
          <w:tcPr>
            <w:tcW w:w="140" w:type="dxa"/>
            <w:vAlign w:val="bottom"/>
          </w:tcPr>
          <w:p>
            <w:pPr>
              <w:spacing w:after="0"/>
              <w:rPr>
                <w:sz w:val="18"/>
                <w:szCs w:val="18"/>
                <w:color w:val="auto"/>
              </w:rPr>
            </w:pPr>
          </w:p>
        </w:tc>
        <w:tc>
          <w:tcPr>
            <w:tcW w:w="88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2,063,974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(1,148,782 )</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915,194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702"/>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11,957</w:t>
            </w:r>
          </w:p>
        </w:tc>
        <w:tc>
          <w:tcPr>
            <w:tcW w:w="320" w:type="dxa"/>
            <w:vAlign w:val="bottom"/>
            <w:gridSpan w:val="2"/>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11,957</w:t>
            </w: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Vesting of restricted stock units</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9,404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Restricted stock units in accordance with purchase agreement</w:t>
            </w:r>
          </w:p>
        </w:tc>
        <w:tc>
          <w:tcPr>
            <w:tcW w:w="12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4,459</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(451,910 )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(451,910 )</w:t>
            </w:r>
          </w:p>
        </w:tc>
        <w:tc>
          <w:tcPr>
            <w:tcW w:w="0" w:type="dxa"/>
            <w:vAlign w:val="bottom"/>
          </w:tcPr>
          <w:p>
            <w:pPr>
              <w:spacing w:after="0"/>
              <w:rPr>
                <w:sz w:val="1"/>
                <w:szCs w:val="1"/>
                <w:color w:val="auto"/>
              </w:rPr>
            </w:pPr>
          </w:p>
        </w:tc>
      </w:tr>
      <w:tr>
        <w:trPr>
          <w:trHeight w:val="249"/>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2022</w:t>
            </w:r>
          </w:p>
        </w:tc>
        <w:tc>
          <w:tcPr>
            <w:tcW w:w="12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1,727,525</w:t>
            </w:r>
          </w:p>
        </w:tc>
        <w:tc>
          <w:tcPr>
            <w:tcW w:w="1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02"/>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2,075,931</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(1,600,692 )</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475,241</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70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10,051</w:t>
            </w:r>
          </w:p>
        </w:tc>
        <w:tc>
          <w:tcPr>
            <w:tcW w:w="3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10,051</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
              <w:spacing w:after="0"/>
              <w:rPr>
                <w:sz w:val="20"/>
                <w:szCs w:val="20"/>
                <w:color w:val="auto"/>
              </w:rPr>
            </w:pPr>
            <w:r>
              <w:rPr>
                <w:rFonts w:ascii="Arial" w:cs="Arial" w:eastAsia="Arial" w:hAnsi="Arial"/>
                <w:sz w:val="16"/>
                <w:szCs w:val="16"/>
                <w:color w:val="auto"/>
              </w:rPr>
              <w:t>Vesting of restricted stock units</w:t>
            </w:r>
          </w:p>
        </w:tc>
        <w:tc>
          <w:tcPr>
            <w:tcW w:w="12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20,278</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660" w:type="dxa"/>
            <w:vAlign w:val="bottom"/>
          </w:tcPr>
          <w:p>
            <w:pPr>
              <w:ind w:left="20"/>
              <w:spacing w:after="0"/>
              <w:rPr>
                <w:sz w:val="20"/>
                <w:szCs w:val="20"/>
                <w:color w:val="auto"/>
              </w:rPr>
            </w:pPr>
            <w:r>
              <w:rPr>
                <w:rFonts w:ascii="Arial" w:cs="Arial" w:eastAsia="Arial" w:hAnsi="Arial"/>
                <w:sz w:val="16"/>
                <w:szCs w:val="16"/>
                <w:color w:val="auto"/>
              </w:rPr>
              <w:t>Issuance of common stock related to at-the-market offering,</w:t>
            </w: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net of offering costs</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43,483</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2,399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2,399</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12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(365,540 )</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(365,540 )</w:t>
            </w:r>
          </w:p>
        </w:tc>
        <w:tc>
          <w:tcPr>
            <w:tcW w:w="0" w:type="dxa"/>
            <w:vAlign w:val="bottom"/>
          </w:tcPr>
          <w:p>
            <w:pPr>
              <w:spacing w:after="0"/>
              <w:rPr>
                <w:sz w:val="1"/>
                <w:szCs w:val="1"/>
                <w:color w:val="auto"/>
              </w:rPr>
            </w:pPr>
          </w:p>
        </w:tc>
      </w:tr>
      <w:tr>
        <w:trPr>
          <w:trHeight w:val="209"/>
        </w:trPr>
        <w:tc>
          <w:tcPr>
            <w:tcW w:w="4660" w:type="dxa"/>
            <w:vAlign w:val="bottom"/>
          </w:tcPr>
          <w:p>
            <w:pPr>
              <w:ind w:left="20"/>
              <w:spacing w:after="0"/>
              <w:rPr>
                <w:sz w:val="20"/>
                <w:szCs w:val="20"/>
                <w:color w:val="auto"/>
              </w:rPr>
            </w:pPr>
            <w:r>
              <w:rPr>
                <w:rFonts w:ascii="Arial" w:cs="Arial" w:eastAsia="Arial" w:hAnsi="Arial"/>
                <w:sz w:val="16"/>
                <w:szCs w:val="16"/>
                <w:color w:val="auto"/>
              </w:rPr>
              <w:t>Balance at December 31, 2023</w:t>
            </w:r>
          </w:p>
        </w:tc>
        <w:tc>
          <w:tcPr>
            <w:tcW w:w="1280" w:type="dxa"/>
            <w:vAlign w:val="bottom"/>
          </w:tcPr>
          <w:p>
            <w:pPr>
              <w:jc w:val="right"/>
              <w:ind w:right="60"/>
              <w:spacing w:after="0"/>
              <w:rPr>
                <w:sz w:val="20"/>
                <w:szCs w:val="20"/>
                <w:color w:val="auto"/>
              </w:rPr>
            </w:pPr>
            <w:r>
              <w:rPr>
                <w:rFonts w:ascii="Arial" w:cs="Arial" w:eastAsia="Arial" w:hAnsi="Arial"/>
                <w:sz w:val="16"/>
                <w:szCs w:val="16"/>
                <w:color w:val="auto"/>
              </w:rPr>
              <w:t>1,791,286</w:t>
            </w:r>
          </w:p>
        </w:tc>
        <w:tc>
          <w:tcPr>
            <w:tcW w:w="1020" w:type="dxa"/>
            <w:vAlign w:val="bottom"/>
            <w:gridSpan w:val="2"/>
          </w:tcPr>
          <w:p>
            <w:pPr>
              <w:jc w:val="right"/>
              <w:ind w:right="702"/>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2,088,381</w:t>
            </w:r>
          </w:p>
        </w:tc>
        <w:tc>
          <w:tcPr>
            <w:tcW w:w="3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(1,966,232 )</w:t>
            </w:r>
          </w:p>
        </w:tc>
        <w:tc>
          <w:tcPr>
            <w:tcW w:w="3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122,151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-864235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-847090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-864235</wp:posOffset>
            </wp:positionV>
            <wp:extent cx="857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-847090</wp:posOffset>
            </wp:positionV>
            <wp:extent cx="857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-864235</wp:posOffset>
            </wp:positionV>
            <wp:extent cx="768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-847090</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-864235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-847090</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-170815</wp:posOffset>
            </wp:positionV>
            <wp:extent cx="85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-170815</wp:posOffset>
            </wp:positionV>
            <wp:extent cx="857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-170815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6306820</wp:posOffset>
            </wp:positionH>
            <wp:positionV relativeFrom="paragraph">
              <wp:posOffset>-170815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consolidated financial statements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62"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744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6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2022</w:t>
            </w:r>
          </w:p>
        </w:tc>
      </w:tr>
      <w:tr>
        <w:trPr>
          <w:trHeight w:val="18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0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(365,540 )</w:t>
            </w:r>
          </w:p>
        </w:tc>
        <w:tc>
          <w:tcPr>
            <w:tcW w:w="5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(451,910 )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Impairment charges</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48,748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211,873</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Gain on debt extinguishment</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(37,878 )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(164,684 )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43,476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38,707</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debt issuance costs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4,598</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4,809</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Realized gains on securitization transactions</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(45,589 )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taxes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(23,855 )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Losses on finance receivables and securitization debt, net</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114,702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66,839</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10,051</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11,957</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Provision to record inventory at lower of cost or net realizable value</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(2,360 )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1,812</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bad debt</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4,074</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13,406</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Provision to record finance receivables held for sale at lower of cost or fair value</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20,566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6,541</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Amortization of unearned discounts on finance receivables at fair value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(25,954 )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(14,593 )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Other, net</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(17,393 )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(7,512 )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i w:val="1"/>
                <w:iCs w:val="1"/>
                <w:color w:val="auto"/>
              </w:rPr>
              <w:t>Finance receivables, held for sale</w:t>
            </w: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Originations of finance receivables held for sale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(582,170 )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(625,575 )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Principal payments received on finance receivables held for sale</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105,858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64,521</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sale of finance receivables held for sale, net</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509,612</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(1,606 )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(7,701 )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Accounts receivable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754</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78,060</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Inventory</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159,758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403,924</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22,711</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4,146</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3,266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(2,546 )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Accounts payable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(7,940 )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(24,281 )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(24,766 )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(53,553 )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revenue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3,370</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(65,148 )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(10,009 )</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(38,325 )</w:t>
            </w:r>
          </w:p>
        </w:tc>
      </w:tr>
      <w:tr>
        <w:trPr>
          <w:trHeight w:val="18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used in operating activities</w:t>
            </w:r>
          </w:p>
        </w:tc>
        <w:tc>
          <w:tcPr>
            <w:tcW w:w="10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(533,684 )</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(109,065 )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i w:val="1"/>
                <w:iCs w:val="1"/>
                <w:color w:val="auto"/>
              </w:rPr>
              <w:t>Finance receivables at fair value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Purchases of finance receivables at fair value</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(3,392 )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(56,484 )</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payments received on finance receivables at fair value</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174,748</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132,391</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Proceeds from sale of finance receivables at fair value, net</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43,262</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Consolidation of VIEs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11,409</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Principal payments received on beneficial interests</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5,193</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8,341</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Purchase of property and equipment</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(14,805 )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(24,234 )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Acquisition of business, net of cash acquired of $47.9 million</w:t>
            </w: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(267,488 )</w:t>
            </w:r>
          </w:p>
        </w:tc>
      </w:tr>
      <w:tr>
        <w:trPr>
          <w:trHeight w:val="18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4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173,153</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(164,212 )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0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Proceeds from the issuance of common stock in at-the-market offering, net of offering costs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2,399</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Proceeds from borrowings under secured financing agreements</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261,991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repayment under secured financing agreements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(208,476 )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(192,839 )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Proceeds from financing of beneficial interests in securitizations</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24,506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Principal repayments of financing of beneficial interests in securitizations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(8,698 )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Proceeds from vehicle floorplan</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559,331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1,403,042</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 of vehicle floorplan</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(685,141 )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(1,638,855 )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Proceeds from warehouse credit facilities</w:t>
            </w:r>
          </w:p>
        </w:tc>
        <w:tc>
          <w:tcPr>
            <w:tcW w:w="104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480,100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520,800</w:t>
            </w:r>
          </w:p>
        </w:tc>
      </w:tr>
      <w:tr>
        <w:trPr>
          <w:trHeight w:val="189"/>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Repayments of warehouse credit facilities</w:t>
            </w:r>
          </w:p>
        </w:tc>
        <w:tc>
          <w:tcPr>
            <w:tcW w:w="10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(290,483 )</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(467,216 )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Repurchases of convertible senior notes</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(36,536 )</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(90,208 )</w:t>
            </w:r>
          </w:p>
        </w:tc>
      </w:tr>
      <w:tr>
        <w:trPr>
          <w:trHeight w:val="18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financing activities</w:t>
            </w:r>
          </w:p>
        </w:tc>
        <w:tc>
          <w:tcPr>
            <w:tcW w:w="10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(1,653 )</w:t>
            </w:r>
          </w:p>
        </w:tc>
        <w:tc>
          <w:tcPr>
            <w:tcW w:w="1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(4,212 )</w:t>
            </w: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0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97,340</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(469,488 )</w:t>
            </w:r>
          </w:p>
        </w:tc>
      </w:tr>
      <w:tr>
        <w:trPr>
          <w:trHeight w:val="182"/>
        </w:trPr>
        <w:tc>
          <w:tcPr>
            <w:tcW w:w="7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Net (decrease) increase in cash, cash equivalents and restricted cash</w:t>
            </w:r>
          </w:p>
        </w:tc>
        <w:tc>
          <w:tcPr>
            <w:tcW w:w="10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(263,191 )</w:t>
            </w:r>
          </w:p>
        </w:tc>
        <w:tc>
          <w:tcPr>
            <w:tcW w:w="1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(742,765 )</w:t>
            </w:r>
          </w:p>
        </w:tc>
      </w:tr>
      <w:tr>
        <w:trPr>
          <w:trHeight w:val="189"/>
        </w:trPr>
        <w:tc>
          <w:tcPr>
            <w:tcW w:w="756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10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472,010</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1,214,775</w:t>
            </w:r>
          </w:p>
        </w:tc>
      </w:tr>
      <w:tr>
        <w:trPr>
          <w:trHeight w:val="222"/>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208,819</w:t>
            </w:r>
          </w:p>
        </w:tc>
        <w:tc>
          <w:tcPr>
            <w:tcW w:w="1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472,010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-530225</wp:posOffset>
            </wp:positionV>
            <wp:extent cx="1028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-24765</wp:posOffset>
            </wp:positionV>
            <wp:extent cx="1028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1028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(Continued on following page)</w:t>
      </w:r>
    </w:p>
    <w:p>
      <w:pPr>
        <w:sectPr>
          <w:pgSz w:w="11900" w:h="16838" w:orient="portrait"/>
          <w:cols w:equalWidth="0" w:num="1">
            <w:col w:w="11240"/>
          </w:cols>
          <w:pgMar w:left="320" w:top="768" w:right="339"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paid for interest</w:t>
            </w:r>
          </w:p>
        </w:tc>
        <w:tc>
          <w:tcPr>
            <w:tcW w:w="600" w:type="dxa"/>
            <w:vAlign w:val="bottom"/>
            <w:tcBorders>
              <w:bottom w:val="single" w:sz="8" w:color="auto"/>
            </w:tcBorders>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59,351</w:t>
            </w:r>
          </w:p>
        </w:tc>
        <w:tc>
          <w:tcPr>
            <w:tcW w:w="16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34,907</w:t>
            </w:r>
          </w:p>
        </w:tc>
      </w:tr>
      <w:tr>
        <w:trPr>
          <w:trHeight w:val="169"/>
        </w:trPr>
        <w:tc>
          <w:tcPr>
            <w:tcW w:w="756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5,363</w:t>
            </w:r>
          </w:p>
        </w:tc>
        <w:tc>
          <w:tcPr>
            <w:tcW w:w="82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2,409</w:t>
            </w:r>
          </w:p>
        </w:tc>
      </w:tr>
      <w:tr>
        <w:trPr>
          <w:trHeight w:val="20"/>
        </w:trPr>
        <w:tc>
          <w:tcPr>
            <w:tcW w:w="7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6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spacing w:after="0"/>
              <w:rPr>
                <w:sz w:val="14"/>
                <w:szCs w:val="14"/>
                <w:color w:val="auto"/>
              </w:rPr>
            </w:pP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Finance receivables from consolidation of 2022-2 securitization transaction</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180,706</w:t>
            </w:r>
          </w:p>
        </w:tc>
        <w:tc>
          <w:tcPr>
            <w:tcW w:w="82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0"/>
        </w:trPr>
        <w:tc>
          <w:tcPr>
            <w:tcW w:w="7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Elimination of beneficial interest from the consolidation of 2022-2 securitization transaction</w:t>
            </w:r>
          </w:p>
        </w:tc>
        <w:tc>
          <w:tcPr>
            <w:tcW w:w="600" w:type="dxa"/>
            <w:vAlign w:val="bottom"/>
            <w:tcBorders>
              <w:bottom w:val="single" w:sz="8" w:color="auto"/>
            </w:tcBorders>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9,811</w:t>
            </w: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7560" w:type="dxa"/>
            <w:vAlign w:val="bottom"/>
          </w:tcPr>
          <w:p>
            <w:pPr>
              <w:ind w:left="20"/>
              <w:spacing w:after="0"/>
              <w:rPr>
                <w:sz w:val="20"/>
                <w:szCs w:val="20"/>
                <w:color w:val="auto"/>
              </w:rPr>
            </w:pPr>
            <w:r>
              <w:rPr>
                <w:rFonts w:ascii="Arial" w:cs="Arial" w:eastAsia="Arial" w:hAnsi="Arial"/>
                <w:sz w:val="14"/>
                <w:szCs w:val="14"/>
                <w:color w:val="auto"/>
              </w:rPr>
              <w:t>Securitization debt from consolidation of 2022-2 securitization transaction</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186,386</w:t>
            </w:r>
          </w:p>
        </w:tc>
        <w:tc>
          <w:tcPr>
            <w:tcW w:w="82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0"/>
        </w:trPr>
        <w:tc>
          <w:tcPr>
            <w:tcW w:w="7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Reclassification of finance receivables held for sale to finance receivables at fair value, net</w:t>
            </w:r>
          </w:p>
        </w:tc>
        <w:tc>
          <w:tcPr>
            <w:tcW w:w="600" w:type="dxa"/>
            <w:vAlign w:val="bottom"/>
            <w:tcBorders>
              <w:bottom w:val="single" w:sz="8" w:color="auto"/>
            </w:tcBorders>
            <w:shd w:val="clear" w:color="auto" w:fill="CFF0FC"/>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248,081</w:t>
            </w:r>
          </w:p>
        </w:tc>
        <w:tc>
          <w:tcPr>
            <w:tcW w:w="16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4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7560" w:type="dxa"/>
            <w:vAlign w:val="bottom"/>
          </w:tcPr>
          <w:p>
            <w:pPr>
              <w:ind w:left="20"/>
              <w:spacing w:after="0"/>
              <w:rPr>
                <w:sz w:val="20"/>
                <w:szCs w:val="20"/>
                <w:color w:val="auto"/>
              </w:rPr>
            </w:pPr>
            <w:r>
              <w:rPr>
                <w:rFonts w:ascii="Arial" w:cs="Arial" w:eastAsia="Arial" w:hAnsi="Arial"/>
                <w:sz w:val="14"/>
                <w:szCs w:val="14"/>
                <w:color w:val="auto"/>
              </w:rPr>
              <w:t>Fair value of beneficial interests received in securitization transactions</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30,082</w:t>
            </w:r>
          </w:p>
        </w:tc>
      </w:tr>
      <w:tr>
        <w:trPr>
          <w:trHeight w:val="20"/>
        </w:trPr>
        <w:tc>
          <w:tcPr>
            <w:tcW w:w="7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-1026795</wp:posOffset>
            </wp:positionV>
            <wp:extent cx="1028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-1009650</wp:posOffset>
            </wp:positionV>
            <wp:extent cx="1028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-735965</wp:posOffset>
            </wp:positionV>
            <wp:extent cx="1028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-461645</wp:posOffset>
            </wp:positionV>
            <wp:extent cx="1028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-444500</wp:posOffset>
            </wp:positionV>
            <wp:extent cx="10287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-170815</wp:posOffset>
            </wp:positionV>
            <wp:extent cx="1028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-153670</wp:posOffset>
            </wp:positionV>
            <wp:extent cx="10287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See accompanying notes to these consolidated financial statements</w:t>
      </w:r>
      <w:r>
        <w:rPr>
          <w:rFonts w:ascii="Arial" w:cs="Arial" w:eastAsia="Arial" w:hAnsi="Arial"/>
          <w:sz w:val="18"/>
          <w:szCs w:val="18"/>
          <w:color w:val="auto"/>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ind w:right="3280" w:firstLine="3291"/>
        <w:spacing w:after="0" w:line="400" w:lineRule="auto"/>
        <w:rPr>
          <w:sz w:val="20"/>
          <w:szCs w:val="20"/>
          <w:color w:val="auto"/>
        </w:rPr>
      </w:pPr>
      <w:r>
        <w:rPr>
          <w:rFonts w:ascii="Arial" w:cs="Arial" w:eastAsia="Arial" w:hAnsi="Arial"/>
          <w:sz w:val="18"/>
          <w:szCs w:val="18"/>
          <w:b w:val="1"/>
          <w:bCs w:val="1"/>
          <w:color w:val="auto"/>
        </w:rPr>
        <w:t>NOTES TO CONSOLIDATED FINANCIAL STATEMENTS 1. Description of Business and Basis of Presentation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Organization</w:t>
      </w:r>
    </w:p>
    <w:p>
      <w:pPr>
        <w:spacing w:after="0" w:line="196" w:lineRule="exact"/>
        <w:rPr>
          <w:sz w:val="20"/>
          <w:szCs w:val="20"/>
          <w:color w:val="auto"/>
        </w:rPr>
      </w:pPr>
    </w:p>
    <w:p>
      <w:pPr>
        <w:ind w:right="300" w:firstLine="761"/>
        <w:spacing w:after="0" w:line="271" w:lineRule="auto"/>
        <w:rPr>
          <w:sz w:val="20"/>
          <w:szCs w:val="20"/>
          <w:color w:val="auto"/>
        </w:rPr>
      </w:pPr>
      <w:r>
        <w:rPr>
          <w:rFonts w:ascii="Arial" w:cs="Arial" w:eastAsia="Arial" w:hAnsi="Arial"/>
          <w:sz w:val="18"/>
          <w:szCs w:val="18"/>
          <w:color w:val="auto"/>
        </w:rPr>
        <w:t>Vroom, Inc., and its wholly owned subsidiaries (collectively, the "Company”), was an end-to-end ecommerce platform to buy and sell used vehicles.</w:t>
      </w:r>
    </w:p>
    <w:p>
      <w:pPr>
        <w:spacing w:after="0" w:line="139"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In December 2015, the Company acquired Houston-based Left Gate Property Holding, LLC (d/b/a Texas Direct Auto and Vroom). The acquisition included the Company's proprietary vehicle reconditioning center, the Texas Direct Auto ("TDA") dealership, and Sell Us Your Car® centers. Left Gate Property Holding, LLC was renamed Vroom Automotive, LLC in March 2021, and was the primary operating entity for the Company's purchases and sales of used vehicles. In January 2021, the Company acquired Vast Holdings, Inc. (d/b/a CarStory). On February 1, 2022 (the "Acquisition Date"), the Company completed the acquisition of Unitas Holdings Corp. (now known as Vroom Finance Corporation), including its wholly owned subsidiaries United PanAm Financial Corp. (now known as Vroom Automotive Financial Corporation) and United Auto Credit Corporation ("UACC").</w:t>
      </w:r>
    </w:p>
    <w:p>
      <w:pPr>
        <w:spacing w:after="0" w:line="169" w:lineRule="exact"/>
        <w:rPr>
          <w:sz w:val="20"/>
          <w:szCs w:val="20"/>
          <w:color w:val="auto"/>
        </w:rPr>
      </w:pPr>
    </w:p>
    <w:p>
      <w:pPr>
        <w:ind w:right="20" w:firstLine="761"/>
        <w:spacing w:after="0" w:line="239" w:lineRule="auto"/>
        <w:rPr>
          <w:sz w:val="20"/>
          <w:szCs w:val="20"/>
          <w:color w:val="auto"/>
        </w:rPr>
      </w:pPr>
      <w:r>
        <w:rPr>
          <w:rFonts w:ascii="Arial" w:cs="Arial" w:eastAsia="Arial" w:hAnsi="Arial"/>
          <w:sz w:val="18"/>
          <w:szCs w:val="18"/>
          <w:color w:val="auto"/>
        </w:rPr>
        <w:t>Starting in 2022, the Company was organized into three reportable segments: Ecommerce, Wholesale and Retail Financing. The Ecommerce reportable segment represented retail sales of used vehicles through the Company’s ecommerce platform, revenue earned on vehicle financing originated by UACC or the Company's third-party financing sources and sales of value-added products associated with those vehicles sales. The Wholesale reportable segment represented sales of used vehicles through wholesale channels. The Retail Financing reportable segment represented UACC’s operations with its network of third-party dealership customers, which primarily consists of the purchases and servicing of vehicle installment contracts, but excludes financing of vehicle sales to Vroom customers. As a result of the Value Maximization Plan and the wind-down of the ecommerce operations, as described below, the Company will discontinue reporting its results through the Ecommerce and Wholesale segments starting in the first quarter of 2024.</w:t>
      </w:r>
    </w:p>
    <w:p>
      <w:pPr>
        <w:spacing w:after="0" w:line="171" w:lineRule="exact"/>
        <w:rPr>
          <w:sz w:val="20"/>
          <w:szCs w:val="20"/>
          <w:color w:val="auto"/>
        </w:rPr>
      </w:pPr>
    </w:p>
    <w:p>
      <w:pPr>
        <w:ind w:right="160" w:firstLine="761"/>
        <w:spacing w:after="0" w:line="271"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Maximization Plan</w:t>
      </w:r>
    </w:p>
    <w:p>
      <w:pPr>
        <w:spacing w:after="0" w:line="196"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On January 19, 2024, the Board of Directors of Vroom approved a value maximization plan, pursuant to which the Company discontinued its ecommerce operations and is winding down its used vehicle dealership business in order to preserve liquidity and enable the Company to maximize stakeholder value through its remaining businesses (the “Value Maximization Plan”). The Company has suspended transactions through vroom.com, completed transactions for customers who had previously contracted to purchase or sell a vehicle, halted purchases of additional vehicles, sold all of its used vehicle inventory through wholesale channels and paid off its floorplan financing facility. The Company continues to take other actions to maximize the value of its remaining ecommerce assets, reduce its outstanding commitments and preserve its liquidity, and has been executing a reduction-in-force commensurate with its reduced operations. The Company expects the ecommerce wind down to be substantially complete by the end of the first quarter of 2024, but may incur additional wind-down costs through the end of 2024.</w:t>
      </w:r>
    </w:p>
    <w:p>
      <w:pPr>
        <w:spacing w:after="0" w:line="168" w:lineRule="exact"/>
        <w:rPr>
          <w:sz w:val="20"/>
          <w:szCs w:val="20"/>
          <w:color w:val="auto"/>
        </w:rPr>
      </w:pPr>
    </w:p>
    <w:p>
      <w:pPr>
        <w:ind w:right="380" w:firstLine="761"/>
        <w:spacing w:after="0" w:line="252" w:lineRule="auto"/>
        <w:rPr>
          <w:sz w:val="20"/>
          <w:szCs w:val="20"/>
          <w:color w:val="auto"/>
        </w:rPr>
      </w:pPr>
      <w:r>
        <w:rPr>
          <w:rFonts w:ascii="Arial" w:cs="Arial" w:eastAsia="Arial" w:hAnsi="Arial"/>
          <w:sz w:val="18"/>
          <w:szCs w:val="18"/>
          <w:color w:val="auto"/>
        </w:rPr>
        <w:t>The Company also owns and operates UACC, an automotive finance company, and CarStory, an artificial intelligence-powered analytics and digital services platform for automotive retail. The UACC and CarStory businesses will continue to serve their third-party customers, with their operations unaffected by Vroom’s ecommerce wind-down.</w:t>
      </w:r>
    </w:p>
    <w:p>
      <w:pPr>
        <w:spacing w:after="0" w:line="157"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 xml:space="preserve">As a result of the Value Maximization Plan, the Company estimates that it will incur total cash charges of approximately $16.5 million for severance and other personnel-related costs and approximately $15.0 million in other contract and lease termination costs. As part of a planned reduction-in-force under the Value Maximization Plan, the Company </w:t>
      </w:r>
      <w:r>
        <w:rPr>
          <w:rFonts w:ascii="Arial" w:cs="Arial" w:eastAsia="Arial" w:hAnsi="Arial"/>
          <w:sz w:val="18"/>
          <w:szCs w:val="18"/>
          <w:color w:val="041022"/>
        </w:rPr>
        <w:t>anticipates that approximately 800 employees will be</w:t>
      </w:r>
      <w:r>
        <w:rPr>
          <w:rFonts w:ascii="Arial" w:cs="Arial" w:eastAsia="Arial" w:hAnsi="Arial"/>
          <w:sz w:val="18"/>
          <w:szCs w:val="18"/>
          <w:color w:val="auto"/>
        </w:rPr>
        <w:t xml:space="preserve"> </w:t>
      </w:r>
      <w:r>
        <w:rPr>
          <w:rFonts w:ascii="Arial" w:cs="Arial" w:eastAsia="Arial" w:hAnsi="Arial"/>
          <w:sz w:val="18"/>
          <w:szCs w:val="18"/>
          <w:color w:val="041022"/>
        </w:rPr>
        <w:t>impacted upon substantial completion of the wind-down, resulting in a reduction of approximately 93% of the employees not engaged in UACC’s or CarStory’s ongoing operations.</w:t>
      </w:r>
    </w:p>
    <w:p>
      <w:pPr>
        <w:spacing w:after="0" w:line="166" w:lineRule="exact"/>
        <w:rPr>
          <w:sz w:val="20"/>
          <w:szCs w:val="20"/>
          <w:color w:val="auto"/>
        </w:rPr>
      </w:pPr>
    </w:p>
    <w:p>
      <w:pPr>
        <w:ind w:right="120" w:firstLine="761"/>
        <w:spacing w:after="0" w:line="271" w:lineRule="auto"/>
        <w:rPr>
          <w:sz w:val="20"/>
          <w:szCs w:val="20"/>
          <w:color w:val="auto"/>
        </w:rPr>
      </w:pPr>
      <w:r>
        <w:rPr>
          <w:rFonts w:ascii="Arial" w:cs="Arial" w:eastAsia="Arial" w:hAnsi="Arial"/>
          <w:sz w:val="18"/>
          <w:szCs w:val="18"/>
          <w:color w:val="auto"/>
        </w:rPr>
        <w:t>The Company determined a triggering event existed as of December 31, 2023, resulting in long–lived asset impairment charges of $47.4 million. The impairment charges consist of $23.9 related to "Property and equipment, net",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color w:val="auto"/>
        </w:rPr>
        <w:t>$22.2 million related to "Operating lease right-of-use assets", and $1.3 million related to "Other assets" on the Company's consolidated balance sheets. Refer to Note 7 — Property and Equipment, Net and Note 12 — Leases for further details.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96" w:lineRule="exact"/>
        <w:rPr>
          <w:sz w:val="20"/>
          <w:szCs w:val="20"/>
          <w:color w:val="auto"/>
        </w:rPr>
      </w:pPr>
    </w:p>
    <w:p>
      <w:pPr>
        <w:jc w:val="both"/>
        <w:ind w:right="480" w:firstLine="761"/>
        <w:spacing w:after="0" w:line="252" w:lineRule="auto"/>
        <w:rPr>
          <w:sz w:val="20"/>
          <w:szCs w:val="20"/>
          <w:color w:val="auto"/>
        </w:rPr>
      </w:pPr>
      <w:r>
        <w:rPr>
          <w:rFonts w:ascii="Arial" w:cs="Arial" w:eastAsia="Arial" w:hAnsi="Arial"/>
          <w:sz w:val="18"/>
          <w:szCs w:val="18"/>
          <w:color w:val="auto"/>
        </w:rPr>
        <w:t>On February 13, 2024, the Company effected a 1-for-80 reverse stock split of the Company’s common stock. All shares of the Company’s common stock, stock-based instruments and per-share data included in these consolidated financial statements have been retroactively adjusted as though the stock split has been effected prior to all periods presented.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6" w:lineRule="exact"/>
        <w:rPr>
          <w:sz w:val="20"/>
          <w:szCs w:val="20"/>
          <w:color w:val="auto"/>
        </w:rPr>
      </w:pPr>
    </w:p>
    <w:p>
      <w:pPr>
        <w:ind w:right="60" w:firstLine="761"/>
        <w:spacing w:after="0" w:line="271" w:lineRule="auto"/>
        <w:rPr>
          <w:sz w:val="20"/>
          <w:szCs w:val="20"/>
          <w:color w:val="auto"/>
        </w:rPr>
      </w:pPr>
      <w:r>
        <w:rPr>
          <w:rFonts w:ascii="Arial" w:cs="Arial" w:eastAsia="Arial" w:hAnsi="Arial"/>
          <w:sz w:val="18"/>
          <w:szCs w:val="18"/>
          <w:color w:val="auto"/>
        </w:rPr>
        <w:t>The consolidated financial statements of the Company have been prepared in accordance with U.S. generally accepted accounting principles (“U.S. GAAP”). Certain prior year amounts have been reclassified to conform to the current year presentation.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6" w:lineRule="exact"/>
        <w:rPr>
          <w:sz w:val="20"/>
          <w:szCs w:val="20"/>
          <w:color w:val="auto"/>
        </w:rPr>
      </w:pPr>
    </w:p>
    <w:p>
      <w:pPr>
        <w:ind w:right="220" w:firstLine="761"/>
        <w:spacing w:after="0" w:line="271"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All intercompany accounts and transactions have been eliminated in consolidation.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assumptions and judgments that affect the reported amounts of assets, liabilities, revenue, expenses and related disclosures. On an ongoing basis, the Company evaluates its estimates, including, among others, those related to income taxes, the realizability of inventory, stock-based compensation, contingencies, revenue-related reserves, fair value measurements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did not have any other comprehensive income or loss for the years ended December 31, 2023, and 2022.</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Accordingly, net loss and comprehensive loss are the same for the periods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6" w:lineRule="exact"/>
        <w:rPr>
          <w:sz w:val="20"/>
          <w:szCs w:val="20"/>
          <w:color w:val="auto"/>
        </w:rPr>
      </w:pPr>
    </w:p>
    <w:p>
      <w:pPr>
        <w:jc w:val="both"/>
        <w:ind w:firstLine="761"/>
        <w:spacing w:after="0" w:line="252" w:lineRule="auto"/>
        <w:rPr>
          <w:sz w:val="20"/>
          <w:szCs w:val="20"/>
          <w:color w:val="auto"/>
        </w:rPr>
      </w:pPr>
      <w:r>
        <w:rPr>
          <w:rFonts w:ascii="Arial" w:cs="Arial" w:eastAsia="Arial" w:hAnsi="Arial"/>
          <w:sz w:val="18"/>
          <w:szCs w:val="18"/>
          <w:color w:val="auto"/>
        </w:rPr>
        <w:t>Revenue consists of retail used vehicle sales, wholesale used vehicle sales, financing vehicle sales through UACC, fees earned on sales of third-party financing and value-added products to customers in connection with vehicles sales, and other revenues. Refer to Note 3 – Revenue Recognition for a discussion of the Company’s significant accounting policies related to revenue recognition.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96" w:lineRule="exact"/>
        <w:rPr>
          <w:sz w:val="20"/>
          <w:szCs w:val="20"/>
          <w:color w:val="auto"/>
        </w:rPr>
      </w:pPr>
    </w:p>
    <w:p>
      <w:pPr>
        <w:ind w:right="40" w:firstLine="761"/>
        <w:spacing w:after="0"/>
        <w:rPr>
          <w:sz w:val="20"/>
          <w:szCs w:val="20"/>
          <w:color w:val="auto"/>
        </w:rPr>
      </w:pPr>
      <w:r>
        <w:rPr>
          <w:rFonts w:ascii="Arial" w:cs="Arial" w:eastAsia="Arial" w:hAnsi="Arial"/>
          <w:sz w:val="18"/>
          <w:szCs w:val="18"/>
          <w:color w:val="auto"/>
        </w:rPr>
        <w:t>Cost of sales primarily includes the cost to acquire used vehicles, inbound transportation costs and direct and indirect reconditioning costs associated with preparing vehicles for resale. Reconditioning costs include parts, labor and third-party reconditioning costs directly attributable to the vehicle and allocated overhead costs. Cost of sales also includes any necessary adjustments to reflect vehicle inventory at the lower of cost or net realizable value. As a result of the UACC acquisition, cost of sales also includes interest expense incurred on securitization debt related to finance receivables originated by UACC for Vroom customers as well as interest expense incurred on securitization debt originated by UACC for its network of third-party dealership customers and collection expenses related to servicing finance receivables.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6" w:lineRule="exact"/>
        <w:rPr>
          <w:sz w:val="20"/>
          <w:szCs w:val="20"/>
          <w:color w:val="auto"/>
        </w:rPr>
      </w:pPr>
    </w:p>
    <w:p>
      <w:pPr>
        <w:ind w:right="280" w:firstLine="761"/>
        <w:spacing w:after="0" w:line="246" w:lineRule="auto"/>
        <w:rPr>
          <w:sz w:val="20"/>
          <w:szCs w:val="20"/>
          <w:color w:val="auto"/>
        </w:rPr>
      </w:pPr>
      <w:r>
        <w:rPr>
          <w:rFonts w:ascii="Arial" w:cs="Arial" w:eastAsia="Arial" w:hAnsi="Arial"/>
          <w:sz w:val="18"/>
          <w:szCs w:val="18"/>
          <w:color w:val="auto"/>
        </w:rPr>
        <w:t>Cash and cash equivalents include cash deposits at financial institutions and highly liquid investments with original maturities of three months or less. Outstanding checks that are in excess of the cash balances at certain financial institutions are included in “Accounts payable” in the consolidated balance sheets and changes in these amounts are reflected in operating cash flows in the consolidated statements of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96"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Restricted cash primarily includes cash deposits required under the Company’s 2022 Vehicle Floorplan Facility as explained in Note 10 – Vehicle Floorplan Facility and UACC restricted cash. UACC collects and services receivables under the securitization transactions and warehouse credit facilities. These collections are restricted for use until properly remitted each month under the terms of the servicing agreement. Refer to Note 11 — Warehouse Credit Facilities of Consolidated VIEs and Note 13 — Long Term Debt for further detail.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96" w:lineRule="exact"/>
        <w:rPr>
          <w:sz w:val="20"/>
          <w:szCs w:val="20"/>
          <w:color w:val="auto"/>
        </w:rPr>
      </w:pPr>
    </w:p>
    <w:p>
      <w:pPr>
        <w:ind w:firstLine="761"/>
        <w:spacing w:after="0"/>
        <w:rPr>
          <w:sz w:val="20"/>
          <w:szCs w:val="20"/>
          <w:color w:val="auto"/>
        </w:rPr>
      </w:pPr>
      <w:r>
        <w:rPr>
          <w:rFonts w:ascii="Arial" w:cs="Arial" w:eastAsia="Arial" w:hAnsi="Arial"/>
          <w:sz w:val="18"/>
          <w:szCs w:val="18"/>
          <w:color w:val="auto"/>
        </w:rPr>
        <w:t>Accounts receivable, net of an allowance for doubtful accounts, includes amounts due from customers and from third-party financial institutions related to vehicle purchases. The allowance for doubtful accounts is estimated based upon historical experience, age of the balances, current economic conditions and other factors and is evaluated as of each reporting date. Increases and decreases in the allowance for doubtful accounts are recorded in “Selling, general and administrative expenses” in the consolidated statements of operations. The allowance for doubtful accounts was $11.2 million, $21.5 million and $8.5 million as of December 31, 2023, 2022, and 2021, respectively. For the year ended December 31, 2023, the provision for bad debt was $4.1 million and write-offs were $14.4 million. For the year ended December 31, 2022, the provision for bad debt was $13.4 million and write-offs were immaterial.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w:t>
      </w:r>
    </w:p>
    <w:p>
      <w:pPr>
        <w:spacing w:after="0" w:line="196" w:lineRule="exact"/>
        <w:rPr>
          <w:sz w:val="20"/>
          <w:szCs w:val="20"/>
          <w:color w:val="auto"/>
        </w:rPr>
      </w:pPr>
    </w:p>
    <w:p>
      <w:pPr>
        <w:ind w:right="160" w:firstLine="761"/>
        <w:spacing w:after="0" w:line="271" w:lineRule="auto"/>
        <w:rPr>
          <w:sz w:val="20"/>
          <w:szCs w:val="20"/>
          <w:color w:val="auto"/>
        </w:rPr>
      </w:pPr>
      <w:r>
        <w:rPr>
          <w:rFonts w:ascii="Arial" w:cs="Arial" w:eastAsia="Arial" w:hAnsi="Arial"/>
          <w:sz w:val="18"/>
          <w:szCs w:val="18"/>
          <w:color w:val="auto"/>
        </w:rPr>
        <w:t>Finance receivables consist of installment contracts the Company originates through UACC to finance the vehicles it sells, as well as installment contracts acquired by UACC from its existing network of third-party dealership customers.</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finance receivables are generally secured by the vehicles being financed.</w:t>
      </w:r>
    </w:p>
    <w:p>
      <w:pPr>
        <w:spacing w:after="0" w:line="198" w:lineRule="exact"/>
        <w:rPr>
          <w:sz w:val="20"/>
          <w:szCs w:val="20"/>
          <w:color w:val="auto"/>
        </w:rPr>
      </w:pPr>
    </w:p>
    <w:p>
      <w:pPr>
        <w:ind w:firstLine="761"/>
        <w:spacing w:after="0" w:line="252" w:lineRule="auto"/>
        <w:rPr>
          <w:sz w:val="20"/>
          <w:szCs w:val="20"/>
          <w:color w:val="auto"/>
        </w:rPr>
      </w:pPr>
      <w:r>
        <w:rPr>
          <w:rFonts w:ascii="Arial" w:cs="Arial" w:eastAsia="Arial" w:hAnsi="Arial"/>
          <w:sz w:val="18"/>
          <w:szCs w:val="18"/>
          <w:color w:val="auto"/>
        </w:rPr>
        <w:t>Finance receivables over 90 days delinquent are considered nonaccrual finance receivables. Interest income is subsequently recognized only to the extent cash payments are received. Finance receivables may be restored to accrual status when a customer settles all delinquency balances and future interest and principal payments are reasonably assured.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Held for Sale, Net</w:t>
      </w:r>
    </w:p>
    <w:p>
      <w:pPr>
        <w:spacing w:after="0" w:line="196"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Finance receivables that the Company intends to sell and not hold to maturity are classified as held for sale. The Company intends to sell finance receivables through securitization transactions. Finance receivables classified as held for sale are recorded at the lower of cost or fair value. Deferred acquisition costs and any discounts or premiums are deferred until the finance receivables are sold and are then recognized as part of the total gain or loss on sale and recorded in “Finance Revenue” and "Product, net" in the consolidated statements of operations. Refer to Note 3 – Revenue Recognition.</w:t>
      </w:r>
    </w:p>
    <w:p>
      <w:pPr>
        <w:spacing w:after="0" w:line="166" w:lineRule="exact"/>
        <w:rPr>
          <w:sz w:val="20"/>
          <w:szCs w:val="20"/>
          <w:color w:val="auto"/>
        </w:rPr>
      </w:pPr>
    </w:p>
    <w:p>
      <w:pPr>
        <w:ind w:right="160" w:firstLine="761"/>
        <w:spacing w:after="0"/>
        <w:rPr>
          <w:sz w:val="20"/>
          <w:szCs w:val="20"/>
          <w:color w:val="auto"/>
        </w:rPr>
      </w:pPr>
      <w:r>
        <w:rPr>
          <w:rFonts w:ascii="Arial" w:cs="Arial" w:eastAsia="Arial" w:hAnsi="Arial"/>
          <w:sz w:val="18"/>
          <w:szCs w:val="18"/>
          <w:color w:val="auto"/>
        </w:rPr>
        <w:t>The Company records a valuation allowance to report finance receivables at the lower of amortized cost basis or fair value. To determine the valuation allowance, finance receivables are evaluated collectively as they represent a large group of smaller-balance homogeneous loans. To the extent that actual experience differs from estimates, significant adjustments to the Company's valuation allowance may be needed. Fair value adjustments are recorded in "Other loss (income), net" in the consolidated statements of operations. Principal balances of finance receivables are charged-off when the Company is unable to sell the finance receivable and the related vehicle has been repossessed and liquidated or the receivable has otherwise been deemed uncollectible. As of December 31, 2023 and 2022, the valuation allowance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for finance receivables classified as held for sale was $33.8 million and $10.5 million, respectively. Refer to Note 17 – Financial Instruments and Fair Value Measurements.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Receivables at Fair Value</w:t>
      </w:r>
    </w:p>
    <w:p>
      <w:pPr>
        <w:spacing w:after="0" w:line="196" w:lineRule="exact"/>
        <w:rPr>
          <w:sz w:val="20"/>
          <w:szCs w:val="20"/>
          <w:color w:val="auto"/>
        </w:rPr>
      </w:pPr>
    </w:p>
    <w:p>
      <w:pPr>
        <w:ind w:firstLine="761"/>
        <w:spacing w:after="0" w:line="252" w:lineRule="auto"/>
        <w:rPr>
          <w:sz w:val="20"/>
          <w:szCs w:val="20"/>
          <w:color w:val="auto"/>
        </w:rPr>
      </w:pPr>
      <w:r>
        <w:rPr>
          <w:rFonts w:ascii="Arial" w:cs="Arial" w:eastAsia="Arial" w:hAnsi="Arial"/>
          <w:sz w:val="18"/>
          <w:szCs w:val="18"/>
          <w:color w:val="auto"/>
        </w:rPr>
        <w:t>Finance receivables at fair value represent finance receivables that the Company does not intend to sell in the immediate future and for which the fair value option was elected. Fair value adjustments are recorded in "Other loss (income), net" in the consolidated statements of operations. Refer to Note 17 – Financial Instruments and Fair Value Measurements.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CFEs</w:t>
      </w:r>
    </w:p>
    <w:p>
      <w:pPr>
        <w:spacing w:after="0" w:line="196"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 xml:space="preserve">The Company elected the fair value option upon consolidation of the assets and liabilities of its variable interest entities ("VIEs") related to the 2021-1, 2022-2 and 2023-1 securitization transactions. Refer to Note 4 – Variable Interest Entities and Securitizations. These VIEs are consolidated collateralized financing entities (CFEs) and are accounted for using the measurement alternative in accordance with ASU 2014-13, </w:t>
      </w:r>
      <w:r>
        <w:rPr>
          <w:rFonts w:ascii="Arial" w:cs="Arial" w:eastAsia="Arial" w:hAnsi="Arial"/>
          <w:sz w:val="18"/>
          <w:szCs w:val="18"/>
          <w:i w:val="1"/>
          <w:iCs w:val="1"/>
          <w:color w:val="auto"/>
        </w:rPr>
        <w:t>Measuring the Financial Assets and Liabilities of a Consolidated Collateralized Financing Entity</w:t>
      </w:r>
      <w:r>
        <w:rPr>
          <w:rFonts w:ascii="Arial" w:cs="Arial" w:eastAsia="Arial" w:hAnsi="Arial"/>
          <w:sz w:val="18"/>
          <w:szCs w:val="18"/>
          <w:color w:val="auto"/>
        </w:rPr>
        <w:t xml:space="preserve"> (“ASU 2014 -13"). During the years ended December 31, 2023 and 2022, the Company recognized the following revenue and expenses associated with these CFEs in the consolidated statements of operations:</w:t>
      </w:r>
    </w:p>
    <w:p>
      <w:pPr>
        <w:spacing w:after="0" w:line="192"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60" w:type="dxa"/>
            <w:vAlign w:val="bottom"/>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revenue</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82,442</w:t>
            </w:r>
          </w:p>
        </w:tc>
        <w:tc>
          <w:tcPr>
            <w:tcW w:w="54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40,869</w:t>
            </w:r>
          </w:p>
        </w:tc>
        <w:tc>
          <w:tcPr>
            <w:tcW w:w="100" w:type="dxa"/>
            <w:vAlign w:val="bottom"/>
            <w:shd w:val="clear" w:color="auto" w:fill="CFF0FC"/>
          </w:tcPr>
          <w:p>
            <w:pPr>
              <w:spacing w:after="0"/>
              <w:rPr>
                <w:sz w:val="19"/>
                <w:szCs w:val="19"/>
                <w:color w:val="auto"/>
              </w:rPr>
            </w:pP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Product revenue</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11,966</w:t>
            </w:r>
          </w:p>
        </w:tc>
        <w:tc>
          <w:tcPr>
            <w:tcW w:w="54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cost of sales</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23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(18,840 )</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(3,377 )</w:t>
            </w:r>
          </w:p>
        </w:tc>
      </w:tr>
      <w:tr>
        <w:trPr>
          <w:trHeight w:val="229"/>
        </w:trPr>
        <w:tc>
          <w:tcPr>
            <w:tcW w:w="5960" w:type="dxa"/>
            <w:vAlign w:val="bottom"/>
          </w:tcPr>
          <w:p>
            <w:pPr>
              <w:ind w:left="20"/>
              <w:spacing w:after="0"/>
              <w:rPr>
                <w:sz w:val="20"/>
                <w:szCs w:val="20"/>
                <w:color w:val="auto"/>
              </w:rPr>
            </w:pPr>
            <w:r>
              <w:rPr>
                <w:rFonts w:ascii="Arial" w:cs="Arial" w:eastAsia="Arial" w:hAnsi="Arial"/>
                <w:sz w:val="18"/>
                <w:szCs w:val="18"/>
                <w:color w:val="auto"/>
              </w:rPr>
              <w:t>Product cost of sales</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2300" w:type="dxa"/>
            <w:vAlign w:val="bottom"/>
            <w:gridSpan w:val="2"/>
          </w:tcPr>
          <w:p>
            <w:pPr>
              <w:jc w:val="right"/>
              <w:ind w:right="460"/>
              <w:spacing w:after="0"/>
              <w:rPr>
                <w:sz w:val="20"/>
                <w:szCs w:val="20"/>
                <w:color w:val="auto"/>
              </w:rPr>
            </w:pPr>
            <w:r>
              <w:rPr>
                <w:rFonts w:ascii="Arial" w:cs="Arial" w:eastAsia="Arial" w:hAnsi="Arial"/>
                <w:sz w:val="18"/>
                <w:szCs w:val="18"/>
                <w:color w:val="auto"/>
              </w:rPr>
              <w:t>(3,338 )</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loss, net</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230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(66,968 )</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(20,987 )</w:t>
            </w:r>
          </w:p>
        </w:tc>
      </w:tr>
    </w:tbl>
    <w:p>
      <w:pPr>
        <w:spacing w:after="0" w:line="183" w:lineRule="exact"/>
        <w:rPr>
          <w:sz w:val="20"/>
          <w:szCs w:val="20"/>
          <w:color w:val="auto"/>
        </w:rPr>
      </w:pPr>
    </w:p>
    <w:p>
      <w:pPr>
        <w:ind w:right="180" w:firstLine="761"/>
        <w:spacing w:after="0" w:line="274" w:lineRule="auto"/>
        <w:rPr>
          <w:sz w:val="20"/>
          <w:szCs w:val="20"/>
          <w:color w:val="auto"/>
        </w:rPr>
      </w:pPr>
      <w:r>
        <w:rPr>
          <w:rFonts w:ascii="Arial" w:cs="Arial" w:eastAsia="Arial" w:hAnsi="Arial"/>
          <w:sz w:val="17"/>
          <w:szCs w:val="17"/>
          <w:color w:val="auto"/>
        </w:rPr>
        <w:t>The assets and liabilities of the CFEs are presented as part of the current and noncurrent “Finance receivables at fair value”, “Current portion of long term debt”, and "Long term debt, net of current portion", respectively, on the consolidated balance sheets. Refer to Note 4 – Variable Interest Entities and Securitizations and Note 17 – Financial Instruments and Fair Value Measurements for further details.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96" w:lineRule="exact"/>
        <w:rPr>
          <w:sz w:val="20"/>
          <w:szCs w:val="20"/>
          <w:color w:val="auto"/>
        </w:rPr>
      </w:pPr>
    </w:p>
    <w:p>
      <w:pPr>
        <w:ind w:right="340" w:firstLine="761"/>
        <w:spacing w:after="0" w:line="243" w:lineRule="auto"/>
        <w:rPr>
          <w:sz w:val="20"/>
          <w:szCs w:val="20"/>
          <w:color w:val="auto"/>
        </w:rPr>
      </w:pPr>
      <w:r>
        <w:rPr>
          <w:rFonts w:ascii="Arial" w:cs="Arial" w:eastAsia="Arial" w:hAnsi="Arial"/>
          <w:sz w:val="18"/>
          <w:szCs w:val="18"/>
          <w:color w:val="auto"/>
        </w:rPr>
        <w:t>Inventory consists primarily of used vehicles and parts and accessories and is stated at the lower of cost or net realizable value. Inventory cost is determined by specific identification and includes acquisition cost, direct and indirect reconditioning costs and inbound transportation expenses. Net realizable value represents the estimated selling price less costs to complete, dispose and transport the vehicles. The Company recognizes any necessary adjustments to reflect inventory at the lower of cost or net realizable value through adjustments to “Retail vehicle cost of sales” in the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96" w:lineRule="exact"/>
        <w:rPr>
          <w:sz w:val="20"/>
          <w:szCs w:val="20"/>
          <w:color w:val="auto"/>
        </w:rPr>
      </w:pPr>
    </w:p>
    <w:p>
      <w:pPr>
        <w:ind w:right="20" w:firstLine="761"/>
        <w:spacing w:after="0" w:line="274" w:lineRule="auto"/>
        <w:rPr>
          <w:sz w:val="20"/>
          <w:szCs w:val="20"/>
          <w:color w:val="auto"/>
        </w:rPr>
      </w:pPr>
      <w:r>
        <w:rPr>
          <w:rFonts w:ascii="Arial" w:cs="Arial" w:eastAsia="Arial" w:hAnsi="Arial"/>
          <w:sz w:val="17"/>
          <w:szCs w:val="17"/>
          <w:color w:val="auto"/>
        </w:rPr>
        <w:t>Property and equipment are recorded at cost less accumulated depreciation and amortization. Charges for repairs and maintenance that do not improve or extend the life of the respective assets are expensed as incurred. When assets are retired or otherwise disposed of, their costs and related accumulated depreciation are written off and any resulting gains or losses are recorded during the period.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Depreciation and amortization are calculated using the straight-line method over the following estimated useful lives of the assets:</w:t>
      </w:r>
    </w:p>
    <w:p>
      <w:pPr>
        <w:sectPr>
          <w:pgSz w:w="11900" w:h="16838" w:orient="portrait"/>
          <w:cols w:equalWidth="0" w:num="1">
            <w:col w:w="11240"/>
          </w:cols>
          <w:pgMar w:left="320" w:top="768" w:right="339" w:bottom="1440" w:gutter="0" w:footer="0" w:header="0"/>
        </w:sectPr>
      </w:pPr>
    </w:p>
    <w:p>
      <w:pPr>
        <w:spacing w:after="0" w:line="22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Equipment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3 to 15 years</w:t>
      </w:r>
    </w:p>
    <w:p>
      <w:pPr>
        <w:spacing w:after="0" w:line="43" w:lineRule="exact"/>
        <w:rPr>
          <w:sz w:val="20"/>
          <w:szCs w:val="20"/>
          <w:color w:val="auto"/>
        </w:rPr>
      </w:pPr>
    </w:p>
    <w:p>
      <w:pPr>
        <w:sectPr>
          <w:pgSz w:w="11900" w:h="16838" w:orient="portrait"/>
          <w:cols w:equalWidth="0" w:num="2">
            <w:col w:w="3880" w:space="720"/>
            <w:col w:w="6640"/>
          </w:cols>
          <w:pgMar w:left="320" w:top="768" w:right="33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 to 15 years</w:t>
      </w:r>
    </w:p>
    <w:p>
      <w:pPr>
        <w:spacing w:after="0" w:line="34" w:lineRule="exact"/>
        <w:rPr>
          <w:sz w:val="20"/>
          <w:szCs w:val="20"/>
          <w:color w:val="auto"/>
        </w:rPr>
      </w:pPr>
    </w:p>
    <w:p>
      <w:pPr>
        <w:sectPr>
          <w:pgSz w:w="11900" w:h="16838" w:orient="portrait"/>
          <w:cols w:equalWidth="0" w:num="2">
            <w:col w:w="3880" w:space="720"/>
            <w:col w:w="6640"/>
          </w:cols>
          <w:pgMar w:left="320" w:top="768" w:right="33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Logistics fleet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5 to 7 years</w:t>
      </w:r>
    </w:p>
    <w:p>
      <w:pPr>
        <w:spacing w:after="0" w:line="33" w:lineRule="exact"/>
        <w:rPr>
          <w:sz w:val="20"/>
          <w:szCs w:val="20"/>
          <w:color w:val="auto"/>
        </w:rPr>
      </w:pPr>
    </w:p>
    <w:p>
      <w:pPr>
        <w:sectPr>
          <w:pgSz w:w="11900" w:h="16838" w:orient="portrait"/>
          <w:cols w:equalWidth="0" w:num="2">
            <w:col w:w="3880" w:space="720"/>
            <w:col w:w="6640"/>
          </w:cols>
          <w:pgMar w:left="320" w:top="768" w:right="339" w:bottom="1440" w:gutter="0" w:footer="0" w:header="0"/>
          <w:type w:val="continuous"/>
        </w:sectPr>
      </w:pPr>
    </w:p>
    <w:p>
      <w:pPr>
        <w:ind w:left="114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Lesser of useful life or lease term</w:t>
      </w:r>
    </w:p>
    <w:p>
      <w:pPr>
        <w:spacing w:after="0" w:line="22" w:lineRule="exact"/>
        <w:rPr>
          <w:sz w:val="20"/>
          <w:szCs w:val="20"/>
          <w:color w:val="auto"/>
        </w:rPr>
      </w:pPr>
    </w:p>
    <w:p>
      <w:pPr>
        <w:sectPr>
          <w:pgSz w:w="11900" w:h="16838" w:orient="portrait"/>
          <w:cols w:equalWidth="0" w:num="2">
            <w:col w:w="3880" w:space="720"/>
            <w:col w:w="6640"/>
          </w:cols>
          <w:pgMar w:left="320" w:top="768" w:right="33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Internal-use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 to 10 years</w:t>
      </w:r>
    </w:p>
    <w:p>
      <w:pPr>
        <w:spacing w:after="0" w:line="200" w:lineRule="exact"/>
        <w:rPr>
          <w:sz w:val="20"/>
          <w:szCs w:val="20"/>
          <w:color w:val="auto"/>
        </w:rPr>
      </w:pPr>
    </w:p>
    <w:p>
      <w:pPr>
        <w:sectPr>
          <w:pgSz w:w="11900" w:h="16838" w:orient="portrait"/>
          <w:cols w:equalWidth="0" w:num="2">
            <w:col w:w="3880" w:space="720"/>
            <w:col w:w="6640"/>
          </w:cols>
          <w:pgMar w:left="320" w:top="768" w:right="339" w:bottom="1440" w:gutter="0" w:footer="0" w:header="0"/>
          <w:type w:val="continuous"/>
        </w:sectPr>
      </w:pPr>
    </w:p>
    <w:p>
      <w:pPr>
        <w:spacing w:after="0" w:line="13" w:lineRule="exact"/>
        <w:rPr>
          <w:sz w:val="20"/>
          <w:szCs w:val="20"/>
          <w:color w:val="auto"/>
        </w:rPr>
      </w:pPr>
    </w:p>
    <w:p>
      <w:pPr>
        <w:ind w:right="40" w:firstLine="761"/>
        <w:spacing w:after="0" w:line="243" w:lineRule="auto"/>
        <w:rPr>
          <w:sz w:val="20"/>
          <w:szCs w:val="20"/>
          <w:color w:val="auto"/>
        </w:rPr>
      </w:pPr>
      <w:r>
        <w:rPr>
          <w:rFonts w:ascii="Arial" w:cs="Arial" w:eastAsia="Arial" w:hAnsi="Arial"/>
          <w:sz w:val="18"/>
          <w:szCs w:val="18"/>
          <w:color w:val="auto"/>
        </w:rPr>
        <w:t>The Company capitalizes direct costs of materials and services utilized in developing or obtaining internal-use software. The Company also capitalizes payroll and payroll-related costs for employees who are directly associated with and who devote time to the development of software products for internal use, to the extent of the time spent directly on the project. Capitalization of costs begins during the application development stage and ends when the software is available for general use. Costs incurred during the preliminary project and post-implementation stages are charged to expense as incurred.</w:t>
      </w:r>
    </w:p>
    <w:p>
      <w:pPr>
        <w:spacing w:after="0" w:line="166" w:lineRule="exact"/>
        <w:rPr>
          <w:sz w:val="20"/>
          <w:szCs w:val="20"/>
          <w:color w:val="auto"/>
        </w:rPr>
      </w:pPr>
    </w:p>
    <w:p>
      <w:pPr>
        <w:ind w:right="20" w:firstLine="761"/>
        <w:spacing w:after="0" w:line="246" w:lineRule="auto"/>
        <w:rPr>
          <w:sz w:val="20"/>
          <w:szCs w:val="20"/>
          <w:color w:val="auto"/>
        </w:rPr>
      </w:pPr>
      <w:r>
        <w:rPr>
          <w:rFonts w:ascii="Arial" w:cs="Arial" w:eastAsia="Arial" w:hAnsi="Arial"/>
          <w:sz w:val="18"/>
          <w:szCs w:val="18"/>
          <w:color w:val="auto"/>
        </w:rPr>
        <w:t>Additionally, the Company capitalizes implementation costs incurred in a cloud computing arrangement that is a service contract. The capitalized implementation costs related to a cloud computing arrangement are amortized over the term of the arrangement. Capitalized implementation costs are included in “Other assets” in the consolidated balance sheet and are amortized over the terms of the arrangements, which range between 1 and 10 years.</w:t>
      </w:r>
    </w:p>
    <w:p>
      <w:pPr>
        <w:spacing w:after="0" w:line="163" w:lineRule="exact"/>
        <w:rPr>
          <w:sz w:val="20"/>
          <w:szCs w:val="20"/>
          <w:color w:val="auto"/>
        </w:rPr>
      </w:pPr>
    </w:p>
    <w:p>
      <w:pPr>
        <w:ind w:right="80" w:firstLine="761"/>
        <w:spacing w:after="0" w:line="241" w:lineRule="auto"/>
        <w:rPr>
          <w:sz w:val="20"/>
          <w:szCs w:val="20"/>
          <w:color w:val="auto"/>
        </w:rPr>
      </w:pPr>
      <w:r>
        <w:rPr>
          <w:rFonts w:ascii="Arial" w:cs="Arial" w:eastAsia="Arial" w:hAnsi="Arial"/>
          <w:sz w:val="18"/>
          <w:szCs w:val="18"/>
          <w:color w:val="auto"/>
        </w:rPr>
        <w:t>The Company regularly reviews long-lived assets for impairment when events or changes in circumstances indicate the carrying amount of an asset group may not be recoverable. The Company compares the sum of estimated undiscounted future cash flows expected to result from the use of the asset group to the carrying value of the asset group. When the carrying value of the asset group exceeds its estimated undiscounted future cash flows, the Company recognizes an impairment charge for the amount by which the carrying value of the asset group exceeds the fair value of the asset group. Refer to Note 7 — Property and Equipment, Net for further details on impairment tests performed.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96" w:lineRule="exact"/>
        <w:rPr>
          <w:sz w:val="20"/>
          <w:szCs w:val="20"/>
          <w:color w:val="auto"/>
        </w:rPr>
      </w:pPr>
    </w:p>
    <w:p>
      <w:pPr>
        <w:ind w:right="160" w:firstLine="761"/>
        <w:spacing w:after="0" w:line="252" w:lineRule="auto"/>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57"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The Company has three reporting units: Ecommerce, Wholesale and Retail Financing. In performing its goodwill impairment test, the Company first reviews qualitative factors to determine whether it is more likely than not that the fair value of a reporting unit is less than its carrying amount. If, after assessing qualitative factors, the Company determines that it is more likely than not that the fair value of a reporting unit is more than its carrying amount, then performing the quantitative test is unnecessary and the Company’s goodwill is not considered to be impaired. However, if based on the qualitative assessment the Company concludes that it is more likely than not that the fair value of the reporting unit is less than its carrying amount, or if the Company elects to bypass the optional qualitative assessment as provided for under U.S. GAAP, the Company proceeds with performing the quantitative impairment test. Refer to Note 8 — Goodwill and Intangible Assets for further details on the impairment tests performed.</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intangible assets are amortized on a straight-line basis over the following estimated weighted average useful lives:</w:t>
      </w:r>
    </w:p>
    <w:p>
      <w:pPr>
        <w:sectPr>
          <w:pgSz w:w="11900" w:h="16838" w:orient="portrait"/>
          <w:cols w:equalWidth="0" w:num="1">
            <w:col w:w="11240"/>
          </w:cols>
          <w:pgMar w:left="320" w:top="768" w:right="339" w:bottom="1440" w:gutter="0" w:footer="0" w:header="0"/>
          <w:type w:val="continuous"/>
        </w:sectPr>
      </w:pP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Developed technology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7 years</w:t>
      </w:r>
    </w:p>
    <w:p>
      <w:pPr>
        <w:spacing w:after="0" w:line="32" w:lineRule="exact"/>
        <w:rPr>
          <w:sz w:val="20"/>
          <w:szCs w:val="20"/>
          <w:color w:val="auto"/>
        </w:rPr>
      </w:pPr>
    </w:p>
    <w:p>
      <w:pPr>
        <w:sectPr>
          <w:pgSz w:w="11900" w:h="16838" w:orient="portrait"/>
          <w:cols w:equalWidth="0" w:num="2">
            <w:col w:w="3880" w:space="720"/>
            <w:col w:w="6640"/>
          </w:cols>
          <w:pgMar w:left="320" w:top="768" w:right="33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Trademarks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9 years</w:t>
      </w:r>
    </w:p>
    <w:p>
      <w:pPr>
        <w:spacing w:after="0" w:line="22" w:lineRule="exact"/>
        <w:rPr>
          <w:sz w:val="20"/>
          <w:szCs w:val="20"/>
          <w:color w:val="auto"/>
        </w:rPr>
      </w:pPr>
    </w:p>
    <w:p>
      <w:pPr>
        <w:sectPr>
          <w:pgSz w:w="11900" w:h="16838" w:orient="portrait"/>
          <w:cols w:equalWidth="0" w:num="2">
            <w:col w:w="3880" w:space="720"/>
            <w:col w:w="6640"/>
          </w:cols>
          <w:pgMar w:left="320" w:top="768" w:right="33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Customer relationships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8 years</w:t>
      </w:r>
    </w:p>
    <w:p>
      <w:pPr>
        <w:spacing w:after="0" w:line="200" w:lineRule="exact"/>
        <w:rPr>
          <w:sz w:val="20"/>
          <w:szCs w:val="20"/>
          <w:color w:val="auto"/>
        </w:rPr>
      </w:pPr>
    </w:p>
    <w:p>
      <w:pPr>
        <w:sectPr>
          <w:pgSz w:w="11900" w:h="16838" w:orient="portrait"/>
          <w:cols w:equalWidth="0" w:num="2">
            <w:col w:w="3880" w:space="720"/>
            <w:col w:w="6640"/>
          </w:cols>
          <w:pgMar w:left="320" w:top="768" w:right="339" w:bottom="1440" w:gutter="0" w:footer="0" w:header="0"/>
          <w:type w:val="continuous"/>
        </w:sectPr>
      </w:pPr>
    </w:p>
    <w:p>
      <w:pPr>
        <w:spacing w:after="0" w:line="2" w:lineRule="exact"/>
        <w:rPr>
          <w:sz w:val="20"/>
          <w:szCs w:val="20"/>
          <w:color w:val="auto"/>
        </w:rPr>
      </w:pPr>
    </w:p>
    <w:p>
      <w:pPr>
        <w:ind w:right="180" w:firstLine="761"/>
        <w:spacing w:after="0" w:line="271" w:lineRule="auto"/>
        <w:rPr>
          <w:sz w:val="20"/>
          <w:szCs w:val="20"/>
          <w:color w:val="auto"/>
        </w:rPr>
      </w:pPr>
      <w:r>
        <w:rPr>
          <w:rFonts w:ascii="Arial" w:cs="Arial" w:eastAsia="Arial" w:hAnsi="Arial"/>
          <w:sz w:val="18"/>
          <w:szCs w:val="18"/>
          <w:color w:val="auto"/>
        </w:rPr>
        <w:t>The Company periodically reassesses the useful lives of its definite-lived intangible assets when events or circumstances indicate that useful lives have significantly changed from the previous estimate.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96" w:lineRule="exact"/>
        <w:rPr>
          <w:sz w:val="20"/>
          <w:szCs w:val="20"/>
          <w:color w:val="auto"/>
        </w:rPr>
      </w:pPr>
    </w:p>
    <w:p>
      <w:pPr>
        <w:ind w:right="20" w:firstLine="761"/>
        <w:spacing w:after="0" w:line="237" w:lineRule="auto"/>
        <w:rPr>
          <w:sz w:val="20"/>
          <w:szCs w:val="20"/>
          <w:color w:val="auto"/>
        </w:rPr>
      </w:pPr>
      <w:r>
        <w:rPr>
          <w:rFonts w:ascii="Arial" w:cs="Arial" w:eastAsia="Arial" w:hAnsi="Arial"/>
          <w:sz w:val="18"/>
          <w:szCs w:val="18"/>
          <w:color w:val="auto"/>
        </w:rPr>
        <w:t>The Company determines if an arrangement is a lease at inception by evaluating if the asset is explicitly or implicitly identified or distinct, if the Company will receive substantially all of the economic benefit or if the lessor has an economic benefit and the ability to substitute the asset. Right-of-use ("ROU") assets represent the Company's right to use an underlying asset for the lease term and lease liabilities represent the Company's obligation to make lease payments arising from the lease. The Company assesses whether the lease is an operating or finance lease at its inception. Operating lease liabilities are recognized at commencement date based on the present value of the lease payments over the lease term. As the rate implicit in the lease is generally not readily determinable for the Company’s operating leases, the discount rates used to determine the present value of the Company’s lease liabilities are based on the Company’s incremental borrowing rate at the lease commencement date and commensurate with the remaining lease term. The incremental borrowing rate for a lease is the rate of interest the Company would have to pay to borrow on a collateralized basis over a similar term for an amount equal to the lease payments in a similar economic environment. The Company uses its incremental borrowing rate based on the information available at commencement date in determining the present value of lease payments. The operating lease ROU asset is the initial lease liability adjusted for any prepayments, initial indirect costs incurred by the Company, and lease incentives. The Company's operating leases are included in "Operating lease right-of-use assets," "Operating lease liabilities, current," and "Operating lease liabilities, excluding current portion" on the consolidated balance sheets. The Company does not have any material leases, individually or in the aggregate, classified as a finance leasing arrangement. Additionally, leases with an initial term of 12 months or less are not recorded on the Company’s consolidated balance sheet and expenses for these leases are recognized on a straight-line basis over the lease term.</w:t>
      </w:r>
    </w:p>
    <w:p>
      <w:pPr>
        <w:spacing w:after="0" w:line="168" w:lineRule="exact"/>
        <w:rPr>
          <w:sz w:val="20"/>
          <w:szCs w:val="20"/>
          <w:color w:val="auto"/>
        </w:rPr>
      </w:pPr>
    </w:p>
    <w:p>
      <w:pPr>
        <w:ind w:right="120" w:firstLine="761"/>
        <w:spacing w:after="0" w:line="243" w:lineRule="auto"/>
        <w:rPr>
          <w:sz w:val="20"/>
          <w:szCs w:val="20"/>
          <w:color w:val="auto"/>
        </w:rPr>
      </w:pPr>
      <w:r>
        <w:rPr>
          <w:rFonts w:ascii="Arial" w:cs="Arial" w:eastAsia="Arial" w:hAnsi="Arial"/>
          <w:sz w:val="18"/>
          <w:szCs w:val="18"/>
          <w:color w:val="auto"/>
        </w:rPr>
        <w:t>The Company regularly reviews long-lived assets for impairment when events or changes in circumstances indicate the carrying amount of an asset group may not be recoverable. The Company compares the sum of estimated undiscounted future cash flows expected to result from the use of the asset group to the carrying value of the asset group. When the carrying value of the asset group exceeds its estimated undiscounted future cash flows, the Company recognizes an impairment charge for the amount by which the carrying value of the asset group exceeds the fair value of the asset group. Refer to Note 12 — Leases for further details on impairment tests performed.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Floorplan</w:t>
      </w:r>
    </w:p>
    <w:p>
      <w:pPr>
        <w:spacing w:after="0" w:line="196"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The vehicle floorplan payable (the “Vehicle Floorplan Facility”) reflects amounts borrowed to finance the purchase of specific vehicle inventories. Portions of the Vehicle Floorplan Facility are settled on a daily basis depending on the Company’s sales and purchasing activity. The Vehicle Floorplan Facility is collateralized by vehicle inventories and certain other assets of the Company. Borrowings and repayments are presented separately and classified as financing activities within the consolidated statements of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6" w:lineRule="exact"/>
        <w:rPr>
          <w:sz w:val="20"/>
          <w:szCs w:val="20"/>
          <w:color w:val="auto"/>
        </w:rPr>
      </w:pPr>
    </w:p>
    <w:p>
      <w:pPr>
        <w:ind w:firstLine="761"/>
        <w:spacing w:after="0" w:line="238" w:lineRule="auto"/>
        <w:rPr>
          <w:sz w:val="20"/>
          <w:szCs w:val="20"/>
          <w:color w:val="auto"/>
        </w:rPr>
      </w:pPr>
      <w:r>
        <w:rPr>
          <w:rFonts w:ascii="Arial" w:cs="Arial" w:eastAsia="Arial" w:hAnsi="Arial"/>
          <w:sz w:val="18"/>
          <w:szCs w:val="18"/>
          <w:color w:val="auto"/>
        </w:rPr>
        <w:t>The Company accounts for income taxes under the asset and liability method. The Company recognizes deferred tax assets and liabilities for the future tax consequences attributable to differences between the financial statement carrying amounts of existing assets and liabilities and their respective tax basis, as well as for operating loss and tax credit carry 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 likely than not that the Company will not realize some or all of the deferred tax asset. The Company accounts for uncertain tax positions by recognizing the financial statement effects of a tax position only when, based upon technical merits, it is more likely than not that the position will be sustained upon examination. Potential interest and penalties associated with unrecognized tax positions are recognized in income tax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6" w:lineRule="exact"/>
        <w:rPr>
          <w:sz w:val="20"/>
          <w:szCs w:val="20"/>
          <w:color w:val="auto"/>
        </w:rPr>
      </w:pPr>
    </w:p>
    <w:p>
      <w:pPr>
        <w:ind w:right="320" w:firstLine="761"/>
        <w:spacing w:after="0" w:line="271" w:lineRule="auto"/>
        <w:rPr>
          <w:sz w:val="20"/>
          <w:szCs w:val="20"/>
          <w:color w:val="auto"/>
        </w:rPr>
      </w:pPr>
      <w:r>
        <w:rPr>
          <w:rFonts w:ascii="Arial" w:cs="Arial" w:eastAsia="Arial" w:hAnsi="Arial"/>
          <w:sz w:val="18"/>
          <w:szCs w:val="18"/>
          <w:color w:val="auto"/>
        </w:rPr>
        <w:t>The Company recognizes the cost of employee services received in exchange for stock awards based on the fair value of those awards at the date of grant over the requisite service period. The Company accounts for forfeitures as they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occur. For awards earned based on performance or upon occurrence of a contingent event, if the award is deemed probable of being earned, related compensation expense is recorded over the estimated service period. If an award is not considered probable of being earned, no amount of stock-based compensation is recognized. To the extent the estimate of awards considered probable of being earned changes, the amount of stock-based compensation recognized will also change.</w:t>
      </w:r>
    </w:p>
    <w:p>
      <w:pPr>
        <w:spacing w:after="0" w:line="163" w:lineRule="exact"/>
        <w:rPr>
          <w:sz w:val="20"/>
          <w:szCs w:val="20"/>
          <w:color w:val="auto"/>
        </w:rPr>
      </w:pPr>
    </w:p>
    <w:p>
      <w:pPr>
        <w:ind w:firstLine="761"/>
        <w:spacing w:after="0" w:line="258" w:lineRule="auto"/>
        <w:rPr>
          <w:sz w:val="20"/>
          <w:szCs w:val="20"/>
          <w:color w:val="auto"/>
        </w:rPr>
      </w:pPr>
      <w:r>
        <w:rPr>
          <w:rFonts w:ascii="Arial" w:cs="Arial" w:eastAsia="Arial" w:hAnsi="Arial"/>
          <w:sz w:val="17"/>
          <w:szCs w:val="17"/>
          <w:color w:val="auto"/>
        </w:rPr>
        <w:t>The Company uses the Black-Scholes-Merton (“Black-Scholes”) option pricing model to determine the fair value of its stock options. Estimating the fair value of stock options requires the input of subjective assumptions, including the estimated fair value of the Company’s common stock, the expected life of the options, stock price volatility, which is determined based on the historical volatilities of several publicly listed peer companies as the Company has only a short trading history for its common stock, the risk-free interest rate and expected dividends. The assumptions used in the Company’s Black-Scholes option-pricing model represent management’s best estimates and involve a number of variables, uncertainties and assumptions and the application of management’s judgment, as they are inherently subjective.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96" w:lineRule="exact"/>
        <w:rPr>
          <w:sz w:val="20"/>
          <w:szCs w:val="20"/>
          <w:color w:val="auto"/>
        </w:rPr>
      </w:pPr>
    </w:p>
    <w:p>
      <w:pPr>
        <w:ind w:right="60" w:firstLine="764"/>
        <w:spacing w:after="0" w:line="239" w:lineRule="auto"/>
        <w:rPr>
          <w:sz w:val="20"/>
          <w:szCs w:val="20"/>
          <w:color w:val="auto"/>
        </w:rPr>
      </w:pPr>
      <w:r>
        <w:rPr>
          <w:rFonts w:ascii="Arial" w:cs="Arial" w:eastAsia="Arial" w:hAnsi="Arial"/>
          <w:sz w:val="18"/>
          <w:szCs w:val="18"/>
          <w:color w:val="auto"/>
        </w:rPr>
        <w:t>The Company uses its best estimates and assumptions to assign fair value to the tangible and intangible assets acquired and liabilities assumed at the acquisition date. The Company’s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The Company will continue to collect information and reevaluate these estimates and assumptions quarterly and record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will be recorded to the Company’s consolidated statement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96" w:lineRule="exact"/>
        <w:rPr>
          <w:sz w:val="20"/>
          <w:szCs w:val="20"/>
          <w:color w:val="auto"/>
        </w:rPr>
      </w:pPr>
    </w:p>
    <w:p>
      <w:pPr>
        <w:ind w:right="240" w:firstLine="761"/>
        <w:spacing w:after="0" w:line="252" w:lineRule="auto"/>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consolidated statements of operations. Advertising expenses were $48.4 million and $79.7 million for the years ended December 31, 2023 and 2022,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96" w:lineRule="exact"/>
        <w:rPr>
          <w:sz w:val="20"/>
          <w:szCs w:val="20"/>
          <w:color w:val="auto"/>
        </w:rPr>
      </w:pPr>
    </w:p>
    <w:p>
      <w:pPr>
        <w:ind w:right="160" w:firstLine="761"/>
        <w:spacing w:after="0" w:line="246" w:lineRule="auto"/>
        <w:rPr>
          <w:sz w:val="20"/>
          <w:szCs w:val="20"/>
          <w:color w:val="auto"/>
        </w:rPr>
      </w:pPr>
      <w:r>
        <w:rPr>
          <w:rFonts w:ascii="Arial" w:cs="Arial" w:eastAsia="Arial" w:hAnsi="Arial"/>
          <w:sz w:val="18"/>
          <w:szCs w:val="18"/>
          <w:color w:val="auto"/>
        </w:rPr>
        <w:t>Logistics costs related to inbound transportation from the point of acquisition to the relevant reconditioning facility are included in cost of sales when the related used vehicle is sold. Logistics costs not included in cost of sales are accounted for as costs to fulfill contracts with customers and are included in “Selling, general and administrative expenses” in the consolidated statements of operations and were $8.5 million and $39.0 million for the years ended December 31, 2023 and 2022,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96" w:lineRule="exact"/>
        <w:rPr>
          <w:sz w:val="20"/>
          <w:szCs w:val="20"/>
          <w:color w:val="auto"/>
        </w:rPr>
      </w:pPr>
    </w:p>
    <w:p>
      <w:pPr>
        <w:ind w:right="200" w:firstLine="761"/>
        <w:spacing w:after="0" w:line="241"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government securities. Concentration of credit risk with respect to accounts receivable is generally mitigated by a large customer base.</w:t>
      </w:r>
    </w:p>
    <w:p>
      <w:pPr>
        <w:spacing w:after="0" w:line="169" w:lineRule="exact"/>
        <w:rPr>
          <w:sz w:val="20"/>
          <w:szCs w:val="20"/>
          <w:color w:val="auto"/>
        </w:rPr>
      </w:pPr>
    </w:p>
    <w:p>
      <w:pPr>
        <w:ind w:right="400" w:firstLine="761"/>
        <w:spacing w:after="0" w:line="271" w:lineRule="auto"/>
        <w:rPr>
          <w:sz w:val="20"/>
          <w:szCs w:val="20"/>
          <w:color w:val="auto"/>
        </w:rPr>
      </w:pPr>
      <w:r>
        <w:rPr>
          <w:rFonts w:ascii="Arial" w:cs="Arial" w:eastAsia="Arial" w:hAnsi="Arial"/>
          <w:sz w:val="18"/>
          <w:szCs w:val="18"/>
          <w:color w:val="auto"/>
        </w:rPr>
        <w:t>For the years ended December 31, 2023 and 2022, no customer represented 10% or more of the Company’s revenues and no customer represented more than 10% of the Company’s accounts receivable as of December 31, 2023 and 2022.</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96"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As of December 31, 2023, the Company had cash and cash equivalents of $135.6 million and restricted cash of $73.2 million. Restricted cash primarily includes restricted cash required under UACC's securitization transactions and Warehouse Credit Facilities of $49.1 million and cash deposits required under our 2022 Vehicle Floorplan Facility of $22.7 million. The Company has historically had negative cash flows and generated losses from operations and the Company’s primary source of liquidity has been cash generated through financing activities. As of February 29, 2024 the Company had cash and cash equivalents of approximately $94.0 million.</w:t>
      </w:r>
    </w:p>
    <w:p>
      <w:pPr>
        <w:spacing w:after="0" w:line="166" w:lineRule="exact"/>
        <w:rPr>
          <w:sz w:val="20"/>
          <w:szCs w:val="20"/>
          <w:color w:val="auto"/>
        </w:rPr>
      </w:pPr>
    </w:p>
    <w:p>
      <w:pPr>
        <w:ind w:right="80" w:firstLine="764"/>
        <w:spacing w:after="0"/>
        <w:rPr>
          <w:sz w:val="20"/>
          <w:szCs w:val="20"/>
          <w:color w:val="auto"/>
        </w:rPr>
      </w:pPr>
      <w:r>
        <w:rPr>
          <w:rFonts w:ascii="Arial" w:cs="Arial" w:eastAsia="Arial" w:hAnsi="Arial"/>
          <w:sz w:val="18"/>
          <w:szCs w:val="18"/>
          <w:color w:val="auto"/>
        </w:rPr>
        <w:t>In January 2024, the Company announced its Value Maximization Plan to discontinue its ecommerce operations and wind-down its used vehicle dealership business, refer to Note 1 — Description of Business and Basis of Presentation — Value Maximization Plan. On January 19, 2024, the Company amended its agreement with Ally Bank and Ally Financial Inc. (together, “Ally”) dated November 4, 2022. As a result of the amendment, the floorplan was suspended for future vehicle purchases and the Company was required to maintain 40% of our outstanding borrowings in cash. In addition, all other financial covenants were eliminated. As a result of the liquidation of the Company's vehicle inventory, the Company repaid all amounts outstanding under the 2022 Vehicle Floorplan Facility in the first quarter of 2024 and the agreement was terminated.</w:t>
      </w:r>
    </w:p>
    <w:p>
      <w:pPr>
        <w:spacing w:after="0" w:line="169" w:lineRule="exact"/>
        <w:rPr>
          <w:sz w:val="20"/>
          <w:szCs w:val="20"/>
          <w:color w:val="auto"/>
        </w:rPr>
      </w:pPr>
    </w:p>
    <w:p>
      <w:pPr>
        <w:ind w:right="100" w:firstLine="764"/>
        <w:spacing w:after="0" w:line="252" w:lineRule="auto"/>
        <w:rPr>
          <w:sz w:val="20"/>
          <w:szCs w:val="20"/>
          <w:color w:val="auto"/>
        </w:rPr>
      </w:pPr>
      <w:r>
        <w:rPr>
          <w:rFonts w:ascii="Arial" w:cs="Arial" w:eastAsia="Arial" w:hAnsi="Arial"/>
          <w:sz w:val="18"/>
          <w:szCs w:val="18"/>
          <w:color w:val="auto"/>
        </w:rPr>
        <w:t>In addition to the Company's ongoing cash requirements, the Company's liquidity will also be used to fund the announced wind-down of its ecommerce operations which is expected to result in the payment of $16.5 million in severance related benefits and $15.0 million in early contract and lease termination costs.</w:t>
      </w:r>
    </w:p>
    <w:p>
      <w:pPr>
        <w:spacing w:after="0" w:line="157" w:lineRule="exact"/>
        <w:rPr>
          <w:sz w:val="20"/>
          <w:szCs w:val="20"/>
          <w:color w:val="auto"/>
        </w:rPr>
      </w:pPr>
    </w:p>
    <w:p>
      <w:pPr>
        <w:ind w:right="180" w:firstLine="761"/>
        <w:spacing w:after="0" w:line="274" w:lineRule="auto"/>
        <w:rPr>
          <w:sz w:val="20"/>
          <w:szCs w:val="20"/>
          <w:color w:val="auto"/>
        </w:rPr>
      </w:pPr>
      <w:r>
        <w:rPr>
          <w:rFonts w:ascii="Arial" w:cs="Arial" w:eastAsia="Arial" w:hAnsi="Arial"/>
          <w:sz w:val="17"/>
          <w:szCs w:val="17"/>
          <w:color w:val="auto"/>
        </w:rPr>
        <w:t>UACC has four warehouse credit facilities with an aggregate borrowing limit of $825.0 million as of December 31, 2023. As of December 31, 2023, outstanding borrowings related to the Warehouse Credit Facilities were $421.3 million and excess borrowing capacity was $56.9 million. As of December 31, 2023, the Company was in compliance with all covenants related to the Warehouse Credit Facilities.</w:t>
      </w:r>
    </w:p>
    <w:p>
      <w:pPr>
        <w:spacing w:after="0" w:line="140"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Failure to satisfy these and or any other requirements contained within the agreements would restrict access to the Warehouse Credit Facilities and could have a material adverse effect on the financial condition of the Company, results of operations and liquidity. Certain breaches of covenants may also result in acceleration of the repayment of borrowings prior to the scheduled maturity. Refer to Note 11 – Warehouse Credit Facilities of Consolidated VIEs for further discussion.</w:t>
      </w:r>
    </w:p>
    <w:p>
      <w:pPr>
        <w:spacing w:after="0" w:line="163" w:lineRule="exact"/>
        <w:rPr>
          <w:sz w:val="20"/>
          <w:szCs w:val="20"/>
          <w:color w:val="auto"/>
        </w:rPr>
      </w:pPr>
    </w:p>
    <w:p>
      <w:pPr>
        <w:ind w:right="220" w:firstLine="761"/>
        <w:spacing w:after="0" w:line="246" w:lineRule="auto"/>
        <w:rPr>
          <w:sz w:val="20"/>
          <w:szCs w:val="20"/>
          <w:color w:val="auto"/>
        </w:rPr>
      </w:pPr>
      <w:r>
        <w:rPr>
          <w:rFonts w:ascii="Arial" w:cs="Arial" w:eastAsia="Arial" w:hAnsi="Arial"/>
          <w:sz w:val="18"/>
          <w:szCs w:val="18"/>
          <w:color w:val="auto"/>
        </w:rPr>
        <w:t>The Company expects to use cash and cash equivalents to finance future capital requirements and UACC’s Warehouse Credit Facilities to fund finance receivables.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w:t>
      </w:r>
    </w:p>
    <w:p>
      <w:pPr>
        <w:spacing w:after="0" w:line="163" w:lineRule="exact"/>
        <w:rPr>
          <w:sz w:val="20"/>
          <w:szCs w:val="20"/>
          <w:color w:val="auto"/>
        </w:rPr>
      </w:pPr>
    </w:p>
    <w:p>
      <w:pPr>
        <w:ind w:right="240" w:firstLine="761"/>
        <w:spacing w:after="0" w:line="252" w:lineRule="auto"/>
        <w:rPr>
          <w:sz w:val="20"/>
          <w:szCs w:val="20"/>
          <w:color w:val="auto"/>
        </w:rPr>
      </w:pPr>
      <w:r>
        <w:rPr>
          <w:rFonts w:ascii="Arial" w:cs="Arial" w:eastAsia="Arial" w:hAnsi="Arial"/>
          <w:sz w:val="18"/>
          <w:szCs w:val="18"/>
          <w:color w:val="auto"/>
        </w:rPr>
        <w:t>The Company’s future capital requirements will depend on many factors, including the ability to successfully implement the Value Maximization Plan and realize its benefits, available advance rates on the Warehouse Credit Facilities, our ability to complete additional securitization transactions at terms favorable to us, and our future credit losses.</w:t>
      </w:r>
    </w:p>
    <w:p>
      <w:pPr>
        <w:spacing w:after="0" w:line="157" w:lineRule="exact"/>
        <w:rPr>
          <w:sz w:val="20"/>
          <w:szCs w:val="20"/>
          <w:color w:val="auto"/>
        </w:rPr>
      </w:pPr>
    </w:p>
    <w:p>
      <w:pPr>
        <w:ind w:right="340" w:firstLine="764"/>
        <w:spacing w:after="0" w:line="252" w:lineRule="auto"/>
        <w:rPr>
          <w:sz w:val="20"/>
          <w:szCs w:val="20"/>
          <w:color w:val="auto"/>
        </w:rPr>
      </w:pPr>
      <w:r>
        <w:rPr>
          <w:rFonts w:ascii="Arial" w:cs="Arial" w:eastAsia="Arial" w:hAnsi="Arial"/>
          <w:sz w:val="18"/>
          <w:szCs w:val="18"/>
          <w:color w:val="auto"/>
        </w:rPr>
        <w:t>The Company anticipates that existing cash and cash equivalents and UACC's Warehouse Credit Facilities will be sufficient to support the Company’s ongoing operations and obligations, inclusive of the wind-down of the ecommerce operations, for at least the next twelve months from the date of issuance of the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96" w:lineRule="exact"/>
        <w:rPr>
          <w:sz w:val="20"/>
          <w:szCs w:val="20"/>
          <w:color w:val="auto"/>
        </w:rPr>
      </w:pPr>
    </w:p>
    <w:p>
      <w:pPr>
        <w:ind w:right="40" w:firstLine="761"/>
        <w:spacing w:after="0" w:line="258" w:lineRule="auto"/>
        <w:rPr>
          <w:sz w:val="20"/>
          <w:szCs w:val="20"/>
          <w:color w:val="auto"/>
        </w:rPr>
      </w:pPr>
      <w:r>
        <w:rPr>
          <w:rFonts w:ascii="Arial" w:cs="Arial" w:eastAsia="Arial" w:hAnsi="Arial"/>
          <w:sz w:val="17"/>
          <w:szCs w:val="17"/>
          <w:color w:val="auto"/>
        </w:rPr>
        <w:t>Basic and diluted net loss per share attributable to common stockholders is presented in conformity with the two-class method required for participating securities. Under the two-class method, net loss is attributed to common stockholders and participating securities based on their participation rights. Under the two-class method, the net loss attributable to common stockholders is not allocated to the preferred stock as the holders of the Company’s preferred stock do not have a contractual obligation to share in the Company’s losses. Under the two-class method, basic net loss per share attributable to common stockholders is computed by dividing the net loss attributable to common stockholders by the weighted-average number of shares of common stock outstanding during the period. For periods in which the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96" w:lineRule="exact"/>
        <w:rPr>
          <w:sz w:val="20"/>
          <w:szCs w:val="20"/>
          <w:color w:val="auto"/>
        </w:rPr>
      </w:pPr>
    </w:p>
    <w:p>
      <w:pPr>
        <w:jc w:val="both"/>
        <w:ind w:right="60" w:firstLine="761"/>
        <w:spacing w:after="0" w:line="24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 guidance including the elimination of certain exceptions related to the approach for intraperiod tax allocation, the methodology for calculating income taxes in an interim period and the recognition of deferred tax liabilities for outside basis differences. The Company adopted the guidance on January 1, 2021 which did not have a material impact on the Company’s consolidated financial statements and related disclosures.</w:t>
      </w:r>
    </w:p>
    <w:p>
      <w:pPr>
        <w:spacing w:after="0" w:line="166"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w:t>
      </w:r>
      <w:r>
        <w:rPr>
          <w:rFonts w:ascii="Arial" w:cs="Arial" w:eastAsia="Arial" w:hAnsi="Arial"/>
          <w:sz w:val="17"/>
          <w:szCs w:val="17"/>
          <w:color w:val="auto"/>
        </w:rPr>
        <w:t xml:space="preserve"> – </w:t>
      </w:r>
      <w:r>
        <w:rPr>
          <w:rFonts w:ascii="Arial" w:cs="Arial" w:eastAsia="Arial" w:hAnsi="Arial"/>
          <w:sz w:val="17"/>
          <w:szCs w:val="17"/>
          <w:i w:val="1"/>
          <w:iCs w:val="1"/>
          <w:color w:val="auto"/>
        </w:rPr>
        <w:t>Debt with Conversion and Other Options (Subtopic 470-20) and 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Hedging </w:t>
      </w:r>
      <w:r>
        <w:rPr>
          <w:rFonts w:ascii="Arial" w:cs="Arial" w:eastAsia="Arial" w:hAnsi="Arial"/>
          <w:sz w:val="17"/>
          <w:szCs w:val="17"/>
          <w:color w:val="auto"/>
        </w:rPr>
        <w:t>–</w:t>
      </w:r>
      <w:r>
        <w:rPr>
          <w:rFonts w:ascii="Arial" w:cs="Arial" w:eastAsia="Arial" w:hAnsi="Arial"/>
          <w:sz w:val="17"/>
          <w:szCs w:val="17"/>
          <w:i w:val="1"/>
          <w:iCs w:val="1"/>
          <w:color w:val="auto"/>
        </w:rPr>
        <w:t xml:space="preserve"> Contracts in Entity’s Own Equity (Subtopic 815-40): Accounting for Convertible Instruments and Contracts in an Entity’s Own</w:t>
      </w:r>
    </w:p>
    <w:p>
      <w:pPr>
        <w:spacing w:after="0" w:line="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Equity</w:t>
      </w:r>
      <w:r>
        <w:rPr>
          <w:rFonts w:ascii="Arial" w:cs="Arial" w:eastAsia="Arial" w:hAnsi="Arial"/>
          <w:sz w:val="18"/>
          <w:szCs w:val="18"/>
          <w:color w:val="auto"/>
        </w:rPr>
        <w:t>, which simplifies the issuer’s accounting for convertible debt instruments and amended certain guidance related to the computation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earnings per share for convertible instruments and contracts in an entity’s own equity. The Company early adopted the new guidance effective January 1, 2021. There was no impact on the date of adoption. During the year ended December 31, 2021, the Company issued convertible notes. Refer to Note 13 – Long Term Debt for further discussion.</w:t>
      </w:r>
    </w:p>
    <w:p>
      <w:pPr>
        <w:spacing w:after="0" w:line="169" w:lineRule="exact"/>
        <w:rPr>
          <w:sz w:val="20"/>
          <w:szCs w:val="20"/>
          <w:color w:val="auto"/>
        </w:rPr>
      </w:pPr>
    </w:p>
    <w:p>
      <w:pPr>
        <w:ind w:right="20" w:firstLine="761"/>
        <w:spacing w:after="0" w:line="246"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Contracts with Customers</w:t>
      </w:r>
      <w:r>
        <w:rPr>
          <w:rFonts w:ascii="Arial" w:cs="Arial" w:eastAsia="Arial" w:hAnsi="Arial"/>
          <w:sz w:val="18"/>
          <w:szCs w:val="18"/>
          <w:color w:val="auto"/>
        </w:rPr>
        <w:t>, which requires contract assets and contract liabilities acquired in a business combination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accordance with Topic 606 as if the acquirer had originated the contracts. The Company adopted the guidance on January 1, 2023, which did not have a material impact on the Company's consolidated financial statements and related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196" w:lineRule="exact"/>
        <w:rPr>
          <w:sz w:val="20"/>
          <w:szCs w:val="20"/>
          <w:color w:val="auto"/>
        </w:rPr>
      </w:pPr>
    </w:p>
    <w:p>
      <w:pPr>
        <w:ind w:right="20" w:firstLine="761"/>
        <w:spacing w:after="0" w:line="241"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 Improvements to Reportable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which requires disclosure of incremental segment information on an annual and interim basis, primarily through enhanced</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of significant segment expenses. The guidance will be effective for fiscal years beginning after December 15, 2023, and interim periods within fiscal years beginning after December 15, 2024 and requires retrospective application to all periods presented upon adoption, with early adoption permitted. The Company is currently evaluating the impact that the adoption of this guidance will have on its consolidated financial statements and related disclosures.</w:t>
      </w:r>
    </w:p>
    <w:p>
      <w:pPr>
        <w:spacing w:after="0" w:line="169" w:lineRule="exact"/>
        <w:rPr>
          <w:sz w:val="20"/>
          <w:szCs w:val="20"/>
          <w:color w:val="auto"/>
        </w:rPr>
      </w:pPr>
    </w:p>
    <w:p>
      <w:pPr>
        <w:ind w:right="100" w:firstLine="761"/>
        <w:spacing w:after="0" w:line="243"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which requires disclosure of incremental income tax information within the rate reconciliation and expanded disclosures of income taxes paid, among other disclosure requirements. The guidance will be effective for fiscal years beginning after December 15, 2024, with early adoption permitted. The Company is currently evaluating the impact that the adoption of this guidance will have on its consolidated financial statements and related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98" w:lineRule="exact"/>
        <w:rPr>
          <w:sz w:val="20"/>
          <w:szCs w:val="20"/>
          <w:color w:val="auto"/>
        </w:rPr>
      </w:pPr>
    </w:p>
    <w:p>
      <w:pPr>
        <w:ind w:right="120" w:firstLine="761"/>
        <w:spacing w:after="0" w:line="246"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and government fees from customers on behalf of governmental authorities at the time of sale as required. These taxes are accounted for on a net basis and are not included in revenues or cost of sales.</w:t>
      </w:r>
    </w:p>
    <w:p>
      <w:pPr>
        <w:spacing w:after="0" w:line="163" w:lineRule="exact"/>
        <w:rPr>
          <w:sz w:val="20"/>
          <w:szCs w:val="20"/>
          <w:color w:val="auto"/>
        </w:rPr>
      </w:pPr>
    </w:p>
    <w:p>
      <w:pPr>
        <w:ind w:right="540" w:firstLine="761"/>
        <w:spacing w:after="0" w:line="271" w:lineRule="auto"/>
        <w:rPr>
          <w:sz w:val="20"/>
          <w:szCs w:val="20"/>
          <w:color w:val="auto"/>
        </w:rPr>
      </w:pPr>
      <w:r>
        <w:rPr>
          <w:rFonts w:ascii="Arial" w:cs="Arial" w:eastAsia="Arial" w:hAnsi="Arial"/>
          <w:sz w:val="18"/>
          <w:szCs w:val="18"/>
          <w:color w:val="auto"/>
        </w:rPr>
        <w:t>The Company’s revenue is disaggregated within the consolidated statements of operations and is generated from customers throughout the United States.</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196"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The Company sold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and document fees stated within the customer contract. Revenue excludes any sales taxes, title and registration fees, and other government fees that are collected from customers.</w:t>
      </w:r>
    </w:p>
    <w:p>
      <w:pPr>
        <w:spacing w:after="0" w:line="171" w:lineRule="exact"/>
        <w:rPr>
          <w:sz w:val="20"/>
          <w:szCs w:val="20"/>
          <w:color w:val="auto"/>
        </w:rPr>
      </w:pPr>
    </w:p>
    <w:p>
      <w:pPr>
        <w:ind w:right="120" w:firstLine="761"/>
        <w:spacing w:after="0" w:line="252" w:lineRule="auto"/>
        <w:rPr>
          <w:sz w:val="20"/>
          <w:szCs w:val="20"/>
          <w:color w:val="auto"/>
        </w:rPr>
      </w:pPr>
      <w:r>
        <w:rPr>
          <w:rFonts w:ascii="Arial" w:cs="Arial" w:eastAsia="Arial" w:hAnsi="Arial"/>
          <w:sz w:val="18"/>
          <w:szCs w:val="18"/>
          <w:color w:val="auto"/>
        </w:rPr>
        <w:t>The Company receives payment for used vehicle sales directly from the customer at the time of sale or arranges financing within a short period of time following the sale. Payments received prior to delivery of used vehicles are recorded as “Deferred revenue” within the consolidated balance sheets.</w:t>
      </w:r>
    </w:p>
    <w:p>
      <w:pPr>
        <w:spacing w:after="0" w:line="157" w:lineRule="exact"/>
        <w:rPr>
          <w:sz w:val="20"/>
          <w:szCs w:val="20"/>
          <w:color w:val="auto"/>
        </w:rPr>
      </w:pPr>
    </w:p>
    <w:p>
      <w:pPr>
        <w:ind w:right="220" w:firstLine="761"/>
        <w:spacing w:after="0" w:line="252" w:lineRule="auto"/>
        <w:rPr>
          <w:sz w:val="20"/>
          <w:szCs w:val="20"/>
          <w:color w:val="auto"/>
        </w:rPr>
      </w:pPr>
      <w:r>
        <w:rPr>
          <w:rFonts w:ascii="Arial" w:cs="Arial" w:eastAsia="Arial" w:hAnsi="Arial"/>
          <w:sz w:val="18"/>
          <w:szCs w:val="18"/>
          <w:color w:val="auto"/>
        </w:rPr>
        <w:t>The Company offers a return program for used vehicle sales and establishes a provision for estimated returns based on historical information and current trends. The reserve for estimated returns is presented gross on the consolidated balance sheets, with an asset recorded in “Prepaid expenses and other current assets” and a refund liability recorded in “Other current liabilities.”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196"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The Company sold vehicles that do not meet its retail sales criteria through wholesale channels. Vehicles sold through wholesale channels are acquired from customers who trade-in their vehicles when making a purchase from the Company, from customers who sell their vehicles to the Company in direct-buy transactions, and from liquidation of vehicles previously listed for retail sale. The transaction price for wholesale vehicles is a fixed amount. The Company satisfies its performance obligation and recognizes revenue for wholesale vehicle sales at a point in time when the vehicle is sold. The transaction price is typically due and collected within a short period of time following the vehicle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96" w:lineRule="exact"/>
        <w:rPr>
          <w:sz w:val="20"/>
          <w:szCs w:val="20"/>
          <w:color w:val="auto"/>
        </w:rPr>
      </w:pPr>
    </w:p>
    <w:p>
      <w:pPr>
        <w:ind w:right="40" w:firstLine="761"/>
        <w:spacing w:after="0" w:line="252" w:lineRule="auto"/>
        <w:rPr>
          <w:sz w:val="20"/>
          <w:szCs w:val="20"/>
          <w:color w:val="auto"/>
        </w:rPr>
      </w:pPr>
      <w:r>
        <w:rPr>
          <w:rFonts w:ascii="Arial" w:cs="Arial" w:eastAsia="Arial" w:hAnsi="Arial"/>
          <w:sz w:val="18"/>
          <w:szCs w:val="18"/>
          <w:color w:val="auto"/>
        </w:rPr>
        <w:t>The Company’s product revenue consists of income from financing vehicle sales for Vroom customers through UACC and fees earned on selling third-party financing and value-added products, such as vehicle service contracts, guaranteed asset protection (“GAP”) and tire and wheel coverage.</w:t>
      </w:r>
    </w:p>
    <w:p>
      <w:pPr>
        <w:spacing w:after="0" w:line="157" w:lineRule="exact"/>
        <w:rPr>
          <w:sz w:val="20"/>
          <w:szCs w:val="20"/>
          <w:color w:val="auto"/>
        </w:rPr>
      </w:pPr>
    </w:p>
    <w:p>
      <w:pPr>
        <w:ind w:right="180" w:firstLine="761"/>
        <w:spacing w:after="0" w:line="246" w:lineRule="auto"/>
        <w:rPr>
          <w:sz w:val="20"/>
          <w:szCs w:val="20"/>
          <w:color w:val="auto"/>
        </w:rPr>
      </w:pPr>
      <w:r>
        <w:rPr>
          <w:rFonts w:ascii="Arial" w:cs="Arial" w:eastAsia="Arial" w:hAnsi="Arial"/>
          <w:sz w:val="18"/>
          <w:szCs w:val="18"/>
          <w:color w:val="auto"/>
        </w:rPr>
        <w:t>As a result of the UACC Acquisition (as defined below), the Company generates ecommerce product revenue by providing Vroom customers with automotive financing solutions through its captive financing operation. The Company earns interest income on finance receivables before they are sold, interest income on finance receivables held in consolidated VIEs and gains on the sale of finance receivables. Refer to Note 4 – Variable Interest Entities and Securitizations.</w:t>
      </w:r>
    </w:p>
    <w:p>
      <w:pPr>
        <w:spacing w:after="0" w:line="163" w:lineRule="exact"/>
        <w:rPr>
          <w:sz w:val="20"/>
          <w:szCs w:val="20"/>
          <w:color w:val="auto"/>
        </w:rPr>
      </w:pPr>
    </w:p>
    <w:p>
      <w:pPr>
        <w:ind w:right="40" w:firstLine="761"/>
        <w:spacing w:after="0" w:line="246" w:lineRule="auto"/>
        <w:rPr>
          <w:sz w:val="20"/>
          <w:szCs w:val="20"/>
          <w:color w:val="auto"/>
        </w:rPr>
      </w:pPr>
      <w:r>
        <w:rPr>
          <w:rFonts w:ascii="Arial" w:cs="Arial" w:eastAsia="Arial" w:hAnsi="Arial"/>
          <w:sz w:val="18"/>
          <w:szCs w:val="18"/>
          <w:color w:val="auto"/>
        </w:rPr>
        <w:t>The Company also sells third-party financing and value-added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163" w:lineRule="exact"/>
        <w:rPr>
          <w:sz w:val="20"/>
          <w:szCs w:val="20"/>
          <w:color w:val="auto"/>
        </w:rPr>
      </w:pPr>
    </w:p>
    <w:p>
      <w:pPr>
        <w:ind w:right="380" w:firstLine="761"/>
        <w:spacing w:after="0" w:line="243"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166" w:lineRule="exact"/>
        <w:rPr>
          <w:sz w:val="20"/>
          <w:szCs w:val="20"/>
          <w:color w:val="auto"/>
        </w:rPr>
      </w:pPr>
    </w:p>
    <w:p>
      <w:pPr>
        <w:ind w:right="560" w:firstLine="761"/>
        <w:spacing w:after="0" w:line="271" w:lineRule="auto"/>
        <w:rPr>
          <w:sz w:val="20"/>
          <w:szCs w:val="20"/>
          <w:color w:val="auto"/>
        </w:rPr>
      </w:pPr>
      <w:r>
        <w:rPr>
          <w:rFonts w:ascii="Arial" w:cs="Arial" w:eastAsia="Arial" w:hAnsi="Arial"/>
          <w:sz w:val="18"/>
          <w:szCs w:val="18"/>
          <w:color w:val="auto"/>
        </w:rPr>
        <w:t>A portion of the fees earned on third-party financing and value-added products is subject to chargebacks in the event of early termination, default, or prepayment of the contracts by end-customers. The Company’s exposure for these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December 31, 2023 and 2022, the Company’s reserve for chargebacks was $6.2 million and $8.2 million, respectively, of which $3.3 million and $4.4 million, respectively, are included within “Accrued expenses” and $2.9 million and $3.8 million, respectively, are included in “Other long-term liabilities.”</w:t>
      </w:r>
    </w:p>
    <w:p>
      <w:pPr>
        <w:spacing w:after="0" w:line="166"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December 31, 2023 and 2022, the Company recognized $20.6 million and $22.5 million, respectively, related to cumulative profit-sharing payments to which it expects to be entitled, of which $2.3 million and $1.6 million, respectively, are included within “Prepaid expenses and other current assets” and $18.3 million and $20.9 million, respectively, are included within “Other assets.”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Revenue</w:t>
      </w:r>
    </w:p>
    <w:p>
      <w:pPr>
        <w:spacing w:after="0" w:line="196" w:lineRule="exact"/>
        <w:rPr>
          <w:sz w:val="20"/>
          <w:szCs w:val="20"/>
          <w:color w:val="auto"/>
        </w:rPr>
      </w:pPr>
    </w:p>
    <w:p>
      <w:pPr>
        <w:ind w:right="20" w:firstLine="761"/>
        <w:spacing w:after="0" w:line="274" w:lineRule="auto"/>
        <w:rPr>
          <w:sz w:val="20"/>
          <w:szCs w:val="20"/>
          <w:color w:val="auto"/>
        </w:rPr>
      </w:pPr>
      <w:r>
        <w:rPr>
          <w:rFonts w:ascii="Arial" w:cs="Arial" w:eastAsia="Arial" w:hAnsi="Arial"/>
          <w:sz w:val="17"/>
          <w:szCs w:val="17"/>
          <w:color w:val="auto"/>
        </w:rPr>
        <w:t>The Company’s finance revenue is related to finance receivables originated by UACC for its network of third-party dealership customers and consists of interest income earned on finance receivables before they are sold, interest income earned on finance receivables held in consolidated VIEs, and gains on the sale of finance receivables. Refer to Note 4 – Variable Interest Entities and Securitizations.</w:t>
      </w:r>
    </w:p>
    <w:p>
      <w:pPr>
        <w:spacing w:after="0" w:line="140" w:lineRule="exact"/>
        <w:rPr>
          <w:sz w:val="20"/>
          <w:szCs w:val="20"/>
          <w:color w:val="auto"/>
        </w:rPr>
      </w:pPr>
    </w:p>
    <w:p>
      <w:pPr>
        <w:ind w:firstLine="761"/>
        <w:spacing w:after="0" w:line="241" w:lineRule="auto"/>
        <w:rPr>
          <w:sz w:val="20"/>
          <w:szCs w:val="20"/>
          <w:color w:val="auto"/>
        </w:rPr>
      </w:pPr>
      <w:r>
        <w:rPr>
          <w:rFonts w:ascii="Arial" w:cs="Arial" w:eastAsia="Arial" w:hAnsi="Arial"/>
          <w:sz w:val="18"/>
          <w:szCs w:val="18"/>
          <w:color w:val="auto"/>
        </w:rPr>
        <w:t>Interest income deemed uncollectible is reversed at the time the finance receivable is charged off. An account is considered delinquent if a scheduled payment has not been received by the date such payment was contractually due.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 Late charges and other fees are calculated at predetermined amounts or percentages of overdue finance receivable balances and are recorded on a cash basis.</w:t>
      </w:r>
    </w:p>
    <w:p>
      <w:pPr>
        <w:spacing w:after="0" w:line="169" w:lineRule="exact"/>
        <w:rPr>
          <w:sz w:val="20"/>
          <w:szCs w:val="20"/>
          <w:color w:val="auto"/>
        </w:rPr>
      </w:pPr>
    </w:p>
    <w:p>
      <w:pPr>
        <w:ind w:right="60" w:firstLine="761"/>
        <w:spacing w:after="0" w:line="243" w:lineRule="auto"/>
        <w:rPr>
          <w:sz w:val="20"/>
          <w:szCs w:val="20"/>
          <w:color w:val="auto"/>
        </w:rPr>
      </w:pPr>
      <w:r>
        <w:rPr>
          <w:rFonts w:ascii="Arial" w:cs="Arial" w:eastAsia="Arial" w:hAnsi="Arial"/>
          <w:sz w:val="18"/>
          <w:szCs w:val="18"/>
          <w:color w:val="auto"/>
        </w:rPr>
        <w:t>Servicing income represents the annual fees earned on the outstanding principal balance of the finance receivables serviced. Fees are earned monthly at an annual rate of approximately 4% for the 2022-1 securitization transaction and 3.25% for the 2022-2 and 2023-1 securitization transactions of the outstanding principal balance of the finance receivables serviced. From January to March 2023, UACC waived the monthly servicing fees related to the 2022-2 securitization transaction, which resulted in consolidation of the 2022-2 VIE. Refer to Note 4 – Variable Interest Entities and Securitizations.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96" w:lineRule="exact"/>
        <w:rPr>
          <w:sz w:val="20"/>
          <w:szCs w:val="20"/>
          <w:color w:val="auto"/>
        </w:rPr>
      </w:pPr>
    </w:p>
    <w:p>
      <w:pPr>
        <w:ind w:right="40" w:firstLine="761"/>
        <w:spacing w:after="0" w:line="252" w:lineRule="auto"/>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Variable Interest Entities and Securitizations</w:t>
      </w:r>
    </w:p>
    <w:p>
      <w:pPr>
        <w:spacing w:after="0" w:line="198" w:lineRule="exact"/>
        <w:rPr>
          <w:sz w:val="20"/>
          <w:szCs w:val="20"/>
          <w:color w:val="auto"/>
        </w:rPr>
      </w:pPr>
    </w:p>
    <w:p>
      <w:pPr>
        <w:ind w:right="60" w:firstLine="761"/>
        <w:spacing w:after="0"/>
        <w:rPr>
          <w:sz w:val="20"/>
          <w:szCs w:val="20"/>
          <w:color w:val="auto"/>
        </w:rPr>
      </w:pPr>
      <w:r>
        <w:rPr>
          <w:rFonts w:ascii="Arial" w:cs="Arial" w:eastAsia="Arial" w:hAnsi="Arial"/>
          <w:sz w:val="18"/>
          <w:szCs w:val="18"/>
          <w:color w:val="auto"/>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20" w:firstLine="761"/>
        <w:spacing w:after="0" w:line="246" w:lineRule="auto"/>
        <w:rPr>
          <w:sz w:val="20"/>
          <w:szCs w:val="20"/>
          <w:color w:val="auto"/>
        </w:rPr>
      </w:pPr>
      <w:r>
        <w:rPr>
          <w:rFonts w:ascii="Arial" w:cs="Arial" w:eastAsia="Arial" w:hAnsi="Arial"/>
          <w:sz w:val="18"/>
          <w:szCs w:val="18"/>
          <w:color w:val="auto"/>
        </w:rPr>
        <w:t>UACC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spacing w:after="0" w:line="163" w:lineRule="exact"/>
        <w:rPr>
          <w:sz w:val="20"/>
          <w:szCs w:val="20"/>
          <w:color w:val="auto"/>
        </w:rPr>
      </w:pPr>
    </w:p>
    <w:p>
      <w:pPr>
        <w:ind w:right="140" w:firstLine="761"/>
        <w:spacing w:after="0" w:line="243" w:lineRule="auto"/>
        <w:rPr>
          <w:sz w:val="20"/>
          <w:szCs w:val="20"/>
          <w:color w:val="auto"/>
        </w:rPr>
      </w:pPr>
      <w:r>
        <w:rPr>
          <w:rFonts w:ascii="Arial" w:cs="Arial" w:eastAsia="Arial" w:hAnsi="Arial"/>
          <w:sz w:val="18"/>
          <w:szCs w:val="18"/>
          <w:color w:val="auto"/>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 In February and July 2022, UACC completed the 2022-1 and 2022-2 securitization transactions, respectively, and in January 2023, UACC completed the 2023-1 securitization transaction.</w:t>
      </w:r>
    </w:p>
    <w:p>
      <w:pPr>
        <w:spacing w:after="0" w:line="166" w:lineRule="exact"/>
        <w:rPr>
          <w:sz w:val="20"/>
          <w:szCs w:val="20"/>
          <w:color w:val="auto"/>
        </w:rPr>
      </w:pPr>
    </w:p>
    <w:p>
      <w:pPr>
        <w:jc w:val="both"/>
        <w:ind w:right="40" w:firstLine="761"/>
        <w:spacing w:after="0" w:line="246" w:lineRule="auto"/>
        <w:rPr>
          <w:sz w:val="20"/>
          <w:szCs w:val="20"/>
          <w:color w:val="auto"/>
        </w:rPr>
      </w:pPr>
      <w:r>
        <w:rPr>
          <w:rFonts w:ascii="Arial" w:cs="Arial" w:eastAsia="Arial" w:hAnsi="Arial"/>
          <w:sz w:val="18"/>
          <w:szCs w:val="18"/>
          <w:color w:val="auto"/>
        </w:rPr>
        <w:t>The securitization trusts established in connection with asset-backed securitization transactions are VIEs. For each VIE that UACC establishes in its role as sponsor of securitization transactions, the Company performs an analysis to determine if it is the primary beneficiary of the VIE. For all securitization transactions consummated prior to the Acquisition Date, the Company consolidated VIEs and accounted for these transactions as secured borrowings.</w:t>
      </w:r>
    </w:p>
    <w:p>
      <w:pPr>
        <w:spacing w:after="0" w:line="163"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spacing w:after="0" w:line="166" w:lineRule="exact"/>
        <w:rPr>
          <w:sz w:val="20"/>
          <w:szCs w:val="20"/>
          <w:color w:val="auto"/>
        </w:rPr>
      </w:pPr>
    </w:p>
    <w:p>
      <w:pPr>
        <w:ind w:right="160" w:firstLine="761"/>
        <w:spacing w:after="0" w:line="243" w:lineRule="auto"/>
        <w:rPr>
          <w:sz w:val="20"/>
          <w:szCs w:val="20"/>
          <w:color w:val="auto"/>
        </w:rPr>
      </w:pPr>
      <w:r>
        <w:rPr>
          <w:rFonts w:ascii="Arial" w:cs="Arial" w:eastAsia="Arial" w:hAnsi="Arial"/>
          <w:sz w:val="18"/>
          <w:szCs w:val="18"/>
          <w:color w:val="auto"/>
        </w:rPr>
        <w:t>In January 2023, UACC completed the 2023-1 securitization transaction, in which it sold approximately $238.7 million of rated asset-backed securities, for proceeds of $237.8 million. In April 2023, UACC sold the non-investment grade securities related to the 2023-1 securitization transaction for $23.1 million. UACC still retains the residual interests related to the 2023-1 securitization transaction. The trust is collateralized by finance receivables with an aggregate principal balance of $326.4 million. These finance receivables are serviced by UACC. The Company consolidated the 2023-1 VIE and accounted for this transaction as a secured borrowing.</w:t>
      </w:r>
    </w:p>
    <w:p>
      <w:pPr>
        <w:spacing w:after="0" w:line="166" w:lineRule="exact"/>
        <w:rPr>
          <w:sz w:val="20"/>
          <w:szCs w:val="20"/>
          <w:color w:val="auto"/>
        </w:rPr>
      </w:pPr>
    </w:p>
    <w:p>
      <w:pPr>
        <w:ind w:right="40" w:firstLine="761"/>
        <w:spacing w:after="0" w:line="241" w:lineRule="auto"/>
        <w:rPr>
          <w:sz w:val="20"/>
          <w:szCs w:val="20"/>
          <w:color w:val="auto"/>
        </w:rPr>
      </w:pPr>
      <w:r>
        <w:rPr>
          <w:rFonts w:ascii="Arial" w:cs="Arial" w:eastAsia="Arial" w:hAnsi="Arial"/>
          <w:sz w:val="18"/>
          <w:szCs w:val="18"/>
          <w:color w:val="auto"/>
        </w:rPr>
        <w:t>UACC is the primary beneficiary of the 2021-1 and 2023-1 securitization trusts, as it has both the power to direct the activities that most significantly impact the entity’s economic performance and the obligation to absorb losses or the right to receive benefits from the entity that could potentially be significant to the VIE. UACC also retained a portion of the economic interests in the 2021-1 and 2023-1 asset-backed securitization transactions, in the form of residual interests in accordance with Regulation RR of the Dodd-Frank Wall Street Reform and Consumer Protection Act of 2010 (the "Risk Retention Rules"). The Risk Retention Rules require the Company to retain at least 5% of the beneficial interests issued by the securitization trusts. Refer to Note 13 – Long Term Debt for further details.</w:t>
      </w:r>
    </w:p>
    <w:p>
      <w:pPr>
        <w:spacing w:after="0" w:line="169" w:lineRule="exact"/>
        <w:rPr>
          <w:sz w:val="20"/>
          <w:szCs w:val="20"/>
          <w:color w:val="auto"/>
        </w:rPr>
      </w:pPr>
    </w:p>
    <w:p>
      <w:pPr>
        <w:ind w:right="20" w:firstLine="764"/>
        <w:spacing w:after="0" w:line="238" w:lineRule="auto"/>
        <w:rPr>
          <w:sz w:val="20"/>
          <w:szCs w:val="20"/>
          <w:color w:val="auto"/>
        </w:rPr>
      </w:pPr>
      <w:r>
        <w:rPr>
          <w:rFonts w:ascii="Arial" w:cs="Arial" w:eastAsia="Arial" w:hAnsi="Arial"/>
          <w:sz w:val="18"/>
          <w:szCs w:val="18"/>
          <w:color w:val="auto"/>
        </w:rPr>
        <w:t>In July 2022, UACC sold a pool of finance receivables in the 2022-2 securitization transaction. UACC retained the servicing rights to these finance receivables and receives an "at market" servicing fee. UACC retained an insignificant amount of the asset-backed securities issued in the securitization in order to comply with risk retention rules. Originally, the Company concluded that it is not the primary beneficiary of the 2022-2 securitization trust because UACC retained interests in the VIE are insignificant. Therefore, the Company did not originally consolidate the 2022-2 trust. From January to March 2023, although not contractually required, UACC elected to waive its servicing fee on the 2022-2 securitization, due to higher-than-expected losses, which transferred more than an insignificant portion of the corresponding risk of loss from the VIE to the Company. Since UACC has the power to direct the significant activities of the VIE, as it is the servicer, and additionally it absorbs the risk of loss, the Company concluded that it is the primary beneficiary of the VIE. In March 2023, the Company accounted for the transaction as secured borrowings and consolidated the 2022-2 securitization trust. The beneficial interest was then eliminated.</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80" w:firstLine="764"/>
        <w:spacing w:after="0" w:line="241" w:lineRule="auto"/>
        <w:rPr>
          <w:sz w:val="20"/>
          <w:szCs w:val="20"/>
          <w:color w:val="auto"/>
        </w:rPr>
      </w:pPr>
      <w:r>
        <w:rPr>
          <w:rFonts w:ascii="Arial" w:cs="Arial" w:eastAsia="Arial" w:hAnsi="Arial"/>
          <w:sz w:val="18"/>
          <w:szCs w:val="18"/>
          <w:color w:val="auto"/>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consolidated income statement. The 2021-1, 2022-2, and 2023-1 securitization trusts consolidated by UACC meet the definition of a CFE, therefore, the Company has elected to apply the measurement alternative when consolidating these VIEs. Refer to Note 17 – Financial Instruments and Fair Value Measurements for further detail.</w:t>
      </w:r>
    </w:p>
    <w:p>
      <w:pPr>
        <w:spacing w:after="0" w:line="169" w:lineRule="exact"/>
        <w:rPr>
          <w:sz w:val="20"/>
          <w:szCs w:val="20"/>
          <w:color w:val="auto"/>
        </w:rPr>
      </w:pPr>
    </w:p>
    <w:p>
      <w:pPr>
        <w:jc w:val="both"/>
        <w:ind w:right="140" w:firstLine="764"/>
        <w:spacing w:after="0" w:line="255" w:lineRule="auto"/>
        <w:rPr>
          <w:sz w:val="20"/>
          <w:szCs w:val="20"/>
          <w:color w:val="auto"/>
        </w:rPr>
      </w:pPr>
      <w:r>
        <w:rPr>
          <w:rFonts w:ascii="Arial" w:cs="Arial" w:eastAsia="Arial" w:hAnsi="Arial"/>
          <w:sz w:val="17"/>
          <w:szCs w:val="17"/>
          <w:color w:val="auto"/>
        </w:rPr>
        <w:t>UACC has four 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These trusts are consolidated VIEs. Refer to Note 11 – Warehouse Credit Facilities of Consolidated VIEs for further details on the warehouse facilities.</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jc w:val="both"/>
        <w:ind w:right="20" w:firstLine="764"/>
        <w:spacing w:after="0" w:line="252" w:lineRule="auto"/>
        <w:rPr>
          <w:sz w:val="20"/>
          <w:szCs w:val="20"/>
          <w:color w:val="auto"/>
        </w:rPr>
      </w:pPr>
      <w:r>
        <w:rPr>
          <w:rFonts w:ascii="Arial" w:cs="Arial" w:eastAsia="Arial" w:hAnsi="Arial"/>
          <w:sz w:val="18"/>
          <w:szCs w:val="18"/>
          <w:color w:val="auto"/>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the Company's variable interests in consolidated VIEs, as classified in the consolidated balance sheets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3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jc w:val="center"/>
              <w:ind w:right="232"/>
              <w:spacing w:after="0" w:line="142" w:lineRule="exact"/>
              <w:rPr>
                <w:sz w:val="20"/>
                <w:szCs w:val="20"/>
                <w:color w:val="auto"/>
              </w:rPr>
            </w:pPr>
            <w:r>
              <w:rPr>
                <w:rFonts w:ascii="Arial" w:cs="Arial" w:eastAsia="Arial" w:hAnsi="Arial"/>
                <w:sz w:val="14"/>
                <w:szCs w:val="14"/>
                <w:b w:val="1"/>
                <w:bCs w:val="1"/>
                <w:color w:val="auto"/>
              </w:rPr>
              <w:t>Warehouse</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140" w:type="dxa"/>
            <w:vAlign w:val="bottom"/>
          </w:tcPr>
          <w:p>
            <w:pPr>
              <w:spacing w:after="0"/>
              <w:rPr>
                <w:sz w:val="17"/>
                <w:szCs w:val="17"/>
                <w:color w:val="auto"/>
              </w:rPr>
            </w:pPr>
          </w:p>
        </w:tc>
        <w:tc>
          <w:tcPr>
            <w:tcW w:w="17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Securitization Vehicles</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192"/>
              <w:spacing w:after="0" w:line="203" w:lineRule="exact"/>
              <w:rPr>
                <w:sz w:val="20"/>
                <w:szCs w:val="20"/>
                <w:color w:val="auto"/>
              </w:rPr>
            </w:pPr>
            <w:r>
              <w:rPr>
                <w:rFonts w:ascii="Arial" w:cs="Arial" w:eastAsia="Arial" w:hAnsi="Arial"/>
                <w:sz w:val="14"/>
                <w:szCs w:val="14"/>
                <w:b w:val="1"/>
                <w:bCs w:val="1"/>
                <w:color w:val="auto"/>
                <w:w w:val="98"/>
              </w:rPr>
              <w:t>Facilities</w:t>
            </w:r>
            <w:r>
              <w:rPr>
                <w:rFonts w:ascii="Arial" w:cs="Arial" w:eastAsia="Arial" w:hAnsi="Arial"/>
                <w:sz w:val="19"/>
                <w:szCs w:val="19"/>
                <w:b w:val="1"/>
                <w:bCs w:val="1"/>
                <w:color w:val="auto"/>
                <w:w w:val="98"/>
                <w:vertAlign w:val="superscript"/>
              </w:rPr>
              <w:t>1</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62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620" w:type="dxa"/>
            <w:vAlign w:val="bottom"/>
          </w:tcPr>
          <w:p>
            <w:pPr>
              <w:jc w:val="right"/>
              <w:ind w:right="414"/>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28,458</w:t>
            </w:r>
          </w:p>
        </w:tc>
        <w:tc>
          <w:tcPr>
            <w:tcW w:w="6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20,688</w:t>
            </w:r>
          </w:p>
        </w:tc>
        <w:tc>
          <w:tcPr>
            <w:tcW w:w="7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49,146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10,878</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Finance receivables held for sale</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457,185</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457,185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current assets</w:t>
            </w:r>
          </w:p>
        </w:tc>
        <w:tc>
          <w:tcPr>
            <w:tcW w:w="6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12,390</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12,814</w:t>
            </w:r>
          </w:p>
        </w:tc>
        <w:tc>
          <w:tcPr>
            <w:tcW w:w="3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51,726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491,634</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543,360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306,120</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23,499</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329,619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357,846</w:t>
            </w:r>
          </w:p>
        </w:tc>
        <w:tc>
          <w:tcPr>
            <w:tcW w:w="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516,892</w:t>
            </w:r>
          </w:p>
        </w:tc>
        <w:tc>
          <w:tcPr>
            <w:tcW w:w="7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874,738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Current Liabilities:</w:t>
            </w:r>
          </w:p>
        </w:tc>
        <w:tc>
          <w:tcPr>
            <w:tcW w:w="6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securitization debt</w:t>
            </w:r>
          </w:p>
        </w:tc>
        <w:tc>
          <w:tcPr>
            <w:tcW w:w="62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163,516</w:t>
            </w:r>
          </w:p>
        </w:tc>
        <w:tc>
          <w:tcPr>
            <w:tcW w:w="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Warehouse credit facilities</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421,268</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421,268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6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2,674</w:t>
            </w:r>
          </w:p>
        </w:tc>
        <w:tc>
          <w:tcPr>
            <w:tcW w:w="3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164,802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423,942</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588,744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debt, net of current portion</w:t>
            </w: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150,579</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3,248</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7,127</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62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318,629</w:t>
            </w:r>
          </w:p>
        </w:tc>
        <w:tc>
          <w:tcPr>
            <w:tcW w:w="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431,069</w:t>
            </w:r>
          </w:p>
        </w:tc>
        <w:tc>
          <w:tcPr>
            <w:tcW w:w="7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749,698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506"/>
        </w:trPr>
        <w:tc>
          <w:tcPr>
            <w:tcW w:w="5140" w:type="dxa"/>
            <w:vAlign w:val="bottom"/>
            <w:tcBorders>
              <w:top w:val="single" w:sz="8" w:color="CFF0FC"/>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CFF0FC"/>
              <w:bottom w:val="single" w:sz="8" w:color="auto"/>
            </w:tcBorders>
          </w:tcPr>
          <w:p>
            <w:pPr>
              <w:spacing w:after="0"/>
              <w:rPr>
                <w:sz w:val="24"/>
                <w:szCs w:val="24"/>
                <w:color w:val="auto"/>
              </w:rPr>
            </w:pPr>
          </w:p>
        </w:tc>
        <w:tc>
          <w:tcPr>
            <w:tcW w:w="17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340" w:type="dxa"/>
            <w:vAlign w:val="bottom"/>
            <w:tcBorders>
              <w:top w:val="single" w:sz="8" w:color="CFF0FC"/>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jc w:val="center"/>
              <w:ind w:right="232"/>
              <w:spacing w:after="0" w:line="142" w:lineRule="exact"/>
              <w:rPr>
                <w:sz w:val="20"/>
                <w:szCs w:val="20"/>
                <w:color w:val="auto"/>
              </w:rPr>
            </w:pPr>
            <w:r>
              <w:rPr>
                <w:rFonts w:ascii="Arial" w:cs="Arial" w:eastAsia="Arial" w:hAnsi="Arial"/>
                <w:sz w:val="14"/>
                <w:szCs w:val="14"/>
                <w:b w:val="1"/>
                <w:bCs w:val="1"/>
                <w:color w:val="auto"/>
              </w:rPr>
              <w:t>Warehouse</w:t>
            </w: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5140" w:type="dxa"/>
            <w:vAlign w:val="bottom"/>
            <w:vMerge w:val="restart"/>
          </w:tcPr>
          <w:p>
            <w:pPr>
              <w:ind w:left="20"/>
              <w:spacing w:after="0"/>
              <w:rPr>
                <w:sz w:val="20"/>
                <w:szCs w:val="20"/>
                <w:color w:val="auto"/>
              </w:rPr>
            </w:pPr>
            <w:r>
              <w:rPr>
                <w:rFonts w:ascii="Arial" w:cs="Arial" w:eastAsia="Arial" w:hAnsi="Arial"/>
                <w:sz w:val="18"/>
                <w:szCs w:val="18"/>
                <w:color w:val="auto"/>
              </w:rPr>
              <w:t>Current Assets:</w:t>
            </w:r>
          </w:p>
        </w:tc>
        <w:tc>
          <w:tcPr>
            <w:tcW w:w="17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Securitization Vehicles</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jc w:val="center"/>
              <w:ind w:right="192"/>
              <w:spacing w:after="0" w:line="203" w:lineRule="exact"/>
              <w:rPr>
                <w:sz w:val="20"/>
                <w:szCs w:val="20"/>
                <w:color w:val="auto"/>
              </w:rPr>
            </w:pPr>
            <w:r>
              <w:rPr>
                <w:rFonts w:ascii="Arial" w:cs="Arial" w:eastAsia="Arial" w:hAnsi="Arial"/>
                <w:sz w:val="14"/>
                <w:szCs w:val="14"/>
                <w:b w:val="1"/>
                <w:bCs w:val="1"/>
                <w:color w:val="auto"/>
                <w:w w:val="98"/>
              </w:rPr>
              <w:t>Facilities</w:t>
            </w:r>
            <w:r>
              <w:rPr>
                <w:rFonts w:ascii="Arial" w:cs="Arial" w:eastAsia="Arial" w:hAnsi="Arial"/>
                <w:sz w:val="19"/>
                <w:szCs w:val="19"/>
                <w:b w:val="1"/>
                <w:bCs w:val="1"/>
                <w:color w:val="auto"/>
                <w:w w:val="98"/>
                <w:vertAlign w:val="superscript"/>
              </w:rPr>
              <w:t>1</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62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9,023</w:t>
            </w:r>
          </w:p>
        </w:tc>
        <w:tc>
          <w:tcPr>
            <w:tcW w:w="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15,654</w:t>
            </w:r>
          </w:p>
        </w:tc>
        <w:tc>
          <w:tcPr>
            <w:tcW w:w="7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Finance receivables at fair value</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5,336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6,156</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held for sale</w:t>
            </w: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305,917</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9,004</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17,089</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336,731</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Finance receivables at fair value</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72,568</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47,024</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62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89,657</w:t>
            </w:r>
          </w:p>
        </w:tc>
        <w:tc>
          <w:tcPr>
            <w:tcW w:w="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383,755</w:t>
            </w:r>
          </w:p>
        </w:tc>
        <w:tc>
          <w:tcPr>
            <w:tcW w:w="7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473,412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Current Liabilities:</w:t>
            </w:r>
          </w:p>
        </w:tc>
        <w:tc>
          <w:tcPr>
            <w:tcW w:w="6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securitization debt</w:t>
            </w:r>
          </w:p>
        </w:tc>
        <w:tc>
          <w:tcPr>
            <w:tcW w:w="620" w:type="dxa"/>
            <w:vAlign w:val="bottom"/>
            <w:shd w:val="clear" w:color="auto" w:fill="CFF0FC"/>
          </w:tcPr>
          <w:p>
            <w:pPr>
              <w:jc w:val="right"/>
              <w:ind w:right="41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47,239</w:t>
            </w:r>
          </w:p>
        </w:tc>
        <w:tc>
          <w:tcPr>
            <w:tcW w:w="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Warehouse credit facilities</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229,518</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229,518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6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1,439</w:t>
            </w:r>
          </w:p>
        </w:tc>
        <w:tc>
          <w:tcPr>
            <w:tcW w:w="3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47,329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230,957</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debt, net of current portion</w:t>
            </w:r>
          </w:p>
        </w:tc>
        <w:tc>
          <w:tcPr>
            <w:tcW w:w="6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32,590</w:t>
            </w: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w:t>
            </w:r>
          </w:p>
        </w:tc>
        <w:tc>
          <w:tcPr>
            <w:tcW w:w="3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w:t>
            </w:r>
          </w:p>
        </w:tc>
        <w:tc>
          <w:tcPr>
            <w:tcW w:w="3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620" w:type="dxa"/>
            <w:vAlign w:val="bottom"/>
            <w:tcBorders>
              <w:bottom w:val="single" w:sz="8" w:color="auto"/>
            </w:tcBorders>
            <w:shd w:val="clear" w:color="auto" w:fill="CFF0FC"/>
          </w:tcPr>
          <w:p>
            <w:pPr>
              <w:jc w:val="right"/>
              <w:ind w:right="414"/>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80,605</w:t>
            </w:r>
          </w:p>
        </w:tc>
        <w:tc>
          <w:tcPr>
            <w:tcW w:w="3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237,681</w:t>
            </w:r>
          </w:p>
        </w:tc>
        <w:tc>
          <w:tcPr>
            <w:tcW w:w="34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318,286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-4820285</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-4820285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-4820285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-4220845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-4203700</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-4220845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-4203700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-4220845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-4203700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-3612515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-3612515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-3612515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-3013075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-2995930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-3013075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-2995930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-3013075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-2995930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-1232535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-1215390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-1232535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-1215390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-1232535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-624205</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-624205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-24765</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-7620</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-24765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2" w:lineRule="exact"/>
        <w:rPr>
          <w:sz w:val="20"/>
          <w:szCs w:val="20"/>
          <w:color w:val="auto"/>
        </w:rPr>
      </w:pPr>
    </w:p>
    <w:p>
      <w:pPr>
        <w:ind w:left="760"/>
        <w:spacing w:after="0"/>
        <w:rPr>
          <w:sz w:val="20"/>
          <w:szCs w:val="20"/>
          <w:color w:val="auto"/>
        </w:rPr>
      </w:pPr>
      <w:r>
        <w:rPr>
          <w:rFonts w:ascii="Arial" w:cs="Arial" w:eastAsia="Arial" w:hAnsi="Arial"/>
          <w:sz w:val="12"/>
          <w:szCs w:val="12"/>
          <w:color w:val="auto"/>
        </w:rPr>
        <w:t>1 Refer to Note 11 – Warehouse Credit Facilities of Consolidated VIEs for further details of the warehouse facilities.</w:t>
      </w:r>
    </w:p>
    <w:p>
      <w:pPr>
        <w:spacing w:after="0" w:line="234" w:lineRule="exact"/>
        <w:rPr>
          <w:sz w:val="20"/>
          <w:szCs w:val="20"/>
          <w:color w:val="auto"/>
        </w:rPr>
      </w:pPr>
    </w:p>
    <w:p>
      <w:pPr>
        <w:jc w:val="both"/>
        <w:ind w:right="340" w:firstLine="761"/>
        <w:spacing w:after="0" w:line="246" w:lineRule="auto"/>
        <w:rPr>
          <w:sz w:val="20"/>
          <w:szCs w:val="20"/>
          <w:color w:val="auto"/>
        </w:rPr>
      </w:pPr>
      <w:r>
        <w:rPr>
          <w:rFonts w:ascii="Arial" w:cs="Arial" w:eastAsia="Arial" w:hAnsi="Arial"/>
          <w:sz w:val="18"/>
          <w:szCs w:val="18"/>
          <w:color w:val="auto"/>
        </w:rPr>
        <w:t>UACC establishes securitization trusts to purchase finance receivables. The securitization trusts issue asset-backed securities, which are collateralized by the finance receivables that UACC sells to the securitization trusts. Upon sale of the finance receivables to the securitization trusts, the Company recognizes a gain or loss on sales of finance receivables if it determines it qualifies for sale accounting treatment and it is not the primary beneficiary of the VIE.</w:t>
      </w:r>
    </w:p>
    <w:p>
      <w:pPr>
        <w:spacing w:after="0" w:line="163" w:lineRule="exact"/>
        <w:rPr>
          <w:sz w:val="20"/>
          <w:szCs w:val="20"/>
          <w:color w:val="auto"/>
        </w:rPr>
      </w:pPr>
    </w:p>
    <w:p>
      <w:pPr>
        <w:ind w:right="300" w:firstLine="761"/>
        <w:spacing w:after="0" w:line="271" w:lineRule="auto"/>
        <w:rPr>
          <w:sz w:val="20"/>
          <w:szCs w:val="20"/>
          <w:color w:val="auto"/>
        </w:rPr>
      </w:pPr>
      <w:r>
        <w:rPr>
          <w:rFonts w:ascii="Arial" w:cs="Arial" w:eastAsia="Arial" w:hAnsi="Arial"/>
          <w:sz w:val="18"/>
          <w:szCs w:val="18"/>
          <w:color w:val="auto"/>
        </w:rPr>
        <w:t>In February 2022, UACC sold a pool of finance receivables in the 2022-1 securitization transaction. UACC retained the servicing rights to these finance receivables and receives an "at market" servicing fee. UACC retained an</w:t>
      </w:r>
    </w:p>
    <w:p>
      <w:pPr>
        <w:sectPr>
          <w:pgSz w:w="11900" w:h="16838" w:orient="portrait"/>
          <w:cols w:equalWidth="0" w:num="1">
            <w:col w:w="11240"/>
          </w:cols>
          <w:pgMar w:left="320" w:top="768" w:right="3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insignificant amount of the asset-backed securities issued in the securitization in order to comply with Risk Retention Rules. The 2022-1 securitization trust is a VIE that the Company does not consolidate. As the servicer, UACC retained the power to direct the activities that are most significant to the entities, however, the Company concluded that it is not the primary beneficiary of the 2022-1 securitization trust because UACC retained interests in the VIE are insignificant. The beneficial interest retained by UACC included rated notes and unrated residual certificates issued by the 2022-1 securitization trust.</w:t>
      </w:r>
    </w:p>
    <w:p>
      <w:pPr>
        <w:spacing w:after="0" w:line="166" w:lineRule="exact"/>
        <w:rPr>
          <w:sz w:val="20"/>
          <w:szCs w:val="20"/>
          <w:color w:val="auto"/>
        </w:rPr>
      </w:pPr>
    </w:p>
    <w:p>
      <w:pPr>
        <w:ind w:right="340" w:firstLine="761"/>
        <w:spacing w:after="0" w:line="271" w:lineRule="auto"/>
        <w:rPr>
          <w:sz w:val="20"/>
          <w:szCs w:val="20"/>
          <w:color w:val="auto"/>
        </w:rPr>
      </w:pPr>
      <w:r>
        <w:rPr>
          <w:rFonts w:ascii="Arial" w:cs="Arial" w:eastAsia="Arial" w:hAnsi="Arial"/>
          <w:sz w:val="18"/>
          <w:szCs w:val="18"/>
          <w:color w:val="auto"/>
        </w:rPr>
        <w:t>In July 2022, UACC completed the 2022-2 securitization transaction, as discussed above, and recognized a gain on sale for the year ended December 31, 2022.</w:t>
      </w:r>
    </w:p>
    <w:p>
      <w:pPr>
        <w:spacing w:after="0" w:line="139" w:lineRule="exact"/>
        <w:rPr>
          <w:sz w:val="20"/>
          <w:szCs w:val="20"/>
          <w:color w:val="auto"/>
        </w:rPr>
      </w:pPr>
    </w:p>
    <w:p>
      <w:pPr>
        <w:ind w:right="160" w:firstLine="761"/>
        <w:spacing w:after="0" w:line="252" w:lineRule="auto"/>
        <w:rPr>
          <w:sz w:val="20"/>
          <w:szCs w:val="20"/>
          <w:color w:val="auto"/>
        </w:rPr>
      </w:pPr>
      <w:r>
        <w:rPr>
          <w:rFonts w:ascii="Arial" w:cs="Arial" w:eastAsia="Arial" w:hAnsi="Arial"/>
          <w:sz w:val="18"/>
          <w:szCs w:val="18"/>
          <w:color w:val="auto"/>
        </w:rPr>
        <w:t>During the year ended December 31, 2022, the Company sold $523.7 million of rated asset-backed securities and $49.6 million of residual certificates through securitization transactions. The total gain related to finance receivables sold pursuant to securitization transactions was $45.6 million for the year ended December 31, 2022.</w:t>
      </w:r>
    </w:p>
    <w:p>
      <w:pPr>
        <w:spacing w:after="0" w:line="157" w:lineRule="exact"/>
        <w:rPr>
          <w:sz w:val="20"/>
          <w:szCs w:val="20"/>
          <w:color w:val="auto"/>
        </w:rPr>
      </w:pPr>
    </w:p>
    <w:p>
      <w:pPr>
        <w:ind w:right="60" w:firstLine="761"/>
        <w:spacing w:after="0" w:line="241" w:lineRule="auto"/>
        <w:rPr>
          <w:sz w:val="20"/>
          <w:szCs w:val="20"/>
          <w:color w:val="auto"/>
        </w:rPr>
      </w:pPr>
      <w:r>
        <w:rPr>
          <w:rFonts w:ascii="Arial" w:cs="Arial" w:eastAsia="Arial" w:hAnsi="Arial"/>
          <w:sz w:val="18"/>
          <w:szCs w:val="18"/>
          <w:color w:val="auto"/>
        </w:rPr>
        <w:t>As of December 31, 2023 and 2022, the assets UACC retains in the unconsolidated VIEs were approximately $4.5 million and $20.6 million, respectively, and are included in "Beneficial interests in securitizations" in the Company's consolidated balance sheet. The beneficial interests in securitizations are subject to restrictions on transfer pursuant to UACC’s obligations as a sponsor under Risk Retention Rules. These securities are interests in securitization trusts, thus there are no contractual maturities. In the year ended December 31, 2023, the Company entered into a Risk Retention Financing Facility to finance the majority of its retained beneficial interests in securitizations. Refer to Note 13 – Long Term Debt for further detail.</w:t>
      </w:r>
    </w:p>
    <w:p>
      <w:pPr>
        <w:spacing w:after="0" w:line="169" w:lineRule="exact"/>
        <w:rPr>
          <w:sz w:val="20"/>
          <w:szCs w:val="20"/>
          <w:color w:val="auto"/>
        </w:rPr>
      </w:pPr>
    </w:p>
    <w:p>
      <w:pPr>
        <w:ind w:right="420" w:firstLine="761"/>
        <w:spacing w:after="0" w:line="271" w:lineRule="auto"/>
        <w:rPr>
          <w:sz w:val="20"/>
          <w:szCs w:val="20"/>
          <w:color w:val="auto"/>
        </w:rPr>
      </w:pPr>
      <w:r>
        <w:rPr>
          <w:rFonts w:ascii="Arial" w:cs="Arial" w:eastAsia="Arial" w:hAnsi="Arial"/>
          <w:sz w:val="18"/>
          <w:szCs w:val="18"/>
          <w:color w:val="auto"/>
        </w:rPr>
        <w:t>The following table summarizes the amortized cost, the carrying amount, which is the fair value, and the maximum exposure to losses of UACC's assets related to unconsolidated VIEs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jc w:val="right"/>
              <w:ind w:right="248"/>
              <w:spacing w:after="0"/>
              <w:rPr>
                <w:sz w:val="20"/>
                <w:szCs w:val="20"/>
                <w:color w:val="auto"/>
              </w:rPr>
            </w:pPr>
            <w:r>
              <w:rPr>
                <w:rFonts w:ascii="Arial" w:cs="Arial" w:eastAsia="Arial" w:hAnsi="Arial"/>
                <w:sz w:val="14"/>
                <w:szCs w:val="14"/>
                <w:b w:val="1"/>
                <w:bCs w:val="1"/>
                <w:color w:val="auto"/>
              </w:rPr>
              <w:t>As of December 31, 2022</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2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18"/>
              <w:spacing w:after="0" w:line="159" w:lineRule="exact"/>
              <w:rPr>
                <w:sz w:val="20"/>
                <w:szCs w:val="20"/>
                <w:color w:val="auto"/>
              </w:rPr>
            </w:pPr>
            <w:r>
              <w:rPr>
                <w:rFonts w:ascii="Arial" w:cs="Arial" w:eastAsia="Arial" w:hAnsi="Arial"/>
                <w:sz w:val="14"/>
                <w:szCs w:val="14"/>
                <w:b w:val="1"/>
                <w:bCs w:val="1"/>
                <w:color w:val="auto"/>
              </w:rPr>
              <w:t>Aggregate</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center"/>
              <w:ind w:right="119"/>
              <w:spacing w:after="0" w:line="159" w:lineRule="exact"/>
              <w:rPr>
                <w:sz w:val="20"/>
                <w:szCs w:val="20"/>
                <w:color w:val="auto"/>
              </w:rPr>
            </w:pPr>
            <w:r>
              <w:rPr>
                <w:rFonts w:ascii="Arial" w:cs="Arial" w:eastAsia="Arial" w:hAnsi="Arial"/>
                <w:sz w:val="14"/>
                <w:szCs w:val="14"/>
                <w:b w:val="1"/>
                <w:bCs w:val="1"/>
                <w:color w:val="auto"/>
              </w:rPr>
              <w:t>Aggregate</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18"/>
              <w:spacing w:after="0"/>
              <w:rPr>
                <w:sz w:val="20"/>
                <w:szCs w:val="20"/>
                <w:color w:val="auto"/>
              </w:rPr>
            </w:pPr>
            <w:r>
              <w:rPr>
                <w:rFonts w:ascii="Arial" w:cs="Arial" w:eastAsia="Arial" w:hAnsi="Arial"/>
                <w:sz w:val="14"/>
                <w:szCs w:val="14"/>
                <w:b w:val="1"/>
                <w:bCs w:val="1"/>
                <w:color w:val="auto"/>
              </w:rPr>
              <w:t>Principal</w:t>
            </w: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19"/>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2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Exposure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 Exposure</w:t>
            </w:r>
          </w:p>
        </w:tc>
        <w:tc>
          <w:tcPr>
            <w:tcW w:w="100" w:type="dxa"/>
            <w:vAlign w:val="bottom"/>
          </w:tcPr>
          <w:p>
            <w:pPr>
              <w:spacing w:after="0"/>
              <w:rPr>
                <w:sz w:val="16"/>
                <w:szCs w:val="16"/>
                <w:color w:val="auto"/>
              </w:rPr>
            </w:pPr>
          </w:p>
        </w:tc>
      </w:tr>
      <w:tr>
        <w:trPr>
          <w:trHeight w:val="223"/>
        </w:trPr>
        <w:tc>
          <w:tcPr>
            <w:tcW w:w="2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Rated notes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68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4,345</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19,233</w:t>
            </w:r>
          </w:p>
        </w:tc>
        <w:tc>
          <w:tcPr>
            <w:tcW w:w="58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18,664</w:t>
            </w:r>
          </w:p>
        </w:tc>
        <w:tc>
          <w:tcPr>
            <w:tcW w:w="6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18,664</w:t>
            </w:r>
          </w:p>
        </w:tc>
        <w:tc>
          <w:tcPr>
            <w:tcW w:w="100" w:type="dxa"/>
            <w:vAlign w:val="bottom"/>
            <w:shd w:val="clear" w:color="auto" w:fill="CFF0FC"/>
          </w:tcPr>
          <w:p>
            <w:pPr>
              <w:spacing w:after="0"/>
              <w:rPr>
                <w:sz w:val="19"/>
                <w:szCs w:val="19"/>
                <w:color w:val="auto"/>
              </w:rPr>
            </w:pP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Certificates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9"/>
                <w:szCs w:val="19"/>
                <w:color w:val="auto"/>
              </w:rPr>
            </w:pPr>
          </w:p>
        </w:tc>
      </w:tr>
      <w:tr>
        <w:trPr>
          <w:trHeight w:val="229"/>
        </w:trPr>
        <w:tc>
          <w:tcPr>
            <w:tcW w:w="2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290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4,848</w:t>
            </w:r>
          </w:p>
        </w:tc>
        <w:tc>
          <w:tcPr>
            <w:tcW w:w="6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4,795</w:t>
            </w:r>
          </w:p>
        </w:tc>
        <w:tc>
          <w:tcPr>
            <w:tcW w:w="280" w:type="dxa"/>
            <w:vAlign w:val="bottom"/>
          </w:tcPr>
          <w:p>
            <w:pPr>
              <w:spacing w:after="0"/>
              <w:rPr>
                <w:sz w:val="19"/>
                <w:szCs w:val="19"/>
                <w:color w:val="auto"/>
              </w:rPr>
            </w:pPr>
          </w:p>
        </w:tc>
        <w:tc>
          <w:tcPr>
            <w:tcW w:w="420" w:type="dxa"/>
            <w:vAlign w:val="bottom"/>
          </w:tcPr>
          <w:p>
            <w:pPr>
              <w:jc w:val="right"/>
              <w:ind w:right="216"/>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4,795</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19,543</w:t>
            </w:r>
          </w:p>
        </w:tc>
        <w:tc>
          <w:tcPr>
            <w:tcW w:w="58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20,902</w:t>
            </w:r>
          </w:p>
        </w:tc>
        <w:tc>
          <w:tcPr>
            <w:tcW w:w="6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20,902</w:t>
            </w:r>
          </w:p>
        </w:tc>
        <w:tc>
          <w:tcPr>
            <w:tcW w:w="10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2582545</wp:posOffset>
            </wp:positionH>
            <wp:positionV relativeFrom="paragraph">
              <wp:posOffset>-179070</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3498215</wp:posOffset>
            </wp:positionH>
            <wp:positionV relativeFrom="paragraph">
              <wp:posOffset>-179070</wp:posOffset>
            </wp:positionV>
            <wp:extent cx="768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-179070</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-179070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-179070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60" w:firstLine="761"/>
        <w:spacing w:after="0" w:line="252" w:lineRule="auto"/>
        <w:rPr>
          <w:sz w:val="20"/>
          <w:szCs w:val="20"/>
          <w:color w:val="auto"/>
        </w:rPr>
      </w:pPr>
      <w:r>
        <w:rPr>
          <w:rFonts w:ascii="Arial" w:cs="Arial" w:eastAsia="Arial" w:hAnsi="Arial"/>
          <w:sz w:val="18"/>
          <w:szCs w:val="18"/>
          <w:color w:val="auto"/>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UACC Acquisition</w:t>
      </w:r>
    </w:p>
    <w:p>
      <w:pPr>
        <w:spacing w:after="0" w:line="196" w:lineRule="exact"/>
        <w:rPr>
          <w:sz w:val="20"/>
          <w:szCs w:val="20"/>
          <w:color w:val="auto"/>
        </w:rPr>
      </w:pPr>
    </w:p>
    <w:p>
      <w:pPr>
        <w:ind w:right="60" w:firstLine="749"/>
        <w:spacing w:after="0" w:line="255" w:lineRule="auto"/>
        <w:rPr>
          <w:sz w:val="20"/>
          <w:szCs w:val="20"/>
          <w:color w:val="auto"/>
        </w:rPr>
      </w:pPr>
      <w:r>
        <w:rPr>
          <w:rFonts w:ascii="Arial" w:cs="Arial" w:eastAsia="Arial" w:hAnsi="Arial"/>
          <w:sz w:val="17"/>
          <w:szCs w:val="17"/>
          <w:color w:val="auto"/>
        </w:rPr>
        <w:t>On February 1, 2022, the Company completed the acquisition (the "UACC Acquisition") of 100% of Unitas Holdings Corp., a Delaware corporation, including its wholly owned subsidiaries United PanAm Financial Corp. and UACC. Unitas Holdings Corp. (now known as Vroom Finance Corporation), United PanAm Financial Corp. (now known as Vroom Automotive Financial Corporation) and UACC, as well as their other subsidiaries, are now wholly owned subsidiaries of the Company. This acquisition accelerated the Company's strategy of establishing a captive financing arm and underwriting vehicle financing for its customers, the results of which are included within the Ecommerce reporting segment. UACC will also continue its current operations with its network of third-party dealership customers, including the purchases and servicing of vehicle installment contracts, which constitutes the separate Retail Financing reporting segment. The cash consideration transferred was approximately $315.4 million at the Acquisition Date, inclusive of immaterial measurement period adjustments.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260" w:firstLine="799"/>
        <w:spacing w:after="0" w:line="271" w:lineRule="auto"/>
        <w:rPr>
          <w:sz w:val="20"/>
          <w:szCs w:val="20"/>
          <w:color w:val="auto"/>
        </w:rPr>
      </w:pPr>
      <w:r>
        <w:rPr>
          <w:rFonts w:ascii="Arial" w:cs="Arial" w:eastAsia="Arial" w:hAnsi="Arial"/>
          <w:sz w:val="18"/>
          <w:szCs w:val="18"/>
          <w:color w:val="auto"/>
        </w:rPr>
        <w:t>The following table summarizes the fair value of the identified assets acquired and liabilities assumed as of the Acquisition Date, inclusive of immaterial measurement period adjustments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40" w:type="dxa"/>
            <w:vAlign w:val="bottom"/>
            <w:gridSpan w:val="2"/>
          </w:tcPr>
          <w:p>
            <w:pPr>
              <w:jc w:val="right"/>
              <w:ind w:right="2180"/>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08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3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5,294</w:t>
            </w:r>
          </w:p>
        </w:tc>
        <w:tc>
          <w:tcPr>
            <w:tcW w:w="100" w:type="dxa"/>
            <w:vAlign w:val="bottom"/>
            <w:shd w:val="clear" w:color="auto" w:fill="CFF0FC"/>
          </w:tcPr>
          <w:p>
            <w:pPr>
              <w:spacing w:after="0"/>
              <w:rPr>
                <w:sz w:val="19"/>
                <w:szCs w:val="19"/>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80" w:type="dxa"/>
            <w:vAlign w:val="bottom"/>
          </w:tcPr>
          <w:p>
            <w:pPr>
              <w:spacing w:after="0"/>
              <w:rPr>
                <w:sz w:val="19"/>
                <w:szCs w:val="19"/>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42,631</w:t>
            </w:r>
          </w:p>
        </w:tc>
        <w:tc>
          <w:tcPr>
            <w:tcW w:w="100" w:type="dxa"/>
            <w:vAlign w:val="bottom"/>
          </w:tcPr>
          <w:p>
            <w:pPr>
              <w:spacing w:after="0"/>
              <w:rPr>
                <w:sz w:val="19"/>
                <w:szCs w:val="19"/>
                <w:color w:val="auto"/>
              </w:rPr>
            </w:pP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Finance receivables at fair value</w:t>
            </w:r>
          </w:p>
        </w:tc>
        <w:tc>
          <w:tcPr>
            <w:tcW w:w="1080" w:type="dxa"/>
            <w:vAlign w:val="bottom"/>
            <w:shd w:val="clear" w:color="auto" w:fill="CFF0FC"/>
          </w:tcPr>
          <w:p>
            <w:pPr>
              <w:spacing w:after="0"/>
              <w:rPr>
                <w:sz w:val="19"/>
                <w:szCs w:val="19"/>
                <w:color w:val="auto"/>
              </w:rPr>
            </w:pPr>
          </w:p>
        </w:tc>
        <w:tc>
          <w:tcPr>
            <w:tcW w:w="3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296,927</w:t>
            </w:r>
          </w:p>
        </w:tc>
        <w:tc>
          <w:tcPr>
            <w:tcW w:w="100" w:type="dxa"/>
            <w:vAlign w:val="bottom"/>
            <w:shd w:val="clear" w:color="auto" w:fill="CFF0FC"/>
          </w:tcPr>
          <w:p>
            <w:pPr>
              <w:spacing w:after="0"/>
              <w:rPr>
                <w:sz w:val="19"/>
                <w:szCs w:val="19"/>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Finance receivables, held for sale</w:t>
            </w:r>
          </w:p>
        </w:tc>
        <w:tc>
          <w:tcPr>
            <w:tcW w:w="1080" w:type="dxa"/>
            <w:vAlign w:val="bottom"/>
          </w:tcPr>
          <w:p>
            <w:pPr>
              <w:spacing w:after="0"/>
              <w:rPr>
                <w:sz w:val="19"/>
                <w:szCs w:val="19"/>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263,393</w:t>
            </w:r>
          </w:p>
        </w:tc>
        <w:tc>
          <w:tcPr>
            <w:tcW w:w="100" w:type="dxa"/>
            <w:vAlign w:val="bottom"/>
          </w:tcPr>
          <w:p>
            <w:pPr>
              <w:spacing w:after="0"/>
              <w:rPr>
                <w:sz w:val="19"/>
                <w:szCs w:val="19"/>
                <w:color w:val="auto"/>
              </w:rPr>
            </w:pP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w:t>
            </w:r>
          </w:p>
        </w:tc>
        <w:tc>
          <w:tcPr>
            <w:tcW w:w="1080" w:type="dxa"/>
            <w:vAlign w:val="bottom"/>
            <w:shd w:val="clear" w:color="auto" w:fill="CFF0FC"/>
          </w:tcPr>
          <w:p>
            <w:pPr>
              <w:spacing w:after="0"/>
              <w:rPr>
                <w:sz w:val="19"/>
                <w:szCs w:val="19"/>
                <w:color w:val="auto"/>
              </w:rPr>
            </w:pPr>
          </w:p>
        </w:tc>
        <w:tc>
          <w:tcPr>
            <w:tcW w:w="3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156,000</w:t>
            </w:r>
          </w:p>
        </w:tc>
        <w:tc>
          <w:tcPr>
            <w:tcW w:w="100" w:type="dxa"/>
            <w:vAlign w:val="bottom"/>
            <w:shd w:val="clear" w:color="auto" w:fill="CFF0FC"/>
          </w:tcPr>
          <w:p>
            <w:pPr>
              <w:spacing w:after="0"/>
              <w:rPr>
                <w:sz w:val="19"/>
                <w:szCs w:val="19"/>
                <w:color w:val="auto"/>
              </w:rPr>
            </w:pP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80" w:type="dxa"/>
            <w:vAlign w:val="bottom"/>
          </w:tcPr>
          <w:p>
            <w:pPr>
              <w:spacing w:after="0"/>
              <w:rPr>
                <w:sz w:val="19"/>
                <w:szCs w:val="19"/>
                <w:color w:val="auto"/>
              </w:rPr>
            </w:pPr>
          </w:p>
        </w:tc>
        <w:tc>
          <w:tcPr>
            <w:tcW w:w="3740" w:type="dxa"/>
            <w:vAlign w:val="bottom"/>
          </w:tcPr>
          <w:p>
            <w:pPr>
              <w:jc w:val="right"/>
              <w:spacing w:after="0"/>
              <w:rPr>
                <w:sz w:val="20"/>
                <w:szCs w:val="20"/>
                <w:color w:val="auto"/>
              </w:rPr>
            </w:pPr>
            <w:r>
              <w:rPr>
                <w:rFonts w:ascii="Arial" w:cs="Arial" w:eastAsia="Arial" w:hAnsi="Arial"/>
                <w:sz w:val="18"/>
                <w:szCs w:val="18"/>
                <w:color w:val="auto"/>
              </w:rPr>
              <w:t>42,886</w:t>
            </w:r>
          </w:p>
        </w:tc>
        <w:tc>
          <w:tcPr>
            <w:tcW w:w="100" w:type="dxa"/>
            <w:vAlign w:val="bottom"/>
          </w:tcPr>
          <w:p>
            <w:pPr>
              <w:spacing w:after="0"/>
              <w:rPr>
                <w:sz w:val="19"/>
                <w:szCs w:val="19"/>
                <w:color w:val="auto"/>
              </w:rPr>
            </w:pPr>
          </w:p>
        </w:tc>
      </w:tr>
      <w:tr>
        <w:trPr>
          <w:trHeight w:val="229"/>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080" w:type="dxa"/>
            <w:vAlign w:val="bottom"/>
            <w:tcBorders>
              <w:bottom w:val="single" w:sz="8" w:color="auto"/>
            </w:tcBorders>
            <w:shd w:val="clear" w:color="auto" w:fill="CFF0FC"/>
          </w:tcPr>
          <w:p>
            <w:pPr>
              <w:spacing w:after="0"/>
              <w:rPr>
                <w:sz w:val="19"/>
                <w:szCs w:val="19"/>
                <w:color w:val="auto"/>
              </w:rPr>
            </w:pPr>
          </w:p>
        </w:tc>
        <w:tc>
          <w:tcPr>
            <w:tcW w:w="3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833,065</w:t>
            </w:r>
          </w:p>
        </w:tc>
        <w:tc>
          <w:tcPr>
            <w:tcW w:w="100" w:type="dxa"/>
            <w:vAlign w:val="bottom"/>
          </w:tcPr>
          <w:p>
            <w:pPr>
              <w:spacing w:after="0"/>
              <w:rPr>
                <w:sz w:val="19"/>
                <w:szCs w:val="19"/>
                <w:color w:val="auto"/>
              </w:rPr>
            </w:pPr>
          </w:p>
        </w:tc>
      </w:tr>
      <w:tr>
        <w:trPr>
          <w:trHeight w:val="223"/>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Warehouse credit facilities</w:t>
            </w:r>
          </w:p>
        </w:tc>
        <w:tc>
          <w:tcPr>
            <w:tcW w:w="1080" w:type="dxa"/>
            <w:vAlign w:val="bottom"/>
            <w:shd w:val="clear" w:color="auto" w:fill="CFF0FC"/>
          </w:tcPr>
          <w:p>
            <w:pPr>
              <w:spacing w:after="0"/>
              <w:rPr>
                <w:sz w:val="19"/>
                <w:szCs w:val="19"/>
                <w:color w:val="auto"/>
              </w:rPr>
            </w:pPr>
          </w:p>
        </w:tc>
        <w:tc>
          <w:tcPr>
            <w:tcW w:w="3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(178,067 )</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Long term debt</w:t>
            </w:r>
          </w:p>
        </w:tc>
        <w:tc>
          <w:tcPr>
            <w:tcW w:w="1080" w:type="dxa"/>
            <w:vAlign w:val="bottom"/>
          </w:tcPr>
          <w:p>
            <w:pPr>
              <w:spacing w:after="0"/>
              <w:rPr>
                <w:sz w:val="19"/>
                <w:szCs w:val="19"/>
                <w:color w:val="auto"/>
              </w:rPr>
            </w:pPr>
          </w:p>
        </w:tc>
        <w:tc>
          <w:tcPr>
            <w:tcW w:w="3840" w:type="dxa"/>
            <w:vAlign w:val="bottom"/>
            <w:gridSpan w:val="2"/>
          </w:tcPr>
          <w:p>
            <w:pPr>
              <w:jc w:val="right"/>
              <w:ind w:right="40"/>
              <w:spacing w:after="0"/>
              <w:rPr>
                <w:sz w:val="20"/>
                <w:szCs w:val="20"/>
                <w:color w:val="auto"/>
              </w:rPr>
            </w:pPr>
            <w:r>
              <w:rPr>
                <w:rFonts w:ascii="Arial" w:cs="Arial" w:eastAsia="Arial" w:hAnsi="Arial"/>
                <w:sz w:val="18"/>
                <w:szCs w:val="18"/>
                <w:color w:val="auto"/>
              </w:rPr>
              <w:t>(285,704 )</w:t>
            </w:r>
          </w:p>
        </w:tc>
      </w:tr>
      <w:tr>
        <w:trPr>
          <w:trHeight w:val="22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liability</w:t>
            </w:r>
          </w:p>
        </w:tc>
        <w:tc>
          <w:tcPr>
            <w:tcW w:w="1080" w:type="dxa"/>
            <w:vAlign w:val="bottom"/>
            <w:shd w:val="clear" w:color="auto" w:fill="CFF0FC"/>
          </w:tcPr>
          <w:p>
            <w:pPr>
              <w:spacing w:after="0"/>
              <w:rPr>
                <w:sz w:val="19"/>
                <w:szCs w:val="19"/>
                <w:color w:val="auto"/>
              </w:rPr>
            </w:pPr>
          </w:p>
        </w:tc>
        <w:tc>
          <w:tcPr>
            <w:tcW w:w="3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(23,855 )</w:t>
            </w:r>
          </w:p>
        </w:tc>
      </w:tr>
      <w:tr>
        <w:trPr>
          <w:trHeight w:val="229"/>
        </w:trPr>
        <w:tc>
          <w:tcPr>
            <w:tcW w:w="63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19"/>
                <w:szCs w:val="19"/>
                <w:color w:val="auto"/>
              </w:rPr>
            </w:pPr>
          </w:p>
        </w:tc>
        <w:tc>
          <w:tcPr>
            <w:tcW w:w="3840" w:type="dxa"/>
            <w:vAlign w:val="bottom"/>
            <w:gridSpan w:val="2"/>
          </w:tcPr>
          <w:p>
            <w:pPr>
              <w:jc w:val="right"/>
              <w:ind w:right="40"/>
              <w:spacing w:after="0"/>
              <w:rPr>
                <w:sz w:val="20"/>
                <w:szCs w:val="20"/>
                <w:color w:val="auto"/>
              </w:rPr>
            </w:pPr>
            <w:r>
              <w:rPr>
                <w:rFonts w:ascii="Arial" w:cs="Arial" w:eastAsia="Arial" w:hAnsi="Arial"/>
                <w:sz w:val="18"/>
                <w:szCs w:val="18"/>
                <w:color w:val="auto"/>
              </w:rPr>
              <w:t>(30,026 )</w:t>
            </w:r>
          </w:p>
        </w:tc>
      </w:tr>
      <w:tr>
        <w:trPr>
          <w:trHeight w:val="20"/>
        </w:trPr>
        <w:tc>
          <w:tcPr>
            <w:tcW w:w="6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 assumed</w:t>
            </w:r>
          </w:p>
        </w:tc>
        <w:tc>
          <w:tcPr>
            <w:tcW w:w="108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99"/>
              </w:rPr>
              <w:t>$</w:t>
            </w:r>
          </w:p>
        </w:tc>
        <w:tc>
          <w:tcPr>
            <w:tcW w:w="3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(517,652 )</w:t>
            </w:r>
          </w:p>
        </w:tc>
      </w:tr>
      <w:tr>
        <w:trPr>
          <w:trHeight w:val="223"/>
        </w:trPr>
        <w:tc>
          <w:tcPr>
            <w:tcW w:w="63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assets acquired</w:t>
            </w:r>
          </w:p>
        </w:tc>
        <w:tc>
          <w:tcPr>
            <w:tcW w:w="108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3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315,413</w:t>
            </w:r>
          </w:p>
        </w:tc>
        <w:tc>
          <w:tcPr>
            <w:tcW w:w="100" w:type="dxa"/>
            <w:vAlign w:val="bottom"/>
            <w:tcBorders>
              <w:top w:val="single" w:sz="8" w:color="CFF0FC"/>
            </w:tcBorders>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-1078230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The estimated fair value of the finance receivables that were designated as held for sale were determined using the discounted cash flow method under the income approach. The Company determined the fair value of these finance receivables utilizing sales prices based on an estimated securitization transaction, adjusted for transaction costs, risk and a normal profit margin associated with securitization transactions. The significant assumptions used in the valuation were discount rate, prepayment rate, cumulative net losses, weighted average interest rate and recovery rate. Such fair value measurement of finance receivables held for sale is considered Level 3 of the fair value hierarchy.</w:t>
      </w:r>
    </w:p>
    <w:p>
      <w:pPr>
        <w:spacing w:after="0" w:line="169" w:lineRule="exact"/>
        <w:rPr>
          <w:sz w:val="20"/>
          <w:szCs w:val="20"/>
          <w:color w:val="auto"/>
        </w:rPr>
      </w:pPr>
    </w:p>
    <w:p>
      <w:pPr>
        <w:ind w:right="80" w:firstLine="749"/>
        <w:spacing w:after="0" w:line="239" w:lineRule="auto"/>
        <w:rPr>
          <w:sz w:val="20"/>
          <w:szCs w:val="20"/>
          <w:color w:val="auto"/>
        </w:rPr>
      </w:pPr>
      <w:r>
        <w:rPr>
          <w:rFonts w:ascii="Arial" w:cs="Arial" w:eastAsia="Arial" w:hAnsi="Arial"/>
          <w:sz w:val="18"/>
          <w:szCs w:val="18"/>
          <w:color w:val="auto"/>
        </w:rPr>
        <w:t>The Company acquired two types of finance receivables that are accounted for under the fair value option: (i) those that were sold in one of the securitization transactions that UACC completed in 2019, 2020 or 2021, and (ii) those that were not eligible to be sold in future securitization transactions. The estimated fair value of the finance receivables that were previously sold were valued using the measurement alternative by reference to the fair value of the securitization debt. See Note 17 – Financial Instruments and Fair Value Measurements for more information regarding the measurement alternative and the fair value of these finance receivables. The fair value of the ineligible finance receivables was determined using a discounted cash flow method under the income approach. The significant assumptions used in the valuation were discount rate and recovery rate. Such fair value measurement of finance receivables accounted for under the fair value option is considered Level 3 of the fair value hierarchy.</w:t>
      </w:r>
    </w:p>
    <w:p>
      <w:pPr>
        <w:spacing w:after="0" w:line="171" w:lineRule="exact"/>
        <w:rPr>
          <w:sz w:val="20"/>
          <w:szCs w:val="20"/>
          <w:color w:val="auto"/>
        </w:rPr>
      </w:pPr>
    </w:p>
    <w:p>
      <w:pPr>
        <w:ind w:right="300" w:firstLine="749"/>
        <w:spacing w:after="0" w:line="252" w:lineRule="auto"/>
        <w:rPr>
          <w:sz w:val="20"/>
          <w:szCs w:val="20"/>
          <w:color w:val="auto"/>
        </w:rPr>
      </w:pPr>
      <w:r>
        <w:rPr>
          <w:rFonts w:ascii="Arial" w:cs="Arial" w:eastAsia="Arial" w:hAnsi="Arial"/>
          <w:sz w:val="18"/>
          <w:szCs w:val="18"/>
          <w:color w:val="auto"/>
        </w:rPr>
        <w:t>The estimated fair value of the securitization debt of consolidated VIEs was determined using the discounted cash flow method under the income approach. The significant assumption used in the valuation was the yield. Such fair value measurement of securitization debt is considered Level 3 of the fair value hierarchy.</w:t>
      </w:r>
    </w:p>
    <w:p>
      <w:pPr>
        <w:spacing w:after="0" w:line="157" w:lineRule="exact"/>
        <w:rPr>
          <w:sz w:val="20"/>
          <w:szCs w:val="20"/>
          <w:color w:val="auto"/>
        </w:rPr>
      </w:pPr>
    </w:p>
    <w:p>
      <w:pPr>
        <w:ind w:firstLine="749"/>
        <w:spacing w:after="0" w:line="252" w:lineRule="auto"/>
        <w:rPr>
          <w:sz w:val="20"/>
          <w:szCs w:val="20"/>
          <w:color w:val="auto"/>
        </w:rPr>
      </w:pPr>
      <w:r>
        <w:rPr>
          <w:rFonts w:ascii="Arial" w:cs="Arial" w:eastAsia="Arial" w:hAnsi="Arial"/>
          <w:sz w:val="18"/>
          <w:szCs w:val="18"/>
          <w:color w:val="auto"/>
        </w:rPr>
        <w:t>The estimated fair value of the warehouse credit facilities of consolidated VIEs approximated its carrying value due to the proximity of the Acquisition Date to the payoff date. These notes were acquired on February 1, 2022, as part of the UACC Acquisition and were paid off with the proceeds from the 2022-1 securitization transaction that UACC completed on February 16, 2022.</w:t>
      </w:r>
    </w:p>
    <w:p>
      <w:pPr>
        <w:spacing w:after="0" w:line="157" w:lineRule="exact"/>
        <w:rPr>
          <w:sz w:val="20"/>
          <w:szCs w:val="20"/>
          <w:color w:val="auto"/>
        </w:rPr>
      </w:pPr>
    </w:p>
    <w:p>
      <w:pPr>
        <w:ind w:right="40" w:firstLine="749"/>
        <w:spacing w:after="0" w:line="246"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attributable to the workforce of the acquired business as well as benefits related to integrating UACC’s financing operations to establish a captive financing arm and underwrite vehicle financing for the Company's customers. All of the goodwill was assigned to the Ecommerce reporting unit.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280" w:firstLine="749"/>
        <w:spacing w:after="0" w:line="271" w:lineRule="auto"/>
        <w:rPr>
          <w:sz w:val="20"/>
          <w:szCs w:val="20"/>
          <w:color w:val="auto"/>
        </w:rPr>
      </w:pPr>
      <w:r>
        <w:rPr>
          <w:rFonts w:ascii="Arial" w:cs="Arial" w:eastAsia="Arial" w:hAnsi="Arial"/>
          <w:sz w:val="18"/>
          <w:szCs w:val="18"/>
          <w:color w:val="auto"/>
        </w:rPr>
        <w:t>The following table summarizes the identifiable intangible assets acquired and their estimated weighted average useful life at the date of acquisition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tcPr>
          <w:p>
            <w:pPr>
              <w:spacing w:after="0"/>
              <w:rPr>
                <w:sz w:val="17"/>
                <w:szCs w:val="17"/>
                <w:color w:val="auto"/>
              </w:rPr>
            </w:pPr>
          </w:p>
        </w:tc>
        <w:tc>
          <w:tcPr>
            <w:tcW w:w="25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Fair Value</w:t>
            </w:r>
          </w:p>
        </w:tc>
        <w:tc>
          <w:tcPr>
            <w:tcW w:w="10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7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Weighted Average Useful Life</w:t>
            </w:r>
          </w:p>
        </w:tc>
      </w:tr>
      <w:tr>
        <w:trPr>
          <w:trHeight w:val="224"/>
        </w:trPr>
        <w:tc>
          <w:tcPr>
            <w:tcW w:w="4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Purchased technology</w:t>
            </w:r>
          </w:p>
        </w:tc>
        <w:tc>
          <w:tcPr>
            <w:tcW w:w="2500" w:type="dxa"/>
            <w:vAlign w:val="bottom"/>
            <w:shd w:val="clear" w:color="auto" w:fill="CFF0FC"/>
          </w:tcPr>
          <w:p>
            <w:pPr>
              <w:jc w:val="right"/>
              <w:ind w:right="2296"/>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83,000</w:t>
            </w:r>
          </w:p>
        </w:tc>
        <w:tc>
          <w:tcPr>
            <w:tcW w:w="3000" w:type="dxa"/>
            <w:vAlign w:val="bottom"/>
            <w:gridSpan w:val="2"/>
            <w:shd w:val="clear" w:color="auto" w:fill="CFF0FC"/>
          </w:tcPr>
          <w:p>
            <w:pPr>
              <w:jc w:val="center"/>
              <w:ind w:left="210"/>
              <w:spacing w:after="0"/>
              <w:rPr>
                <w:sz w:val="20"/>
                <w:szCs w:val="20"/>
                <w:color w:val="auto"/>
              </w:rPr>
            </w:pPr>
            <w:r>
              <w:rPr>
                <w:rFonts w:ascii="Arial" w:cs="Arial" w:eastAsia="Arial" w:hAnsi="Arial"/>
                <w:sz w:val="18"/>
                <w:szCs w:val="18"/>
                <w:color w:val="auto"/>
                <w:w w:val="99"/>
              </w:rPr>
              <w:t>7</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66,000</w:t>
            </w:r>
          </w:p>
        </w:tc>
        <w:tc>
          <w:tcPr>
            <w:tcW w:w="300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8</w:t>
            </w:r>
          </w:p>
        </w:tc>
      </w:tr>
      <w:tr>
        <w:trPr>
          <w:trHeight w:val="229"/>
        </w:trPr>
        <w:tc>
          <w:tcPr>
            <w:tcW w:w="4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25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7,000</w:t>
            </w:r>
          </w:p>
        </w:tc>
        <w:tc>
          <w:tcPr>
            <w:tcW w:w="3000" w:type="dxa"/>
            <w:vAlign w:val="bottom"/>
            <w:tcBorders>
              <w:bottom w:val="single" w:sz="8" w:color="CFF0FC"/>
            </w:tcBorders>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99"/>
              </w:rPr>
              <w:t>10</w:t>
            </w:r>
          </w:p>
        </w:tc>
      </w:tr>
      <w:tr>
        <w:trPr>
          <w:trHeight w:val="223"/>
        </w:trPr>
        <w:tc>
          <w:tcPr>
            <w:tcW w:w="4680" w:type="dxa"/>
            <w:vAlign w:val="bottom"/>
          </w:tcPr>
          <w:p>
            <w:pPr>
              <w:spacing w:after="0"/>
              <w:rPr>
                <w:sz w:val="19"/>
                <w:szCs w:val="19"/>
                <w:color w:val="auto"/>
              </w:rPr>
            </w:pPr>
          </w:p>
        </w:tc>
        <w:tc>
          <w:tcPr>
            <w:tcW w:w="2500" w:type="dxa"/>
            <w:vAlign w:val="bottom"/>
            <w:tcBorders>
              <w:bottom w:val="single" w:sz="8" w:color="auto"/>
            </w:tcBorders>
          </w:tcPr>
          <w:p>
            <w:pPr>
              <w:jc w:val="right"/>
              <w:ind w:right="229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156,000</w:t>
            </w:r>
          </w:p>
        </w:tc>
        <w:tc>
          <w:tcPr>
            <w:tcW w:w="28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-179070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80" w:firstLine="799"/>
        <w:spacing w:after="0" w:line="243" w:lineRule="auto"/>
        <w:rPr>
          <w:sz w:val="20"/>
          <w:szCs w:val="20"/>
          <w:color w:val="auto"/>
        </w:rPr>
      </w:pPr>
      <w:r>
        <w:rPr>
          <w:rFonts w:ascii="Arial" w:cs="Arial" w:eastAsia="Arial" w:hAnsi="Arial"/>
          <w:sz w:val="18"/>
          <w:szCs w:val="18"/>
          <w:color w:val="auto"/>
        </w:rPr>
        <w:t>Purchased technology represents the fair value of UACC’s proprietary technology used to support all aspects of their business including underwriting, servicing, and risk management. The estimated fair value of the purchased technology was determined using a relief-from-royalty method under the income approach. The significant assumptions used in the relief-from-royalty method include estimates about future expected cash flows from the purchased technology, including the revenue growth rates, the royalty rate, the obsolescence factor and the discount rate.</w:t>
      </w:r>
    </w:p>
    <w:p>
      <w:pPr>
        <w:spacing w:after="0" w:line="166"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Customer relationships represents UACC's relationship with its network of dealer customers. UACC has expertise in the non-prime credit dealer market serving as the key link between independent dealerships and consumers. UACC has developed expertise and robust relationships in the independent dealer market as demonstrated by its active dealership network. The estimated fair value of the customer relationships was determined using a multi-period excess earnings method under the income approach. The significant assumptions used in the multi-period excess earnings method include estimates about future expected cash flows from the customer relationships, including pre-tax income margins and the discount rate.</w:t>
      </w:r>
    </w:p>
    <w:p>
      <w:pPr>
        <w:spacing w:after="0" w:line="169" w:lineRule="exact"/>
        <w:rPr>
          <w:sz w:val="20"/>
          <w:szCs w:val="20"/>
          <w:color w:val="auto"/>
        </w:rPr>
      </w:pPr>
    </w:p>
    <w:p>
      <w:pPr>
        <w:ind w:right="200" w:firstLine="799"/>
        <w:spacing w:after="0" w:line="246" w:lineRule="auto"/>
        <w:rPr>
          <w:sz w:val="20"/>
          <w:szCs w:val="20"/>
          <w:color w:val="auto"/>
        </w:rPr>
      </w:pPr>
      <w:r>
        <w:rPr>
          <w:rFonts w:ascii="Arial" w:cs="Arial" w:eastAsia="Arial" w:hAnsi="Arial"/>
          <w:sz w:val="18"/>
          <w:szCs w:val="18"/>
          <w:color w:val="auto"/>
        </w:rPr>
        <w:t>Trade name represents the value of the UACC trade name. The UACC brand is an important factor in the marketing of UACC’s services to prospective dealership customers. The fair value of the trade name acquired was determined using a relief-from-royalty method under the income approach. The significant assumptions used in the relief-from-royalty method include future expected cash flows from the trade name, the royalty rate, and the discount rate.</w:t>
      </w:r>
    </w:p>
    <w:p>
      <w:pPr>
        <w:spacing w:after="0" w:line="163" w:lineRule="exact"/>
        <w:rPr>
          <w:sz w:val="20"/>
          <w:szCs w:val="20"/>
          <w:color w:val="auto"/>
        </w:rPr>
      </w:pPr>
    </w:p>
    <w:p>
      <w:pPr>
        <w:ind w:right="200" w:firstLine="749"/>
        <w:spacing w:after="0" w:line="252" w:lineRule="auto"/>
        <w:rPr>
          <w:sz w:val="20"/>
          <w:szCs w:val="20"/>
          <w:color w:val="auto"/>
        </w:rPr>
      </w:pPr>
      <w:r>
        <w:rPr>
          <w:rFonts w:ascii="Arial" w:cs="Arial" w:eastAsia="Arial" w:hAnsi="Arial"/>
          <w:sz w:val="18"/>
          <w:szCs w:val="18"/>
          <w:color w:val="auto"/>
        </w:rPr>
        <w:t>The fair values assigned to assets acquired and liabilities assumed are based on management’s estimates and assumptions. The allocation of the total consideration transferred to the assets acquired, including intangible assets and goodwill, as well as the liabilities assumed was final as of December 31, 2022.</w:t>
      </w:r>
    </w:p>
    <w:p>
      <w:pPr>
        <w:spacing w:after="0" w:line="157" w:lineRule="exact"/>
        <w:rPr>
          <w:sz w:val="20"/>
          <w:szCs w:val="20"/>
          <w:color w:val="auto"/>
        </w:rPr>
      </w:pPr>
    </w:p>
    <w:p>
      <w:pPr>
        <w:ind w:right="480" w:firstLine="749"/>
        <w:spacing w:after="0" w:line="271" w:lineRule="auto"/>
        <w:rPr>
          <w:sz w:val="20"/>
          <w:szCs w:val="20"/>
          <w:color w:val="auto"/>
        </w:rPr>
      </w:pPr>
      <w:r>
        <w:rPr>
          <w:rFonts w:ascii="Arial" w:cs="Arial" w:eastAsia="Arial" w:hAnsi="Arial"/>
          <w:sz w:val="18"/>
          <w:szCs w:val="18"/>
          <w:color w:val="auto"/>
        </w:rPr>
        <w:t>The transaction costs associated with the UACC Acquisition were $5.7 million for the year ended December 31, 2022, and are included within "Selling, general and administrative expenses" in the consolidated statement of operations.</w:t>
      </w:r>
    </w:p>
    <w:p>
      <w:pPr>
        <w:spacing w:after="0" w:line="139" w:lineRule="exact"/>
        <w:rPr>
          <w:sz w:val="20"/>
          <w:szCs w:val="20"/>
          <w:color w:val="auto"/>
        </w:rPr>
      </w:pPr>
    </w:p>
    <w:p>
      <w:pPr>
        <w:ind w:right="680" w:firstLine="749"/>
        <w:spacing w:after="0" w:line="271" w:lineRule="auto"/>
        <w:rPr>
          <w:sz w:val="20"/>
          <w:szCs w:val="20"/>
          <w:color w:val="auto"/>
        </w:rPr>
      </w:pPr>
      <w:r>
        <w:rPr>
          <w:rFonts w:ascii="Arial" w:cs="Arial" w:eastAsia="Arial" w:hAnsi="Arial"/>
          <w:sz w:val="18"/>
          <w:szCs w:val="18"/>
          <w:color w:val="auto"/>
        </w:rPr>
        <w:t>The aggregate revenue and net income of UACC consolidated into the Company’s financial statements from the date of the acquisition was $167.8 million and $26.7 million for the year ended December 31, 2022,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Information</w:t>
      </w:r>
    </w:p>
    <w:p>
      <w:pPr>
        <w:spacing w:after="0" w:line="198"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The unaudited pro forma financial information in the table below summarizes the combined results of the Company and UACC, as though the companies had been combined on January 1, 2021. The pro forma adjustments include incremental amortization of intangible assets, adjustments to reflect non-recurring acquisition-related costs of $5.7 million as of the beginning of the 2021 annual reporting period, a non-recurring tax adjustment of $24.1 million for the year ended December 31, 2022. The pro forma information is presented for informational purposes only and may not be indicative of the results of operations that would have been achieved if the acquisition had taken place on January 1, 2021 or that may occur in the future, and does not reflect future synergies, integration costs, or other such costs or savings. The pro forma information for the years ended December 31, 2022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00" w:type="dxa"/>
            <w:vAlign w:val="bottom"/>
            <w:gridSpan w:val="2"/>
          </w:tcPr>
          <w:p>
            <w:pPr>
              <w:jc w:val="right"/>
              <w:ind w:right="1640"/>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3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000" w:type="dxa"/>
            <w:vAlign w:val="bottom"/>
            <w:tcBorders>
              <w:top w:val="single" w:sz="8" w:color="auto"/>
              <w:bottom w:val="single" w:sz="8" w:color="auto"/>
            </w:tcBorders>
          </w:tcPr>
          <w:p>
            <w:pPr>
              <w:jc w:val="right"/>
              <w:ind w:right="21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r>
      <w:tr>
        <w:trPr>
          <w:trHeight w:val="223"/>
        </w:trPr>
        <w:tc>
          <w:tcPr>
            <w:tcW w:w="3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w:t>
            </w:r>
          </w:p>
        </w:tc>
        <w:tc>
          <w:tcPr>
            <w:tcW w:w="3820" w:type="dxa"/>
            <w:vAlign w:val="bottom"/>
            <w:gridSpan w:val="2"/>
            <w:shd w:val="clear" w:color="auto" w:fill="CFF0FC"/>
          </w:tcPr>
          <w:p>
            <w:pPr>
              <w:jc w:val="right"/>
              <w:ind w:right="700"/>
              <w:spacing w:after="0"/>
              <w:rPr>
                <w:sz w:val="20"/>
                <w:szCs w:val="20"/>
                <w:color w:val="auto"/>
              </w:rPr>
            </w:pPr>
            <w:r>
              <w:rPr>
                <w:rFonts w:ascii="Arial" w:cs="Arial" w:eastAsia="Arial" w:hAnsi="Arial"/>
                <w:sz w:val="18"/>
                <w:szCs w:val="18"/>
                <w:color w:val="auto"/>
              </w:rPr>
              <w:t>$</w:t>
            </w:r>
          </w:p>
        </w:tc>
        <w:tc>
          <w:tcPr>
            <w:tcW w:w="4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1,964,372</w:t>
            </w:r>
          </w:p>
        </w:tc>
        <w:tc>
          <w:tcPr>
            <w:tcW w:w="100" w:type="dxa"/>
            <w:vAlign w:val="bottom"/>
            <w:shd w:val="clear" w:color="auto" w:fill="CFF0FC"/>
          </w:tcPr>
          <w:p>
            <w:pPr>
              <w:spacing w:after="0"/>
              <w:rPr>
                <w:sz w:val="19"/>
                <w:szCs w:val="19"/>
                <w:color w:val="auto"/>
              </w:rPr>
            </w:pPr>
          </w:p>
        </w:tc>
      </w:tr>
      <w:tr>
        <w:trPr>
          <w:trHeight w:val="239"/>
        </w:trPr>
        <w:tc>
          <w:tcPr>
            <w:tcW w:w="3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4100" w:type="dxa"/>
            <w:vAlign w:val="bottom"/>
            <w:gridSpan w:val="2"/>
          </w:tcPr>
          <w:p>
            <w:pPr>
              <w:jc w:val="right"/>
              <w:ind w:right="40"/>
              <w:spacing w:after="0"/>
              <w:rPr>
                <w:sz w:val="20"/>
                <w:szCs w:val="20"/>
                <w:color w:val="auto"/>
              </w:rPr>
            </w:pPr>
            <w:r>
              <w:rPr>
                <w:rFonts w:ascii="Arial" w:cs="Arial" w:eastAsia="Arial" w:hAnsi="Arial"/>
                <w:sz w:val="18"/>
                <w:szCs w:val="18"/>
                <w:color w:val="auto"/>
              </w:rPr>
              <w:t>(464,101 )</w:t>
            </w:r>
          </w:p>
        </w:tc>
      </w:tr>
      <w:tr>
        <w:trPr>
          <w:trHeight w:val="628"/>
        </w:trPr>
        <w:tc>
          <w:tcPr>
            <w:tcW w:w="3320" w:type="dxa"/>
            <w:vAlign w:val="bottom"/>
          </w:tcPr>
          <w:p>
            <w:pPr>
              <w:spacing w:after="0"/>
              <w:rPr>
                <w:sz w:val="24"/>
                <w:szCs w:val="24"/>
                <w:color w:val="auto"/>
              </w:rPr>
            </w:pPr>
          </w:p>
        </w:tc>
        <w:tc>
          <w:tcPr>
            <w:tcW w:w="3000" w:type="dxa"/>
            <w:vAlign w:val="bottom"/>
          </w:tcPr>
          <w:p>
            <w:pPr>
              <w:jc w:val="right"/>
              <w:ind w:right="510"/>
              <w:spacing w:after="0"/>
              <w:rPr>
                <w:sz w:val="20"/>
                <w:szCs w:val="20"/>
                <w:color w:val="auto"/>
              </w:rPr>
            </w:pPr>
            <w:r>
              <w:rPr>
                <w:rFonts w:ascii="Arial" w:cs="Arial" w:eastAsia="Arial" w:hAnsi="Arial"/>
                <w:sz w:val="18"/>
                <w:szCs w:val="18"/>
                <w:color w:val="auto"/>
              </w:rPr>
              <w:t>97</w:t>
            </w:r>
          </w:p>
        </w:tc>
        <w:tc>
          <w:tcPr>
            <w:tcW w:w="8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1"/>
        </w:trPr>
        <w:tc>
          <w:tcPr>
            <w:tcW w:w="33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consisted of the following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6"/>
                <w:szCs w:val="16"/>
                <w:color w:val="auto"/>
              </w:rPr>
            </w:pPr>
          </w:p>
        </w:tc>
      </w:tr>
      <w:tr>
        <w:trPr>
          <w:trHeight w:val="182"/>
        </w:trPr>
        <w:tc>
          <w:tcPr>
            <w:tcW w:w="708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2022</w:t>
            </w: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Vehicles</w:t>
            </w:r>
          </w:p>
        </w:tc>
        <w:tc>
          <w:tcPr>
            <w:tcW w:w="1180" w:type="dxa"/>
            <w:vAlign w:val="bottom"/>
            <w:shd w:val="clear" w:color="auto" w:fill="CFF0FC"/>
          </w:tcPr>
          <w:p>
            <w:pPr>
              <w:jc w:val="right"/>
              <w:ind w:right="97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162,659</w:t>
            </w:r>
          </w:p>
        </w:tc>
        <w:tc>
          <w:tcPr>
            <w:tcW w:w="7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317,994</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Parts and accessories</w:t>
            </w:r>
          </w:p>
        </w:tc>
        <w:tc>
          <w:tcPr>
            <w:tcW w:w="1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591</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2,654</w:t>
            </w:r>
          </w:p>
        </w:tc>
      </w:tr>
      <w:tr>
        <w:trPr>
          <w:trHeight w:val="263"/>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inventory</w:t>
            </w:r>
          </w:p>
        </w:tc>
        <w:tc>
          <w:tcPr>
            <w:tcW w:w="1180" w:type="dxa"/>
            <w:vAlign w:val="bottom"/>
            <w:tcBorders>
              <w:bottom w:val="single" w:sz="8" w:color="auto"/>
            </w:tcBorders>
            <w:shd w:val="clear" w:color="auto" w:fill="CFF0FC"/>
          </w:tcPr>
          <w:p>
            <w:pPr>
              <w:jc w:val="right"/>
              <w:ind w:right="97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163,250</w:t>
            </w:r>
          </w:p>
        </w:tc>
        <w:tc>
          <w:tcPr>
            <w:tcW w:w="2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320,648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-24765</wp:posOffset>
            </wp:positionV>
            <wp:extent cx="1200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1200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4" w:lineRule="exact"/>
        <w:rPr>
          <w:sz w:val="20"/>
          <w:szCs w:val="20"/>
          <w:color w:val="auto"/>
        </w:rPr>
      </w:pPr>
    </w:p>
    <w:p>
      <w:pPr>
        <w:ind w:right="280" w:firstLine="761"/>
        <w:spacing w:after="0" w:line="271" w:lineRule="auto"/>
        <w:rPr>
          <w:sz w:val="20"/>
          <w:szCs w:val="20"/>
          <w:color w:val="auto"/>
        </w:rPr>
      </w:pPr>
      <w:r>
        <w:rPr>
          <w:rFonts w:ascii="Arial" w:cs="Arial" w:eastAsia="Arial" w:hAnsi="Arial"/>
          <w:sz w:val="18"/>
          <w:szCs w:val="18"/>
          <w:color w:val="auto"/>
        </w:rPr>
        <w:t>As of December 31, 2023 and 2022, “Inventory” includes an adjustment of $21.8 million and $24.2 million, respectively, to record the balances at the lower of cost or net realizable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6"/>
                <w:szCs w:val="16"/>
                <w:color w:val="auto"/>
              </w:rPr>
            </w:pPr>
          </w:p>
        </w:tc>
      </w:tr>
      <w:tr>
        <w:trPr>
          <w:trHeight w:val="182"/>
        </w:trPr>
        <w:tc>
          <w:tcPr>
            <w:tcW w:w="70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92"/>
              <w:spacing w:after="0"/>
              <w:rPr>
                <w:sz w:val="20"/>
                <w:szCs w:val="20"/>
                <w:color w:val="auto"/>
              </w:rPr>
            </w:pPr>
            <w:r>
              <w:rPr>
                <w:rFonts w:ascii="Arial" w:cs="Arial" w:eastAsia="Arial" w:hAnsi="Arial"/>
                <w:sz w:val="14"/>
                <w:szCs w:val="14"/>
                <w:b w:val="1"/>
                <w:bCs w:val="1"/>
                <w:color w:val="auto"/>
              </w:rPr>
              <w:t>2022</w:t>
            </w: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Equipment</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2,653</w:t>
            </w:r>
          </w:p>
        </w:tc>
        <w:tc>
          <w:tcPr>
            <w:tcW w:w="7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3,357</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1,896</w:t>
            </w: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Logistics fleet</w:t>
            </w: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32,562</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32,468</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460" w:type="dxa"/>
            <w:vAlign w:val="bottom"/>
          </w:tcPr>
          <w:p>
            <w:pPr>
              <w:spacing w:after="0"/>
              <w:rPr>
                <w:sz w:val="19"/>
                <w:szCs w:val="19"/>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6,577</w:t>
            </w: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Internal-use software</w:t>
            </w: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4,807</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30,725</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1,369</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8,081</w:t>
            </w:r>
          </w:p>
        </w:tc>
      </w:tr>
      <w:tr>
        <w:trPr>
          <w:trHeight w:val="223"/>
        </w:trPr>
        <w:tc>
          <w:tcPr>
            <w:tcW w:w="70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5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42,328</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83,104</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(18,196 )</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(32,903 )</w:t>
            </w:r>
          </w:p>
        </w:tc>
      </w:tr>
      <w:tr>
        <w:trPr>
          <w:trHeight w:val="263"/>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24,132</w:t>
            </w:r>
          </w:p>
        </w:tc>
        <w:tc>
          <w:tcPr>
            <w:tcW w:w="2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50,201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-24765</wp:posOffset>
            </wp:positionV>
            <wp:extent cx="1200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1200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4" w:lineRule="exact"/>
        <w:rPr>
          <w:sz w:val="20"/>
          <w:szCs w:val="20"/>
          <w:color w:val="auto"/>
        </w:rPr>
      </w:pPr>
    </w:p>
    <w:p>
      <w:pPr>
        <w:ind w:right="300" w:firstLine="761"/>
        <w:spacing w:after="0" w:line="252" w:lineRule="auto"/>
        <w:rPr>
          <w:sz w:val="20"/>
          <w:szCs w:val="20"/>
          <w:color w:val="auto"/>
        </w:rPr>
      </w:pPr>
      <w:r>
        <w:rPr>
          <w:rFonts w:ascii="Arial" w:cs="Arial" w:eastAsia="Arial" w:hAnsi="Arial"/>
          <w:sz w:val="18"/>
          <w:szCs w:val="18"/>
          <w:color w:val="auto"/>
        </w:rPr>
        <w:t>Depreciation and amortization expense was $16.5 million and $13.4 million for the years ended December 31, 2023 and 2022, respectively. Depreciation and amortization expense included within “Cost of sales” in the consolidated statements of operations was $0.7 million and $0.4 million for the years ended December 31, 2023 and 2022 respectively.</w:t>
      </w:r>
    </w:p>
    <w:p>
      <w:pPr>
        <w:spacing w:after="0" w:line="157"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Implementation costs capitalized and accumulated amortization related to the Company’s cloud computing arrangements were $0.6 million and $0.2 million as of December 31, 2023, respectively, and $7.7 million and $4.6 million as of December 31, 2022, respectively, and were included within “Other assets” in the consolidated balance sheets. Amortization expense of $1.8 million and $2.3 million was included within “Selling, general and administrative expenses” in the consolidated statements of operations for the years ended December 31, 2023 and 2022, respectively.</w:t>
      </w:r>
    </w:p>
    <w:p>
      <w:pPr>
        <w:spacing w:after="0" w:line="166" w:lineRule="exact"/>
        <w:rPr>
          <w:sz w:val="20"/>
          <w:szCs w:val="20"/>
          <w:color w:val="auto"/>
        </w:rPr>
      </w:pPr>
    </w:p>
    <w:p>
      <w:pPr>
        <w:ind w:right="260" w:firstLine="761"/>
        <w:spacing w:after="0" w:line="246" w:lineRule="auto"/>
        <w:rPr>
          <w:sz w:val="20"/>
          <w:szCs w:val="20"/>
          <w:color w:val="auto"/>
        </w:rPr>
      </w:pPr>
      <w:r>
        <w:rPr>
          <w:rFonts w:ascii="Arial" w:cs="Arial" w:eastAsia="Arial" w:hAnsi="Arial"/>
          <w:sz w:val="18"/>
          <w:szCs w:val="18"/>
          <w:color w:val="auto"/>
        </w:rPr>
        <w:t>The Company determined a triggering event existed as of December 31, 2023, resulting in impairment charges for "Property and equipment, net" and "Other assets" of $23.9 million and $1.3 million, respectively, related to the Company's internal-use software, implementation costs for cloud computing arrangements, and other miscellaneous furniture and equipment that no longer have a planned future use.</w:t>
      </w:r>
    </w:p>
    <w:p>
      <w:pPr>
        <w:spacing w:after="0" w:line="163" w:lineRule="exact"/>
        <w:rPr>
          <w:sz w:val="20"/>
          <w:szCs w:val="20"/>
          <w:color w:val="auto"/>
        </w:rPr>
      </w:pPr>
    </w:p>
    <w:p>
      <w:pPr>
        <w:ind w:right="200" w:firstLine="761"/>
        <w:spacing w:after="0" w:line="252" w:lineRule="auto"/>
        <w:rPr>
          <w:sz w:val="20"/>
          <w:szCs w:val="20"/>
          <w:color w:val="auto"/>
        </w:rPr>
      </w:pPr>
      <w:r>
        <w:rPr>
          <w:rFonts w:ascii="Arial" w:cs="Arial" w:eastAsia="Arial" w:hAnsi="Arial"/>
          <w:sz w:val="18"/>
          <w:szCs w:val="18"/>
          <w:color w:val="auto"/>
        </w:rPr>
        <w:t>Additionally, the Company incurred impairment charges for "Property and equipment, net" and "Other assets" of $0.3 million and $3.4 million, respectively, for the year ended December 31, 2022, related to the Company's internal-use software and implementation costs for cloud computing arrangements that are no longer in use.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Intangible Assets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6" w:lineRule="exact"/>
        <w:rPr>
          <w:sz w:val="20"/>
          <w:szCs w:val="20"/>
          <w:color w:val="auto"/>
        </w:rPr>
      </w:pPr>
    </w:p>
    <w:p>
      <w:pPr>
        <w:ind w:right="20" w:firstLine="761"/>
        <w:spacing w:after="0" w:line="302" w:lineRule="auto"/>
        <w:rPr>
          <w:sz w:val="20"/>
          <w:szCs w:val="20"/>
          <w:color w:val="auto"/>
        </w:rPr>
      </w:pPr>
      <w:r>
        <w:rPr>
          <w:rFonts w:ascii="Arial" w:cs="Arial" w:eastAsia="Arial" w:hAnsi="Arial"/>
          <w:sz w:val="18"/>
          <w:szCs w:val="18"/>
          <w:color w:val="auto"/>
        </w:rPr>
        <w:t>The following table summarizes the activity in the carrying value of goodwill by reporting unit for the year ended December 31, 2022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Ecommerce</w:t>
            </w:r>
          </w:p>
        </w:tc>
        <w:tc>
          <w:tcPr>
            <w:tcW w:w="280" w:type="dxa"/>
            <w:vAlign w:val="bottom"/>
          </w:tcPr>
          <w:p>
            <w:pPr>
              <w:spacing w:after="0"/>
              <w:rPr>
                <w:sz w:val="16"/>
                <w:szCs w:val="16"/>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Wholesale</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TDA</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Total</w:t>
            </w:r>
          </w:p>
        </w:tc>
      </w:tr>
      <w:tr>
        <w:trPr>
          <w:trHeight w:val="22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as of December 31, 2021</w:t>
            </w: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152,876</w:t>
            </w:r>
          </w:p>
        </w:tc>
        <w:tc>
          <w:tcPr>
            <w:tcW w:w="32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1,720</w:t>
            </w:r>
          </w:p>
        </w:tc>
        <w:tc>
          <w:tcPr>
            <w:tcW w:w="30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4,221</w:t>
            </w:r>
          </w:p>
        </w:tc>
        <w:tc>
          <w:tcPr>
            <w:tcW w:w="30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158,817</w:t>
            </w:r>
          </w:p>
        </w:tc>
        <w:tc>
          <w:tcPr>
            <w:tcW w:w="100" w:type="dxa"/>
            <w:vAlign w:val="bottom"/>
            <w:shd w:val="clear" w:color="auto" w:fill="CFF0FC"/>
          </w:tcPr>
          <w:p>
            <w:pPr>
              <w:spacing w:after="0"/>
              <w:rPr>
                <w:sz w:val="19"/>
                <w:szCs w:val="19"/>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Acquisition</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42,886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42,886</w:t>
            </w:r>
          </w:p>
        </w:tc>
        <w:tc>
          <w:tcPr>
            <w:tcW w:w="100" w:type="dxa"/>
            <w:vAlign w:val="bottom"/>
          </w:tcPr>
          <w:p>
            <w:pPr>
              <w:spacing w:after="0"/>
              <w:rPr>
                <w:sz w:val="19"/>
                <w:szCs w:val="19"/>
                <w:color w:val="auto"/>
              </w:rPr>
            </w:pPr>
          </w:p>
        </w:tc>
      </w:tr>
      <w:tr>
        <w:trPr>
          <w:trHeight w:val="229"/>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impairment charge</w:t>
            </w: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(195,762 )</w:t>
            </w:r>
          </w:p>
        </w:tc>
        <w:tc>
          <w:tcPr>
            <w:tcW w:w="2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(1,720 )</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(4,221 )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(201,703 )</w:t>
            </w:r>
          </w:p>
        </w:tc>
      </w:tr>
      <w:tr>
        <w:trPr>
          <w:trHeight w:val="223"/>
        </w:trPr>
        <w:tc>
          <w:tcPr>
            <w:tcW w:w="39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tcBorders>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3515360</wp:posOffset>
            </wp:positionH>
            <wp:positionV relativeFrom="paragraph">
              <wp:posOffset>-179070</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-179070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-179070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 was no goodwill as of December 31, 2023 and 2022.</w:t>
      </w:r>
    </w:p>
    <w:p>
      <w:pPr>
        <w:spacing w:after="0" w:line="198" w:lineRule="exact"/>
        <w:rPr>
          <w:sz w:val="20"/>
          <w:szCs w:val="20"/>
          <w:color w:val="auto"/>
        </w:rPr>
      </w:pPr>
    </w:p>
    <w:p>
      <w:pPr>
        <w:ind w:right="60" w:firstLine="761"/>
        <w:spacing w:after="0" w:line="301" w:lineRule="auto"/>
        <w:rPr>
          <w:sz w:val="20"/>
          <w:szCs w:val="20"/>
          <w:color w:val="auto"/>
        </w:rPr>
      </w:pPr>
      <w:r>
        <w:rPr>
          <w:rFonts w:ascii="Arial" w:cs="Arial" w:eastAsia="Arial" w:hAnsi="Arial"/>
          <w:sz w:val="17"/>
          <w:szCs w:val="17"/>
          <w:color w:val="auto"/>
        </w:rPr>
        <w:t>As of March 31, 2022, a quantitative interim goodwill impairment assessment was performed over the Company's reporting units due to further sustained declines in the Company's and comparable companies' stock prices during the three months ended March 31, 2022.</w:t>
      </w:r>
    </w:p>
    <w:p>
      <w:pPr>
        <w:spacing w:after="0" w:line="116" w:lineRule="exact"/>
        <w:rPr>
          <w:sz w:val="20"/>
          <w:szCs w:val="20"/>
          <w:color w:val="auto"/>
        </w:rPr>
      </w:pPr>
    </w:p>
    <w:p>
      <w:pPr>
        <w:ind w:right="340" w:firstLine="764"/>
        <w:spacing w:after="0"/>
        <w:rPr>
          <w:sz w:val="20"/>
          <w:szCs w:val="20"/>
          <w:color w:val="auto"/>
        </w:rPr>
      </w:pPr>
      <w:r>
        <w:rPr>
          <w:rFonts w:ascii="Arial" w:cs="Arial" w:eastAsia="Arial" w:hAnsi="Arial"/>
          <w:sz w:val="18"/>
          <w:szCs w:val="18"/>
          <w:color w:val="auto"/>
        </w:rPr>
        <w:t>The Company estimated the fair value of the Ecommerce, Wholesale, and TDA reporting units using the discounted cash flow method under the income approach. The significant assumptions used in the valuation include revenue growth rates, future gross profit margins and operating expenses used to calculate projected future cash flows, determination of the weighted average cost of capital, and future economic and market conditions. The terminal value is based on an exit revenue multiple which requires significant assumptions regarding the selection of appropriate multiples that consider relevant market trading data. The Company bases its estimates and assumptions on its knowledge of the automotive and ecommerce industries, recent performance, expectations of future performance and other assumptions the Company believe to be reasonable.</w:t>
      </w:r>
    </w:p>
    <w:p>
      <w:pPr>
        <w:spacing w:after="0" w:line="169" w:lineRule="exact"/>
        <w:rPr>
          <w:sz w:val="20"/>
          <w:szCs w:val="20"/>
          <w:color w:val="auto"/>
        </w:rPr>
      </w:pPr>
    </w:p>
    <w:p>
      <w:pPr>
        <w:ind w:right="140" w:firstLine="764"/>
        <w:spacing w:after="0" w:line="252" w:lineRule="auto"/>
        <w:rPr>
          <w:sz w:val="20"/>
          <w:szCs w:val="20"/>
          <w:color w:val="auto"/>
        </w:rPr>
      </w:pPr>
      <w:r>
        <w:rPr>
          <w:rFonts w:ascii="Arial" w:cs="Arial" w:eastAsia="Arial" w:hAnsi="Arial"/>
          <w:sz w:val="18"/>
          <w:szCs w:val="18"/>
          <w:color w:val="auto"/>
        </w:rPr>
        <w:t>The Company determined that the estimated fair value of the Ecommerce, Wholesale, and TDA reporting units was less than their carrying amounts. The Company recorded a goodwill impairment charge of $201.7 million in the consolidated statements of operations for the year ended December 31, 2022.</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5 – Acquisition for more information related to the acquisition that occurred in the year ended December 31,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right"/>
              <w:ind w:right="136"/>
              <w:spacing w:after="0"/>
              <w:rPr>
                <w:sz w:val="20"/>
                <w:szCs w:val="20"/>
                <w:color w:val="auto"/>
              </w:rPr>
            </w:pPr>
            <w:r>
              <w:rPr>
                <w:rFonts w:ascii="Arial" w:cs="Arial" w:eastAsia="Arial" w:hAnsi="Arial"/>
                <w:sz w:val="14"/>
                <w:szCs w:val="14"/>
                <w:b w:val="1"/>
                <w:bCs w:val="1"/>
                <w:color w:val="auto"/>
              </w:rPr>
              <w:t>December 31, 2023</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center"/>
              <w:ind w:right="76"/>
              <w:spacing w:after="0"/>
              <w:rPr>
                <w:sz w:val="20"/>
                <w:szCs w:val="20"/>
                <w:color w:val="auto"/>
              </w:rPr>
            </w:pPr>
            <w:r>
              <w:rPr>
                <w:rFonts w:ascii="Arial" w:cs="Arial" w:eastAsia="Arial" w:hAnsi="Arial"/>
                <w:sz w:val="14"/>
                <w:szCs w:val="14"/>
                <w:b w:val="1"/>
                <w:bCs w:val="1"/>
                <w:color w:val="auto"/>
              </w:rPr>
              <w:t>December 31, 2022</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3"/>
          </w:tcPr>
          <w:p>
            <w:pPr>
              <w:ind w:left="40"/>
              <w:spacing w:after="0" w:line="159" w:lineRule="exact"/>
              <w:rPr>
                <w:sz w:val="20"/>
                <w:szCs w:val="20"/>
                <w:color w:val="auto"/>
              </w:rPr>
            </w:pPr>
            <w:r>
              <w:rPr>
                <w:rFonts w:ascii="Arial" w:cs="Arial" w:eastAsia="Arial" w:hAnsi="Arial"/>
                <w:sz w:val="14"/>
                <w:szCs w:val="14"/>
                <w:b w:val="1"/>
                <w:bCs w:val="1"/>
                <w:color w:val="auto"/>
              </w:rPr>
              <w:t>Accumulate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tcPr>
          <w:p>
            <w:pPr>
              <w:jc w:val="center"/>
              <w:ind w:right="220"/>
              <w:spacing w:after="0" w:line="159" w:lineRule="exact"/>
              <w:rPr>
                <w:sz w:val="20"/>
                <w:szCs w:val="20"/>
                <w:color w:val="auto"/>
              </w:rPr>
            </w:pPr>
            <w:r>
              <w:rPr>
                <w:rFonts w:ascii="Arial" w:cs="Arial" w:eastAsia="Arial" w:hAnsi="Arial"/>
                <w:sz w:val="14"/>
                <w:szCs w:val="14"/>
                <w:b w:val="1"/>
                <w:bCs w:val="1"/>
                <w:color w:val="auto"/>
              </w:rPr>
              <w:t>Accumulate</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78"/>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Amortizatio</w:t>
            </w:r>
          </w:p>
        </w:tc>
        <w:tc>
          <w:tcPr>
            <w:tcW w:w="86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Amortizatio</w:t>
            </w:r>
          </w:p>
        </w:tc>
        <w:tc>
          <w:tcPr>
            <w:tcW w:w="960" w:type="dxa"/>
            <w:vAlign w:val="bottom"/>
            <w:gridSpan w:val="3"/>
          </w:tcPr>
          <w:p>
            <w:pPr>
              <w:ind w:left="120"/>
              <w:spacing w:after="0"/>
              <w:rPr>
                <w:sz w:val="20"/>
                <w:szCs w:val="20"/>
                <w:color w:val="auto"/>
              </w:rPr>
            </w:pPr>
            <w:r>
              <w:rPr>
                <w:rFonts w:ascii="Arial" w:cs="Arial" w:eastAsia="Arial" w:hAnsi="Arial"/>
                <w:sz w:val="14"/>
                <w:szCs w:val="14"/>
                <w:b w:val="1"/>
                <w:bCs w:val="1"/>
                <w:color w:val="auto"/>
              </w:rPr>
              <w:t>Carrying</w:t>
            </w:r>
          </w:p>
        </w:tc>
      </w:tr>
      <w:tr>
        <w:trPr>
          <w:trHeight w:val="185"/>
        </w:trPr>
        <w:tc>
          <w:tcPr>
            <w:tcW w:w="4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n</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r>
      <w:tr>
        <w:trPr>
          <w:trHeight w:val="22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Developed and purchased technology</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108,700</w:t>
            </w:r>
          </w:p>
        </w:tc>
        <w:tc>
          <w:tcPr>
            <w:tcW w:w="4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(38,050 )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70,650</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$ 108,700</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9"/>
              </w:rPr>
              <w:t>(21,053 )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87,647</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69,400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(17,336 )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52,064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69,400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(8,661 )</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60,739</w:t>
            </w: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Trademarks and trade names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(3,022 )</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9,178</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12,200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(1,676 )</w:t>
            </w:r>
          </w:p>
        </w:tc>
        <w:tc>
          <w:tcPr>
            <w:tcW w:w="1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10,524</w:t>
            </w:r>
          </w:p>
        </w:tc>
        <w:tc>
          <w:tcPr>
            <w:tcW w:w="100" w:type="dxa"/>
            <w:vAlign w:val="bottom"/>
            <w:shd w:val="clear" w:color="auto" w:fill="CFF0FC"/>
          </w:tcPr>
          <w:p>
            <w:pPr>
              <w:spacing w:after="0"/>
              <w:rPr>
                <w:sz w:val="19"/>
                <w:szCs w:val="19"/>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780" w:type="dxa"/>
            <w:vAlign w:val="bottom"/>
          </w:tcPr>
          <w:p>
            <w:pPr>
              <w:ind w:left="320"/>
              <w:spacing w:after="0"/>
              <w:rPr>
                <w:sz w:val="20"/>
                <w:szCs w:val="20"/>
                <w:color w:val="auto"/>
              </w:rPr>
            </w:pPr>
            <w:r>
              <w:rPr>
                <w:rFonts w:ascii="Arial" w:cs="Arial" w:eastAsia="Arial" w:hAnsi="Arial"/>
                <w:sz w:val="18"/>
                <w:szCs w:val="18"/>
                <w:color w:val="auto"/>
              </w:rPr>
              <w:t>Total intangible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190,300</w:t>
            </w:r>
          </w:p>
        </w:tc>
        <w:tc>
          <w:tcPr>
            <w:tcW w:w="26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(58,408 )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131,892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$ 190,300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(31,390 )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158,910</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-179070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-179070</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-179070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-179070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-179070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Refer to Note 5 – Acquisition for more information related to the acquisition that occurred in the year ended December 31, 2022.</w:t>
      </w:r>
    </w:p>
    <w:p>
      <w:pPr>
        <w:spacing w:after="0" w:line="198" w:lineRule="exact"/>
        <w:rPr>
          <w:sz w:val="20"/>
          <w:szCs w:val="20"/>
          <w:color w:val="auto"/>
        </w:rPr>
      </w:pPr>
    </w:p>
    <w:p>
      <w:pPr>
        <w:ind w:right="180" w:firstLine="761"/>
        <w:spacing w:after="0" w:line="271" w:lineRule="auto"/>
        <w:rPr>
          <w:sz w:val="20"/>
          <w:szCs w:val="20"/>
          <w:color w:val="auto"/>
        </w:rPr>
      </w:pPr>
      <w:r>
        <w:rPr>
          <w:rFonts w:ascii="Arial" w:cs="Arial" w:eastAsia="Arial" w:hAnsi="Arial"/>
          <w:sz w:val="18"/>
          <w:szCs w:val="18"/>
          <w:color w:val="auto"/>
        </w:rPr>
        <w:t>Amortization expense for intangible assets was $27.0 million and $25.3 million for the years ended December 31, 2023 and 2022,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880" w:firstLine="761"/>
        <w:spacing w:after="0" w:line="271" w:lineRule="auto"/>
        <w:rPr>
          <w:sz w:val="20"/>
          <w:szCs w:val="20"/>
          <w:color w:val="auto"/>
        </w:rPr>
      </w:pPr>
      <w:r>
        <w:rPr>
          <w:rFonts w:ascii="Arial" w:cs="Arial" w:eastAsia="Arial" w:hAnsi="Arial"/>
          <w:sz w:val="18"/>
          <w:szCs w:val="18"/>
          <w:color w:val="auto"/>
        </w:rPr>
        <w:t>The estimated amortization expense for intangible assets subsequent to December 31, 2023, consists of the following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4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27,022</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2025</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27,022</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21,979</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2027</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21,882</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2028</w:t>
            </w:r>
          </w:p>
        </w:tc>
        <w:tc>
          <w:tcPr>
            <w:tcW w:w="4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21,882</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12,105</w:t>
            </w:r>
          </w:p>
        </w:tc>
        <w:tc>
          <w:tcPr>
            <w:tcW w:w="10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706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gridSpan w:val="2"/>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131,892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2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9. Accrued Expenses and Other Current Liabilities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7"/>
        </w:trPr>
        <w:tc>
          <w:tcPr>
            <w:tcW w:w="20" w:type="dxa"/>
            <w:vAlign w:val="bottom"/>
          </w:tcPr>
          <w:p>
            <w:pPr>
              <w:spacing w:after="0"/>
              <w:rPr>
                <w:sz w:val="24"/>
                <w:szCs w:val="24"/>
                <w:color w:val="auto"/>
              </w:rPr>
            </w:pPr>
          </w:p>
        </w:tc>
        <w:tc>
          <w:tcPr>
            <w:tcW w:w="7060" w:type="dxa"/>
            <w:vAlign w:val="bottom"/>
          </w:tcPr>
          <w:p>
            <w:pPr>
              <w:ind w:left="740"/>
              <w:spacing w:after="0"/>
              <w:rPr>
                <w:sz w:val="20"/>
                <w:szCs w:val="20"/>
                <w:color w:val="auto"/>
              </w:rPr>
            </w:pPr>
            <w:r>
              <w:rPr>
                <w:rFonts w:ascii="Arial" w:cs="Arial" w:eastAsia="Arial" w:hAnsi="Arial"/>
                <w:sz w:val="18"/>
                <w:szCs w:val="18"/>
                <w:color w:val="auto"/>
              </w:rPr>
              <w:t>The Company’s accrued expenses consisted of the following (in thousands):</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Accrued marketing expenses</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3,694</w:t>
            </w:r>
          </w:p>
        </w:tc>
        <w:tc>
          <w:tcPr>
            <w:tcW w:w="7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2,093</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Vehicle related expenses</w:t>
            </w:r>
          </w:p>
        </w:tc>
        <w:tc>
          <w:tcPr>
            <w:tcW w:w="460" w:type="dxa"/>
            <w:vAlign w:val="bottom"/>
          </w:tcPr>
          <w:p>
            <w:pPr>
              <w:spacing w:after="0"/>
              <w:rPr>
                <w:sz w:val="19"/>
                <w:szCs w:val="19"/>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9,655</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14,789</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Sales taxes</w:t>
            </w:r>
          </w:p>
        </w:tc>
        <w:tc>
          <w:tcPr>
            <w:tcW w:w="4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4,398</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460" w:type="dxa"/>
            <w:vAlign w:val="bottom"/>
          </w:tcPr>
          <w:p>
            <w:pPr>
              <w:spacing w:after="0"/>
              <w:rPr>
                <w:sz w:val="19"/>
                <w:szCs w:val="19"/>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13,223</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28,276</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4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2,935</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3,488</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60" w:type="dxa"/>
            <w:vAlign w:val="bottom"/>
          </w:tcPr>
          <w:p>
            <w:pPr>
              <w:spacing w:after="0" w:line="229" w:lineRule="exact"/>
              <w:rPr>
                <w:sz w:val="20"/>
                <w:szCs w:val="20"/>
                <w:color w:val="auto"/>
              </w:rPr>
            </w:pPr>
            <w:r>
              <w:rPr>
                <w:rFonts w:ascii="Arial" w:cs="Arial" w:eastAsia="Arial" w:hAnsi="Arial"/>
                <w:sz w:val="18"/>
                <w:szCs w:val="18"/>
                <w:color w:val="auto"/>
              </w:rPr>
              <w:t>Accrued legal settlements</w:t>
            </w:r>
            <w:r>
              <w:rPr>
                <w:rFonts w:ascii="Arial" w:cs="Arial" w:eastAsia="Arial" w:hAnsi="Arial"/>
                <w:sz w:val="24"/>
                <w:szCs w:val="24"/>
                <w:color w:val="auto"/>
                <w:vertAlign w:val="superscript"/>
              </w:rPr>
              <w:t>(1)</w:t>
            </w:r>
          </w:p>
        </w:tc>
        <w:tc>
          <w:tcPr>
            <w:tcW w:w="460" w:type="dxa"/>
            <w:vAlign w:val="bottom"/>
          </w:tcPr>
          <w:p>
            <w:pPr>
              <w:spacing w:after="0"/>
              <w:rPr>
                <w:sz w:val="19"/>
                <w:szCs w:val="19"/>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8"/>
                <w:szCs w:val="18"/>
                <w:color w:val="auto"/>
              </w:rPr>
              <w:t>6,050</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7,383</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Interest payable</w:t>
            </w:r>
          </w:p>
        </w:tc>
        <w:tc>
          <w:tcPr>
            <w:tcW w:w="4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5,708</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3,990</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6,789</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10,793</w:t>
            </w:r>
          </w:p>
        </w:tc>
        <w:tc>
          <w:tcPr>
            <w:tcW w:w="100" w:type="dxa"/>
            <w:vAlign w:val="bottom"/>
            <w:tcBorders>
              <w:bottom w:val="single" w:sz="8" w:color="auto"/>
            </w:tcBorders>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52,452</w:t>
            </w:r>
          </w:p>
        </w:tc>
        <w:tc>
          <w:tcPr>
            <w:tcW w:w="2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76,795</w:t>
            </w:r>
          </w:p>
        </w:tc>
        <w:tc>
          <w:tcPr>
            <w:tcW w:w="100" w:type="dxa"/>
            <w:vAlign w:val="bottom"/>
            <w:tcBorders>
              <w:bottom w:val="single" w:sz="8" w:color="auto"/>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-2302510</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-24765</wp:posOffset>
            </wp:positionV>
            <wp:extent cx="1200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12001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9" w:lineRule="exact"/>
        <w:rPr>
          <w:sz w:val="20"/>
          <w:szCs w:val="20"/>
          <w:color w:val="auto"/>
        </w:rPr>
      </w:pPr>
    </w:p>
    <w:p>
      <w:pPr>
        <w:ind w:right="500" w:firstLine="768"/>
        <w:spacing w:after="0" w:line="341" w:lineRule="auto"/>
        <w:tabs>
          <w:tab w:leader="none" w:pos="941" w:val="left"/>
        </w:tabs>
        <w:numPr>
          <w:ilvl w:val="0"/>
          <w:numId w:val="21"/>
        </w:numPr>
        <w:rPr>
          <w:rFonts w:ascii="Arial" w:cs="Arial" w:eastAsia="Arial" w:hAnsi="Arial"/>
          <w:sz w:val="12"/>
          <w:szCs w:val="12"/>
          <w:color w:val="auto"/>
        </w:rPr>
      </w:pPr>
      <w:r>
        <w:rPr>
          <w:rFonts w:ascii="Arial" w:cs="Arial" w:eastAsia="Arial" w:hAnsi="Arial"/>
          <w:sz w:val="12"/>
          <w:szCs w:val="12"/>
          <w:color w:val="auto"/>
        </w:rPr>
        <w:t>Accrued legal settlements are primarily related to legal challenges stemming from operational challenges created by the Company's prior rapid growth, which resulted in additional costs incurred, including legal settlements.</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other current liabilities consisted of the following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08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Borders>
              <w:bottom w:val="single" w:sz="8" w:color="auto"/>
            </w:tcBorders>
          </w:tcPr>
          <w:p>
            <w:pPr>
              <w:spacing w:after="0"/>
              <w:rPr>
                <w:sz w:val="16"/>
                <w:szCs w:val="16"/>
                <w:color w:val="auto"/>
              </w:rPr>
            </w:pPr>
          </w:p>
        </w:tc>
      </w:tr>
      <w:tr>
        <w:trPr>
          <w:trHeight w:val="182"/>
        </w:trPr>
        <w:tc>
          <w:tcPr>
            <w:tcW w:w="7080" w:type="dxa"/>
            <w:vAlign w:val="bottom"/>
          </w:tcPr>
          <w:p>
            <w:pPr>
              <w:spacing w:after="0"/>
              <w:rPr>
                <w:sz w:val="15"/>
                <w:szCs w:val="15"/>
                <w:color w:val="auto"/>
              </w:rPr>
            </w:pP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2022</w:t>
            </w: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payable</w:t>
            </w:r>
          </w:p>
        </w:tc>
        <w:tc>
          <w:tcPr>
            <w:tcW w:w="1280" w:type="dxa"/>
            <w:vAlign w:val="bottom"/>
            <w:shd w:val="clear" w:color="auto" w:fill="CFF0FC"/>
          </w:tcPr>
          <w:p>
            <w:pPr>
              <w:jc w:val="right"/>
              <w:ind w:right="107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3,522</w:t>
            </w:r>
          </w:p>
        </w:tc>
        <w:tc>
          <w:tcPr>
            <w:tcW w:w="72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3,617</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Reserve for estimated returns</w:t>
            </w:r>
          </w:p>
        </w:tc>
        <w:tc>
          <w:tcPr>
            <w:tcW w:w="1280" w:type="dxa"/>
            <w:vAlign w:val="bottom"/>
          </w:tcPr>
          <w:p>
            <w:pPr>
              <w:spacing w:after="0"/>
              <w:rPr>
                <w:sz w:val="19"/>
                <w:szCs w:val="19"/>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1,594</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3,919</w:t>
            </w: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Insurance payable</w:t>
            </w:r>
          </w:p>
        </w:tc>
        <w:tc>
          <w:tcPr>
            <w:tcW w:w="12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4,158</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4,551</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5,606</w:t>
            </w:r>
          </w:p>
        </w:tc>
      </w:tr>
      <w:tr>
        <w:trPr>
          <w:trHeight w:val="263"/>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current liabilities</w:t>
            </w:r>
          </w:p>
        </w:tc>
        <w:tc>
          <w:tcPr>
            <w:tcW w:w="1280" w:type="dxa"/>
            <w:vAlign w:val="bottom"/>
            <w:tcBorders>
              <w:bottom w:val="single" w:sz="8" w:color="auto"/>
            </w:tcBorders>
            <w:shd w:val="clear" w:color="auto" w:fill="CFF0FC"/>
          </w:tcPr>
          <w:p>
            <w:pPr>
              <w:jc w:val="right"/>
              <w:ind w:right="107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9,974</w:t>
            </w:r>
          </w:p>
        </w:tc>
        <w:tc>
          <w:tcPr>
            <w:tcW w:w="20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17,693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-24765</wp:posOffset>
            </wp:positionV>
            <wp:extent cx="1200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12001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Vehicle Floorplan Facility</w:t>
      </w:r>
    </w:p>
    <w:p>
      <w:pPr>
        <w:spacing w:after="0" w:line="198" w:lineRule="exact"/>
        <w:rPr>
          <w:sz w:val="20"/>
          <w:szCs w:val="20"/>
          <w:color w:val="auto"/>
        </w:rPr>
      </w:pPr>
    </w:p>
    <w:p>
      <w:pPr>
        <w:ind w:right="100" w:firstLine="761"/>
        <w:spacing w:after="0" w:line="252" w:lineRule="auto"/>
        <w:rPr>
          <w:sz w:val="20"/>
          <w:szCs w:val="20"/>
          <w:color w:val="auto"/>
        </w:rPr>
      </w:pPr>
      <w:r>
        <w:rPr>
          <w:rFonts w:ascii="Arial" w:cs="Arial" w:eastAsia="Arial" w:hAnsi="Arial"/>
          <w:sz w:val="18"/>
          <w:szCs w:val="18"/>
          <w:color w:val="auto"/>
        </w:rPr>
        <w:t>In November 2022, the Company amended its floorplan facility with Ally Bank and Ally Financial (the “2022 Vehicle Floorplan Facility”). The 2022 Vehicle Floorplan Facility provides a committed credit line of up to $500.0 million which is scheduled to mature on March 31, 2024.</w:t>
      </w:r>
    </w:p>
    <w:p>
      <w:pPr>
        <w:spacing w:after="0" w:line="157" w:lineRule="exact"/>
        <w:rPr>
          <w:sz w:val="20"/>
          <w:szCs w:val="20"/>
          <w:color w:val="auto"/>
        </w:rPr>
      </w:pPr>
    </w:p>
    <w:p>
      <w:pPr>
        <w:ind w:right="120" w:firstLine="761"/>
        <w:spacing w:after="0"/>
        <w:rPr>
          <w:sz w:val="20"/>
          <w:szCs w:val="20"/>
          <w:color w:val="auto"/>
        </w:rPr>
      </w:pPr>
      <w:r>
        <w:rPr>
          <w:rFonts w:ascii="Arial" w:cs="Arial" w:eastAsia="Arial" w:hAnsi="Arial"/>
          <w:sz w:val="18"/>
          <w:szCs w:val="18"/>
          <w:color w:val="auto"/>
        </w:rPr>
        <w:t>The amount of credit available to the Company on a monthly basis equals the product of (1) the greater of five times the aggregate number of retail units sold during the most recent month for which information is available or the aggregate number of retail units sold during the five most recent months for which information is available and (2) the greater of the average outstanding floorplan balance of all vehicles on the floorplan as of the immediately preceding month-end or the average monthly outstanding floorplan balance of all vehicles on the floorplan as of month-end for the immediately preceding five months. As of December 31, 2023, the borrowing capacity of the 2022 Vehicle Floorplan Facility was $253.6 million, of which $102.4 million was unutilized. As of December 31, 2022, the borrowing capacity of the 2022 Vehicle Floorplan Facility was $343.9 million, of which $66.9 million was unutilized.</w:t>
      </w:r>
    </w:p>
    <w:p>
      <w:pPr>
        <w:sectPr>
          <w:pgSz w:w="11900" w:h="16838" w:orient="portrait"/>
          <w:cols w:equalWidth="0" w:num="1">
            <w:col w:w="11240"/>
          </w:cols>
          <w:pgMar w:left="320" w:top="768" w:right="339" w:bottom="144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1" w:lineRule="exact"/>
        <w:rPr>
          <w:sz w:val="20"/>
          <w:szCs w:val="20"/>
          <w:color w:val="auto"/>
        </w:rPr>
      </w:pPr>
    </w:p>
    <w:p>
      <w:pPr>
        <w:ind w:right="140" w:firstLine="761"/>
        <w:spacing w:after="0" w:line="241" w:lineRule="auto"/>
        <w:rPr>
          <w:sz w:val="20"/>
          <w:szCs w:val="20"/>
          <w:color w:val="auto"/>
        </w:rPr>
      </w:pPr>
      <w:r>
        <w:rPr>
          <w:rFonts w:ascii="Arial" w:cs="Arial" w:eastAsia="Arial" w:hAnsi="Arial"/>
          <w:sz w:val="18"/>
          <w:szCs w:val="18"/>
          <w:color w:val="auto"/>
        </w:rPr>
        <w:t>Additionally, the Company may elect to increase its monthly credit line availability by an additional $25.0 million during any four months in the period from November 1, 2022 through March 31, 2024, subject to the maximum $500.0 million credit limit. The 2022 Vehicle Floorplan Facility allows for more flexibility in the Company's borrowing capacity. Consistent with the terms of the 2020 Vehicle Floorplan Facility, the Company and Vroom Automotive, LLC have provided Ally with a guaranty of payment of all amounts owed under the 2022 Vehicle Floorplan Facility as well as a security interest in all or substantially all tangible, intangible, and other personal property of Vroom, Inc., to secure obligations under the 2022 Vehicle Floorplan Facility.</w:t>
      </w:r>
    </w:p>
    <w:p>
      <w:pPr>
        <w:spacing w:after="0" w:line="169"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The 2022 Vehicle Floorplan Facility bears interest at a rate equal to the Prime Rate, announced per annum by Ally Bank, plus 175 basis points. Additionally, the Company is subject to amended covenants and events of default. The Company is required to maintain a certain level of equity in the vehicles that are financed, to maintain at least 20.0% of the credit line in cash and cash equivalents, and to maintain a minimum required balance with Ally of at least 15.0% of the daily floorplan principal balance outstanding. The Company was required to pay a commitment fee upon execution of the 2022 Vehicle Floorplan Facility.</w:t>
      </w:r>
    </w:p>
    <w:p>
      <w:pPr>
        <w:spacing w:after="0" w:line="166" w:lineRule="exact"/>
        <w:rPr>
          <w:sz w:val="20"/>
          <w:szCs w:val="20"/>
          <w:color w:val="auto"/>
        </w:rPr>
      </w:pPr>
    </w:p>
    <w:p>
      <w:pPr>
        <w:ind w:right="480" w:firstLine="761"/>
        <w:spacing w:after="0" w:line="252" w:lineRule="auto"/>
        <w:rPr>
          <w:sz w:val="20"/>
          <w:szCs w:val="20"/>
          <w:color w:val="auto"/>
        </w:rPr>
      </w:pPr>
      <w:r>
        <w:rPr>
          <w:rFonts w:ascii="Arial" w:cs="Arial" w:eastAsia="Arial" w:hAnsi="Arial"/>
          <w:sz w:val="18"/>
          <w:szCs w:val="18"/>
          <w:color w:val="auto"/>
        </w:rPr>
        <w:t>As of December 31, 2023 and 2022, outstanding borrowings on the vehicle floorplan facilities were $151.2 million and $277.0 million, respectively. Cash deposits required under the vehicle floorplan facilities of $22.7 million and $34.6 million are classified as "Restricted cash" within the consolidated balance sheets as of December 31, 2023 and 2022, respectively.</w:t>
      </w:r>
    </w:p>
    <w:p>
      <w:pPr>
        <w:spacing w:after="0" w:line="157" w:lineRule="exact"/>
        <w:rPr>
          <w:sz w:val="20"/>
          <w:szCs w:val="20"/>
          <w:color w:val="auto"/>
        </w:rPr>
      </w:pPr>
    </w:p>
    <w:p>
      <w:pPr>
        <w:ind w:firstLine="761"/>
        <w:spacing w:after="0" w:line="274" w:lineRule="auto"/>
        <w:rPr>
          <w:sz w:val="20"/>
          <w:szCs w:val="20"/>
          <w:color w:val="auto"/>
        </w:rPr>
      </w:pPr>
      <w:r>
        <w:rPr>
          <w:rFonts w:ascii="Arial" w:cs="Arial" w:eastAsia="Arial" w:hAnsi="Arial"/>
          <w:sz w:val="17"/>
          <w:szCs w:val="17"/>
          <w:color w:val="auto"/>
        </w:rPr>
        <w:t>Interest expense incurred by the Company for the vehicle floorplan facilities was $19.5 million and $26.8 million for the years ended December 31, 2023 and 2022, respectively, which are recorded within “Interest expense” in the consolidated statements of operations. The weighted average interest rate on the vehicle floorplan borrowings was 10.25% and 9.25% as of December 31, 2023 and 2022, respectively.</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2023 and 2022, the Company was in compliance with all covenants related to the vehicle floorplan facilities.</w:t>
      </w:r>
    </w:p>
    <w:p>
      <w:pPr>
        <w:spacing w:after="0" w:line="198"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In connection with the vehicle floorplan facilities, the Company entered into credit balance agreements with Ally Bank and Ally Financial that permit the Company to deposit cash with the bank for the purpose of reducing the amount of interest payable for borrowings. Interest credits earned by the Company were $13.2 million and $15.9 million for the years ended December 31, 2023 and 2022, respectively, which are recorded within “Interest income” in the consolidated statements of operations.</w:t>
      </w:r>
    </w:p>
    <w:p>
      <w:pPr>
        <w:spacing w:after="0" w:line="163" w:lineRule="exact"/>
        <w:rPr>
          <w:sz w:val="20"/>
          <w:szCs w:val="20"/>
          <w:color w:val="auto"/>
        </w:rPr>
      </w:pPr>
    </w:p>
    <w:p>
      <w:pPr>
        <w:ind w:right="120" w:firstLine="761"/>
        <w:spacing w:after="0" w:line="243" w:lineRule="auto"/>
        <w:rPr>
          <w:sz w:val="20"/>
          <w:szCs w:val="20"/>
          <w:color w:val="auto"/>
        </w:rPr>
      </w:pPr>
      <w:r>
        <w:rPr>
          <w:rFonts w:ascii="Arial" w:cs="Arial" w:eastAsia="Arial" w:hAnsi="Arial"/>
          <w:sz w:val="18"/>
          <w:szCs w:val="18"/>
          <w:color w:val="auto"/>
        </w:rPr>
        <w:t>On January 19, 2024, the Company amended its 2022 Vehicle Floorplan Facility. As a result of the amendment, borrowings under the 2022 Vehicle Floorplan Facility were suspended for future vehicle purchases and the Company was required to maintain 40% of its outstanding borrowings in cash. In addition, all other financial covenants were eliminated. As a result of the liquidation of the Company's vehicle inventory, the Company repaid the remaining outstanding balance related to the 2022 Vehicle Floorplan Facility in full and the agreement has been terminated.</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ind w:right="3300" w:firstLine="3291"/>
        <w:spacing w:after="0" w:line="400" w:lineRule="auto"/>
        <w:rPr>
          <w:sz w:val="20"/>
          <w:szCs w:val="20"/>
          <w:color w:val="auto"/>
        </w:rPr>
      </w:pPr>
      <w:r>
        <w:rPr>
          <w:rFonts w:ascii="Arial" w:cs="Arial" w:eastAsia="Arial" w:hAnsi="Arial"/>
          <w:sz w:val="18"/>
          <w:szCs w:val="18"/>
          <w:b w:val="1"/>
          <w:bCs w:val="1"/>
          <w:color w:val="auto"/>
        </w:rPr>
        <w:t>NOTES TO CONSOLIDATED FINANCIAL STATEMENTS 11. Warehouse Credit Facilities of Consolidated VIEs</w:t>
      </w:r>
    </w:p>
    <w:p>
      <w:pPr>
        <w:spacing w:after="0" w:line="20" w:lineRule="exact"/>
        <w:rPr>
          <w:sz w:val="20"/>
          <w:szCs w:val="20"/>
          <w:color w:val="auto"/>
        </w:rPr>
      </w:pPr>
    </w:p>
    <w:p>
      <w:pPr>
        <w:ind w:right="260" w:firstLine="764"/>
        <w:spacing w:after="0" w:line="243" w:lineRule="auto"/>
        <w:rPr>
          <w:sz w:val="20"/>
          <w:szCs w:val="20"/>
          <w:color w:val="auto"/>
        </w:rPr>
      </w:pPr>
      <w:r>
        <w:rPr>
          <w:rFonts w:ascii="Arial" w:cs="Arial" w:eastAsia="Arial" w:hAnsi="Arial"/>
          <w:sz w:val="18"/>
          <w:szCs w:val="18"/>
          <w:color w:val="auto"/>
        </w:rPr>
        <w:t>UACC has four senior secured warehouse facility agreements (the “Warehouse Credit Facilities”) with banking institutions as of December 31, 2023. The Warehouse Credit Facilities are collateralized by eligible finance receivables and available borrowings are computed based on a percentage of eligible finance receivables. As of December 31, 2023 and 2022, the Company had excess borrowing capacity of $56.9 million and $105.8 million on UACC's Warehouse Credit Facilities, respectively. The terms of the Warehouse Credit Facilities include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Facility One</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Facility Two</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Facility Three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Facility Four</w:t>
            </w:r>
          </w:p>
        </w:tc>
        <w:tc>
          <w:tcPr>
            <w:tcW w:w="100" w:type="dxa"/>
            <w:vAlign w:val="bottom"/>
          </w:tcPr>
          <w:p>
            <w:pPr>
              <w:spacing w:after="0"/>
              <w:rPr>
                <w:sz w:val="16"/>
                <w:szCs w:val="16"/>
                <w:color w:val="auto"/>
              </w:rPr>
            </w:pPr>
          </w:p>
        </w:tc>
      </w:tr>
      <w:tr>
        <w:trPr>
          <w:trHeight w:val="190"/>
        </w:trPr>
        <w:tc>
          <w:tcPr>
            <w:tcW w:w="4140" w:type="dxa"/>
            <w:vAlign w:val="bottom"/>
            <w:shd w:val="clear" w:color="auto" w:fill="CFF0FC"/>
          </w:tcPr>
          <w:p>
            <w:pPr>
              <w:ind w:left="20"/>
              <w:spacing w:after="0" w:line="190" w:lineRule="exact"/>
              <w:rPr>
                <w:sz w:val="20"/>
                <w:szCs w:val="20"/>
                <w:color w:val="auto"/>
              </w:rPr>
            </w:pPr>
            <w:r>
              <w:rPr>
                <w:rFonts w:ascii="Arial" w:cs="Arial" w:eastAsia="Arial" w:hAnsi="Arial"/>
                <w:sz w:val="18"/>
                <w:szCs w:val="18"/>
                <w:color w:val="auto"/>
              </w:rPr>
              <w:t>Execution date</w:t>
            </w:r>
          </w:p>
        </w:tc>
        <w:tc>
          <w:tcPr>
            <w:tcW w:w="2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80"/>
              <w:spacing w:after="0" w:line="190" w:lineRule="exact"/>
              <w:rPr>
                <w:sz w:val="20"/>
                <w:szCs w:val="20"/>
                <w:color w:val="auto"/>
              </w:rPr>
            </w:pPr>
            <w:r>
              <w:rPr>
                <w:rFonts w:ascii="Arial" w:cs="Arial" w:eastAsia="Arial" w:hAnsi="Arial"/>
                <w:sz w:val="18"/>
                <w:szCs w:val="18"/>
                <w:color w:val="auto"/>
              </w:rPr>
              <w:t>November 18,</w:t>
            </w:r>
          </w:p>
        </w:tc>
      </w:tr>
      <w:tr>
        <w:trPr>
          <w:trHeight w:val="235"/>
        </w:trPr>
        <w:tc>
          <w:tcPr>
            <w:tcW w:w="4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May 30, 2012</w:t>
            </w:r>
          </w:p>
        </w:tc>
        <w:tc>
          <w:tcPr>
            <w:tcW w:w="3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November 19, 2013</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July 11, 2019</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20"/>
                <w:szCs w:val="20"/>
                <w:color w:val="auto"/>
              </w:rPr>
            </w:pPr>
          </w:p>
        </w:tc>
      </w:tr>
      <w:tr>
        <w:trPr>
          <w:trHeight w:val="197"/>
        </w:trPr>
        <w:tc>
          <w:tcPr>
            <w:tcW w:w="4140" w:type="dxa"/>
            <w:vAlign w:val="bottom"/>
          </w:tcPr>
          <w:p>
            <w:pPr>
              <w:ind w:left="20"/>
              <w:spacing w:after="0" w:line="197" w:lineRule="exact"/>
              <w:rPr>
                <w:sz w:val="20"/>
                <w:szCs w:val="20"/>
                <w:color w:val="auto"/>
              </w:rPr>
            </w:pPr>
            <w:r>
              <w:rPr>
                <w:rFonts w:ascii="Arial" w:cs="Arial" w:eastAsia="Arial" w:hAnsi="Arial"/>
                <w:sz w:val="18"/>
                <w:szCs w:val="18"/>
                <w:color w:val="auto"/>
              </w:rPr>
              <w:t>Maturity date</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right"/>
              <w:ind w:right="180"/>
              <w:spacing w:after="0" w:line="197" w:lineRule="exact"/>
              <w:rPr>
                <w:sz w:val="20"/>
                <w:szCs w:val="20"/>
                <w:color w:val="auto"/>
              </w:rPr>
            </w:pPr>
            <w:r>
              <w:rPr>
                <w:rFonts w:ascii="Arial" w:cs="Arial" w:eastAsia="Arial" w:hAnsi="Arial"/>
                <w:sz w:val="18"/>
                <w:szCs w:val="18"/>
                <w:color w:val="auto"/>
              </w:rPr>
              <w:t>September 12,</w:t>
            </w:r>
          </w:p>
        </w:tc>
      </w:tr>
      <w:tr>
        <w:trPr>
          <w:trHeight w:val="235"/>
        </w:trPr>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July 21, 2025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June 2, 2025</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August 29, 2025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0"/>
                <w:szCs w:val="20"/>
                <w:color w:val="auto"/>
              </w:rPr>
            </w:pPr>
          </w:p>
        </w:tc>
      </w:tr>
      <w:tr>
        <w:trPr>
          <w:trHeight w:val="229"/>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Aggregate borrowings limit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w:t>
            </w:r>
          </w:p>
        </w:tc>
        <w:tc>
          <w:tcPr>
            <w:tcW w:w="100" w:type="dxa"/>
            <w:vAlign w:val="bottom"/>
            <w:shd w:val="clear" w:color="auto" w:fill="CFF0FC"/>
          </w:tcPr>
          <w:p>
            <w:pPr>
              <w:spacing w:after="0"/>
              <w:rPr>
                <w:sz w:val="19"/>
                <w:szCs w:val="19"/>
                <w:color w:val="auto"/>
              </w:rPr>
            </w:pPr>
          </w:p>
        </w:tc>
      </w:tr>
      <w:tr>
        <w:trPr>
          <w:trHeight w:val="222"/>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414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color w:val="auto"/>
              </w:rPr>
              <w:t>Aggregate principal balance of finance</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receivables pledged as collateral</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223,207</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64,970</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165,927</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92,978</w:t>
            </w:r>
          </w:p>
        </w:tc>
        <w:tc>
          <w:tcPr>
            <w:tcW w:w="100" w:type="dxa"/>
            <w:vAlign w:val="bottom"/>
            <w:shd w:val="clear" w:color="auto" w:fill="CFF0FC"/>
          </w:tcPr>
          <w:p>
            <w:pPr>
              <w:spacing w:after="0"/>
              <w:rPr>
                <w:sz w:val="20"/>
                <w:szCs w:val="20"/>
                <w:color w:val="auto"/>
              </w:rPr>
            </w:pP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Outstanding balance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177,375</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51,012</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117,264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75,617</w:t>
            </w:r>
          </w:p>
        </w:tc>
        <w:tc>
          <w:tcPr>
            <w:tcW w:w="100" w:type="dxa"/>
            <w:vAlign w:val="bottom"/>
          </w:tcPr>
          <w:p>
            <w:pPr>
              <w:spacing w:after="0"/>
              <w:rPr>
                <w:sz w:val="19"/>
                <w:szCs w:val="19"/>
                <w:color w:val="auto"/>
              </w:rPr>
            </w:pPr>
          </w:p>
        </w:tc>
      </w:tr>
      <w:tr>
        <w:trPr>
          <w:trHeight w:val="229"/>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8,961</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6,485</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FF0FC"/>
          </w:tcPr>
          <w:p>
            <w:pPr>
              <w:spacing w:after="0"/>
              <w:rPr>
                <w:sz w:val="19"/>
                <w:szCs w:val="19"/>
                <w:color w:val="auto"/>
              </w:rPr>
            </w:pPr>
          </w:p>
        </w:tc>
      </w:tr>
      <w:tr>
        <w:trPr>
          <w:trHeight w:val="222"/>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4140" w:type="dxa"/>
            <w:vAlign w:val="bottom"/>
            <w:shd w:val="clear" w:color="auto" w:fill="CFF0FC"/>
          </w:tcPr>
          <w:p>
            <w:pPr>
              <w:ind w:left="20"/>
              <w:spacing w:after="0" w:line="205" w:lineRule="exact"/>
              <w:rPr>
                <w:sz w:val="20"/>
                <w:szCs w:val="20"/>
                <w:color w:val="auto"/>
              </w:rPr>
            </w:pPr>
            <w:r>
              <w:rPr>
                <w:rFonts w:ascii="Arial" w:cs="Arial" w:eastAsia="Arial" w:hAnsi="Arial"/>
                <w:sz w:val="18"/>
                <w:szCs w:val="18"/>
                <w:color w:val="auto"/>
              </w:rPr>
              <w:t>Aggregate principal balance of finance</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receivables pledged as collateral</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143,919</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142,503</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126,636</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tcPr>
          <w:p>
            <w:pPr>
              <w:ind w:left="20"/>
              <w:spacing w:after="0"/>
              <w:rPr>
                <w:sz w:val="20"/>
                <w:szCs w:val="20"/>
                <w:color w:val="auto"/>
              </w:rPr>
            </w:pPr>
            <w:r>
              <w:rPr>
                <w:rFonts w:ascii="Arial" w:cs="Arial" w:eastAsia="Arial" w:hAnsi="Arial"/>
                <w:sz w:val="18"/>
                <w:szCs w:val="18"/>
                <w:color w:val="auto"/>
              </w:rPr>
              <w:t>Outstanding balance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110,602</w:t>
            </w:r>
          </w:p>
        </w:tc>
        <w:tc>
          <w:tcPr>
            <w:tcW w:w="5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19,615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101,435</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8,110</w:t>
            </w:r>
          </w:p>
        </w:tc>
        <w:tc>
          <w:tcPr>
            <w:tcW w:w="5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5,537</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83" w:lineRule="exact"/>
        <w:rPr>
          <w:sz w:val="20"/>
          <w:szCs w:val="20"/>
          <w:color w:val="auto"/>
        </w:rPr>
      </w:pPr>
    </w:p>
    <w:p>
      <w:pPr>
        <w:ind w:right="160" w:firstLine="764"/>
        <w:spacing w:after="0" w:line="271" w:lineRule="auto"/>
        <w:rPr>
          <w:sz w:val="20"/>
          <w:szCs w:val="20"/>
          <w:color w:val="auto"/>
        </w:rPr>
      </w:pPr>
      <w:r>
        <w:rPr>
          <w:rFonts w:ascii="Arial" w:cs="Arial" w:eastAsia="Arial" w:hAnsi="Arial"/>
          <w:sz w:val="18"/>
          <w:szCs w:val="18"/>
          <w:color w:val="auto"/>
        </w:rPr>
        <w:t>As of December 31, 2023 and 2022, the Company's weighted average interest rate on the Warehouse Credit Facilities borrowings was approximately 6.98% and 6.19%, respectively.</w:t>
      </w:r>
    </w:p>
    <w:p>
      <w:pPr>
        <w:spacing w:after="0" w:line="139" w:lineRule="exact"/>
        <w:rPr>
          <w:sz w:val="20"/>
          <w:szCs w:val="20"/>
          <w:color w:val="auto"/>
        </w:rPr>
      </w:pPr>
    </w:p>
    <w:p>
      <w:pPr>
        <w:ind w:right="40" w:firstLine="764"/>
        <w:spacing w:after="0" w:line="241" w:lineRule="auto"/>
        <w:rPr>
          <w:sz w:val="20"/>
          <w:szCs w:val="20"/>
          <w:color w:val="auto"/>
        </w:rPr>
      </w:pPr>
      <w:r>
        <w:rPr>
          <w:rFonts w:ascii="Arial" w:cs="Arial" w:eastAsia="Arial" w:hAnsi="Arial"/>
          <w:sz w:val="18"/>
          <w:szCs w:val="18"/>
          <w:color w:val="auto"/>
        </w:rPr>
        <w:t>The Company's ability to utilize its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specified leverage ratios and certain indebtedness levels. Failure to satisfy these and or any other requirements contained within the agreements would restrict access to the Warehouse Credit Facilities. Certain breaches of covenants may also result in acceleration of the repayment of borrowings prior to the scheduled maturity. As of December 31, 2023 and 2022, the Company was in compliance with all covenants related to the Warehouse Credit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98" w:lineRule="exact"/>
        <w:rPr>
          <w:sz w:val="20"/>
          <w:szCs w:val="20"/>
          <w:color w:val="auto"/>
        </w:rPr>
      </w:pPr>
    </w:p>
    <w:p>
      <w:pPr>
        <w:ind w:right="380" w:firstLine="761"/>
        <w:spacing w:after="0" w:line="243" w:lineRule="auto"/>
        <w:rPr>
          <w:sz w:val="20"/>
          <w:szCs w:val="20"/>
          <w:color w:val="auto"/>
        </w:rPr>
      </w:pPr>
      <w:r>
        <w:rPr>
          <w:rFonts w:ascii="Arial" w:cs="Arial" w:eastAsia="Arial" w:hAnsi="Arial"/>
          <w:sz w:val="18"/>
          <w:szCs w:val="18"/>
          <w:color w:val="auto"/>
        </w:rPr>
        <w:t>The Company’s leasing activities primarily consist of real estate leases for its operations, including office space, the Company’s reconditioning facility, the Company’s Sell Us Your Car centers, parking lots, other facilities and equipment used in the normal course of business. The real estate leases have terms ranging from three months to nine years. The Company assesses whether each lease is an operating or finance lease at the lease commencement date. The Company does not have any material leases, individually or in the aggregate, classified as a finance leasing arrangement.</w:t>
      </w:r>
    </w:p>
    <w:p>
      <w:pPr>
        <w:spacing w:after="0" w:line="166" w:lineRule="exact"/>
        <w:rPr>
          <w:sz w:val="20"/>
          <w:szCs w:val="20"/>
          <w:color w:val="auto"/>
        </w:rPr>
      </w:pPr>
    </w:p>
    <w:p>
      <w:pPr>
        <w:ind w:right="180" w:firstLine="761"/>
        <w:spacing w:after="0" w:line="274" w:lineRule="auto"/>
        <w:rPr>
          <w:sz w:val="20"/>
          <w:szCs w:val="20"/>
          <w:color w:val="auto"/>
        </w:rPr>
      </w:pPr>
      <w:r>
        <w:rPr>
          <w:rFonts w:ascii="Arial" w:cs="Arial" w:eastAsia="Arial" w:hAnsi="Arial"/>
          <w:sz w:val="17"/>
          <w:szCs w:val="17"/>
          <w:color w:val="auto"/>
        </w:rPr>
        <w:t>The Company’s lease agreements do not contain any material residual value guarantees or material restrictive covenants. As of December 31, 2023, the Company had an additional operating lease that has not yet commenced with future lease payments of approximately $1.2 million. The lease is expected to commence over the next 12 months with an initial lease term of approximately 7 years.</w:t>
      </w:r>
    </w:p>
    <w:p>
      <w:pPr>
        <w:spacing w:after="0" w:line="140" w:lineRule="exact"/>
        <w:rPr>
          <w:sz w:val="20"/>
          <w:szCs w:val="20"/>
          <w:color w:val="auto"/>
        </w:rPr>
      </w:pPr>
    </w:p>
    <w:p>
      <w:pPr>
        <w:ind w:right="120" w:firstLine="764"/>
        <w:spacing w:after="0" w:line="246" w:lineRule="auto"/>
        <w:rPr>
          <w:sz w:val="20"/>
          <w:szCs w:val="20"/>
          <w:color w:val="auto"/>
        </w:rPr>
      </w:pPr>
      <w:r>
        <w:rPr>
          <w:rFonts w:ascii="Arial" w:cs="Arial" w:eastAsia="Arial" w:hAnsi="Arial"/>
          <w:sz w:val="18"/>
          <w:szCs w:val="18"/>
          <w:color w:val="auto"/>
        </w:rPr>
        <w:t>The Company’s real estate leases often require it to make payments for maintenance in addition to rent as well as payments for real estate taxes and insurance. Maintenance, real estate taxes, and insurance payments are generally variable costs which are based on actual expenses incurred by the lessor. Therefore, these amounts are not included in the consideration of the contract when determining the right-of-use asset and lease liability but are reflected as variable lease expenses.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300" w:firstLine="764"/>
        <w:spacing w:after="0" w:line="271" w:lineRule="auto"/>
        <w:rPr>
          <w:sz w:val="20"/>
          <w:szCs w:val="20"/>
          <w:color w:val="auto"/>
        </w:rPr>
      </w:pPr>
      <w:r>
        <w:rPr>
          <w:rFonts w:ascii="Arial" w:cs="Arial" w:eastAsia="Arial" w:hAnsi="Arial"/>
          <w:sz w:val="18"/>
          <w:szCs w:val="18"/>
          <w:color w:val="auto"/>
        </w:rPr>
        <w:t>Leases with an initial term of 12 months or less are not recorded on the Company’s consolidated balance sheet and expense for these leases are recognized on a straight-line basis over the lease term.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extend or terminate leases</w:t>
      </w:r>
    </w:p>
    <w:p>
      <w:pPr>
        <w:spacing w:after="0" w:line="196" w:lineRule="exact"/>
        <w:rPr>
          <w:sz w:val="20"/>
          <w:szCs w:val="20"/>
          <w:color w:val="auto"/>
        </w:rPr>
      </w:pPr>
    </w:p>
    <w:p>
      <w:pPr>
        <w:ind w:right="260" w:firstLine="761"/>
        <w:spacing w:after="0" w:line="243" w:lineRule="auto"/>
        <w:rPr>
          <w:sz w:val="20"/>
          <w:szCs w:val="20"/>
          <w:color w:val="auto"/>
        </w:rPr>
      </w:pPr>
      <w:r>
        <w:rPr>
          <w:rFonts w:ascii="Arial" w:cs="Arial" w:eastAsia="Arial" w:hAnsi="Arial"/>
          <w:sz w:val="18"/>
          <w:szCs w:val="18"/>
          <w:color w:val="auto"/>
        </w:rPr>
        <w:t>Certain of the Company’s real estate leases include one or more options to renew, with renewal terms that can extend the lease term from one to five years. The exercise of lease renewal options is at the Company’s sole discretion. If it is reasonably certain that the Company will exercise such options, the periods covered by such options are included in the lease term and are recognized as part of the Company’s right-of-use assets and lease liabilities. The depreciable life of assets and leasehold improvements are limited by the expected lease term, unless there is a transfer of title or purchase option reasonably certain of exercise.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196" w:lineRule="exact"/>
        <w:rPr>
          <w:sz w:val="20"/>
          <w:szCs w:val="20"/>
          <w:color w:val="auto"/>
        </w:rPr>
      </w:pPr>
    </w:p>
    <w:p>
      <w:pPr>
        <w:ind w:right="120" w:firstLine="761"/>
        <w:spacing w:after="0" w:line="301" w:lineRule="auto"/>
        <w:rPr>
          <w:sz w:val="20"/>
          <w:szCs w:val="20"/>
          <w:color w:val="auto"/>
        </w:rPr>
      </w:pPr>
      <w:r>
        <w:rPr>
          <w:rFonts w:ascii="Arial" w:cs="Arial" w:eastAsia="Arial" w:hAnsi="Arial"/>
          <w:sz w:val="17"/>
          <w:szCs w:val="17"/>
          <w:color w:val="auto"/>
        </w:rPr>
        <w:t>The weighted-average remaining lease term and discount rate for the Company’s operating leases, excluding short-term operating leases, were 5.1 years and 7.1% as of December 31, 2023, respectively, and 4.2 years and 5.8% as of December 31, 2022, respectively.</w:t>
      </w:r>
    </w:p>
    <w:p>
      <w:pPr>
        <w:spacing w:after="0" w:line="116" w:lineRule="exact"/>
        <w:rPr>
          <w:sz w:val="20"/>
          <w:szCs w:val="20"/>
          <w:color w:val="auto"/>
        </w:rPr>
      </w:pPr>
    </w:p>
    <w:p>
      <w:pPr>
        <w:ind w:right="80" w:firstLine="761"/>
        <w:spacing w:after="0" w:line="241" w:lineRule="auto"/>
        <w:rPr>
          <w:sz w:val="20"/>
          <w:szCs w:val="20"/>
          <w:color w:val="auto"/>
        </w:rPr>
      </w:pPr>
      <w:r>
        <w:rPr>
          <w:rFonts w:ascii="Arial" w:cs="Arial" w:eastAsia="Arial" w:hAnsi="Arial"/>
          <w:sz w:val="18"/>
          <w:szCs w:val="18"/>
          <w:color w:val="auto"/>
        </w:rPr>
        <w:t>As the rate implicit in the lease is generally not readily determinable for the Company’s operating leases, the discount rates used to determine the present value of the Company’s lease liabilities are based on the Company’s incremental borrowing rate at the lease commencement date and commensurate with the remaining lease term. The incremental borrowing rate for a lease is the rate of interest the Company would have to pay to borrow on a collateralized basis over a similar term for an amount equal to the lease payments in a similar economic environment. The Company uses its incremental borrowing rate based on the information available at commencement date in determining the present value of lease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 and activity</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lease costs and activity for the years ended December 31, 2023 and 2022 were as follows (in thousands):</w:t>
      </w:r>
    </w:p>
    <w:p>
      <w:pPr>
        <w:spacing w:after="0" w:line="26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tcPr>
          <w:p>
            <w:pPr>
              <w:spacing w:after="0"/>
              <w:rPr>
                <w:sz w:val="15"/>
                <w:szCs w:val="15"/>
                <w:color w:val="auto"/>
              </w:rPr>
            </w:pP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182"/>
        </w:trPr>
        <w:tc>
          <w:tcPr>
            <w:tcW w:w="70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Lease Cost</w:t>
            </w:r>
          </w:p>
        </w:tc>
        <w:tc>
          <w:tcPr>
            <w:tcW w:w="1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Operating lease cost</w:t>
            </w:r>
          </w:p>
        </w:tc>
        <w:tc>
          <w:tcPr>
            <w:tcW w:w="1220" w:type="dxa"/>
            <w:vAlign w:val="bottom"/>
          </w:tcPr>
          <w:p>
            <w:pPr>
              <w:jc w:val="right"/>
              <w:ind w:right="10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8,951</w:t>
            </w:r>
          </w:p>
        </w:tc>
        <w:tc>
          <w:tcPr>
            <w:tcW w:w="3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8,402</w:t>
            </w: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cost</w:t>
            </w:r>
          </w:p>
        </w:tc>
        <w:tc>
          <w:tcPr>
            <w:tcW w:w="1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1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4,125</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Sublease income</w:t>
            </w:r>
          </w:p>
        </w:tc>
        <w:tc>
          <w:tcPr>
            <w:tcW w:w="1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(379 )</w:t>
            </w:r>
          </w:p>
        </w:tc>
        <w:tc>
          <w:tcPr>
            <w:tcW w:w="5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(72 )</w:t>
            </w:r>
          </w:p>
        </w:tc>
      </w:tr>
      <w:tr>
        <w:trPr>
          <w:trHeight w:val="223"/>
        </w:trPr>
        <w:tc>
          <w:tcPr>
            <w:tcW w:w="7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lease cost</w:t>
            </w:r>
          </w:p>
        </w:tc>
        <w:tc>
          <w:tcPr>
            <w:tcW w:w="1220" w:type="dxa"/>
            <w:vAlign w:val="bottom"/>
            <w:tcBorders>
              <w:top w:val="single" w:sz="8" w:color="auto"/>
              <w:bottom w:val="single" w:sz="8" w:color="auto"/>
            </w:tcBorders>
          </w:tcPr>
          <w:p>
            <w:pPr>
              <w:jc w:val="right"/>
              <w:ind w:right="10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13,009</w:t>
            </w:r>
          </w:p>
        </w:tc>
        <w:tc>
          <w:tcPr>
            <w:tcW w:w="300" w:type="dxa"/>
            <w:vAlign w:val="bottom"/>
            <w:tcBorders>
              <w:top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12,830</w:t>
            </w:r>
          </w:p>
        </w:tc>
        <w:tc>
          <w:tcPr>
            <w:tcW w:w="100" w:type="dxa"/>
            <w:vAlign w:val="bottom"/>
            <w:tcBorders>
              <w:top w:val="single" w:sz="8" w:color="CFF0FC"/>
            </w:tcBorders>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70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Year Ended</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70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080" w:type="dxa"/>
            <w:vAlign w:val="bottom"/>
          </w:tcPr>
          <w:p>
            <w:pPr>
              <w:spacing w:after="0"/>
              <w:rPr>
                <w:sz w:val="15"/>
                <w:szCs w:val="15"/>
                <w:color w:val="auto"/>
              </w:rPr>
            </w:pPr>
          </w:p>
        </w:tc>
        <w:tc>
          <w:tcPr>
            <w:tcW w:w="12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182"/>
        </w:trPr>
        <w:tc>
          <w:tcPr>
            <w:tcW w:w="70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Other information</w:t>
            </w:r>
          </w:p>
        </w:tc>
        <w:tc>
          <w:tcPr>
            <w:tcW w:w="12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220" w:type="dxa"/>
            <w:vAlign w:val="bottom"/>
            <w:shd w:val="clear" w:color="auto" w:fill="CFF0FC"/>
          </w:tcPr>
          <w:p>
            <w:pPr>
              <w:jc w:val="right"/>
              <w:ind w:right="1016"/>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9,322</w:t>
            </w:r>
          </w:p>
        </w:tc>
        <w:tc>
          <w:tcPr>
            <w:tcW w:w="100" w:type="dxa"/>
            <w:vAlign w:val="bottom"/>
            <w:shd w:val="clear" w:color="auto" w:fill="CFF0FC"/>
          </w:tcPr>
          <w:p>
            <w:pPr>
              <w:spacing w:after="0"/>
              <w:rPr>
                <w:sz w:val="19"/>
                <w:szCs w:val="19"/>
                <w:color w:val="auto"/>
              </w:rPr>
            </w:pPr>
          </w:p>
        </w:tc>
      </w:tr>
      <w:tr>
        <w:trPr>
          <w:trHeight w:val="239"/>
        </w:trPr>
        <w:tc>
          <w:tcPr>
            <w:tcW w:w="708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220" w:type="dxa"/>
            <w:vAlign w:val="bottom"/>
          </w:tcPr>
          <w:p>
            <w:pPr>
              <w:jc w:val="right"/>
              <w:ind w:right="101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13,260</w:t>
            </w:r>
          </w:p>
        </w:tc>
        <w:tc>
          <w:tcPr>
            <w:tcW w:w="30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19,896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-1247140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-1247140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ind w:right="180" w:firstLine="761"/>
        <w:spacing w:after="0" w:line="252" w:lineRule="auto"/>
        <w:rPr>
          <w:sz w:val="20"/>
          <w:szCs w:val="20"/>
          <w:color w:val="auto"/>
        </w:rPr>
      </w:pPr>
      <w:r>
        <w:rPr>
          <w:rFonts w:ascii="Arial" w:cs="Arial" w:eastAsia="Arial" w:hAnsi="Arial"/>
          <w:sz w:val="18"/>
          <w:szCs w:val="18"/>
          <w:color w:val="auto"/>
        </w:rPr>
        <w:t>The Company incurred impairment charges related to operating lease right-of-use assets of $23.5 million for the year ended December 31, 2023, with $22.2 million related to the wind-down of the Company's ecommerce operations that resulted in a triggering event as of December 31, 2023 and $1.3 million related the closing of a physical office location.</w:t>
      </w:r>
    </w:p>
    <w:p>
      <w:pPr>
        <w:spacing w:after="0" w:line="157" w:lineRule="exact"/>
        <w:rPr>
          <w:sz w:val="20"/>
          <w:szCs w:val="20"/>
          <w:color w:val="auto"/>
        </w:rPr>
      </w:pPr>
    </w:p>
    <w:p>
      <w:pPr>
        <w:ind w:right="580" w:firstLine="761"/>
        <w:spacing w:after="0" w:line="252" w:lineRule="auto"/>
        <w:rPr>
          <w:sz w:val="20"/>
          <w:szCs w:val="20"/>
          <w:color w:val="auto"/>
        </w:rPr>
      </w:pPr>
      <w:r>
        <w:rPr>
          <w:rFonts w:ascii="Arial" w:cs="Arial" w:eastAsia="Arial" w:hAnsi="Arial"/>
          <w:sz w:val="18"/>
          <w:szCs w:val="18"/>
          <w:color w:val="auto"/>
        </w:rPr>
        <w:t>The Company incurred impairment charges related to operating lease right-of-use assets of $6.5 million for the year ended December 31, 2022, related to costs associated with planned facility closures that will continue to be incurred under the contract for its remaining term without economic benefit to the Company. Refer to Note 18 — Restructuring Activities for further detail.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196" w:lineRule="exact"/>
        <w:rPr>
          <w:sz w:val="20"/>
          <w:szCs w:val="20"/>
          <w:color w:val="auto"/>
        </w:rPr>
      </w:pPr>
    </w:p>
    <w:p>
      <w:pPr>
        <w:ind w:right="560" w:firstLine="761"/>
        <w:spacing w:after="0" w:line="271" w:lineRule="auto"/>
        <w:rPr>
          <w:sz w:val="20"/>
          <w:szCs w:val="20"/>
          <w:color w:val="auto"/>
        </w:rPr>
      </w:pPr>
      <w:r>
        <w:rPr>
          <w:rFonts w:ascii="Arial" w:cs="Arial" w:eastAsia="Arial" w:hAnsi="Arial"/>
          <w:sz w:val="18"/>
          <w:szCs w:val="18"/>
          <w:color w:val="auto"/>
        </w:rPr>
        <w:t>The maturity of the Company’s lease liabilities on an undiscounted cash flow basis and a reconciliation to the operating lease liabilities recognized on the Company’s consolidated balance sheet as of December 31, 2023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9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10,744</w:t>
            </w:r>
          </w:p>
        </w:tc>
        <w:tc>
          <w:tcPr>
            <w:tcW w:w="100" w:type="dxa"/>
            <w:vAlign w:val="bottom"/>
            <w:shd w:val="clear" w:color="auto" w:fill="CFF0FC"/>
          </w:tcPr>
          <w:p>
            <w:pPr>
              <w:spacing w:after="0"/>
              <w:rPr>
                <w:sz w:val="19"/>
                <w:szCs w:val="19"/>
                <w:color w:val="auto"/>
              </w:rPr>
            </w:pP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2025</w:t>
            </w:r>
          </w:p>
        </w:tc>
        <w:tc>
          <w:tcPr>
            <w:tcW w:w="9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19"/>
                <w:szCs w:val="19"/>
                <w:color w:val="auto"/>
              </w:rPr>
            </w:pPr>
          </w:p>
        </w:tc>
      </w:tr>
      <w:tr>
        <w:trPr>
          <w:trHeight w:val="229"/>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9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6,233</w:t>
            </w:r>
          </w:p>
        </w:tc>
        <w:tc>
          <w:tcPr>
            <w:tcW w:w="100" w:type="dxa"/>
            <w:vAlign w:val="bottom"/>
            <w:shd w:val="clear" w:color="auto" w:fill="CFF0FC"/>
          </w:tcPr>
          <w:p>
            <w:pPr>
              <w:spacing w:after="0"/>
              <w:rPr>
                <w:sz w:val="19"/>
                <w:szCs w:val="19"/>
                <w:color w:val="auto"/>
              </w:rPr>
            </w:pP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2027</w:t>
            </w:r>
          </w:p>
        </w:tc>
        <w:tc>
          <w:tcPr>
            <w:tcW w:w="9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5,877</w:t>
            </w:r>
          </w:p>
        </w:tc>
        <w:tc>
          <w:tcPr>
            <w:tcW w:w="100" w:type="dxa"/>
            <w:vAlign w:val="bottom"/>
          </w:tcPr>
          <w:p>
            <w:pPr>
              <w:spacing w:after="0"/>
              <w:rPr>
                <w:sz w:val="19"/>
                <w:szCs w:val="19"/>
                <w:color w:val="auto"/>
              </w:rPr>
            </w:pPr>
          </w:p>
        </w:tc>
      </w:tr>
      <w:tr>
        <w:trPr>
          <w:trHeight w:val="229"/>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9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4,873</w:t>
            </w:r>
          </w:p>
        </w:tc>
        <w:tc>
          <w:tcPr>
            <w:tcW w:w="100" w:type="dxa"/>
            <w:vAlign w:val="bottom"/>
            <w:shd w:val="clear" w:color="auto" w:fill="CFF0FC"/>
          </w:tcPr>
          <w:p>
            <w:pPr>
              <w:spacing w:after="0"/>
              <w:rPr>
                <w:sz w:val="19"/>
                <w:szCs w:val="19"/>
                <w:color w:val="auto"/>
              </w:rPr>
            </w:pP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9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6,329</w:t>
            </w:r>
          </w:p>
        </w:tc>
        <w:tc>
          <w:tcPr>
            <w:tcW w:w="100" w:type="dxa"/>
            <w:vAlign w:val="bottom"/>
          </w:tcPr>
          <w:p>
            <w:pPr>
              <w:spacing w:after="0"/>
              <w:rPr>
                <w:sz w:val="19"/>
                <w:szCs w:val="19"/>
                <w:color w:val="auto"/>
              </w:rPr>
            </w:pPr>
          </w:p>
        </w:tc>
      </w:tr>
      <w:tr>
        <w:trPr>
          <w:trHeight w:val="223"/>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9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41,016</w:t>
            </w:r>
          </w:p>
        </w:tc>
        <w:tc>
          <w:tcPr>
            <w:tcW w:w="100" w:type="dxa"/>
            <w:vAlign w:val="bottom"/>
            <w:shd w:val="clear" w:color="auto" w:fill="CFF0FC"/>
          </w:tcPr>
          <w:p>
            <w:pPr>
              <w:spacing w:after="0"/>
              <w:rPr>
                <w:sz w:val="19"/>
                <w:szCs w:val="19"/>
                <w:color w:val="auto"/>
              </w:rPr>
            </w:pP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9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(7,096 )</w:t>
            </w:r>
          </w:p>
        </w:tc>
      </w:tr>
      <w:tr>
        <w:trPr>
          <w:trHeight w:val="263"/>
        </w:trPr>
        <w:tc>
          <w:tcPr>
            <w:tcW w:w="8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Present value of lease liabilities</w:t>
            </w:r>
          </w:p>
        </w:tc>
        <w:tc>
          <w:tcPr>
            <w:tcW w:w="94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33,920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8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current</w:t>
            </w: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8,737</w:t>
            </w:r>
          </w:p>
        </w:tc>
        <w:tc>
          <w:tcPr>
            <w:tcW w:w="100" w:type="dxa"/>
            <w:vAlign w:val="bottom"/>
            <w:shd w:val="clear" w:color="auto" w:fill="CFF0FC"/>
          </w:tcPr>
          <w:p>
            <w:pPr>
              <w:spacing w:after="0"/>
              <w:rPr>
                <w:sz w:val="19"/>
                <w:szCs w:val="19"/>
                <w:color w:val="auto"/>
              </w:rPr>
            </w:pPr>
          </w:p>
        </w:tc>
      </w:tr>
      <w:tr>
        <w:trPr>
          <w:trHeight w:val="229"/>
        </w:trPr>
        <w:tc>
          <w:tcPr>
            <w:tcW w:w="878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9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25,183</w:t>
            </w:r>
          </w:p>
        </w:tc>
        <w:tc>
          <w:tcPr>
            <w:tcW w:w="100" w:type="dxa"/>
            <w:vAlign w:val="bottom"/>
          </w:tcPr>
          <w:p>
            <w:pPr>
              <w:spacing w:after="0"/>
              <w:rPr>
                <w:sz w:val="19"/>
                <w:szCs w:val="19"/>
                <w:color w:val="auto"/>
              </w:rPr>
            </w:pPr>
          </w:p>
        </w:tc>
      </w:tr>
      <w:tr>
        <w:trPr>
          <w:trHeight w:val="263"/>
        </w:trPr>
        <w:tc>
          <w:tcPr>
            <w:tcW w:w="8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w:t>
            </w: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33,920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-641350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 Term Debt</w:t>
      </w:r>
    </w:p>
    <w:p>
      <w:pPr>
        <w:spacing w:after="0" w:line="198" w:lineRule="exact"/>
        <w:rPr>
          <w:sz w:val="20"/>
          <w:szCs w:val="20"/>
          <w:color w:val="auto"/>
        </w:rPr>
      </w:pPr>
    </w:p>
    <w:p>
      <w:pPr>
        <w:ind w:right="360" w:firstLine="764"/>
        <w:spacing w:after="0" w:line="252" w:lineRule="auto"/>
        <w:rPr>
          <w:sz w:val="20"/>
          <w:szCs w:val="20"/>
          <w:color w:val="auto"/>
        </w:rPr>
      </w:pPr>
      <w:r>
        <w:rPr>
          <w:rFonts w:ascii="Arial" w:cs="Arial" w:eastAsia="Arial" w:hAnsi="Arial"/>
          <w:sz w:val="18"/>
          <w:szCs w:val="18"/>
          <w:color w:val="auto"/>
        </w:rPr>
        <w:t>Debt instruments, excluding the 2022 Vehicle Floorplan Facility, which is discussed in Note 10 — Vehicle Floorplan Facility, and warehouse credit facilities of consolidated VIEs, which are discussed in Note 11 — Warehouse Credit Facilities of Consolidated VIEs,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94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694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2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securitization debt of consolidated VIEs</w:t>
            </w:r>
          </w:p>
        </w:tc>
        <w:tc>
          <w:tcPr>
            <w:tcW w:w="1180" w:type="dxa"/>
            <w:vAlign w:val="bottom"/>
            <w:shd w:val="clear" w:color="auto" w:fill="CFF0FC"/>
          </w:tcPr>
          <w:p>
            <w:pPr>
              <w:jc w:val="right"/>
              <w:ind w:right="973"/>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163,516</w:t>
            </w:r>
          </w:p>
        </w:tc>
        <w:tc>
          <w:tcPr>
            <w:tcW w:w="900" w:type="dxa"/>
            <w:vAlign w:val="bottom"/>
            <w:gridSpan w:val="2"/>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47,239</w:t>
            </w:r>
          </w:p>
        </w:tc>
        <w:tc>
          <w:tcPr>
            <w:tcW w:w="100" w:type="dxa"/>
            <w:vAlign w:val="bottom"/>
            <w:shd w:val="clear" w:color="auto" w:fill="CFF0FC"/>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Current portion of financing of beneficial interest in securitizations</w:t>
            </w: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8,894</w:t>
            </w:r>
          </w:p>
        </w:tc>
        <w:tc>
          <w:tcPr>
            <w:tcW w:w="38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current portion of long term debt</w:t>
            </w:r>
          </w:p>
        </w:tc>
        <w:tc>
          <w:tcPr>
            <w:tcW w:w="1180" w:type="dxa"/>
            <w:vAlign w:val="bottom"/>
            <w:tcBorders>
              <w:bottom w:val="single" w:sz="8" w:color="auto"/>
            </w:tcBorders>
            <w:shd w:val="clear" w:color="auto" w:fill="CFF0FC"/>
          </w:tcPr>
          <w:p>
            <w:pPr>
              <w:jc w:val="right"/>
              <w:ind w:right="97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172,410</w:t>
            </w:r>
          </w:p>
        </w:tc>
        <w:tc>
          <w:tcPr>
            <w:tcW w:w="3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Convertible senior notes</w:t>
            </w:r>
          </w:p>
        </w:tc>
        <w:tc>
          <w:tcPr>
            <w:tcW w:w="1180" w:type="dxa"/>
            <w:vAlign w:val="bottom"/>
          </w:tcPr>
          <w:p>
            <w:pPr>
              <w:jc w:val="right"/>
              <w:ind w:right="97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286,800</w:t>
            </w:r>
          </w:p>
        </w:tc>
        <w:tc>
          <w:tcPr>
            <w:tcW w:w="9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359,254</w:t>
            </w:r>
          </w:p>
        </w:tc>
        <w:tc>
          <w:tcPr>
            <w:tcW w:w="100" w:type="dxa"/>
            <w:vAlign w:val="bottom"/>
          </w:tcPr>
          <w:p>
            <w:pPr>
              <w:spacing w:after="0"/>
              <w:rPr>
                <w:sz w:val="19"/>
                <w:szCs w:val="19"/>
                <w:color w:val="auto"/>
              </w:rPr>
            </w:pPr>
          </w:p>
        </w:tc>
      </w:tr>
      <w:tr>
        <w:trPr>
          <w:trHeight w:val="22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Securitization debt of consolidated VIEs, net of current portion</w:t>
            </w:r>
          </w:p>
        </w:tc>
        <w:tc>
          <w:tcPr>
            <w:tcW w:w="1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150,579</w:t>
            </w:r>
          </w:p>
        </w:tc>
        <w:tc>
          <w:tcPr>
            <w:tcW w:w="3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32,590</w:t>
            </w:r>
          </w:p>
        </w:tc>
        <w:tc>
          <w:tcPr>
            <w:tcW w:w="100" w:type="dxa"/>
            <w:vAlign w:val="bottom"/>
            <w:shd w:val="clear" w:color="auto" w:fill="CFF0FC"/>
          </w:tcPr>
          <w:p>
            <w:pPr>
              <w:spacing w:after="0"/>
              <w:rPr>
                <w:sz w:val="19"/>
                <w:szCs w:val="19"/>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Financing of beneficial interest in securitizations</w:t>
            </w: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6,484</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Junior subordinated debentures</w:t>
            </w:r>
          </w:p>
        </w:tc>
        <w:tc>
          <w:tcPr>
            <w:tcW w:w="1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10,310</w:t>
            </w:r>
          </w:p>
        </w:tc>
        <w:tc>
          <w:tcPr>
            <w:tcW w:w="3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Long term debt, net of current portion</w:t>
            </w:r>
          </w:p>
        </w:tc>
        <w:tc>
          <w:tcPr>
            <w:tcW w:w="1180" w:type="dxa"/>
            <w:vAlign w:val="bottom"/>
            <w:tcBorders>
              <w:bottom w:val="single" w:sz="8" w:color="auto"/>
            </w:tcBorders>
          </w:tcPr>
          <w:p>
            <w:pPr>
              <w:jc w:val="right"/>
              <w:ind w:right="97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454,173</w:t>
            </w:r>
          </w:p>
        </w:tc>
        <w:tc>
          <w:tcPr>
            <w:tcW w:w="38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402,154</w:t>
            </w:r>
          </w:p>
        </w:tc>
        <w:tc>
          <w:tcPr>
            <w:tcW w:w="100" w:type="dxa"/>
            <w:vAlign w:val="bottom"/>
          </w:tcPr>
          <w:p>
            <w:pPr>
              <w:spacing w:after="0"/>
              <w:rPr>
                <w:sz w:val="19"/>
                <w:szCs w:val="19"/>
                <w:color w:val="auto"/>
              </w:rPr>
            </w:pPr>
          </w:p>
        </w:tc>
      </w:tr>
      <w:tr>
        <w:trPr>
          <w:trHeight w:val="263"/>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debt</w:t>
            </w:r>
          </w:p>
        </w:tc>
        <w:tc>
          <w:tcPr>
            <w:tcW w:w="1180" w:type="dxa"/>
            <w:vAlign w:val="bottom"/>
            <w:tcBorders>
              <w:bottom w:val="single" w:sz="8" w:color="auto"/>
            </w:tcBorders>
            <w:shd w:val="clear" w:color="auto" w:fill="CFF0FC"/>
          </w:tcPr>
          <w:p>
            <w:pPr>
              <w:jc w:val="right"/>
              <w:ind w:right="97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626,583</w:t>
            </w:r>
          </w:p>
        </w:tc>
        <w:tc>
          <w:tcPr>
            <w:tcW w:w="38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449,393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5621655</wp:posOffset>
            </wp:positionH>
            <wp:positionV relativeFrom="paragraph">
              <wp:posOffset>-923925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-923925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-333375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-24765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-7620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36" w:lineRule="exact"/>
        <w:rPr>
          <w:sz w:val="20"/>
          <w:szCs w:val="20"/>
          <w:color w:val="auto"/>
        </w:rPr>
      </w:pPr>
    </w:p>
    <w:p>
      <w:pPr>
        <w:ind w:right="140" w:firstLine="749"/>
        <w:spacing w:after="0" w:line="246" w:lineRule="auto"/>
        <w:rPr>
          <w:sz w:val="20"/>
          <w:szCs w:val="20"/>
          <w:color w:val="auto"/>
        </w:rPr>
      </w:pPr>
      <w:r>
        <w:rPr>
          <w:rFonts w:ascii="Arial" w:cs="Arial" w:eastAsia="Arial" w:hAnsi="Arial"/>
          <w:sz w:val="18"/>
          <w:szCs w:val="18"/>
          <w:color w:val="auto"/>
        </w:rPr>
        <w:t>On June 18, 2021, the Company issued $625.0 million aggregate principal amount of 0.75% unsecured Convertible Senior Notes due 2026 (the “Notes”), including $75.0 million aggregate principal amount of such notes pursuant to the exercise in full of the overallotment option granted to the initial purchasers. The Notes were issued pursuant to an indenture (the “Indenture”), between the Company and U.S. Bank National Association, as trustee.</w:t>
      </w:r>
    </w:p>
    <w:p>
      <w:pPr>
        <w:spacing w:after="0" w:line="163" w:lineRule="exact"/>
        <w:rPr>
          <w:sz w:val="20"/>
          <w:szCs w:val="20"/>
          <w:color w:val="auto"/>
        </w:rPr>
      </w:pPr>
    </w:p>
    <w:p>
      <w:pPr>
        <w:ind w:right="160" w:firstLine="749"/>
        <w:spacing w:after="0" w:line="246" w:lineRule="auto"/>
        <w:rPr>
          <w:sz w:val="20"/>
          <w:szCs w:val="20"/>
          <w:color w:val="auto"/>
        </w:rPr>
      </w:pPr>
      <w:r>
        <w:rPr>
          <w:rFonts w:ascii="Arial" w:cs="Arial" w:eastAsia="Arial" w:hAnsi="Arial"/>
          <w:sz w:val="18"/>
          <w:szCs w:val="18"/>
          <w:color w:val="auto"/>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paid to third-parties, were approximately $608.9 million.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20" w:firstLine="749"/>
        <w:spacing w:after="0" w:line="246" w:lineRule="auto"/>
        <w:rPr>
          <w:sz w:val="20"/>
          <w:szCs w:val="20"/>
          <w:color w:val="auto"/>
        </w:rPr>
      </w:pPr>
      <w:r>
        <w:rPr>
          <w:rFonts w:ascii="Arial" w:cs="Arial" w:eastAsia="Arial" w:hAnsi="Arial"/>
          <w:sz w:val="18"/>
          <w:szCs w:val="18"/>
          <w:color w:val="auto"/>
        </w:rPr>
        <w:t>Each $1,000 principal amount of the Notes will initially be convertible into 0.2232 shares of the Company’s common stock, which is equivalent to an initial conversion price of approximately $4,480.29 per share, subject to adjustment upon the occurrence of specified events. The Notes are convertible, at the option of the noteholders, on or after April 1, 2026. Prior to April 1, 2026, the Notes are convertible only under the following circumstances:</w:t>
      </w:r>
    </w:p>
    <w:p>
      <w:pPr>
        <w:spacing w:after="0" w:line="203" w:lineRule="exact"/>
        <w:rPr>
          <w:sz w:val="20"/>
          <w:szCs w:val="20"/>
          <w:color w:val="auto"/>
        </w:rPr>
      </w:pPr>
    </w:p>
    <w:p>
      <w:pPr>
        <w:ind w:left="760" w:right="40" w:hanging="378"/>
        <w:spacing w:after="0" w:line="246"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During any fiscal quarter commencing after the fiscal quarter ending on September 30, 2021 (and only during such fiscal quarter), if the last reported sale price of the Company’s common stock for at least 20 trading days (whether or not consecutive) during a period of 30 consecutive trading days ending on the last trading day of the immediately preceding fiscal quarter is greater than or equal to 130% of the conversion price of the Notes on each applicable trading day;</w:t>
      </w:r>
    </w:p>
    <w:p>
      <w:pPr>
        <w:spacing w:after="0" w:line="161" w:lineRule="exact"/>
        <w:rPr>
          <w:rFonts w:ascii="Times New Roman" w:cs="Times New Roman" w:eastAsia="Times New Roman" w:hAnsi="Times New Roman"/>
          <w:sz w:val="18"/>
          <w:szCs w:val="18"/>
          <w:color w:val="auto"/>
        </w:rPr>
      </w:pPr>
    </w:p>
    <w:p>
      <w:pPr>
        <w:jc w:val="both"/>
        <w:ind w:left="760" w:right="180" w:hanging="378"/>
        <w:spacing w:after="0" w:line="252"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five consecutive business day period after any ten consecutive trading day period in which the trading price per $1,000 principal amount of the Notes for each day of that ten consecutive trading day period was less than 98% of the product of the last reported sale price of the Company’s common stock and the conversion rate of the Notes on such trading day;</w:t>
      </w:r>
    </w:p>
    <w:p>
      <w:pPr>
        <w:spacing w:after="0" w:line="15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If the Company calls any or all of the Notes for redemption; or</w:t>
      </w:r>
    </w:p>
    <w:p>
      <w:pPr>
        <w:spacing w:after="0" w:line="210" w:lineRule="exact"/>
        <w:rPr>
          <w:rFonts w:ascii="Times New Roman" w:cs="Times New Roman" w:eastAsia="Times New Roman" w:hAnsi="Times New Roman"/>
          <w:sz w:val="18"/>
          <w:szCs w:val="18"/>
          <w:color w:val="auto"/>
        </w:rPr>
      </w:pPr>
    </w:p>
    <w:p>
      <w:pPr>
        <w:ind w:left="760" w:right="760" w:hanging="378"/>
        <w:spacing w:after="0" w:line="270" w:lineRule="auto"/>
        <w:tabs>
          <w:tab w:leader="none" w:pos="7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Upon the occurrence of specific corporate events such as a change in control or certain beneficial distributions to common stockholders (as set forth in the Indenture).</w:t>
      </w:r>
    </w:p>
    <w:p>
      <w:pPr>
        <w:spacing w:after="0" w:line="181" w:lineRule="exact"/>
        <w:rPr>
          <w:sz w:val="20"/>
          <w:szCs w:val="20"/>
          <w:color w:val="auto"/>
        </w:rPr>
      </w:pPr>
    </w:p>
    <w:p>
      <w:pPr>
        <w:ind w:right="100" w:firstLine="764"/>
        <w:spacing w:after="0" w:line="271" w:lineRule="auto"/>
        <w:rPr>
          <w:sz w:val="20"/>
          <w:szCs w:val="20"/>
          <w:color w:val="auto"/>
        </w:rPr>
      </w:pPr>
      <w:r>
        <w:rPr>
          <w:rFonts w:ascii="Arial" w:cs="Arial" w:eastAsia="Arial" w:hAnsi="Arial"/>
          <w:sz w:val="18"/>
          <w:szCs w:val="18"/>
          <w:color w:val="auto"/>
        </w:rPr>
        <w:t>The Company may settle conversions by paying or delivering, as applicable, cash, shares of its common stock or a combination of cash and shares of its common stock, at the Company’s election.</w:t>
      </w:r>
    </w:p>
    <w:p>
      <w:pPr>
        <w:spacing w:after="0" w:line="180" w:lineRule="exact"/>
        <w:rPr>
          <w:sz w:val="20"/>
          <w:szCs w:val="20"/>
          <w:color w:val="auto"/>
        </w:rPr>
      </w:pPr>
    </w:p>
    <w:p>
      <w:pPr>
        <w:ind w:right="100" w:firstLine="824"/>
        <w:spacing w:after="0" w:line="246" w:lineRule="auto"/>
        <w:rPr>
          <w:sz w:val="20"/>
          <w:szCs w:val="20"/>
          <w:color w:val="auto"/>
        </w:rPr>
      </w:pPr>
      <w:r>
        <w:rPr>
          <w:rFonts w:ascii="Arial" w:cs="Arial" w:eastAsia="Arial" w:hAnsi="Arial"/>
          <w:sz w:val="18"/>
          <w:szCs w:val="18"/>
          <w:color w:val="auto"/>
        </w:rPr>
        <w:t>The Company may not redeem the Notes prior to July 6, 2024. On or after July 6, 2024, the Company may redeem all or any portion of the Notes for cash equal to 100% of the principal amount of the Notes being redeemed plus any accrued and unpaid interest if the last reported sale price of the Company’s common stock has been at least 130% of the conversion price then in effect for at least 20 trading days (whether or not consecutive) during any 30 consecutive trading day period.</w:t>
      </w:r>
    </w:p>
    <w:p>
      <w:pPr>
        <w:spacing w:after="0" w:line="203" w:lineRule="exact"/>
        <w:rPr>
          <w:sz w:val="20"/>
          <w:szCs w:val="20"/>
          <w:color w:val="auto"/>
        </w:rPr>
      </w:pPr>
    </w:p>
    <w:p>
      <w:pPr>
        <w:ind w:firstLine="764"/>
        <w:spacing w:after="0" w:line="241" w:lineRule="auto"/>
        <w:rPr>
          <w:sz w:val="20"/>
          <w:szCs w:val="20"/>
          <w:color w:val="auto"/>
        </w:rPr>
      </w:pPr>
      <w:r>
        <w:rPr>
          <w:rFonts w:ascii="Arial" w:cs="Arial" w:eastAsia="Arial" w:hAnsi="Arial"/>
          <w:sz w:val="18"/>
          <w:szCs w:val="18"/>
          <w:color w:val="auto"/>
        </w:rPr>
        <w:t>If the Company undergoes a fundamental change (as defined in the Indenture), subject to certain conditions, holders of the Notes may require the Company to repurchase for cash all or any portion of their Notes at a repurchase price equal to 100% of the principal amount of the Notes plus any accrued and unpaid interest. In addition, if specific corporate events occur prior to the maturity date or if the Company issues a notice of redemption, the Company will increase the conversion rate by pre-defined amounts for a holder who elects to convert their Notes in connection with such a corporate event. During the years ended December 31, 2023 and 2022, the conditions allowing holders of the Notes to convert were not met.</w:t>
      </w:r>
    </w:p>
    <w:p>
      <w:pPr>
        <w:spacing w:after="0" w:line="169" w:lineRule="exact"/>
        <w:rPr>
          <w:sz w:val="20"/>
          <w:szCs w:val="20"/>
          <w:color w:val="auto"/>
        </w:rPr>
      </w:pPr>
    </w:p>
    <w:p>
      <w:pPr>
        <w:jc w:val="both"/>
        <w:ind w:right="340" w:firstLine="749"/>
        <w:spacing w:after="0" w:line="252" w:lineRule="auto"/>
        <w:rPr>
          <w:sz w:val="20"/>
          <w:szCs w:val="20"/>
          <w:color w:val="auto"/>
        </w:rPr>
      </w:pPr>
      <w:r>
        <w:rPr>
          <w:rFonts w:ascii="Arial" w:cs="Arial" w:eastAsia="Arial" w:hAnsi="Arial"/>
          <w:sz w:val="18"/>
          <w:szCs w:val="18"/>
          <w:color w:val="auto"/>
        </w:rPr>
        <w:t>In 2023, the Company repurchased $74.2 million in aggregate principal amount of the Notes, net of deferred issuance costs, for $36.5 million in open-market transactions. The Company recognized a gain on extinguishment of debt of $37.9 million for the year ended December 31, 2023.</w:t>
      </w:r>
    </w:p>
    <w:p>
      <w:pPr>
        <w:spacing w:after="0" w:line="157" w:lineRule="exact"/>
        <w:rPr>
          <w:sz w:val="20"/>
          <w:szCs w:val="20"/>
          <w:color w:val="auto"/>
        </w:rPr>
      </w:pPr>
    </w:p>
    <w:p>
      <w:pPr>
        <w:jc w:val="both"/>
        <w:ind w:right="240" w:firstLine="749"/>
        <w:spacing w:after="0" w:line="252" w:lineRule="auto"/>
        <w:rPr>
          <w:sz w:val="20"/>
          <w:szCs w:val="20"/>
          <w:color w:val="auto"/>
        </w:rPr>
      </w:pPr>
      <w:r>
        <w:rPr>
          <w:rFonts w:ascii="Arial" w:cs="Arial" w:eastAsia="Arial" w:hAnsi="Arial"/>
          <w:sz w:val="18"/>
          <w:szCs w:val="18"/>
          <w:color w:val="auto"/>
        </w:rPr>
        <w:t>In 2022, the Company repurchased $254.3 million in aggregate principal amount of the Notes, net of deferred issuance costs, for $90.2 million in open-market transactions. The Company recognized a gain on extinguishment of debt of $164.7 million for the year ended December 31, 2022.</w:t>
      </w:r>
    </w:p>
    <w:p>
      <w:pPr>
        <w:spacing w:after="0" w:line="197" w:lineRule="exact"/>
        <w:rPr>
          <w:sz w:val="20"/>
          <w:szCs w:val="20"/>
          <w:color w:val="auto"/>
        </w:rPr>
      </w:pPr>
    </w:p>
    <w:p>
      <w:pPr>
        <w:ind w:right="120" w:firstLine="764"/>
        <w:spacing w:after="0" w:line="274" w:lineRule="auto"/>
        <w:rPr>
          <w:sz w:val="20"/>
          <w:szCs w:val="20"/>
          <w:color w:val="auto"/>
        </w:rPr>
      </w:pPr>
      <w:r>
        <w:rPr>
          <w:rFonts w:ascii="Arial" w:cs="Arial" w:eastAsia="Arial" w:hAnsi="Arial"/>
          <w:sz w:val="17"/>
          <w:szCs w:val="17"/>
          <w:color w:val="auto"/>
        </w:rPr>
        <w:t>The Company accounts for the Notes as a single liability-classified instrument measured at amortized cost. As of December 31, 2023, the unamortized debt discount and debt issuance costs was $3.7 million and the net carrying value was $286.8 million. As of December 31, 2022, the unamortized debt discount and debt issuance costs was $6.5 million and the net carrying value was $359.3 million.</w:t>
      </w:r>
    </w:p>
    <w:p>
      <w:pPr>
        <w:spacing w:after="0" w:line="140" w:lineRule="exact"/>
        <w:rPr>
          <w:sz w:val="20"/>
          <w:szCs w:val="20"/>
          <w:color w:val="auto"/>
        </w:rPr>
      </w:pPr>
    </w:p>
    <w:p>
      <w:pPr>
        <w:jc w:val="both"/>
        <w:ind w:right="100" w:firstLine="764"/>
        <w:spacing w:after="0" w:line="252" w:lineRule="auto"/>
        <w:rPr>
          <w:sz w:val="20"/>
          <w:szCs w:val="20"/>
          <w:color w:val="auto"/>
        </w:rPr>
      </w:pPr>
      <w:r>
        <w:rPr>
          <w:rFonts w:ascii="Arial" w:cs="Arial" w:eastAsia="Arial" w:hAnsi="Arial"/>
          <w:sz w:val="18"/>
          <w:szCs w:val="18"/>
          <w:color w:val="auto"/>
        </w:rPr>
        <w:t>The Notes were issued at par value and fees associated with the issuance of these Notes are amortized to interest expense using the effective interest method over the contractual term of the Notes. The interest expense for the years ended December 31, 2023 and 2022 were $4.3 million and $7.2 million, respectively. The effective interest rate of the Notes is 1.3%.</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Debt of Consolidated VIEs</w:t>
      </w:r>
    </w:p>
    <w:p>
      <w:pPr>
        <w:spacing w:after="0" w:line="196" w:lineRule="exact"/>
        <w:rPr>
          <w:sz w:val="20"/>
          <w:szCs w:val="20"/>
          <w:color w:val="auto"/>
        </w:rPr>
      </w:pPr>
    </w:p>
    <w:p>
      <w:pPr>
        <w:ind w:firstLine="764"/>
        <w:spacing w:after="0" w:line="243" w:lineRule="auto"/>
        <w:rPr>
          <w:sz w:val="20"/>
          <w:szCs w:val="20"/>
          <w:color w:val="auto"/>
        </w:rPr>
      </w:pPr>
      <w:r>
        <w:rPr>
          <w:rFonts w:ascii="Arial" w:cs="Arial" w:eastAsia="Arial" w:hAnsi="Arial"/>
          <w:sz w:val="18"/>
          <w:szCs w:val="18"/>
          <w:color w:val="auto"/>
        </w:rPr>
        <w:t>The securitization debt was issued under UACC's securitization program. The Company elected to account for the securitization debt under the fair value option using the measurement alternative. Fair value adjustments are recorded in "Other loss, net" in the consolidated statements of operations. Refer to Note 17 – Financial Instruments and Fair Value Measurements. For the 2021-1, 2022-2, and 2023-1 securitization transactions, the Company consolidated the VIEs and accounted for these transactions as secured borrowings. Refer to Note 4 – Variable Interest Entities and Securitizations for further discussion.</w:t>
      </w:r>
    </w:p>
    <w:p>
      <w:pPr>
        <w:spacing w:after="0" w:line="166" w:lineRule="exact"/>
        <w:rPr>
          <w:sz w:val="20"/>
          <w:szCs w:val="20"/>
          <w:color w:val="auto"/>
        </w:rPr>
      </w:pPr>
    </w:p>
    <w:p>
      <w:pPr>
        <w:ind w:right="40" w:firstLine="764"/>
        <w:spacing w:after="0"/>
        <w:rPr>
          <w:sz w:val="20"/>
          <w:szCs w:val="20"/>
          <w:color w:val="auto"/>
        </w:rPr>
      </w:pPr>
      <w:r>
        <w:rPr>
          <w:rFonts w:ascii="Arial" w:cs="Arial" w:eastAsia="Arial" w:hAnsi="Arial"/>
          <w:sz w:val="18"/>
          <w:szCs w:val="18"/>
          <w:color w:val="auto"/>
        </w:rPr>
        <w:t>Upon the issuance of the securitization debt for the 2021-1 and 2023-1 securitization transactions, UACC retained the residual interests. UACC also retains the servicing rights for all finance receivables that were securitized; therefore, it is responsible for the administration and collection of the amounts owed under the contracts. In the first quarter of 2023, UACC waived its servicing fees related to the 2022-2 securitization and subsequently consolidated the 2022-2 trust. The securitization agreements also require certain funds to be held in restricted cash accounts to provide additional collateral for the borrowings or to be applied to make payments on the securitization debt. Restricted cash under the various agreements totaled approximately $28.5 million and $9.0 million as of December 31, 2023 and 2022, respectively.</w:t>
      </w:r>
    </w:p>
    <w:p>
      <w:pPr>
        <w:spacing w:after="0" w:line="169" w:lineRule="exact"/>
        <w:rPr>
          <w:sz w:val="20"/>
          <w:szCs w:val="20"/>
          <w:color w:val="auto"/>
        </w:rPr>
      </w:pPr>
    </w:p>
    <w:p>
      <w:pPr>
        <w:ind w:right="240" w:firstLine="764"/>
        <w:spacing w:after="0" w:line="246" w:lineRule="auto"/>
        <w:rPr>
          <w:sz w:val="20"/>
          <w:szCs w:val="20"/>
          <w:color w:val="auto"/>
        </w:rPr>
      </w:pPr>
      <w:r>
        <w:rPr>
          <w:rFonts w:ascii="Arial" w:cs="Arial" w:eastAsia="Arial" w:hAnsi="Arial"/>
          <w:sz w:val="18"/>
          <w:szCs w:val="18"/>
          <w:color w:val="auto"/>
        </w:rPr>
        <w:t>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spacing w:after="0" w:line="163" w:lineRule="exact"/>
        <w:rPr>
          <w:sz w:val="20"/>
          <w:szCs w:val="20"/>
          <w:color w:val="auto"/>
        </w:rPr>
      </w:pPr>
    </w:p>
    <w:p>
      <w:pPr>
        <w:ind w:right="200" w:firstLine="764"/>
        <w:spacing w:after="0" w:line="271" w:lineRule="auto"/>
        <w:rPr>
          <w:sz w:val="20"/>
          <w:szCs w:val="20"/>
          <w:color w:val="auto"/>
        </w:rPr>
      </w:pPr>
      <w:r>
        <w:rPr>
          <w:rFonts w:ascii="Arial" w:cs="Arial" w:eastAsia="Arial" w:hAnsi="Arial"/>
          <w:sz w:val="18"/>
          <w:szCs w:val="18"/>
          <w:color w:val="auto"/>
        </w:rPr>
        <w:t>The securitization debt issued is included in “Current portion of long term debt” and "Long term debt, net of current portion" on the consolidated balance sheet. The securitization debt of consolidated VIEs consisted of the following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240" w:type="dxa"/>
            <w:vAlign w:val="bottom"/>
          </w:tcPr>
          <w:p>
            <w:pPr>
              <w:spacing w:after="0"/>
              <w:rPr>
                <w:sz w:val="17"/>
                <w:szCs w:val="17"/>
                <w:color w:val="auto"/>
              </w:rPr>
            </w:pPr>
          </w:p>
        </w:tc>
        <w:tc>
          <w:tcPr>
            <w:tcW w:w="15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Final Scheduled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rPr>
              <w:t>Contractual Interest</w:t>
            </w:r>
          </w:p>
        </w:tc>
        <w:tc>
          <w:tcPr>
            <w:tcW w:w="11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Outstanding</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Series</w:t>
            </w:r>
          </w:p>
        </w:tc>
        <w:tc>
          <w:tcPr>
            <w:tcW w:w="240" w:type="dxa"/>
            <w:vAlign w:val="bottom"/>
          </w:tcPr>
          <w:p>
            <w:pPr>
              <w:spacing w:after="0"/>
              <w:rPr>
                <w:sz w:val="16"/>
                <w:szCs w:val="16"/>
                <w:color w:val="auto"/>
              </w:rPr>
            </w:pP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Initial Principal</w:t>
            </w:r>
          </w:p>
        </w:tc>
        <w:tc>
          <w:tcPr>
            <w:tcW w:w="32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Principal</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2021-1-D</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June 10, 2026</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29,380</w:t>
            </w:r>
          </w:p>
        </w:tc>
        <w:tc>
          <w:tcPr>
            <w:tcW w:w="20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1.14 % $</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3,246</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2021-1-E</w:t>
            </w:r>
          </w:p>
        </w:tc>
        <w:tc>
          <w:tcPr>
            <w:tcW w:w="2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June 10, 2026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20,800</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2.58 %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20,800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00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United Auto Credit 2021-1-F</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September 10,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00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13,910</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4.30 %</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13,910</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000" w:type="dxa"/>
            <w:vAlign w:val="bottom"/>
          </w:tcPr>
          <w:p>
            <w:pPr>
              <w:ind w:left="20"/>
              <w:spacing w:after="0" w:line="197" w:lineRule="exact"/>
              <w:rPr>
                <w:sz w:val="20"/>
                <w:szCs w:val="20"/>
                <w:color w:val="auto"/>
              </w:rPr>
            </w:pPr>
            <w:r>
              <w:rPr>
                <w:rFonts w:ascii="Arial" w:cs="Arial" w:eastAsia="Arial" w:hAnsi="Arial"/>
                <w:sz w:val="18"/>
                <w:szCs w:val="18"/>
                <w:color w:val="auto"/>
              </w:rPr>
              <w:t>United Auto Credit 2022-2-B</w:t>
            </w:r>
          </w:p>
        </w:tc>
        <w:tc>
          <w:tcPr>
            <w:tcW w:w="240" w:type="dxa"/>
            <w:vAlign w:val="bottom"/>
          </w:tcPr>
          <w:p>
            <w:pPr>
              <w:spacing w:after="0"/>
              <w:rPr>
                <w:sz w:val="17"/>
                <w:szCs w:val="17"/>
                <w:color w:val="auto"/>
              </w:rPr>
            </w:pPr>
          </w:p>
        </w:tc>
        <w:tc>
          <w:tcPr>
            <w:tcW w:w="1560" w:type="dxa"/>
            <w:vAlign w:val="bottom"/>
          </w:tcPr>
          <w:p>
            <w:pPr>
              <w:spacing w:after="0" w:line="197" w:lineRule="exact"/>
              <w:rPr>
                <w:sz w:val="20"/>
                <w:szCs w:val="20"/>
                <w:color w:val="auto"/>
              </w:rPr>
            </w:pPr>
            <w:r>
              <w:rPr>
                <w:rFonts w:ascii="Arial" w:cs="Arial" w:eastAsia="Arial" w:hAnsi="Arial"/>
                <w:sz w:val="18"/>
                <w:szCs w:val="18"/>
                <w:color w:val="auto"/>
              </w:rPr>
              <w:t>December 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000" w:type="dxa"/>
            <w:vAlign w:val="bottom"/>
          </w:tcPr>
          <w:p>
            <w:pPr>
              <w:spacing w:after="0"/>
              <w:rPr>
                <w:sz w:val="20"/>
                <w:szCs w:val="20"/>
                <w:color w:val="auto"/>
              </w:rPr>
            </w:pP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30,324</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5.41 %</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28,786</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2022-2-C</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May 10, 2027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26,533</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5.81 %</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26,533</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2022-2-D</w:t>
            </w:r>
          </w:p>
        </w:tc>
        <w:tc>
          <w:tcPr>
            <w:tcW w:w="2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January 10, 2028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32,889</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6.84 %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32,889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2022-2-E</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April 10, 2029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33,440</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33,440</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2023-1-A</w:t>
            </w:r>
          </w:p>
        </w:tc>
        <w:tc>
          <w:tcPr>
            <w:tcW w:w="2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July 10, 2025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118,598</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5.57 %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15,089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2023-1-B</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July 10, 2028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51,157</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5.91 %</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51,157</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2023-1-C</w:t>
            </w:r>
          </w:p>
        </w:tc>
        <w:tc>
          <w:tcPr>
            <w:tcW w:w="2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July 10, 2028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33,326</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6.28 %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33,326</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2023-1-D</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July 10, 2028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35,653</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8.00 %</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35,653</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000" w:type="dxa"/>
            <w:vAlign w:val="bottom"/>
          </w:tcPr>
          <w:p>
            <w:pPr>
              <w:ind w:left="20"/>
              <w:spacing w:after="0" w:line="197" w:lineRule="exact"/>
              <w:rPr>
                <w:sz w:val="20"/>
                <w:szCs w:val="20"/>
                <w:color w:val="auto"/>
              </w:rPr>
            </w:pPr>
            <w:r>
              <w:rPr>
                <w:rFonts w:ascii="Arial" w:cs="Arial" w:eastAsia="Arial" w:hAnsi="Arial"/>
                <w:sz w:val="18"/>
                <w:szCs w:val="18"/>
                <w:color w:val="auto"/>
              </w:rPr>
              <w:t>United Auto Credit 2023-1-E</w:t>
            </w:r>
          </w:p>
        </w:tc>
        <w:tc>
          <w:tcPr>
            <w:tcW w:w="240" w:type="dxa"/>
            <w:vAlign w:val="bottom"/>
          </w:tcPr>
          <w:p>
            <w:pPr>
              <w:spacing w:after="0"/>
              <w:rPr>
                <w:sz w:val="17"/>
                <w:szCs w:val="17"/>
                <w:color w:val="auto"/>
              </w:rPr>
            </w:pPr>
          </w:p>
        </w:tc>
        <w:tc>
          <w:tcPr>
            <w:tcW w:w="1560" w:type="dxa"/>
            <w:vAlign w:val="bottom"/>
          </w:tcPr>
          <w:p>
            <w:pPr>
              <w:spacing w:after="0" w:line="197" w:lineRule="exact"/>
              <w:rPr>
                <w:sz w:val="20"/>
                <w:szCs w:val="20"/>
                <w:color w:val="auto"/>
              </w:rPr>
            </w:pPr>
            <w:r>
              <w:rPr>
                <w:rFonts w:ascii="Arial" w:cs="Arial" w:eastAsia="Arial" w:hAnsi="Arial"/>
                <w:sz w:val="18"/>
                <w:szCs w:val="18"/>
                <w:color w:val="auto"/>
              </w:rPr>
              <w:t>September 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23,256</w:t>
            </w: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23,256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23,814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00" w:type="dxa"/>
            <w:vAlign w:val="bottom"/>
          </w:tcPr>
          <w:p>
            <w:pPr>
              <w:spacing w:after="0"/>
              <w:rPr>
                <w:sz w:val="19"/>
                <w:szCs w:val="19"/>
                <w:color w:val="auto"/>
              </w:rPr>
            </w:pPr>
          </w:p>
        </w:tc>
        <w:tc>
          <w:tcPr>
            <w:tcW w:w="1800" w:type="dxa"/>
            <w:vAlign w:val="bottom"/>
            <w:gridSpan w:val="2"/>
          </w:tcPr>
          <w:p>
            <w:pPr>
              <w:ind w:left="240"/>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10.98 %</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rated notes</w:t>
            </w:r>
          </w:p>
        </w:tc>
        <w:tc>
          <w:tcPr>
            <w:tcW w:w="24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449,266</w:t>
            </w:r>
          </w:p>
        </w:tc>
        <w:tc>
          <w:tcPr>
            <w:tcW w:w="208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318,085</w:t>
            </w: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314,095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618"/>
        </w:trPr>
        <w:tc>
          <w:tcPr>
            <w:tcW w:w="300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5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451"/>
              <w:spacing w:after="0"/>
              <w:rPr>
                <w:sz w:val="20"/>
                <w:szCs w:val="20"/>
                <w:color w:val="auto"/>
              </w:rPr>
            </w:pPr>
            <w:r>
              <w:rPr>
                <w:rFonts w:ascii="Arial" w:cs="Arial" w:eastAsia="Arial" w:hAnsi="Arial"/>
                <w:sz w:val="18"/>
                <w:szCs w:val="18"/>
                <w:color w:val="auto"/>
              </w:rPr>
              <w:t>106</w:t>
            </w:r>
          </w:p>
        </w:tc>
        <w:tc>
          <w:tcPr>
            <w:tcW w:w="32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31"/>
        </w:trPr>
        <w:tc>
          <w:tcPr>
            <w:tcW w:w="3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-906780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-889635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-906780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-889635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-906780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-889635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40" w:type="dxa"/>
            <w:vAlign w:val="bottom"/>
          </w:tcPr>
          <w:p>
            <w:pPr>
              <w:spacing w:after="0"/>
              <w:rPr>
                <w:sz w:val="17"/>
                <w:szCs w:val="17"/>
                <w:color w:val="auto"/>
              </w:rPr>
            </w:pPr>
          </w:p>
        </w:tc>
        <w:tc>
          <w:tcPr>
            <w:tcW w:w="15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Final Scheduled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3"/>
            <w:vMerge w:val="restart"/>
          </w:tcPr>
          <w:p>
            <w:pPr>
              <w:jc w:val="right"/>
              <w:ind w:right="290"/>
              <w:spacing w:after="0"/>
              <w:rPr>
                <w:sz w:val="20"/>
                <w:szCs w:val="20"/>
                <w:color w:val="auto"/>
              </w:rPr>
            </w:pPr>
            <w:r>
              <w:rPr>
                <w:rFonts w:ascii="Arial" w:cs="Arial" w:eastAsia="Arial" w:hAnsi="Arial"/>
                <w:sz w:val="14"/>
                <w:szCs w:val="14"/>
                <w:b w:val="1"/>
                <w:bCs w:val="1"/>
                <w:color w:val="auto"/>
              </w:rPr>
              <w:t>Contractual Interest</w:t>
            </w:r>
          </w:p>
        </w:tc>
        <w:tc>
          <w:tcPr>
            <w:tcW w:w="11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Outstanding</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Series</w:t>
            </w:r>
          </w:p>
        </w:tc>
        <w:tc>
          <w:tcPr>
            <w:tcW w:w="240" w:type="dxa"/>
            <w:vAlign w:val="bottom"/>
          </w:tcPr>
          <w:p>
            <w:pPr>
              <w:spacing w:after="0"/>
              <w:rPr>
                <w:sz w:val="16"/>
                <w:szCs w:val="16"/>
                <w:color w:val="auto"/>
              </w:rPr>
            </w:pPr>
          </w:p>
        </w:tc>
        <w:tc>
          <w:tcPr>
            <w:tcW w:w="1560" w:type="dxa"/>
            <w:vAlign w:val="bottom"/>
          </w:tcPr>
          <w:p>
            <w:pPr>
              <w:ind w:left="300"/>
              <w:spacing w:after="0"/>
              <w:rPr>
                <w:sz w:val="20"/>
                <w:szCs w:val="20"/>
                <w:color w:val="auto"/>
              </w:rPr>
            </w:pPr>
            <w:r>
              <w:rPr>
                <w:rFonts w:ascii="Arial" w:cs="Arial" w:eastAsia="Arial" w:hAnsi="Arial"/>
                <w:sz w:val="14"/>
                <w:szCs w:val="14"/>
                <w:b w:val="1"/>
                <w:bCs w:val="1"/>
                <w:color w:val="auto"/>
              </w:rPr>
              <w:t>Payment Date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3"/>
              <w:spacing w:after="0"/>
              <w:rPr>
                <w:sz w:val="20"/>
                <w:szCs w:val="20"/>
                <w:color w:val="auto"/>
              </w:rPr>
            </w:pPr>
            <w:r>
              <w:rPr>
                <w:rFonts w:ascii="Arial" w:cs="Arial" w:eastAsia="Arial" w:hAnsi="Arial"/>
                <w:sz w:val="14"/>
                <w:szCs w:val="14"/>
                <w:b w:val="1"/>
                <w:bCs w:val="1"/>
                <w:color w:val="auto"/>
              </w:rPr>
              <w:t>Initial Principal</w:t>
            </w:r>
          </w:p>
        </w:tc>
        <w:tc>
          <w:tcPr>
            <w:tcW w:w="320" w:type="dxa"/>
            <w:vAlign w:val="bottom"/>
          </w:tcPr>
          <w:p>
            <w:pPr>
              <w:spacing w:after="0"/>
              <w:rPr>
                <w:sz w:val="16"/>
                <w:szCs w:val="16"/>
                <w:color w:val="auto"/>
              </w:rPr>
            </w:pPr>
          </w:p>
        </w:tc>
        <w:tc>
          <w:tcPr>
            <w:tcW w:w="1760" w:type="dxa"/>
            <w:vAlign w:val="bottom"/>
            <w:gridSpan w:val="3"/>
          </w:tcPr>
          <w:p>
            <w:pPr>
              <w:jc w:val="right"/>
              <w:ind w:right="810"/>
              <w:spacing w:after="0"/>
              <w:rPr>
                <w:sz w:val="20"/>
                <w:szCs w:val="20"/>
                <w:color w:val="auto"/>
              </w:rPr>
            </w:pPr>
            <w:r>
              <w:rPr>
                <w:rFonts w:ascii="Arial" w:cs="Arial" w:eastAsia="Arial" w:hAnsi="Arial"/>
                <w:sz w:val="14"/>
                <w:szCs w:val="14"/>
                <w:b w:val="1"/>
                <w:bCs w:val="1"/>
                <w:color w:val="auto"/>
              </w:rPr>
              <w:t>Rate</w:t>
            </w:r>
          </w:p>
        </w:tc>
        <w:tc>
          <w:tcPr>
            <w:tcW w:w="1120" w:type="dxa"/>
            <w:vAlign w:val="bottom"/>
          </w:tcPr>
          <w:p>
            <w:pPr>
              <w:jc w:val="right"/>
              <w:ind w:right="235"/>
              <w:spacing w:after="0"/>
              <w:rPr>
                <w:sz w:val="20"/>
                <w:szCs w:val="20"/>
                <w:color w:val="auto"/>
              </w:rPr>
            </w:pPr>
            <w:r>
              <w:rPr>
                <w:rFonts w:ascii="Arial" w:cs="Arial" w:eastAsia="Arial" w:hAnsi="Arial"/>
                <w:sz w:val="14"/>
                <w:szCs w:val="14"/>
                <w:b w:val="1"/>
                <w:bCs w:val="1"/>
                <w:color w:val="auto"/>
              </w:rPr>
              <w:t>Principal</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United Auto Credit 2021-1-C</w:t>
            </w:r>
          </w:p>
        </w:tc>
        <w:tc>
          <w:tcPr>
            <w:tcW w:w="24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June 10, 2026</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29,640</w:t>
            </w:r>
          </w:p>
        </w:tc>
        <w:tc>
          <w:tcPr>
            <w:tcW w:w="320" w:type="dxa"/>
            <w:vAlign w:val="bottom"/>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18,466</w:t>
            </w:r>
          </w:p>
        </w:tc>
        <w:tc>
          <w:tcPr>
            <w:tcW w:w="34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2021-1-D</w:t>
            </w:r>
          </w:p>
        </w:tc>
        <w:tc>
          <w:tcPr>
            <w:tcW w:w="2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20"/>
                <w:szCs w:val="20"/>
                <w:color w:val="auto"/>
              </w:rPr>
            </w:pPr>
            <w:r>
              <w:rPr>
                <w:rFonts w:ascii="Arial" w:cs="Arial" w:eastAsia="Arial" w:hAnsi="Arial"/>
                <w:sz w:val="18"/>
                <w:szCs w:val="18"/>
                <w:color w:val="auto"/>
              </w:rPr>
              <w:t>June 10, 2026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29,380</w:t>
            </w:r>
          </w:p>
        </w:tc>
        <w:tc>
          <w:tcPr>
            <w:tcW w:w="19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1.14 %</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29,380</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0"/>
              <w:spacing w:after="0"/>
              <w:rPr>
                <w:sz w:val="20"/>
                <w:szCs w:val="20"/>
                <w:color w:val="auto"/>
              </w:rPr>
            </w:pPr>
            <w:r>
              <w:rPr>
                <w:rFonts w:ascii="Arial" w:cs="Arial" w:eastAsia="Arial" w:hAnsi="Arial"/>
                <w:sz w:val="18"/>
                <w:szCs w:val="18"/>
                <w:color w:val="auto"/>
              </w:rPr>
              <w:t>United Auto Credit 2021-1-E</w:t>
            </w:r>
          </w:p>
        </w:tc>
        <w:tc>
          <w:tcPr>
            <w:tcW w:w="24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June 10, 2026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20,800</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2.58 %</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20,800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00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United Auto Credit 2021-1-F</w:t>
            </w:r>
          </w:p>
        </w:tc>
        <w:tc>
          <w:tcPr>
            <w:tcW w:w="2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line="197" w:lineRule="exact"/>
              <w:rPr>
                <w:sz w:val="20"/>
                <w:szCs w:val="20"/>
                <w:color w:val="auto"/>
              </w:rPr>
            </w:pPr>
            <w:r>
              <w:rPr>
                <w:rFonts w:ascii="Arial" w:cs="Arial" w:eastAsia="Arial" w:hAnsi="Arial"/>
                <w:sz w:val="18"/>
                <w:szCs w:val="18"/>
                <w:color w:val="auto"/>
              </w:rPr>
              <w:t>September 10,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13,910</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13,910</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13,341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00" w:type="dxa"/>
            <w:vAlign w:val="bottom"/>
            <w:tcBorders>
              <w:bottom w:val="single" w:sz="8" w:color="CFF0FC"/>
            </w:tcBorders>
            <w:shd w:val="clear" w:color="auto" w:fill="CFF0FC"/>
          </w:tcPr>
          <w:p>
            <w:pPr>
              <w:spacing w:after="0"/>
              <w:rPr>
                <w:sz w:val="19"/>
                <w:szCs w:val="19"/>
                <w:color w:val="auto"/>
              </w:rPr>
            </w:pPr>
          </w:p>
        </w:tc>
        <w:tc>
          <w:tcPr>
            <w:tcW w:w="180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2027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vMerge w:val="continue"/>
            <w:shd w:val="clear" w:color="auto" w:fill="CFF0FC"/>
          </w:tcPr>
          <w:p>
            <w:pPr>
              <w:spacing w:after="0"/>
              <w:rPr>
                <w:sz w:val="19"/>
                <w:szCs w:val="19"/>
                <w:color w:val="auto"/>
              </w:rPr>
            </w:pPr>
          </w:p>
        </w:tc>
        <w:tc>
          <w:tcPr>
            <w:tcW w:w="1920" w:type="dxa"/>
            <w:vAlign w:val="bottom"/>
            <w:tcBorders>
              <w:bottom w:val="single" w:sz="8" w:color="CFF0FC"/>
            </w:tcBorders>
            <w:gridSpan w:val="3"/>
            <w:shd w:val="clear" w:color="auto" w:fill="CFF0FC"/>
          </w:tcPr>
          <w:p>
            <w:pPr>
              <w:jc w:val="right"/>
              <w:spacing w:after="0"/>
              <w:rPr>
                <w:sz w:val="20"/>
                <w:szCs w:val="20"/>
                <w:color w:val="auto"/>
              </w:rPr>
            </w:pPr>
            <w:r>
              <w:rPr>
                <w:rFonts w:ascii="Arial" w:cs="Arial" w:eastAsia="Arial" w:hAnsi="Arial"/>
                <w:sz w:val="18"/>
                <w:szCs w:val="18"/>
                <w:color w:val="auto"/>
              </w:rPr>
              <w:t>4.30 %</w:t>
            </w: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vMerge w:val="continue"/>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93,730</w:t>
            </w:r>
          </w:p>
        </w:tc>
        <w:tc>
          <w:tcPr>
            <w:tcW w:w="20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82,556</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79,829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-179070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-179070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60" w:firstLine="764"/>
        <w:spacing w:after="0" w:line="246" w:lineRule="auto"/>
        <w:rPr>
          <w:sz w:val="20"/>
          <w:szCs w:val="20"/>
          <w:color w:val="auto"/>
        </w:rPr>
      </w:pPr>
      <w:r>
        <w:rPr>
          <w:rFonts w:ascii="Arial" w:cs="Arial" w:eastAsia="Arial" w:hAnsi="Arial"/>
          <w:sz w:val="18"/>
          <w:szCs w:val="18"/>
          <w:color w:val="auto"/>
        </w:rPr>
        <w:t>The final scheduled payment date represents legal maturity of the remaining balance sheet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$147.6 million in 2024, $91.8 million in 2025, $47.8 million in 2026, $26.8 million in 2027 and $4.1 million in 2028.</w:t>
      </w:r>
    </w:p>
    <w:p>
      <w:pPr>
        <w:spacing w:after="0" w:line="1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February 2024, UACC exercised its option to repurchase the 2021-1 securitization debt for a total redemption price of $35.6</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180" w:lineRule="exact"/>
        <w:rPr>
          <w:sz w:val="20"/>
          <w:szCs w:val="20"/>
          <w:color w:val="auto"/>
        </w:rPr>
      </w:pPr>
    </w:p>
    <w:p>
      <w:pPr>
        <w:ind w:right="40" w:firstLine="764"/>
        <w:spacing w:after="0" w:line="271" w:lineRule="auto"/>
        <w:rPr>
          <w:sz w:val="20"/>
          <w:szCs w:val="20"/>
          <w:color w:val="auto"/>
        </w:rPr>
      </w:pPr>
      <w:r>
        <w:rPr>
          <w:rFonts w:ascii="Arial" w:cs="Arial" w:eastAsia="Arial" w:hAnsi="Arial"/>
          <w:sz w:val="18"/>
          <w:szCs w:val="18"/>
          <w:color w:val="auto"/>
        </w:rPr>
        <w:t>The aggregate principal balance and the fair value of finance receivables pledged to the securitization debt consists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80" w:type="dxa"/>
            <w:vAlign w:val="bottom"/>
            <w:gridSpan w:val="4"/>
          </w:tcPr>
          <w:p>
            <w:pPr>
              <w:jc w:val="right"/>
              <w:ind w:right="756"/>
              <w:spacing w:after="0"/>
              <w:rPr>
                <w:sz w:val="20"/>
                <w:szCs w:val="20"/>
                <w:color w:val="auto"/>
              </w:rPr>
            </w:pPr>
            <w:r>
              <w:rPr>
                <w:rFonts w:ascii="Arial" w:cs="Arial" w:eastAsia="Arial" w:hAnsi="Arial"/>
                <w:sz w:val="14"/>
                <w:szCs w:val="14"/>
                <w:b w:val="1"/>
                <w:bCs w:val="1"/>
                <w:color w:val="auto"/>
              </w:rPr>
              <w:t>As of December 31,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
        </w:trPr>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4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9"/>
        </w:trPr>
        <w:tc>
          <w:tcPr>
            <w:tcW w:w="48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4800" w:type="dxa"/>
            <w:vAlign w:val="bottom"/>
          </w:tcPr>
          <w:p>
            <w:pPr>
              <w:spacing w:after="0"/>
              <w:rPr>
                <w:sz w:val="13"/>
                <w:szCs w:val="13"/>
                <w:color w:val="auto"/>
              </w:rPr>
            </w:pPr>
          </w:p>
        </w:tc>
        <w:tc>
          <w:tcPr>
            <w:tcW w:w="1680" w:type="dxa"/>
            <w:vAlign w:val="bottom"/>
            <w:gridSpan w:val="3"/>
          </w:tcPr>
          <w:p>
            <w:pPr>
              <w:spacing w:after="0" w:line="159" w:lineRule="exact"/>
              <w:rPr>
                <w:sz w:val="20"/>
                <w:szCs w:val="20"/>
                <w:color w:val="auto"/>
              </w:rPr>
            </w:pPr>
            <w:r>
              <w:rPr>
                <w:rFonts w:ascii="Arial" w:cs="Arial" w:eastAsia="Arial" w:hAnsi="Arial"/>
                <w:sz w:val="14"/>
                <w:szCs w:val="14"/>
                <w:b w:val="1"/>
                <w:bCs w:val="1"/>
                <w:color w:val="auto"/>
              </w:rPr>
              <w:t>Aggregate Principal</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right"/>
              <w:ind w:right="256"/>
              <w:spacing w:after="0" w:line="159" w:lineRule="exact"/>
              <w:rPr>
                <w:sz w:val="20"/>
                <w:szCs w:val="20"/>
                <w:color w:val="auto"/>
              </w:rPr>
            </w:pPr>
            <w:r>
              <w:rPr>
                <w:rFonts w:ascii="Arial" w:cs="Arial" w:eastAsia="Arial" w:hAnsi="Arial"/>
                <w:sz w:val="14"/>
                <w:szCs w:val="14"/>
                <w:b w:val="1"/>
                <w:bCs w:val="1"/>
                <w:color w:val="auto"/>
              </w:rPr>
              <w:t>Aggregate</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4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Balance</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Principal Balance</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r>
      <w:tr>
        <w:trPr>
          <w:trHeight w:val="223"/>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United Auto Credit 2021-1</w:t>
            </w: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38,951</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35,790</w:t>
            </w:r>
          </w:p>
        </w:tc>
        <w:tc>
          <w:tcPr>
            <w:tcW w:w="50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84,477</w:t>
            </w:r>
          </w:p>
        </w:tc>
        <w:tc>
          <w:tcPr>
            <w:tcW w:w="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77,904</w:t>
            </w:r>
          </w:p>
        </w:tc>
        <w:tc>
          <w:tcPr>
            <w:tcW w:w="100" w:type="dxa"/>
            <w:vAlign w:val="bottom"/>
            <w:shd w:val="clear" w:color="auto" w:fill="CFF0FC"/>
          </w:tcPr>
          <w:p>
            <w:pPr>
              <w:spacing w:after="0"/>
              <w:rPr>
                <w:sz w:val="19"/>
                <w:szCs w:val="19"/>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United Auto Credit 2022-2</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125,072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111,379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Auto Credit 2023-1</w:t>
            </w:r>
          </w:p>
        </w:tc>
        <w:tc>
          <w:tcPr>
            <w:tcW w:w="2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197,586</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169,829</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Total finance receivables of CFEs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361,609</w:t>
            </w:r>
          </w:p>
        </w:tc>
        <w:tc>
          <w:tcPr>
            <w:tcW w:w="3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316,998</w:t>
            </w:r>
          </w:p>
        </w:tc>
        <w:tc>
          <w:tcPr>
            <w:tcW w:w="5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84,477</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77,904</w:t>
            </w:r>
          </w:p>
        </w:tc>
        <w:tc>
          <w:tcPr>
            <w:tcW w:w="10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-179070</wp:posOffset>
            </wp:positionV>
            <wp:extent cx="7683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4979670</wp:posOffset>
            </wp:positionH>
            <wp:positionV relativeFrom="paragraph">
              <wp:posOffset>-179070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-179070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of Beneficial Interests in Securitizations</w:t>
      </w:r>
    </w:p>
    <w:p>
      <w:pPr>
        <w:spacing w:after="0" w:line="196"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On May 3, 2023, UACC entered into a Risk Retention Financing Facility enabling it to finance asset-backed securities issued in its securitization transactions and held by UACC pursuant to applicable Risk Retention Rules. Under this facility, UACC sells such retained interests and agrees to repurchase them on a future date. In its initial transaction under this facility, UACC pledged $24.5 million of its retained beneficial interests as collateral, and received proceeds of $24.1 million, with expected repurchase dates ranging from March 2025 to September 2029. The securitization trusts will distribute payments related to UACC's pledged beneficial interests in securitizations directly to the lender, which will reduce the beneficial interests in securitizations and the related debt balance. Pledged collateral levels are monitored and are generally maintained at an agreed-upon percentage of the fair value of the amounts borrowed during the life of the transactions. In the event of a decline in the fair value of the pledged collateral, UACC may be required to transfer cash or additional securities as pledged under this facility. At the termination of this agreement, UACC is obligated to return the amounts borrowed.</w:t>
      </w:r>
    </w:p>
    <w:p>
      <w:pPr>
        <w:spacing w:after="0" w:line="168" w:lineRule="exact"/>
        <w:rPr>
          <w:sz w:val="20"/>
          <w:szCs w:val="20"/>
          <w:color w:val="auto"/>
        </w:rPr>
      </w:pPr>
    </w:p>
    <w:p>
      <w:pPr>
        <w:ind w:right="260" w:firstLine="749"/>
        <w:spacing w:after="0" w:line="252" w:lineRule="auto"/>
        <w:rPr>
          <w:sz w:val="20"/>
          <w:szCs w:val="20"/>
          <w:color w:val="auto"/>
        </w:rPr>
      </w:pPr>
      <w:r>
        <w:rPr>
          <w:rFonts w:ascii="Arial" w:cs="Arial" w:eastAsia="Arial" w:hAnsi="Arial"/>
          <w:sz w:val="18"/>
          <w:szCs w:val="18"/>
          <w:color w:val="auto"/>
        </w:rPr>
        <w:t>The outstanding balance of this facility, net of unamortized debt issuance costs, was $15.4 million as of December 31, 2023, with $8.9 million included in "Current portion of long term debt" and $6.5 million included in "Long-term debt, net of current portion" on the consolidated balance sheet. As of December 31, 2023, the fair value of the collateral pledged under this facility was $15.8 million.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Junior Subordinated Debentures</w:t>
      </w:r>
    </w:p>
    <w:p>
      <w:pPr>
        <w:spacing w:after="0" w:line="196" w:lineRule="exact"/>
        <w:rPr>
          <w:sz w:val="20"/>
          <w:szCs w:val="20"/>
          <w:color w:val="auto"/>
        </w:rPr>
      </w:pPr>
    </w:p>
    <w:p>
      <w:pPr>
        <w:ind w:right="140" w:firstLine="764"/>
        <w:spacing w:after="0" w:line="246" w:lineRule="auto"/>
        <w:rPr>
          <w:sz w:val="20"/>
          <w:szCs w:val="20"/>
          <w:color w:val="auto"/>
        </w:rPr>
      </w:pPr>
      <w:r>
        <w:rPr>
          <w:rFonts w:ascii="Arial" w:cs="Arial" w:eastAsia="Arial" w:hAnsi="Arial"/>
          <w:sz w:val="18"/>
          <w:szCs w:val="18"/>
          <w:color w:val="auto"/>
        </w:rPr>
        <w:t>On July 31, 2003, UACC issued junior subordinated debentures (trust preferred securities) of $10.0 million through a subsidiary, UPFC Trust I. The trust issuer is a 100 percent owned finance subsidiary and the securities are fully and unconditionally guaranteed by Vroom Automotive Finance Corporation. The interest is paid quarterly at a variable rate, equal to SOFR + 3.05%. The final maturity of these securities is on October 7, 2033; however, they can be called at par any time at the Company’s discretion.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96" w:lineRule="exact"/>
        <w:rPr>
          <w:sz w:val="20"/>
          <w:szCs w:val="20"/>
          <w:color w:val="auto"/>
        </w:rPr>
      </w:pPr>
    </w:p>
    <w:p>
      <w:pPr>
        <w:ind w:right="100" w:firstLine="761"/>
        <w:spacing w:after="0" w:line="239"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p>
    <w:p>
      <w:pPr>
        <w:spacing w:after="0" w:line="171" w:lineRule="exact"/>
        <w:rPr>
          <w:sz w:val="20"/>
          <w:szCs w:val="20"/>
          <w:color w:val="auto"/>
        </w:rPr>
      </w:pPr>
    </w:p>
    <w:p>
      <w:pPr>
        <w:ind w:firstLine="761"/>
        <w:spacing w:after="0" w:line="237" w:lineRule="auto"/>
        <w:rPr>
          <w:sz w:val="20"/>
          <w:szCs w:val="20"/>
          <w:color w:val="auto"/>
        </w:rPr>
      </w:pPr>
      <w:r>
        <w:rPr>
          <w:rFonts w:ascii="Arial" w:cs="Arial" w:eastAsia="Arial" w:hAnsi="Arial"/>
          <w:sz w:val="18"/>
          <w:szCs w:val="18"/>
          <w:color w:val="auto"/>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spacing w:after="0" w:line="168" w:lineRule="exact"/>
        <w:rPr>
          <w:sz w:val="20"/>
          <w:szCs w:val="20"/>
          <w:color w:val="auto"/>
        </w:rPr>
      </w:pPr>
    </w:p>
    <w:p>
      <w:pPr>
        <w:ind w:right="60" w:firstLine="761"/>
        <w:spacing w:after="0" w:line="257" w:lineRule="auto"/>
        <w:rPr>
          <w:sz w:val="20"/>
          <w:szCs w:val="20"/>
          <w:color w:val="auto"/>
        </w:rPr>
      </w:pPr>
      <w:r>
        <w:rPr>
          <w:rFonts w:ascii="Arial" w:cs="Arial" w:eastAsia="Arial" w:hAnsi="Arial"/>
          <w:sz w:val="17"/>
          <w:szCs w:val="17"/>
          <w:color w:val="auto"/>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spacing w:after="0" w:line="153"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In April 2022, one of the Company’s stockholders filed a purported shareholder derivative lawsuit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is captioned Godlu v. Hennessy et al., Case No. 22-cv-569, and the court has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approved the parties’ stipulation that the case would remain stayed pending final resolution of In re: Vroom, Inc. Securities Litigation. This lawsuit remains in preliminary stages and there have been no substantive developments.</w:t>
      </w:r>
    </w:p>
    <w:p>
      <w:pPr>
        <w:spacing w:after="0" w:line="139"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222222"/>
        </w:rPr>
        <w:t>In January 2022, the Company received a non-public civil investigative demand from the Federal Trade Commission (“FTC”),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 702. The FTC advised the Company that it is authorized to negotiate a stipulated order and the Company intends to work cooperatively with the FTC towards a resolution. Because the matter is at an early stage and the outcome of any complex legal proceeding is inherently unpredictable and subject to significant uncertainties, the Company cannot determine at present whether any potential liability would have a material adverse effect on the Company’s financial condition, cash flows, or results of operations.</w:t>
      </w:r>
    </w:p>
    <w:p>
      <w:pPr>
        <w:spacing w:after="0" w:line="168"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In May 2022, Vroom Automotive, LLC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will pay a total of $2 million in civil penalties and $1 million in attorneys' fees, with the first half due in September 2024 and the remaining half due in September 2025, and abide permanently by an injunction of certain operational practices that were previously implemented. The agreement was approved by the District Court of Travis County on December 13, 2023.</w:t>
      </w:r>
    </w:p>
    <w:p>
      <w:pPr>
        <w:spacing w:after="0" w:line="166" w:lineRule="exact"/>
        <w:rPr>
          <w:sz w:val="20"/>
          <w:szCs w:val="20"/>
          <w:color w:val="auto"/>
        </w:rPr>
      </w:pPr>
    </w:p>
    <w:p>
      <w:pPr>
        <w:ind w:firstLine="749"/>
        <w:spacing w:after="0" w:line="263" w:lineRule="auto"/>
        <w:rPr>
          <w:sz w:val="20"/>
          <w:szCs w:val="20"/>
          <w:color w:val="auto"/>
        </w:rPr>
      </w:pPr>
      <w:r>
        <w:rPr>
          <w:rFonts w:ascii="Arial" w:cs="Arial" w:eastAsia="Arial" w:hAnsi="Arial"/>
          <w:sz w:val="17"/>
          <w:szCs w:val="17"/>
          <w:color w:val="auto"/>
        </w:rPr>
        <w:t>In July 2022 and August 2022, respectively, certain plaintiffs filed two putative class action lawsuits in the District Court of Cleveland County, Oklahoma and the New York State Supreme Court, respectively, against Vroom, Inc., and Vroom Automotive LLC as defendants, alleging, among other things, deficiencies in Vroom’s titling and registration of sold vehicles: Blake Sonne, individually and on behalf of all</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others similar situated, v. Vroom Automotive, LLC and Vroom, Inc., No. CJ-2022-822 and Emely Reyes Martinez, on behalf of all others similarly situated, v. Vroom Automotive, LLC and Vroom Inc</w:t>
      </w:r>
      <w:r>
        <w:rPr>
          <w:rFonts w:ascii="Arial" w:cs="Arial" w:eastAsia="Arial" w:hAnsi="Arial"/>
          <w:sz w:val="18"/>
          <w:szCs w:val="18"/>
          <w:i w:val="1"/>
          <w:iCs w:val="1"/>
          <w:color w:val="auto"/>
        </w:rPr>
        <w:t>.</w:t>
      </w:r>
      <w:r>
        <w:rPr>
          <w:rFonts w:ascii="Arial" w:cs="Arial" w:eastAsia="Arial" w:hAnsi="Arial"/>
          <w:sz w:val="18"/>
          <w:szCs w:val="18"/>
          <w:color w:val="auto"/>
        </w:rPr>
        <w:t>, No. 652684/2022. The Company removed the cases to the U.S. District Court for the Western District of Oklahoma (Case No. 22-cv-761) and the U.S. District Court for the Southern District of New York (Case No. 22-cv-7631), respectively, and filed motions to compel arbitration of all claims in both cases. In September 2023, Vroom's motions to compel arbitration were granted in both cases, and the court actions stayed pending the outcome of any arbitration proceeding over the respective plaintiffs' individual claims. On February 9, 2024, the parties filed a joint stipulation to dismiss the Sonne matter with prejudice.</w:t>
      </w:r>
    </w:p>
    <w:p>
      <w:pPr>
        <w:spacing w:after="0" w:line="170" w:lineRule="exact"/>
        <w:rPr>
          <w:sz w:val="20"/>
          <w:szCs w:val="20"/>
          <w:color w:val="auto"/>
        </w:rPr>
      </w:pPr>
    </w:p>
    <w:p>
      <w:pPr>
        <w:ind w:right="60" w:firstLine="749"/>
        <w:spacing w:after="0" w:line="258" w:lineRule="auto"/>
        <w:rPr>
          <w:sz w:val="20"/>
          <w:szCs w:val="20"/>
          <w:color w:val="auto"/>
        </w:rPr>
      </w:pPr>
      <w:r>
        <w:rPr>
          <w:rFonts w:ascii="Arial" w:cs="Arial" w:eastAsia="Arial" w:hAnsi="Arial"/>
          <w:sz w:val="17"/>
          <w:szCs w:val="17"/>
          <w:color w:val="auto"/>
        </w:rPr>
        <w:t>As previously disclosed, the Company has been subject to audits, requests for information, investigations and other inquiries from its regulators relating to increased customer complaints concerning the same or similar matters alleged in the State of Texas petition.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Notice</w:t>
      </w:r>
    </w:p>
    <w:p>
      <w:pPr>
        <w:spacing w:after="0" w:line="198" w:lineRule="exact"/>
        <w:rPr>
          <w:sz w:val="20"/>
          <w:szCs w:val="20"/>
          <w:color w:val="auto"/>
        </w:rPr>
      </w:pPr>
    </w:p>
    <w:p>
      <w:pPr>
        <w:ind w:right="220" w:firstLine="749"/>
        <w:spacing w:after="0" w:line="271" w:lineRule="auto"/>
        <w:rPr>
          <w:sz w:val="20"/>
          <w:szCs w:val="20"/>
          <w:color w:val="auto"/>
        </w:rPr>
      </w:pPr>
      <w:r>
        <w:rPr>
          <w:rFonts w:ascii="Arial" w:cs="Arial" w:eastAsia="Arial" w:hAnsi="Arial"/>
          <w:sz w:val="18"/>
          <w:szCs w:val="18"/>
          <w:color w:val="auto"/>
        </w:rPr>
        <w:t>On December 21, 2023, the Company received written notice from The Nasdaq Stock Market LLC (“Nasdaq”) notifying it that, for the last 30 consecutive business days, the bid price for the Company's common stock had closed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below the $1.00 per share minimum bid price requirement for continued inclusion on the Nasdaq Global Select Market pursuant to Nasdaq Listing Rule 5450(a)(1) (the "Minimum Bid Price Requirement").</w:t>
      </w:r>
    </w:p>
    <w:p>
      <w:pPr>
        <w:spacing w:after="0" w:line="139"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On February 13, 2024 after obtaining stockholder approval, the Company effected a 1-for-80 reverse stock split (the "Reverse Stock Split"), and the Company's stock began trading on a post-split adjusted basis on February 14, 2024. On February 29, 2024, the Company was notified by the Nasdaq Listing Qualifications staff that the closing bid price of its common stock had been at $1.00 per share or greater for 11 consecutive business days, from February 14, 2024 to February 28, 2024. Accordingly, the Company has regained compliance with Nasdaq Listing Rule 5450(a)(1) and this matter is now closed. If the Company's common stock again closes below the $1.00 per share minimum bid price required by Nasdaq for 30 consecutive business days, the Company would again receive another notice of non-compliance with Nasdaq's listing standards and face the risk of delisting.</w:t>
      </w:r>
    </w:p>
    <w:p>
      <w:pPr>
        <w:spacing w:after="0" w:line="169" w:lineRule="exact"/>
        <w:rPr>
          <w:sz w:val="20"/>
          <w:szCs w:val="20"/>
          <w:color w:val="auto"/>
        </w:rPr>
      </w:pPr>
    </w:p>
    <w:p>
      <w:pPr>
        <w:ind w:right="180" w:firstLine="749"/>
        <w:spacing w:after="0" w:line="271" w:lineRule="auto"/>
        <w:rPr>
          <w:sz w:val="20"/>
          <w:szCs w:val="20"/>
          <w:color w:val="auto"/>
        </w:rPr>
      </w:pPr>
      <w:r>
        <w:rPr>
          <w:rFonts w:ascii="Arial" w:cs="Arial" w:eastAsia="Arial" w:hAnsi="Arial"/>
          <w:sz w:val="18"/>
          <w:szCs w:val="18"/>
          <w:color w:val="auto"/>
        </w:rPr>
        <w:t>All shares of the Company’s common stock, stock-based instruments, and per-share data included in these consolidated financial statements have been retroactively adjusted as though the Reverse Stock Split has been effected prior to all periods presented.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96" w:lineRule="exact"/>
        <w:rPr>
          <w:sz w:val="20"/>
          <w:szCs w:val="20"/>
          <w:color w:val="auto"/>
        </w:rPr>
      </w:pPr>
    </w:p>
    <w:p>
      <w:pPr>
        <w:ind w:right="80" w:firstLine="761"/>
        <w:spacing w:after="0" w:line="246" w:lineRule="auto"/>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Preferred Stock and Stockholders’ Equity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6" w:lineRule="exact"/>
        <w:rPr>
          <w:sz w:val="20"/>
          <w:szCs w:val="20"/>
          <w:color w:val="auto"/>
        </w:rPr>
      </w:pPr>
    </w:p>
    <w:p>
      <w:pPr>
        <w:ind w:right="420" w:firstLine="637"/>
        <w:spacing w:after="0" w:line="271" w:lineRule="auto"/>
        <w:rPr>
          <w:sz w:val="20"/>
          <w:szCs w:val="20"/>
          <w:color w:val="auto"/>
        </w:rPr>
      </w:pPr>
      <w:r>
        <w:rPr>
          <w:rFonts w:ascii="Arial" w:cs="Arial" w:eastAsia="Arial" w:hAnsi="Arial"/>
          <w:sz w:val="18"/>
          <w:szCs w:val="18"/>
          <w:color w:val="auto"/>
        </w:rPr>
        <w:t>On June 11, 2020, the Company amended its certificate of incorporation to authorize the issuance of up to 10,000,000 shares of Preferred Stock. As of December 31, 2023, there was no preferred stock issued or outstanding.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96" w:lineRule="exact"/>
        <w:rPr>
          <w:sz w:val="20"/>
          <w:szCs w:val="20"/>
          <w:color w:val="auto"/>
        </w:rPr>
      </w:pPr>
    </w:p>
    <w:p>
      <w:pPr>
        <w:ind w:right="180" w:firstLine="637"/>
        <w:spacing w:after="0" w:line="266" w:lineRule="auto"/>
        <w:rPr>
          <w:sz w:val="20"/>
          <w:szCs w:val="20"/>
          <w:color w:val="auto"/>
        </w:rPr>
      </w:pPr>
      <w:r>
        <w:rPr>
          <w:rFonts w:ascii="Arial" w:cs="Arial" w:eastAsia="Arial" w:hAnsi="Arial"/>
          <w:sz w:val="17"/>
          <w:szCs w:val="17"/>
          <w:color w:val="auto"/>
        </w:rPr>
        <w:t>On February 13, 2024, the Company amended its certificate of incorporation to effect a 1-for-80 reverse stock split of shares of the Company’s outstanding common stock, such that every 80 shares of common stock became one of common stock. The shares of common stock authorized for issuance remained unchanged at 500,000,000 and the par value per share of common stock remained unchanged at $0.001. Each share of common stock entitles the holder to one vote on all matters submitted to a vote of the Company’s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196" w:lineRule="exact"/>
        <w:rPr>
          <w:sz w:val="20"/>
          <w:szCs w:val="20"/>
          <w:color w:val="auto"/>
        </w:rPr>
      </w:pPr>
    </w:p>
    <w:p>
      <w:pPr>
        <w:ind w:right="460" w:firstLine="637"/>
        <w:spacing w:after="0" w:line="246" w:lineRule="auto"/>
        <w:rPr>
          <w:sz w:val="20"/>
          <w:szCs w:val="20"/>
          <w:color w:val="auto"/>
        </w:rPr>
      </w:pPr>
      <w:r>
        <w:rPr>
          <w:rFonts w:ascii="Arial" w:cs="Arial" w:eastAsia="Arial" w:hAnsi="Arial"/>
          <w:sz w:val="18"/>
          <w:szCs w:val="18"/>
          <w:color w:val="auto"/>
        </w:rPr>
        <w:t>On December 1, 2023, the Company entered into an equity distribution agreement with Virtu Americas LLC to sell shares of the Company’s common stock, par value $0.001 per share, with aggregate gross sales proceeds of up to $50.0 million, from time to time, through an “at-the-market” equity offering program (the "ATM offering"). As of December 31, 2023, the Company has up to $47.5 million remaining in aggregate gross proceeds that can be issued through the ATM offering.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Stock-based Compensation</w:t>
      </w:r>
    </w:p>
    <w:p>
      <w:pPr>
        <w:spacing w:after="0" w:line="198" w:lineRule="exact"/>
        <w:rPr>
          <w:sz w:val="20"/>
          <w:szCs w:val="20"/>
          <w:color w:val="auto"/>
        </w:rPr>
      </w:pPr>
    </w:p>
    <w:p>
      <w:pPr>
        <w:ind w:right="160" w:firstLine="761"/>
        <w:spacing w:after="0" w:line="245" w:lineRule="auto"/>
        <w:rPr>
          <w:sz w:val="20"/>
          <w:szCs w:val="20"/>
          <w:color w:val="auto"/>
        </w:rPr>
      </w:pPr>
      <w:r>
        <w:rPr>
          <w:rFonts w:ascii="Arial" w:cs="Arial" w:eastAsia="Arial" w:hAnsi="Arial"/>
          <w:sz w:val="18"/>
          <w:szCs w:val="18"/>
          <w:color w:val="auto"/>
        </w:rPr>
        <w:t>On May 28, 2020, the Company adopted the 2020 Incentive Award Plan (“the 2020 Plan”), which authorized the issuance of (i) up to 37,379 shares of the Company’s common stock, (ii) an annual increase on the first day of each year beginning on January 1, 2022 and ending on January 1, 2030 of up to 4% of the shares of common stock outstanding on an as-converted basis on the last day of the immediately preceding fiscal year, and (iii) any shares of the Company’s common stock subject to awards under the 2014 Plan which are</w:t>
      </w:r>
    </w:p>
    <w:p>
      <w:pPr>
        <w:ind w:right="40"/>
        <w:spacing w:after="0" w:line="255" w:lineRule="auto"/>
        <w:rPr>
          <w:sz w:val="20"/>
          <w:szCs w:val="20"/>
          <w:color w:val="auto"/>
        </w:rPr>
      </w:pPr>
      <w:r>
        <w:rPr>
          <w:rFonts w:ascii="Arial" w:cs="Arial" w:eastAsia="Arial" w:hAnsi="Arial"/>
          <w:sz w:val="18"/>
          <w:szCs w:val="18"/>
          <w:color w:val="auto"/>
        </w:rPr>
        <w:t>forfeited or lapse unexercised and which following the effective date are not issued under the 2014 Plan. Awards may be issued in the form of restricted stock units, restricted stock, stock appreciation rights, and stock options. As of December 31, 2023, the Company has registered an additional</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137,647 shares of the Company's common stock to be issued pursuant to the 2020 Plan. As of December 31, 2023, there were 22,869 shares available for future issuance under the 2020 Plan.</w:t>
      </w:r>
    </w:p>
    <w:p>
      <w:pPr>
        <w:spacing w:after="0" w:line="139" w:lineRule="exact"/>
        <w:rPr>
          <w:sz w:val="20"/>
          <w:szCs w:val="20"/>
          <w:color w:val="auto"/>
        </w:rPr>
      </w:pPr>
    </w:p>
    <w:p>
      <w:pPr>
        <w:ind w:right="60" w:firstLine="761"/>
        <w:spacing w:after="0" w:line="241" w:lineRule="auto"/>
        <w:rPr>
          <w:sz w:val="20"/>
          <w:szCs w:val="20"/>
          <w:color w:val="auto"/>
        </w:rPr>
      </w:pPr>
      <w:r>
        <w:rPr>
          <w:rFonts w:ascii="Arial" w:cs="Arial" w:eastAsia="Arial" w:hAnsi="Arial"/>
          <w:sz w:val="18"/>
          <w:szCs w:val="18"/>
          <w:color w:val="auto"/>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37,500 shares of the Company’s common stock are reserved for issuance under the Inducement Award Plan. As of December 31, 2023, there were 30,668 shares available for future issuance under the Inducement Award Plan.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stock option activity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35"/>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35"/>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r>
      <w:tr>
        <w:trPr>
          <w:trHeight w:val="185"/>
        </w:trPr>
        <w:tc>
          <w:tcPr>
            <w:tcW w:w="6620" w:type="dxa"/>
            <w:vAlign w:val="bottom"/>
          </w:tcPr>
          <w:p>
            <w:pPr>
              <w:spacing w:after="0"/>
              <w:rPr>
                <w:sz w:val="16"/>
                <w:szCs w:val="16"/>
                <w:color w:val="auto"/>
              </w:rPr>
            </w:pPr>
          </w:p>
        </w:tc>
        <w:tc>
          <w:tcPr>
            <w:tcW w:w="13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Exercise Price</w:t>
            </w:r>
          </w:p>
        </w:tc>
        <w:tc>
          <w:tcPr>
            <w:tcW w:w="2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Life</w:t>
            </w:r>
          </w:p>
        </w:tc>
        <w:tc>
          <w:tcPr>
            <w:tcW w:w="100" w:type="dxa"/>
            <w:vAlign w:val="bottom"/>
          </w:tcPr>
          <w:p>
            <w:pPr>
              <w:spacing w:after="0"/>
              <w:rPr>
                <w:sz w:val="16"/>
                <w:szCs w:val="16"/>
                <w:color w:val="auto"/>
              </w:rPr>
            </w:pPr>
          </w:p>
        </w:tc>
      </w:tr>
      <w:tr>
        <w:trPr>
          <w:trHeight w:val="263"/>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35,715</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475.74</w:t>
            </w:r>
          </w:p>
        </w:tc>
        <w:tc>
          <w:tcPr>
            <w:tcW w:w="2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Expired</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(3,281 )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336.80</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 / cancelled</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(6,346 )</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387.49</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Outstanding as of December 31, 2023</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26,088</w:t>
            </w:r>
          </w:p>
        </w:tc>
        <w:tc>
          <w:tcPr>
            <w:tcW w:w="260" w:type="dxa"/>
            <w:vAlign w:val="bottom"/>
            <w:tcBorders>
              <w:top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514.72</w:t>
            </w:r>
          </w:p>
        </w:tc>
        <w:tc>
          <w:tcPr>
            <w:tcW w:w="220" w:type="dxa"/>
            <w:vAlign w:val="bottom"/>
            <w:tcBorders>
              <w:top w:val="single" w:sz="8" w:color="CFF0FC"/>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top w:val="single" w:sz="8" w:color="CFF0FC"/>
            </w:tcBorders>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exercisable as of December 31, 2022</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16,494</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378.40</w:t>
            </w:r>
          </w:p>
        </w:tc>
        <w:tc>
          <w:tcPr>
            <w:tcW w:w="22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8"/>
                <w:szCs w:val="18"/>
                <w:color w:val="auto"/>
              </w:rPr>
              <w:t>Vested and exercisable as of December 31, 2023</w:t>
            </w:r>
          </w:p>
        </w:tc>
        <w:tc>
          <w:tcPr>
            <w:tcW w:w="1380" w:type="dxa"/>
            <w:vAlign w:val="bottom"/>
          </w:tcPr>
          <w:p>
            <w:pPr>
              <w:jc w:val="right"/>
              <w:spacing w:after="0"/>
              <w:rPr>
                <w:sz w:val="20"/>
                <w:szCs w:val="20"/>
                <w:color w:val="auto"/>
              </w:rPr>
            </w:pPr>
            <w:r>
              <w:rPr>
                <w:rFonts w:ascii="Arial" w:cs="Arial" w:eastAsia="Arial" w:hAnsi="Arial"/>
                <w:sz w:val="18"/>
                <w:szCs w:val="18"/>
                <w:color w:val="auto"/>
              </w:rPr>
              <w:t>16,861</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468.68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-1129665</wp:posOffset>
            </wp:positionV>
            <wp:extent cx="768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-1112520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-1129665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-1112520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-1112520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-521970</wp:posOffset>
            </wp:positionV>
            <wp:extent cx="768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-521970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-196215</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5073650</wp:posOffset>
            </wp:positionH>
            <wp:positionV relativeFrom="paragraph">
              <wp:posOffset>-179070</wp:posOffset>
            </wp:positionV>
            <wp:extent cx="768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-196215</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-179070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140" w:firstLine="761"/>
        <w:spacing w:after="0" w:line="246" w:lineRule="auto"/>
        <w:rPr>
          <w:sz w:val="20"/>
          <w:szCs w:val="20"/>
          <w:color w:val="auto"/>
        </w:rPr>
      </w:pPr>
      <w:r>
        <w:rPr>
          <w:rFonts w:ascii="Arial" w:cs="Arial" w:eastAsia="Arial" w:hAnsi="Arial"/>
          <w:sz w:val="18"/>
          <w:szCs w:val="18"/>
          <w:color w:val="auto"/>
        </w:rPr>
        <w:t>The Company recognized $0.8 million and $1.5 million of stock-based compensation expense related to stock options for the years ended December 31, 2023 and 2022, respectively. As of December 31, 2023 and 2022, the Company had $0.6 million and $1.6 million, respectively, of unrecognized stock-based compensation expense that is expected to be recognized over a weighted-average period of 1.2 years and 1.9 years, respectively.</w:t>
      </w:r>
    </w:p>
    <w:p>
      <w:pPr>
        <w:spacing w:after="0" w:line="163" w:lineRule="exact"/>
        <w:rPr>
          <w:sz w:val="20"/>
          <w:szCs w:val="20"/>
          <w:color w:val="auto"/>
        </w:rPr>
      </w:pPr>
    </w:p>
    <w:p>
      <w:pPr>
        <w:ind w:right="980" w:firstLine="761"/>
        <w:spacing w:after="0" w:line="271" w:lineRule="auto"/>
        <w:rPr>
          <w:sz w:val="20"/>
          <w:szCs w:val="20"/>
          <w:color w:val="auto"/>
        </w:rPr>
      </w:pPr>
      <w:r>
        <w:rPr>
          <w:rFonts w:ascii="Arial" w:cs="Arial" w:eastAsia="Arial" w:hAnsi="Arial"/>
          <w:sz w:val="18"/>
          <w:szCs w:val="18"/>
          <w:color w:val="auto"/>
        </w:rPr>
        <w:t>There were no options exercised during the year ended December 31, 2023, and the aggregate intrinsic value of options outstanding and options exercisable as of December 31, 2023 was not material.</w:t>
      </w:r>
    </w:p>
    <w:p>
      <w:pPr>
        <w:spacing w:after="0" w:line="139" w:lineRule="exact"/>
        <w:rPr>
          <w:sz w:val="20"/>
          <w:szCs w:val="20"/>
          <w:color w:val="auto"/>
        </w:rPr>
      </w:pPr>
    </w:p>
    <w:p>
      <w:pPr>
        <w:ind w:right="240" w:firstLine="761"/>
        <w:spacing w:after="0" w:line="246" w:lineRule="auto"/>
        <w:rPr>
          <w:sz w:val="20"/>
          <w:szCs w:val="20"/>
          <w:color w:val="auto"/>
        </w:rPr>
      </w:pPr>
      <w:r>
        <w:rPr>
          <w:rFonts w:ascii="Arial" w:cs="Arial" w:eastAsia="Arial" w:hAnsi="Arial"/>
          <w:sz w:val="18"/>
          <w:szCs w:val="18"/>
          <w:color w:val="auto"/>
        </w:rPr>
        <w:t>On May 9, 2022 and May 20, 2022, 7,500 stock options having a fair value of $66.40 per share were granted to the CEO and an aggregate of 8,125 stock options having a grant date fair value of $91.20 per share were granted to certain members of key management, respectively. The exercise price of the stock options is $600.00 per share. The stock options vest ratably over a three-year period subject to continued employment through each applicable vesting date.</w:t>
      </w:r>
    </w:p>
    <w:p>
      <w:pPr>
        <w:spacing w:after="0" w:line="163" w:lineRule="exact"/>
        <w:rPr>
          <w:sz w:val="20"/>
          <w:szCs w:val="20"/>
          <w:color w:val="auto"/>
        </w:rPr>
      </w:pPr>
    </w:p>
    <w:p>
      <w:pPr>
        <w:ind w:right="460" w:firstLine="761"/>
        <w:spacing w:after="0" w:line="271" w:lineRule="auto"/>
        <w:rPr>
          <w:sz w:val="20"/>
          <w:szCs w:val="20"/>
          <w:color w:val="auto"/>
        </w:rPr>
      </w:pPr>
      <w:r>
        <w:rPr>
          <w:rFonts w:ascii="Arial" w:cs="Arial" w:eastAsia="Arial" w:hAnsi="Arial"/>
          <w:sz w:val="18"/>
          <w:szCs w:val="18"/>
          <w:color w:val="auto"/>
        </w:rPr>
        <w:t>The grant date fair value of stock options granted during the year ended December 31, 2022 was estimated at the time of grant using the Black-Scholes option-pricing model and utilized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May 20, 2022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May 9, 2022</w:t>
            </w:r>
          </w:p>
        </w:tc>
        <w:tc>
          <w:tcPr>
            <w:tcW w:w="160" w:type="dxa"/>
            <w:vAlign w:val="bottom"/>
            <w:gridSpan w:val="2"/>
          </w:tcPr>
          <w:p>
            <w:pPr>
              <w:spacing w:after="0"/>
              <w:rPr>
                <w:sz w:val="16"/>
                <w:szCs w:val="16"/>
                <w:color w:val="auto"/>
              </w:rPr>
            </w:pPr>
          </w:p>
        </w:tc>
      </w:tr>
      <w:tr>
        <w:trPr>
          <w:trHeight w:val="223"/>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common stock (per share)</w:t>
            </w:r>
          </w:p>
        </w:tc>
        <w:tc>
          <w:tcPr>
            <w:tcW w:w="3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91.20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66.40</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2.78 %</w:t>
            </w:r>
          </w:p>
        </w:tc>
        <w:tc>
          <w:tcPr>
            <w:tcW w:w="28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3.05 %</w:t>
            </w: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100.00 %</w:t>
            </w:r>
          </w:p>
        </w:tc>
        <w:tc>
          <w:tcPr>
            <w:tcW w:w="28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100.00 %</w:t>
            </w:r>
          </w:p>
        </w:tc>
      </w:tr>
      <w:tr>
        <w:trPr>
          <w:trHeight w:val="229"/>
        </w:trPr>
        <w:tc>
          <w:tcPr>
            <w:tcW w:w="4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3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638"/>
        </w:trPr>
        <w:tc>
          <w:tcPr>
            <w:tcW w:w="4320" w:type="dxa"/>
            <w:vAlign w:val="bottom"/>
          </w:tcPr>
          <w:p>
            <w:pPr>
              <w:spacing w:after="0"/>
              <w:rPr>
                <w:sz w:val="24"/>
                <w:szCs w:val="24"/>
                <w:color w:val="auto"/>
              </w:rPr>
            </w:pPr>
          </w:p>
        </w:tc>
        <w:tc>
          <w:tcPr>
            <w:tcW w:w="3320" w:type="dxa"/>
            <w:vAlign w:val="bottom"/>
          </w:tcPr>
          <w:p>
            <w:pPr>
              <w:jc w:val="right"/>
              <w:ind w:right="1790"/>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45"/>
        </w:trPr>
        <w:tc>
          <w:tcPr>
            <w:tcW w:w="43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-1326515</wp:posOffset>
            </wp:positionV>
            <wp:extent cx="7132320" cy="1454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summarizes restricted stock unit ("RSUs") activity for the year ended December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Weighted Average</w:t>
            </w:r>
          </w:p>
        </w:tc>
      </w:tr>
      <w:tr>
        <w:trPr>
          <w:trHeight w:val="162"/>
        </w:trPr>
        <w:tc>
          <w:tcPr>
            <w:tcW w:w="7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Grant Date Fair</w:t>
            </w:r>
          </w:p>
        </w:tc>
      </w:tr>
      <w:tr>
        <w:trPr>
          <w:trHeight w:val="185"/>
        </w:trPr>
        <w:tc>
          <w:tcPr>
            <w:tcW w:w="7240" w:type="dxa"/>
            <w:vAlign w:val="bottom"/>
          </w:tcPr>
          <w:p>
            <w:pPr>
              <w:spacing w:after="0"/>
              <w:rPr>
                <w:sz w:val="16"/>
                <w:szCs w:val="16"/>
                <w:color w:val="auto"/>
              </w:rPr>
            </w:pPr>
          </w:p>
        </w:tc>
        <w:tc>
          <w:tcPr>
            <w:tcW w:w="14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Shares</w:t>
            </w:r>
          </w:p>
        </w:tc>
        <w:tc>
          <w:tcPr>
            <w:tcW w:w="7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Value per Share</w:t>
            </w:r>
          </w:p>
        </w:tc>
        <w:tc>
          <w:tcPr>
            <w:tcW w:w="100" w:type="dxa"/>
            <w:vAlign w:val="bottom"/>
          </w:tcPr>
          <w:p>
            <w:pPr>
              <w:spacing w:after="0"/>
              <w:rPr>
                <w:sz w:val="16"/>
                <w:szCs w:val="16"/>
                <w:color w:val="auto"/>
              </w:rPr>
            </w:pPr>
          </w:p>
        </w:tc>
      </w:tr>
      <w:tr>
        <w:trPr>
          <w:trHeight w:val="263"/>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and outstanding as of December 31, 2022</w:t>
            </w:r>
          </w:p>
        </w:tc>
        <w:tc>
          <w:tcPr>
            <w:tcW w:w="142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108,268</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86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110,365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18"/>
                <w:szCs w:val="18"/>
                <w:color w:val="auto"/>
              </w:rPr>
            </w:pPr>
          </w:p>
        </w:tc>
      </w:tr>
      <w:tr>
        <w:trPr>
          <w:trHeight w:val="229"/>
        </w:trPr>
        <w:tc>
          <w:tcPr>
            <w:tcW w:w="8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Vested and released</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(20,278 )</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468.31</w:t>
            </w:r>
          </w:p>
        </w:tc>
        <w:tc>
          <w:tcPr>
            <w:tcW w:w="100" w:type="dxa"/>
            <w:vAlign w:val="bottom"/>
            <w:shd w:val="clear" w:color="auto" w:fill="CFF0FC"/>
          </w:tcPr>
          <w:p>
            <w:pPr>
              <w:spacing w:after="0"/>
              <w:rPr>
                <w:sz w:val="19"/>
                <w:szCs w:val="19"/>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Forfeited / cancelled</w:t>
            </w:r>
          </w:p>
        </w:tc>
        <w:tc>
          <w:tcPr>
            <w:tcW w:w="14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(23,089 )</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213.51</w:t>
            </w:r>
          </w:p>
        </w:tc>
        <w:tc>
          <w:tcPr>
            <w:tcW w:w="100" w:type="dxa"/>
            <w:vAlign w:val="bottom"/>
          </w:tcPr>
          <w:p>
            <w:pPr>
              <w:spacing w:after="0"/>
              <w:rPr>
                <w:sz w:val="19"/>
                <w:szCs w:val="19"/>
                <w:color w:val="auto"/>
              </w:rPr>
            </w:pPr>
          </w:p>
        </w:tc>
      </w:tr>
      <w:tr>
        <w:trPr>
          <w:trHeight w:val="263"/>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2023</w:t>
            </w:r>
          </w:p>
        </w:tc>
        <w:tc>
          <w:tcPr>
            <w:tcW w:w="1420" w:type="dxa"/>
            <w:vAlign w:val="bottom"/>
            <w:tcBorders>
              <w:top w:val="single" w:sz="8" w:color="auto"/>
              <w:bottom w:val="single" w:sz="8" w:color="auto"/>
            </w:tcBorders>
            <w:shd w:val="clear" w:color="auto" w:fill="CFF0FC"/>
          </w:tcPr>
          <w:p>
            <w:pPr>
              <w:spacing w:after="0"/>
              <w:rPr>
                <w:sz w:val="22"/>
                <w:szCs w:val="22"/>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175,266</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124.33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240" w:type="dxa"/>
            <w:vAlign w:val="bottom"/>
          </w:tcPr>
          <w:p>
            <w:pPr>
              <w:ind w:left="20"/>
              <w:spacing w:after="0"/>
              <w:rPr>
                <w:sz w:val="20"/>
                <w:szCs w:val="20"/>
                <w:color w:val="auto"/>
              </w:rPr>
            </w:pPr>
            <w:r>
              <w:rPr>
                <w:rFonts w:ascii="Arial" w:cs="Arial" w:eastAsia="Arial" w:hAnsi="Arial"/>
                <w:sz w:val="18"/>
                <w:szCs w:val="18"/>
                <w:color w:val="auto"/>
              </w:rPr>
              <w:t>Vested and exercisable</w:t>
            </w:r>
          </w:p>
        </w:tc>
        <w:tc>
          <w:tcPr>
            <w:tcW w:w="1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(1,152 )</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84.80</w:t>
            </w:r>
          </w:p>
        </w:tc>
        <w:tc>
          <w:tcPr>
            <w:tcW w:w="100" w:type="dxa"/>
            <w:vAlign w:val="bottom"/>
          </w:tcPr>
          <w:p>
            <w:pPr>
              <w:spacing w:after="0"/>
              <w:rPr>
                <w:sz w:val="18"/>
                <w:szCs w:val="18"/>
                <w:color w:val="auto"/>
              </w:rPr>
            </w:pPr>
          </w:p>
        </w:tc>
      </w:tr>
      <w:tr>
        <w:trPr>
          <w:trHeight w:val="263"/>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and outstanding as of December 31, 2023</w:t>
            </w:r>
          </w:p>
        </w:tc>
        <w:tc>
          <w:tcPr>
            <w:tcW w:w="1420" w:type="dxa"/>
            <w:vAlign w:val="bottom"/>
            <w:tcBorders>
              <w:top w:val="single" w:sz="8" w:color="auto"/>
              <w:bottom w:val="single" w:sz="8" w:color="auto"/>
            </w:tcBorders>
            <w:shd w:val="clear" w:color="auto" w:fill="CFF0FC"/>
          </w:tcPr>
          <w:p>
            <w:pPr>
              <w:spacing w:after="0"/>
              <w:rPr>
                <w:sz w:val="22"/>
                <w:szCs w:val="22"/>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174,114</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-967105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-949960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-350520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-333375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-24765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-7620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jc w:val="both"/>
        <w:ind w:right="120" w:firstLine="761"/>
        <w:spacing w:after="0" w:line="246" w:lineRule="auto"/>
        <w:rPr>
          <w:sz w:val="20"/>
          <w:szCs w:val="20"/>
          <w:color w:val="auto"/>
        </w:rPr>
      </w:pPr>
      <w:r>
        <w:rPr>
          <w:rFonts w:ascii="Arial" w:cs="Arial" w:eastAsia="Arial" w:hAnsi="Arial"/>
          <w:sz w:val="18"/>
          <w:szCs w:val="18"/>
          <w:color w:val="auto"/>
        </w:rPr>
        <w:t>The Company recognized $9.2 million, $10.5 million, and $11.2 million of stock-based compensation expense related to RSUs for the years ended December 31, 2023 and 2022, respectively. As of December 31, 2023 and 2022, the Company had $12.1 million and $18.2 million, respectively, of unrecognized stock-based compensation expense that is expected to be recognized over a weighted-average period of 1.6 and 1.9 years, respectively.</w:t>
      </w:r>
    </w:p>
    <w:p>
      <w:pPr>
        <w:spacing w:after="0" w:line="163" w:lineRule="exact"/>
        <w:rPr>
          <w:sz w:val="20"/>
          <w:szCs w:val="20"/>
          <w:color w:val="auto"/>
        </w:rPr>
      </w:pPr>
    </w:p>
    <w:p>
      <w:pPr>
        <w:ind w:firstLine="761"/>
        <w:spacing w:after="0" w:line="239" w:lineRule="auto"/>
        <w:rPr>
          <w:sz w:val="20"/>
          <w:szCs w:val="20"/>
          <w:color w:val="auto"/>
        </w:rPr>
      </w:pPr>
      <w:r>
        <w:rPr>
          <w:rFonts w:ascii="Arial" w:cs="Arial" w:eastAsia="Arial" w:hAnsi="Arial"/>
          <w:sz w:val="18"/>
          <w:szCs w:val="18"/>
          <w:color w:val="auto"/>
        </w:rPr>
        <w:t>On May 9, 2022, 15,000 RSUs having a grant date fair value of $86.40 per share were granted to the CEO and on May, 20, 2022, an aggregate of 39,875 RSUs having a grant date fair value of $116.00 per share were granted to certain members of the management team. On July 25, 2022, 1,750 RSUs having a grant date fair value of $131.20 per share were granted to a member of the management team. The RSUs were issued under the 2020 Plan and will vest on the third anniversary of the grant date, subject to continued employment through that date. The vesting of the RSUs will accelerate in one-third increments if the Company's common stock achieves a closing price at or above $600.00 per share for twenty consecutive trading days during the three-year vesting period; a closing price at or above $1,200.00 per share for twenty consecutive trading days in the second or third years of the vesting period; and a closing price at or above $1,680.00 per share for twenty consecutive trading days during the third year of the vesting period. As of December 31, 2023, the accelerated vesting conditions were not met.</w:t>
      </w:r>
    </w:p>
    <w:p>
      <w:pPr>
        <w:spacing w:after="0" w:line="168" w:lineRule="exact"/>
        <w:rPr>
          <w:sz w:val="20"/>
          <w:szCs w:val="20"/>
          <w:color w:val="auto"/>
        </w:rPr>
      </w:pPr>
    </w:p>
    <w:p>
      <w:pPr>
        <w:ind w:right="200" w:firstLine="761"/>
        <w:spacing w:after="0" w:line="271" w:lineRule="auto"/>
        <w:rPr>
          <w:sz w:val="20"/>
          <w:szCs w:val="20"/>
          <w:color w:val="auto"/>
        </w:rPr>
      </w:pPr>
      <w:r>
        <w:rPr>
          <w:rFonts w:ascii="Arial" w:cs="Arial" w:eastAsia="Arial" w:hAnsi="Arial"/>
          <w:sz w:val="18"/>
          <w:szCs w:val="18"/>
          <w:color w:val="auto"/>
        </w:rPr>
        <w:t>Certain of the Company’s RSU grants are subject to acceleration upon a change of control and termination within 12 months, and upon death, disability, retirement and certain “good leaver” circumstances.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Financial Instruments and Fair Value Measurements</w:t>
      </w:r>
    </w:p>
    <w:p>
      <w:pPr>
        <w:spacing w:after="0" w:line="198" w:lineRule="exact"/>
        <w:rPr>
          <w:sz w:val="20"/>
          <w:szCs w:val="20"/>
          <w:color w:val="auto"/>
        </w:rPr>
      </w:pPr>
    </w:p>
    <w:p>
      <w:pPr>
        <w:ind w:right="20" w:firstLine="761"/>
        <w:spacing w:after="0" w:line="243"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3" w:lineRule="exact"/>
        <w:rPr>
          <w:sz w:val="20"/>
          <w:szCs w:val="20"/>
          <w:color w:val="auto"/>
        </w:rPr>
      </w:pPr>
    </w:p>
    <w:p>
      <w:pPr>
        <w:jc w:val="both"/>
        <w:ind w:left="760" w:right="140"/>
        <w:spacing w:after="0" w:line="252" w:lineRule="auto"/>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63" w:lineRule="exact"/>
        <w:rPr>
          <w:sz w:val="20"/>
          <w:szCs w:val="20"/>
          <w:color w:val="auto"/>
        </w:rPr>
      </w:pPr>
    </w:p>
    <w:p>
      <w:pPr>
        <w:ind w:left="760" w:right="100"/>
        <w:spacing w:after="0" w:line="27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96" w:lineRule="exact"/>
        <w:rPr>
          <w:sz w:val="20"/>
          <w:szCs w:val="20"/>
          <w:color w:val="auto"/>
        </w:rPr>
      </w:pPr>
    </w:p>
    <w:p>
      <w:pPr>
        <w:ind w:right="160" w:firstLine="761"/>
        <w:spacing w:after="0" w:line="252" w:lineRule="auto"/>
        <w:rPr>
          <w:sz w:val="20"/>
          <w:szCs w:val="20"/>
          <w:color w:val="auto"/>
        </w:rPr>
      </w:pPr>
      <w:r>
        <w:rPr>
          <w:rFonts w:ascii="Arial" w:cs="Arial" w:eastAsia="Arial" w:hAnsi="Arial"/>
          <w:sz w:val="18"/>
          <w:szCs w:val="18"/>
          <w:color w:val="auto"/>
        </w:rPr>
        <w:t>The Company holds certain financial assets that are required to be measured at fair value on a recurring basis. Additionally, the Company elected the fair value option for the financial assets and liabilities of UACC’s consolidated CFEs, beneficial interests in the 2022-1 securitization transaction, certain of UACC’s finance receivables that are ineligible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to be sold as of the Acquisition Date, and certain other finance receivables.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p>
    <w:p>
      <w:pPr>
        <w:spacing w:after="0" w:line="157" w:lineRule="exact"/>
        <w:rPr>
          <w:sz w:val="20"/>
          <w:szCs w:val="20"/>
          <w:color w:val="auto"/>
        </w:rPr>
      </w:pPr>
    </w:p>
    <w:p>
      <w:pPr>
        <w:ind w:right="920" w:firstLine="761"/>
        <w:spacing w:after="0" w:line="271" w:lineRule="auto"/>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As of December 31, 2023</w:t>
            </w: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2"/>
        </w:trPr>
        <w:tc>
          <w:tcPr>
            <w:tcW w:w="5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CFE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316,998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316,998</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Finance receivables at fair value</w:t>
            </w:r>
          </w:p>
        </w:tc>
        <w:tc>
          <w:tcPr>
            <w:tcW w:w="2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31,672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31,672</w:t>
            </w:r>
          </w:p>
        </w:tc>
      </w:tr>
      <w:tr>
        <w:trPr>
          <w:trHeight w:val="22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Beneficial interests in securitizations</w:t>
            </w: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4,485</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4,485</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4,485</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348,670</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353,235</w:t>
            </w: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CFE liabilities: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Securitization debt of consolidated VIEs</w:t>
            </w: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314,095</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314,095</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314,095</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314,095</w:t>
            </w: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98"/>
        </w:trPr>
        <w:tc>
          <w:tcPr>
            <w:tcW w:w="5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As of December 31, 2022</w:t>
            </w: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182"/>
        </w:trPr>
        <w:tc>
          <w:tcPr>
            <w:tcW w:w="5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23"/>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Assets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182,687</w:t>
            </w:r>
          </w:p>
        </w:tc>
        <w:tc>
          <w:tcPr>
            <w:tcW w:w="3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182,687</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CFE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77,904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77,904</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Finance receivables at fair value</w:t>
            </w:r>
          </w:p>
        </w:tc>
        <w:tc>
          <w:tcPr>
            <w:tcW w:w="2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75,270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75,270</w:t>
            </w:r>
          </w:p>
        </w:tc>
      </w:tr>
      <w:tr>
        <w:trPr>
          <w:trHeight w:val="229"/>
        </w:trPr>
        <w:tc>
          <w:tcPr>
            <w:tcW w:w="5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Beneficial interests in securitizations</w:t>
            </w: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20,592</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20,592</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 financial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182,687</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20,592</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153,174</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356,453</w:t>
            </w: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8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CFE liabilities: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Securitization debt of consolidated VIEs</w:t>
            </w:r>
          </w:p>
        </w:tc>
        <w:tc>
          <w:tcPr>
            <w:tcW w:w="2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79,829</w:t>
            </w:r>
          </w:p>
        </w:tc>
        <w:tc>
          <w:tcPr>
            <w:tcW w:w="1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79,829</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Total financial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79,829</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79,829</w:t>
            </w:r>
          </w:p>
        </w:tc>
      </w:tr>
      <w:tr>
        <w:trPr>
          <w:trHeight w:val="20"/>
        </w:trPr>
        <w:tc>
          <w:tcPr>
            <w:tcW w:w="5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-3013075</wp:posOffset>
            </wp:positionV>
            <wp:extent cx="857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-3013075</wp:posOffset>
            </wp:positionV>
            <wp:extent cx="857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-3013075</wp:posOffset>
            </wp:positionV>
            <wp:extent cx="857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-2397125</wp:posOffset>
            </wp:positionV>
            <wp:extent cx="857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-2397125</wp:posOffset>
            </wp:positionV>
            <wp:extent cx="857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-2397125</wp:posOffset>
            </wp:positionV>
            <wp:extent cx="857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-795655</wp:posOffset>
            </wp:positionV>
            <wp:extent cx="857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-795655</wp:posOffset>
            </wp:positionV>
            <wp:extent cx="857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-795655</wp:posOffset>
            </wp:positionV>
            <wp:extent cx="857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-179070</wp:posOffset>
            </wp:positionV>
            <wp:extent cx="857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-179070</wp:posOffset>
            </wp:positionV>
            <wp:extent cx="857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-179070</wp:posOffset>
            </wp:positionV>
            <wp:extent cx="857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of Financial Instruments Measured at Fair Value on a Recurring Basis</w:t>
      </w:r>
    </w:p>
    <w:p>
      <w:pPr>
        <w:spacing w:after="0" w:line="196" w:lineRule="exact"/>
        <w:rPr>
          <w:sz w:val="20"/>
          <w:szCs w:val="20"/>
          <w:color w:val="auto"/>
        </w:rPr>
      </w:pPr>
    </w:p>
    <w:p>
      <w:pPr>
        <w:ind w:right="440" w:firstLine="749"/>
        <w:spacing w:after="0" w:line="252" w:lineRule="auto"/>
        <w:rPr>
          <w:sz w:val="20"/>
          <w:szCs w:val="20"/>
          <w:color w:val="auto"/>
        </w:rPr>
      </w:pPr>
      <w:r>
        <w:rPr>
          <w:rFonts w:ascii="Arial" w:cs="Arial" w:eastAsia="Arial" w:hAnsi="Arial"/>
          <w:sz w:val="18"/>
          <w:szCs w:val="18"/>
          <w:color w:val="auto"/>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spacing w:after="0" w:line="157" w:lineRule="exact"/>
        <w:rPr>
          <w:sz w:val="20"/>
          <w:szCs w:val="20"/>
          <w:color w:val="auto"/>
        </w:rPr>
      </w:pPr>
    </w:p>
    <w:p>
      <w:pPr>
        <w:ind w:right="40" w:firstLine="749"/>
        <w:spacing w:after="0" w:line="252"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Money market funds primarily consist of investments in highly liquid U.S. treasury securities, with original</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of three months or less and are classified as Level 1. The Company determines the fair value of cash equivalents based on quoted prices in active markets.</w:t>
      </w:r>
    </w:p>
    <w:p>
      <w:pPr>
        <w:spacing w:after="0" w:line="157" w:lineRule="exact"/>
        <w:rPr>
          <w:sz w:val="20"/>
          <w:szCs w:val="20"/>
          <w:color w:val="auto"/>
        </w:rPr>
      </w:pPr>
    </w:p>
    <w:p>
      <w:pPr>
        <w:ind w:right="240" w:firstLine="749"/>
        <w:spacing w:after="0" w:line="271" w:lineRule="auto"/>
        <w:rPr>
          <w:sz w:val="20"/>
          <w:szCs w:val="20"/>
          <w:color w:val="auto"/>
        </w:rPr>
      </w:pPr>
      <w:r>
        <w:rPr>
          <w:rFonts w:ascii="Arial" w:cs="Arial" w:eastAsia="Arial" w:hAnsi="Arial"/>
          <w:sz w:val="18"/>
          <w:szCs w:val="18"/>
          <w:i w:val="1"/>
          <w:iCs w:val="1"/>
          <w:color w:val="auto"/>
        </w:rPr>
        <w:t xml:space="preserve">Financial assets and liabilities of CFEs: </w:t>
      </w:r>
      <w:r>
        <w:rPr>
          <w:rFonts w:ascii="Arial" w:cs="Arial" w:eastAsia="Arial" w:hAnsi="Arial"/>
          <w:sz w:val="18"/>
          <w:szCs w:val="18"/>
          <w:color w:val="auto"/>
        </w:rPr>
        <w:t>The Company elected the fair value option for the assets and liabilities of its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VIEs related to securitization transactions that were deemed to be CFEs.</w:t>
      </w:r>
    </w:p>
    <w:p>
      <w:pPr>
        <w:spacing w:after="0" w:line="139" w:lineRule="exact"/>
        <w:rPr>
          <w:sz w:val="20"/>
          <w:szCs w:val="20"/>
          <w:color w:val="auto"/>
        </w:rPr>
      </w:pPr>
    </w:p>
    <w:p>
      <w:pPr>
        <w:ind w:right="380" w:firstLine="749"/>
        <w:spacing w:after="0" w:line="252" w:lineRule="auto"/>
        <w:rPr>
          <w:sz w:val="20"/>
          <w:szCs w:val="20"/>
          <w:color w:val="auto"/>
        </w:rPr>
      </w:pPr>
      <w:r>
        <w:rPr>
          <w:rFonts w:ascii="Arial" w:cs="Arial" w:eastAsia="Arial" w:hAnsi="Arial"/>
          <w:sz w:val="18"/>
          <w:szCs w:val="18"/>
          <w:color w:val="auto"/>
        </w:rPr>
        <w:t>In accordance with ASC 825, the Company has elected the fair value option, for the eligible financial assets and liabilities of the 2021-1, 2022-2, and 2023-1 consolidated CFEs in order to mitigate potential accounting mismatches between the carrying value of the financial assets and liabilities. To eliminate potential measurement differences, the</w:t>
      </w:r>
    </w:p>
    <w:p>
      <w:pPr>
        <w:sectPr>
          <w:pgSz w:w="11900" w:h="16838" w:orient="portrait"/>
          <w:cols w:equalWidth="0" w:num="1">
            <w:col w:w="11240"/>
          </w:cols>
          <w:pgMar w:left="320" w:top="768" w:right="339"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jc w:val="both"/>
        <w:ind w:right="260"/>
        <w:spacing w:after="0" w:line="246" w:lineRule="auto"/>
        <w:rPr>
          <w:sz w:val="20"/>
          <w:szCs w:val="20"/>
          <w:color w:val="auto"/>
        </w:rPr>
      </w:pPr>
      <w:r>
        <w:rPr>
          <w:rFonts w:ascii="Arial" w:cs="Arial" w:eastAsia="Arial" w:hAnsi="Arial"/>
          <w:sz w:val="18"/>
          <w:szCs w:val="18"/>
          <w:color w:val="auto"/>
        </w:rPr>
        <w:t>Company elected the measurement alternative included in ASU 2014-13, allowing the Company to measure both the financial assets and liabilities of a qualifying CFE using the fair value of either the CFE’s financial assets or liabilities, whichever is more observable. Under the measurement alternative prescribed by ASU 2014-13, the Company recognizes changes in the CFE’s net assets, including changes in fair value adjustments and net interest earned, in its consolidated statements of operations.</w:t>
      </w:r>
    </w:p>
    <w:p>
      <w:pPr>
        <w:spacing w:after="0" w:line="163"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spacing w:after="0" w:line="169"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classified the securitization debt as Level 3 of the fair value hierarchy.</w:t>
      </w:r>
    </w:p>
    <w:p>
      <w:pPr>
        <w:spacing w:after="0" w:line="171" w:lineRule="exact"/>
        <w:rPr>
          <w:sz w:val="20"/>
          <w:szCs w:val="20"/>
          <w:color w:val="auto"/>
        </w:rPr>
      </w:pPr>
    </w:p>
    <w:p>
      <w:pPr>
        <w:ind w:right="680" w:firstLine="749"/>
        <w:spacing w:after="0" w:line="302" w:lineRule="auto"/>
        <w:rPr>
          <w:sz w:val="20"/>
          <w:szCs w:val="20"/>
          <w:color w:val="auto"/>
        </w:rPr>
      </w:pPr>
      <w:r>
        <w:rPr>
          <w:rFonts w:ascii="Arial" w:cs="Arial" w:eastAsia="Arial" w:hAnsi="Arial"/>
          <w:sz w:val="18"/>
          <w:szCs w:val="18"/>
          <w:color w:val="auto"/>
        </w:rPr>
        <w:t>The financial assets of the consolidated CFEs are an aggregate value derived from the fair value of the CFEs liabilities. The Company determined that CFEs finance receivables in their entirety should be classified as Level 3 of the fair value hierarchy.</w:t>
      </w:r>
    </w:p>
    <w:p>
      <w:pPr>
        <w:spacing w:after="0" w:line="126"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i w:val="1"/>
          <w:iCs w:val="1"/>
          <w:color w:val="auto"/>
        </w:rPr>
        <w:t xml:space="preserve">Finance receivables at fair value: </w:t>
      </w:r>
      <w:r>
        <w:rPr>
          <w:rFonts w:ascii="Arial" w:cs="Arial" w:eastAsia="Arial" w:hAnsi="Arial"/>
          <w:sz w:val="18"/>
          <w:szCs w:val="18"/>
          <w:color w:val="auto"/>
        </w:rPr>
        <w:t>Finance receivables at fair value represent finance receivables for which the Company elected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option in accordance with ASC 825. These receivables primarily relate to finance receivables that the Company does not intend to sell in the immediate future due to various factors such as: delinquencies, bankruptcy, etc. The Company estimates the fair value of these receivables using a discounted cash flow model and incorporates key inputs that include performance rate, default rate, recovery rate, and weighted average coupon rates, as well as certain macroeconomics events the Company believes market participants would consider relevant.</w:t>
      </w:r>
    </w:p>
    <w:p>
      <w:pPr>
        <w:spacing w:after="0" w:line="169" w:lineRule="exact"/>
        <w:rPr>
          <w:sz w:val="20"/>
          <w:szCs w:val="20"/>
          <w:color w:val="auto"/>
        </w:rPr>
      </w:pPr>
    </w:p>
    <w:p>
      <w:pPr>
        <w:ind w:right="240" w:firstLine="749"/>
        <w:spacing w:after="0" w:line="246" w:lineRule="auto"/>
        <w:rPr>
          <w:sz w:val="20"/>
          <w:szCs w:val="20"/>
          <w:color w:val="auto"/>
        </w:rPr>
      </w:pPr>
      <w:r>
        <w:rPr>
          <w:rFonts w:ascii="Arial" w:cs="Arial" w:eastAsia="Arial" w:hAnsi="Arial"/>
          <w:sz w:val="18"/>
          <w:szCs w:val="18"/>
          <w:i w:val="1"/>
          <w:iCs w:val="1"/>
          <w:color w:val="auto"/>
        </w:rPr>
        <w:t xml:space="preserve">Beneficial interests in securitization: </w:t>
      </w:r>
      <w:r>
        <w:rPr>
          <w:rFonts w:ascii="Arial" w:cs="Arial" w:eastAsia="Arial" w:hAnsi="Arial"/>
          <w:sz w:val="18"/>
          <w:szCs w:val="18"/>
          <w:color w:val="auto"/>
        </w:rPr>
        <w:t>Beneficial interests in securitization relate to the 2022-1 securitization completed in February</w:t>
      </w:r>
      <w:r>
        <w:rPr>
          <w:rFonts w:ascii="Arial" w:cs="Arial" w:eastAsia="Arial" w:hAnsi="Arial"/>
          <w:sz w:val="18"/>
          <w:szCs w:val="18"/>
          <w:i w:val="1"/>
          <w:iCs w:val="1"/>
          <w:color w:val="auto"/>
        </w:rPr>
        <w:t xml:space="preserve"> </w:t>
      </w:r>
      <w:r>
        <w:rPr>
          <w:rFonts w:ascii="Arial" w:cs="Arial" w:eastAsia="Arial" w:hAnsi="Arial"/>
          <w:sz w:val="18"/>
          <w:szCs w:val="18"/>
          <w:color w:val="auto"/>
        </w:rPr>
        <w:t>2022 and include rated notes as well as certificates. The beneficial interests in the 2022-2 securitization completed in July 2022 were eliminated upon consolidation of the VIE in March 2023. Refer to Note 4 – Variable Interest Entities and Securitizations. The Company elected the fair value option on its beneficial interests in securitization.</w:t>
      </w:r>
    </w:p>
    <w:p>
      <w:pPr>
        <w:spacing w:after="0" w:line="163"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color w:val="auto"/>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weighted average coupons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Company has multiple quotes that are not within a consensus range of each other, the Company deems these securities to be classified as Level 3 of the fair value hierarchy.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a reconciliation of the financial assets, which were measured at fair value on a recurring basis using</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Level 3 inputs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Finance Receivables of</w:t>
            </w:r>
          </w:p>
        </w:tc>
        <w:tc>
          <w:tcPr>
            <w:tcW w:w="120" w:type="dxa"/>
            <w:vAlign w:val="bottom"/>
          </w:tcPr>
          <w:p>
            <w:pPr>
              <w:spacing w:after="0"/>
              <w:rPr>
                <w:sz w:val="14"/>
                <w:szCs w:val="14"/>
                <w:color w:val="auto"/>
              </w:rPr>
            </w:pPr>
          </w:p>
        </w:tc>
        <w:tc>
          <w:tcPr>
            <w:tcW w:w="23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Finance Receivables at Fair</w:t>
            </w:r>
          </w:p>
        </w:tc>
        <w:tc>
          <w:tcPr>
            <w:tcW w:w="0" w:type="dxa"/>
            <w:vAlign w:val="bottom"/>
          </w:tcPr>
          <w:p>
            <w:pPr>
              <w:spacing w:after="0"/>
              <w:rPr>
                <w:sz w:val="1"/>
                <w:szCs w:val="1"/>
                <w:color w:val="auto"/>
              </w:rPr>
            </w:pPr>
          </w:p>
        </w:tc>
      </w:tr>
      <w:tr>
        <w:trPr>
          <w:trHeight w:val="185"/>
        </w:trPr>
        <w:tc>
          <w:tcPr>
            <w:tcW w:w="5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2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Consolidated CFEs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as of January 1, 2023</w:t>
            </w: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416"/>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77,904</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340" w:type="dxa"/>
            <w:vAlign w:val="bottom"/>
            <w:gridSpan w:val="5"/>
          </w:tcPr>
          <w:p>
            <w:pPr>
              <w:ind w:left="20"/>
              <w:spacing w:after="0" w:line="197" w:lineRule="exact"/>
              <w:rPr>
                <w:sz w:val="20"/>
                <w:szCs w:val="20"/>
                <w:color w:val="auto"/>
              </w:rPr>
            </w:pPr>
            <w:r>
              <w:rPr>
                <w:rFonts w:ascii="Arial" w:cs="Arial" w:eastAsia="Arial" w:hAnsi="Arial"/>
                <w:sz w:val="18"/>
                <w:szCs w:val="18"/>
                <w:color w:val="auto"/>
              </w:rPr>
              <w:t>Reclassification of finance receivables held for sale to finance receivables at</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26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248,081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Transfer within Level 3 categories</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(23,338 )</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Consolidation of VIEs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180,706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Losses included in other income</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(86,331 )</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(1,683 )</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Issuances, net of discount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Paydowns</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(151,032 )</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(23,716 )</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Fair value as of December 31, 2023</w:t>
            </w:r>
          </w:p>
        </w:tc>
        <w:tc>
          <w:tcPr>
            <w:tcW w:w="1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ind w:right="416"/>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316,998</w:t>
            </w:r>
          </w:p>
        </w:tc>
        <w:tc>
          <w:tcPr>
            <w:tcW w:w="1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31,672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5260" w:type="dxa"/>
            <w:vAlign w:val="bottom"/>
          </w:tcPr>
          <w:p>
            <w:pPr>
              <w:spacing w:after="0"/>
              <w:rPr>
                <w:sz w:val="24"/>
                <w:szCs w:val="24"/>
                <w:color w:val="auto"/>
              </w:rPr>
            </w:pPr>
          </w:p>
        </w:tc>
        <w:tc>
          <w:tcPr>
            <w:tcW w:w="20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Finance Receivables of</w:t>
            </w:r>
          </w:p>
        </w:tc>
        <w:tc>
          <w:tcPr>
            <w:tcW w:w="20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Finance Receivables at</w:t>
            </w:r>
          </w:p>
        </w:tc>
        <w:tc>
          <w:tcPr>
            <w:tcW w:w="120" w:type="dxa"/>
            <w:vAlign w:val="bottom"/>
          </w:tcPr>
          <w:p>
            <w:pPr>
              <w:spacing w:after="0"/>
              <w:rPr>
                <w:sz w:val="24"/>
                <w:szCs w:val="24"/>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Securitization Debt of</w:t>
            </w:r>
          </w:p>
        </w:tc>
        <w:tc>
          <w:tcPr>
            <w:tcW w:w="0" w:type="dxa"/>
            <w:vAlign w:val="bottom"/>
          </w:tcPr>
          <w:p>
            <w:pPr>
              <w:spacing w:after="0"/>
              <w:rPr>
                <w:sz w:val="1"/>
                <w:szCs w:val="1"/>
                <w:color w:val="auto"/>
              </w:rPr>
            </w:pPr>
          </w:p>
        </w:tc>
      </w:tr>
      <w:tr>
        <w:trPr>
          <w:trHeight w:val="185"/>
        </w:trPr>
        <w:tc>
          <w:tcPr>
            <w:tcW w:w="5260" w:type="dxa"/>
            <w:vAlign w:val="bottom"/>
            <w:vMerge w:val="restart"/>
          </w:tcPr>
          <w:p>
            <w:pPr>
              <w:ind w:left="20"/>
              <w:spacing w:after="0"/>
              <w:rPr>
                <w:sz w:val="20"/>
                <w:szCs w:val="20"/>
                <w:color w:val="auto"/>
              </w:rPr>
            </w:pPr>
            <w:r>
              <w:rPr>
                <w:rFonts w:ascii="Arial" w:cs="Arial" w:eastAsia="Arial" w:hAnsi="Arial"/>
                <w:sz w:val="18"/>
                <w:szCs w:val="18"/>
                <w:color w:val="auto"/>
              </w:rPr>
              <w:t>Fair value as of January 1, 2022</w:t>
            </w:r>
          </w:p>
        </w:tc>
        <w:tc>
          <w:tcPr>
            <w:tcW w:w="180" w:type="dxa"/>
            <w:vAlign w:val="bottom"/>
          </w:tcPr>
          <w:p>
            <w:pPr>
              <w:spacing w:after="0"/>
              <w:rPr>
                <w:sz w:val="16"/>
                <w:szCs w:val="16"/>
                <w:color w:val="auto"/>
              </w:rPr>
            </w:pPr>
          </w:p>
        </w:tc>
        <w:tc>
          <w:tcPr>
            <w:tcW w:w="19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Consolidated CFEs</w:t>
            </w:r>
          </w:p>
        </w:tc>
        <w:tc>
          <w:tcPr>
            <w:tcW w:w="3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Consolidated CFEs</w:t>
            </w:r>
          </w:p>
        </w:tc>
        <w:tc>
          <w:tcPr>
            <w:tcW w:w="0" w:type="dxa"/>
            <w:vAlign w:val="bottom"/>
          </w:tcPr>
          <w:p>
            <w:pPr>
              <w:spacing w:after="0"/>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Acquired in business combination</w:t>
            </w:r>
          </w:p>
        </w:tc>
        <w:tc>
          <w:tcPr>
            <w:tcW w:w="18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262,644</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34,283</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Transfer out of Level 3</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(275,394 )</w:t>
            </w: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Transfer within Level 3 categories</w:t>
            </w:r>
          </w:p>
        </w:tc>
        <w:tc>
          <w:tcPr>
            <w:tcW w:w="18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(51,330 )</w:t>
            </w:r>
          </w:p>
        </w:tc>
        <w:tc>
          <w:tcPr>
            <w:tcW w:w="34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51,330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Losses included in other income</w:t>
            </w:r>
          </w:p>
        </w:tc>
        <w:tc>
          <w:tcPr>
            <w:tcW w:w="180" w:type="dxa"/>
            <w:vAlign w:val="bottom"/>
          </w:tcPr>
          <w:p>
            <w:pPr>
              <w:spacing w:after="0"/>
              <w:rPr>
                <w:sz w:val="19"/>
                <w:szCs w:val="19"/>
                <w:color w:val="auto"/>
              </w:rPr>
            </w:pPr>
          </w:p>
        </w:tc>
        <w:tc>
          <w:tcPr>
            <w:tcW w:w="1900" w:type="dxa"/>
            <w:vAlign w:val="bottom"/>
            <w:gridSpan w:val="3"/>
          </w:tcPr>
          <w:p>
            <w:pPr>
              <w:jc w:val="right"/>
              <w:ind w:right="200"/>
              <w:spacing w:after="0"/>
              <w:rPr>
                <w:sz w:val="20"/>
                <w:szCs w:val="20"/>
                <w:color w:val="auto"/>
              </w:rPr>
            </w:pPr>
            <w:r>
              <w:rPr>
                <w:rFonts w:ascii="Arial" w:cs="Arial" w:eastAsia="Arial" w:hAnsi="Arial"/>
                <w:sz w:val="18"/>
                <w:szCs w:val="18"/>
                <w:color w:val="auto"/>
              </w:rPr>
              <w:t>(29,825 )</w:t>
            </w:r>
          </w:p>
        </w:tc>
        <w:tc>
          <w:tcPr>
            <w:tcW w:w="340" w:type="dxa"/>
            <w:vAlign w:val="bottom"/>
          </w:tcPr>
          <w:p>
            <w:pPr>
              <w:spacing w:after="0"/>
              <w:rPr>
                <w:sz w:val="19"/>
                <w:szCs w:val="19"/>
                <w:color w:val="auto"/>
              </w:rPr>
            </w:pPr>
          </w:p>
        </w:tc>
        <w:tc>
          <w:tcPr>
            <w:tcW w:w="1680" w:type="dxa"/>
            <w:vAlign w:val="bottom"/>
            <w:gridSpan w:val="5"/>
          </w:tcPr>
          <w:p>
            <w:pPr>
              <w:jc w:val="right"/>
              <w:ind w:right="180"/>
              <w:spacing w:after="0"/>
              <w:rPr>
                <w:sz w:val="20"/>
                <w:szCs w:val="20"/>
                <w:color w:val="auto"/>
              </w:rPr>
            </w:pPr>
            <w:r>
              <w:rPr>
                <w:rFonts w:ascii="Arial" w:cs="Arial" w:eastAsia="Arial" w:hAnsi="Arial"/>
                <w:sz w:val="18"/>
                <w:szCs w:val="18"/>
                <w:color w:val="auto"/>
              </w:rPr>
              <w:t>(14,388 )</w:t>
            </w:r>
          </w:p>
        </w:tc>
        <w:tc>
          <w:tcPr>
            <w:tcW w:w="12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Issuances, net of discount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4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56,484</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Sales</w:t>
            </w:r>
          </w:p>
        </w:tc>
        <w:tc>
          <w:tcPr>
            <w:tcW w:w="180" w:type="dxa"/>
            <w:vAlign w:val="bottom"/>
          </w:tcPr>
          <w:p>
            <w:pPr>
              <w:spacing w:after="0"/>
              <w:rPr>
                <w:sz w:val="19"/>
                <w:szCs w:val="19"/>
                <w:color w:val="auto"/>
              </w:rPr>
            </w:pPr>
          </w:p>
        </w:tc>
        <w:tc>
          <w:tcPr>
            <w:tcW w:w="1900" w:type="dxa"/>
            <w:vAlign w:val="bottom"/>
            <w:gridSpan w:val="3"/>
          </w:tcPr>
          <w:p>
            <w:pPr>
              <w:jc w:val="right"/>
              <w:ind w:right="200"/>
              <w:spacing w:after="0"/>
              <w:rPr>
                <w:sz w:val="20"/>
                <w:szCs w:val="20"/>
                <w:color w:val="auto"/>
              </w:rPr>
            </w:pPr>
            <w:r>
              <w:rPr>
                <w:rFonts w:ascii="Arial" w:cs="Arial" w:eastAsia="Arial" w:hAnsi="Arial"/>
                <w:sz w:val="18"/>
                <w:szCs w:val="18"/>
                <w:color w:val="auto"/>
              </w:rPr>
              <w:t>(24,312 )</w:t>
            </w:r>
          </w:p>
        </w:tc>
        <w:tc>
          <w:tcPr>
            <w:tcW w:w="340" w:type="dxa"/>
            <w:vAlign w:val="bottom"/>
          </w:tcPr>
          <w:p>
            <w:pPr>
              <w:spacing w:after="0"/>
              <w:rPr>
                <w:sz w:val="19"/>
                <w:szCs w:val="19"/>
                <w:color w:val="auto"/>
              </w:rPr>
            </w:pPr>
          </w:p>
        </w:tc>
        <w:tc>
          <w:tcPr>
            <w:tcW w:w="1680" w:type="dxa"/>
            <w:vAlign w:val="bottom"/>
            <w:gridSpan w:val="5"/>
          </w:tcPr>
          <w:p>
            <w:pPr>
              <w:jc w:val="right"/>
              <w:ind w:right="180"/>
              <w:spacing w:after="0"/>
              <w:rPr>
                <w:sz w:val="20"/>
                <w:szCs w:val="20"/>
                <w:color w:val="auto"/>
              </w:rPr>
            </w:pPr>
            <w:r>
              <w:rPr>
                <w:rFonts w:ascii="Arial" w:cs="Arial" w:eastAsia="Arial" w:hAnsi="Arial"/>
                <w:sz w:val="18"/>
                <w:szCs w:val="18"/>
                <w:color w:val="auto"/>
              </w:rPr>
              <w:t>(14,114 )</w:t>
            </w:r>
          </w:p>
        </w:tc>
        <w:tc>
          <w:tcPr>
            <w:tcW w:w="120" w:type="dxa"/>
            <w:vAlign w:val="bottom"/>
          </w:tcPr>
          <w:p>
            <w:pPr>
              <w:spacing w:after="0"/>
              <w:rPr>
                <w:sz w:val="19"/>
                <w:szCs w:val="19"/>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Paydowns</w:t>
            </w:r>
          </w:p>
        </w:tc>
        <w:tc>
          <w:tcPr>
            <w:tcW w:w="180" w:type="dxa"/>
            <w:vAlign w:val="bottom"/>
            <w:shd w:val="clear" w:color="auto" w:fill="CFF0FC"/>
          </w:tcPr>
          <w:p>
            <w:pPr>
              <w:spacing w:after="0"/>
              <w:rPr>
                <w:sz w:val="19"/>
                <w:szCs w:val="19"/>
                <w:color w:val="auto"/>
              </w:rPr>
            </w:pPr>
          </w:p>
        </w:tc>
        <w:tc>
          <w:tcPr>
            <w:tcW w:w="190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(90,410 )</w:t>
            </w:r>
          </w:p>
        </w:tc>
        <w:tc>
          <w:tcPr>
            <w:tcW w:w="340" w:type="dxa"/>
            <w:vAlign w:val="bottom"/>
            <w:shd w:val="clear" w:color="auto" w:fill="CFF0FC"/>
          </w:tcPr>
          <w:p>
            <w:pPr>
              <w:spacing w:after="0"/>
              <w:rPr>
                <w:sz w:val="19"/>
                <w:szCs w:val="19"/>
                <w:color w:val="auto"/>
              </w:rPr>
            </w:pPr>
          </w:p>
        </w:tc>
        <w:tc>
          <w:tcPr>
            <w:tcW w:w="1680" w:type="dxa"/>
            <w:vAlign w:val="bottom"/>
            <w:gridSpan w:val="5"/>
            <w:shd w:val="clear" w:color="auto" w:fill="CFF0FC"/>
          </w:tcPr>
          <w:p>
            <w:pPr>
              <w:jc w:val="right"/>
              <w:ind w:right="180"/>
              <w:spacing w:after="0"/>
              <w:rPr>
                <w:sz w:val="20"/>
                <w:szCs w:val="20"/>
                <w:color w:val="auto"/>
              </w:rPr>
            </w:pPr>
            <w:r>
              <w:rPr>
                <w:rFonts w:ascii="Arial" w:cs="Arial" w:eastAsia="Arial" w:hAnsi="Arial"/>
                <w:sz w:val="18"/>
                <w:szCs w:val="18"/>
                <w:color w:val="auto"/>
              </w:rPr>
              <w:t>(41,980 )</w:t>
            </w:r>
          </w:p>
        </w:tc>
        <w:tc>
          <w:tcPr>
            <w:tcW w:w="1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11,137</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3,655</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Fair value as of December 31, 2022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77,904</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75,270</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-1874520</wp:posOffset>
            </wp:positionV>
            <wp:extent cx="768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-1857375</wp:posOffset>
            </wp:positionV>
            <wp:extent cx="768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-1874520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-1857375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-24765</wp:posOffset>
            </wp:positionV>
            <wp:extent cx="7683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-7620</wp:posOffset>
            </wp:positionV>
            <wp:extent cx="76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-24765</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320" w:firstLine="764"/>
        <w:spacing w:after="0" w:line="252" w:lineRule="auto"/>
        <w:rPr>
          <w:sz w:val="20"/>
          <w:szCs w:val="20"/>
          <w:color w:val="auto"/>
        </w:rPr>
      </w:pPr>
      <w:r>
        <w:rPr>
          <w:rFonts w:ascii="Arial" w:cs="Arial" w:eastAsia="Arial" w:hAnsi="Arial"/>
          <w:sz w:val="18"/>
          <w:szCs w:val="18"/>
          <w:color w:val="auto"/>
        </w:rPr>
        <w:t>During the year ended December 31, 2023, $180.7 million of finance receivables related to the 2022-2 securitization transaction were consolidated and classified as Level 3 and $248.1 million of finance receivables held for sale related to the 2023-1 securitization transaction were reclassified to Level 3 finance receivables of consolidated CFEs.</w:t>
      </w:r>
    </w:p>
    <w:p>
      <w:pPr>
        <w:spacing w:after="0" w:line="157" w:lineRule="exact"/>
        <w:rPr>
          <w:sz w:val="20"/>
          <w:szCs w:val="20"/>
          <w:color w:val="auto"/>
        </w:rPr>
      </w:pPr>
    </w:p>
    <w:p>
      <w:pPr>
        <w:ind w:right="100" w:firstLine="764"/>
        <w:spacing w:after="0" w:line="271" w:lineRule="auto"/>
        <w:rPr>
          <w:sz w:val="20"/>
          <w:szCs w:val="20"/>
          <w:color w:val="auto"/>
        </w:rPr>
      </w:pPr>
      <w:r>
        <w:rPr>
          <w:rFonts w:ascii="Arial" w:cs="Arial" w:eastAsia="Arial" w:hAnsi="Arial"/>
          <w:sz w:val="18"/>
          <w:szCs w:val="18"/>
          <w:color w:val="auto"/>
        </w:rPr>
        <w:t>The Company's transfers between levels of the fair value hierarchy are assumed to have occurred at the beginning of the reporting period on a quarterly basis, except for assets and liabilities acquired during the prior period as described below.</w:t>
      </w:r>
    </w:p>
    <w:p>
      <w:pPr>
        <w:spacing w:after="0" w:line="139" w:lineRule="exact"/>
        <w:rPr>
          <w:sz w:val="20"/>
          <w:szCs w:val="20"/>
          <w:color w:val="auto"/>
        </w:rPr>
      </w:pPr>
    </w:p>
    <w:p>
      <w:pPr>
        <w:ind w:right="60" w:firstLine="764"/>
        <w:spacing w:after="0" w:line="243" w:lineRule="auto"/>
        <w:rPr>
          <w:sz w:val="20"/>
          <w:szCs w:val="20"/>
          <w:color w:val="auto"/>
        </w:rPr>
      </w:pPr>
      <w:r>
        <w:rPr>
          <w:rFonts w:ascii="Arial" w:cs="Arial" w:eastAsia="Arial" w:hAnsi="Arial"/>
          <w:sz w:val="18"/>
          <w:szCs w:val="18"/>
          <w:color w:val="auto"/>
        </w:rPr>
        <w:t>During the year ended December 31, 2022, transfers out of Level 3 liabilities related to securitization debt of consolidated CFEs. The transfer out of Level 3 was the result of achieving consensus pricing from third -party broker dealers who utilize market observable inputs to price the liabilities. Upon acquisition, the Company utilized unobservable pricing information and an internal discounted cash flows model to value the CFEs liabilities. The Company obtained consensus broker dealers quotes as of December 31, 2022. For the CFEs liabilities acquired during the period, the transfer was presumed to occur immediately after the Acquisition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Relevant Data for Financial Assets and Liabilities for which FVO Was Elected</w:t>
      </w:r>
    </w:p>
    <w:p>
      <w:pPr>
        <w:spacing w:after="0" w:line="196"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color w:val="auto"/>
        </w:rPr>
        <w:t>The following table presents the gains or losses recorded in "Other loss (income), net" in the consolidated statements of operations related to the eligible financial instruments for which the fair value option was elected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20" w:type="dxa"/>
            <w:vAlign w:val="bottom"/>
          </w:tcPr>
          <w:p>
            <w:pPr>
              <w:spacing w:after="0"/>
              <w:rPr>
                <w:sz w:val="16"/>
                <w:szCs w:val="16"/>
                <w:color w:val="auto"/>
              </w:rPr>
            </w:pPr>
          </w:p>
        </w:tc>
        <w:tc>
          <w:tcPr>
            <w:tcW w:w="318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8"/>
        </w:trPr>
        <w:tc>
          <w:tcPr>
            <w:tcW w:w="73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4"/>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Assets</w:t>
            </w: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320" w:type="dxa"/>
            <w:vAlign w:val="bottom"/>
          </w:tcPr>
          <w:p>
            <w:pPr>
              <w:ind w:left="280"/>
              <w:spacing w:after="0"/>
              <w:rPr>
                <w:sz w:val="20"/>
                <w:szCs w:val="20"/>
                <w:color w:val="auto"/>
              </w:rPr>
            </w:pPr>
            <w:r>
              <w:rPr>
                <w:rFonts w:ascii="Arial" w:cs="Arial" w:eastAsia="Arial" w:hAnsi="Arial"/>
                <w:sz w:val="18"/>
                <w:szCs w:val="18"/>
                <w:color w:val="auto"/>
              </w:rPr>
              <w:t>Finance receivables of CFEs</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75,064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24,231</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Finance receivables at fair value</w:t>
            </w:r>
          </w:p>
        </w:tc>
        <w:tc>
          <w:tcPr>
            <w:tcW w:w="1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(2,103 )</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280"/>
              <w:spacing w:after="0"/>
              <w:rPr>
                <w:sz w:val="20"/>
                <w:szCs w:val="20"/>
                <w:color w:val="auto"/>
              </w:rPr>
            </w:pPr>
            <w:r>
              <w:rPr>
                <w:rFonts w:ascii="Arial" w:cs="Arial" w:eastAsia="Arial" w:hAnsi="Arial"/>
                <w:sz w:val="18"/>
                <w:szCs w:val="18"/>
                <w:color w:val="auto"/>
              </w:rPr>
              <w:t>Beneficial interests in securitizations</w:t>
            </w: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9"/>
                <w:szCs w:val="19"/>
                <w:color w:val="auto"/>
              </w:rPr>
            </w:pPr>
          </w:p>
        </w:tc>
      </w:tr>
      <w:tr>
        <w:trPr>
          <w:trHeight w:val="22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Financial Liabilities</w:t>
            </w:r>
          </w:p>
        </w:tc>
        <w:tc>
          <w:tcPr>
            <w:tcW w:w="1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Debt of securitized VIEs</w:t>
            </w:r>
          </w:p>
        </w:tc>
        <w:tc>
          <w:tcPr>
            <w:tcW w:w="1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(5,635 )</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(2,727 )</w:t>
            </w:r>
          </w:p>
        </w:tc>
      </w:tr>
      <w:tr>
        <w:trPr>
          <w:trHeight w:val="26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net loss included in "Other loss (income), net"</w:t>
            </w:r>
          </w:p>
        </w:tc>
        <w:tc>
          <w:tcPr>
            <w:tcW w:w="1140" w:type="dxa"/>
            <w:vAlign w:val="bottom"/>
            <w:tcBorders>
              <w:top w:val="single" w:sz="8" w:color="auto"/>
              <w:bottom w:val="single" w:sz="8" w:color="auto"/>
            </w:tcBorders>
            <w:shd w:val="clear" w:color="auto" w:fill="CFF0FC"/>
          </w:tcPr>
          <w:p>
            <w:pPr>
              <w:jc w:val="right"/>
              <w:ind w:right="939"/>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68,429</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top w:val="single" w:sz="8" w:color="auto"/>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34,277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5784850</wp:posOffset>
            </wp:positionH>
            <wp:positionV relativeFrom="paragraph">
              <wp:posOffset>-24765</wp:posOffset>
            </wp:positionV>
            <wp:extent cx="768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5784850</wp:posOffset>
            </wp:positionH>
            <wp:positionV relativeFrom="paragraph">
              <wp:posOffset>-7620</wp:posOffset>
            </wp:positionV>
            <wp:extent cx="768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other relevant data related to the finance receivables carried at fair value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Finance Receivables of CFEs at</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Finance Receivables at</w:t>
            </w:r>
          </w:p>
        </w:tc>
      </w:tr>
      <w:tr>
        <w:trPr>
          <w:trHeight w:val="185"/>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6740" w:type="dxa"/>
            <w:vAlign w:val="bottom"/>
            <w:tcBorders>
              <w:top w:val="single" w:sz="8" w:color="auto"/>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Aggregate unpaid principal balance included within finance receivables that are</w:t>
            </w:r>
          </w:p>
        </w:tc>
        <w:tc>
          <w:tcPr>
            <w:tcW w:w="1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at fair value</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361,609</w:t>
            </w:r>
          </w:p>
        </w:tc>
        <w:tc>
          <w:tcPr>
            <w:tcW w:w="6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36,207</w:t>
            </w:r>
          </w:p>
        </w:tc>
        <w:tc>
          <w:tcPr>
            <w:tcW w:w="100" w:type="dxa"/>
            <w:vAlign w:val="bottom"/>
            <w:shd w:val="clear" w:color="auto" w:fill="CCEEFF"/>
          </w:tcPr>
          <w:p>
            <w:pPr>
              <w:spacing w:after="0"/>
              <w:rPr>
                <w:sz w:val="20"/>
                <w:szCs w:val="20"/>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Aggregate fair value of finance receivables that are reported at fair value</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316,998</w:t>
            </w:r>
          </w:p>
        </w:tc>
        <w:tc>
          <w:tcPr>
            <w:tcW w:w="680" w:type="dxa"/>
            <w:vAlign w:val="bottom"/>
            <w:gridSpan w:val="3"/>
          </w:tcPr>
          <w:p>
            <w:pPr>
              <w:jc w:val="right"/>
              <w:ind w:right="148"/>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31,672</w:t>
            </w:r>
          </w:p>
        </w:tc>
        <w:tc>
          <w:tcPr>
            <w:tcW w:w="100" w:type="dxa"/>
            <w:vAlign w:val="bottom"/>
          </w:tcPr>
          <w:p>
            <w:pPr>
              <w:spacing w:after="0"/>
              <w:rPr>
                <w:sz w:val="19"/>
                <w:szCs w:val="19"/>
                <w:color w:val="auto"/>
              </w:rPr>
            </w:pPr>
          </w:p>
        </w:tc>
      </w:tr>
      <w:tr>
        <w:trPr>
          <w:trHeight w:val="197"/>
        </w:trPr>
        <w:tc>
          <w:tcPr>
            <w:tcW w:w="6740" w:type="dxa"/>
            <w:vAlign w:val="bottom"/>
            <w:shd w:val="clear" w:color="auto" w:fill="CCEEFF"/>
          </w:tcPr>
          <w:p>
            <w:pPr>
              <w:ind w:left="20"/>
              <w:spacing w:after="0" w:line="197" w:lineRule="exact"/>
              <w:rPr>
                <w:sz w:val="20"/>
                <w:szCs w:val="20"/>
                <w:color w:val="auto"/>
              </w:rPr>
            </w:pPr>
            <w:r>
              <w:rPr>
                <w:rFonts w:ascii="Arial" w:cs="Arial" w:eastAsia="Arial" w:hAnsi="Arial"/>
                <w:sz w:val="18"/>
                <w:szCs w:val="18"/>
                <w:color w:val="auto"/>
              </w:rPr>
              <w:t>Unpaid principal balance of receivables within finance receivables that are reported</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fair value and are on nonaccrual status (90 days or more past due)</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6,700</w:t>
            </w:r>
          </w:p>
        </w:tc>
        <w:tc>
          <w:tcPr>
            <w:tcW w:w="6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20"/>
                <w:szCs w:val="20"/>
                <w:color w:val="auto"/>
              </w:rPr>
            </w:pPr>
          </w:p>
        </w:tc>
      </w:tr>
      <w:tr>
        <w:trPr>
          <w:trHeight w:val="197"/>
        </w:trPr>
        <w:tc>
          <w:tcPr>
            <w:tcW w:w="6740" w:type="dxa"/>
            <w:vAlign w:val="bottom"/>
          </w:tcPr>
          <w:p>
            <w:pPr>
              <w:ind w:left="20"/>
              <w:spacing w:after="0" w:line="197" w:lineRule="exact"/>
              <w:rPr>
                <w:sz w:val="20"/>
                <w:szCs w:val="20"/>
                <w:color w:val="auto"/>
              </w:rPr>
            </w:pPr>
            <w:r>
              <w:rPr>
                <w:rFonts w:ascii="Arial" w:cs="Arial" w:eastAsia="Arial" w:hAnsi="Arial"/>
                <w:sz w:val="18"/>
                <w:szCs w:val="18"/>
                <w:color w:val="auto"/>
                <w:w w:val="99"/>
              </w:rPr>
              <w:t>Aggregate fair value of receivables carried at fair value that are on nonaccrual status</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6740" w:type="dxa"/>
            <w:vAlign w:val="bottom"/>
          </w:tcPr>
          <w:p>
            <w:pPr>
              <w:ind w:left="20"/>
              <w:spacing w:after="0"/>
              <w:rPr>
                <w:sz w:val="20"/>
                <w:szCs w:val="20"/>
                <w:color w:val="auto"/>
              </w:rPr>
            </w:pPr>
            <w:r>
              <w:rPr>
                <w:rFonts w:ascii="Arial" w:cs="Arial" w:eastAsia="Arial" w:hAnsi="Arial"/>
                <w:sz w:val="18"/>
                <w:szCs w:val="18"/>
                <w:color w:val="auto"/>
              </w:rPr>
              <w:t>(90 days or more past due)</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5,921</w:t>
            </w:r>
          </w:p>
        </w:tc>
        <w:tc>
          <w:tcPr>
            <w:tcW w:w="680" w:type="dxa"/>
            <w:vAlign w:val="bottom"/>
            <w:gridSpan w:val="3"/>
          </w:tcPr>
          <w:p>
            <w:pPr>
              <w:jc w:val="right"/>
              <w:ind w:right="148"/>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r>
      <w:tr>
        <w:trPr>
          <w:trHeight w:val="364"/>
        </w:trPr>
        <w:tc>
          <w:tcPr>
            <w:tcW w:w="6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Finance Receivables of CFEs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Finance Receivables at</w:t>
            </w:r>
          </w:p>
        </w:tc>
      </w:tr>
      <w:tr>
        <w:trPr>
          <w:trHeight w:val="185"/>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at Fair Value</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6740" w:type="dxa"/>
            <w:vAlign w:val="bottom"/>
            <w:tcBorders>
              <w:top w:val="single" w:sz="8" w:color="auto"/>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Aggregate unpaid principal balance included within finance receivables that are</w:t>
            </w:r>
          </w:p>
        </w:tc>
        <w:tc>
          <w:tcPr>
            <w:tcW w:w="1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at fair value</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84,477</w:t>
            </w:r>
          </w:p>
        </w:tc>
        <w:tc>
          <w:tcPr>
            <w:tcW w:w="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89,068</w:t>
            </w:r>
          </w:p>
        </w:tc>
        <w:tc>
          <w:tcPr>
            <w:tcW w:w="100" w:type="dxa"/>
            <w:vAlign w:val="bottom"/>
            <w:shd w:val="clear" w:color="auto" w:fill="CCEEFF"/>
          </w:tcPr>
          <w:p>
            <w:pPr>
              <w:spacing w:after="0"/>
              <w:rPr>
                <w:sz w:val="20"/>
                <w:szCs w:val="20"/>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color w:val="auto"/>
              </w:rPr>
              <w:t>Aggregate fair value of finance receivables that are reported at fair value</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77,904</w:t>
            </w:r>
          </w:p>
        </w:tc>
        <w:tc>
          <w:tcPr>
            <w:tcW w:w="60" w:type="dxa"/>
            <w:vAlign w:val="bottom"/>
          </w:tcPr>
          <w:p>
            <w:pPr>
              <w:spacing w:after="0"/>
              <w:rPr>
                <w:sz w:val="19"/>
                <w:szCs w:val="19"/>
                <w:color w:val="auto"/>
              </w:rPr>
            </w:pPr>
          </w:p>
        </w:tc>
        <w:tc>
          <w:tcPr>
            <w:tcW w:w="6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75,270</w:t>
            </w:r>
          </w:p>
        </w:tc>
        <w:tc>
          <w:tcPr>
            <w:tcW w:w="100" w:type="dxa"/>
            <w:vAlign w:val="bottom"/>
          </w:tcPr>
          <w:p>
            <w:pPr>
              <w:spacing w:after="0"/>
              <w:rPr>
                <w:sz w:val="19"/>
                <w:szCs w:val="19"/>
                <w:color w:val="auto"/>
              </w:rPr>
            </w:pPr>
          </w:p>
        </w:tc>
      </w:tr>
      <w:tr>
        <w:trPr>
          <w:trHeight w:val="197"/>
        </w:trPr>
        <w:tc>
          <w:tcPr>
            <w:tcW w:w="6740" w:type="dxa"/>
            <w:vAlign w:val="bottom"/>
            <w:shd w:val="clear" w:color="auto" w:fill="CCEEFF"/>
          </w:tcPr>
          <w:p>
            <w:pPr>
              <w:ind w:left="20"/>
              <w:spacing w:after="0" w:line="197" w:lineRule="exact"/>
              <w:rPr>
                <w:sz w:val="20"/>
                <w:szCs w:val="20"/>
                <w:color w:val="auto"/>
              </w:rPr>
            </w:pPr>
            <w:r>
              <w:rPr>
                <w:rFonts w:ascii="Arial" w:cs="Arial" w:eastAsia="Arial" w:hAnsi="Arial"/>
                <w:sz w:val="18"/>
                <w:szCs w:val="18"/>
                <w:color w:val="auto"/>
              </w:rPr>
              <w:t>Unpaid principal balance of receivables within finance receivables that are reported</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5"/>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fair value and are on nonaccrual status (90 days or more past due)</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60" w:type="dxa"/>
            <w:vAlign w:val="bottom"/>
            <w:shd w:val="clear" w:color="auto" w:fill="CCEEFF"/>
          </w:tcPr>
          <w:p>
            <w:pPr>
              <w:spacing w:after="0"/>
              <w:rPr>
                <w:sz w:val="20"/>
                <w:szCs w:val="20"/>
                <w:color w:val="auto"/>
              </w:rPr>
            </w:pPr>
          </w:p>
        </w:tc>
        <w:tc>
          <w:tcPr>
            <w:tcW w:w="6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CCEEFF"/>
          </w:tcPr>
          <w:p>
            <w:pPr>
              <w:spacing w:after="0"/>
              <w:rPr>
                <w:sz w:val="20"/>
                <w:szCs w:val="20"/>
                <w:color w:val="auto"/>
              </w:rPr>
            </w:pPr>
          </w:p>
        </w:tc>
      </w:tr>
      <w:tr>
        <w:trPr>
          <w:trHeight w:val="197"/>
        </w:trPr>
        <w:tc>
          <w:tcPr>
            <w:tcW w:w="6740" w:type="dxa"/>
            <w:vAlign w:val="bottom"/>
          </w:tcPr>
          <w:p>
            <w:pPr>
              <w:ind w:left="20"/>
              <w:spacing w:after="0" w:line="197" w:lineRule="exact"/>
              <w:rPr>
                <w:sz w:val="20"/>
                <w:szCs w:val="20"/>
                <w:color w:val="auto"/>
              </w:rPr>
            </w:pPr>
            <w:r>
              <w:rPr>
                <w:rFonts w:ascii="Arial" w:cs="Arial" w:eastAsia="Arial" w:hAnsi="Arial"/>
                <w:sz w:val="18"/>
                <w:szCs w:val="18"/>
                <w:color w:val="auto"/>
                <w:w w:val="99"/>
              </w:rPr>
              <w:t>Aggregate fair value of receivables carried at fair value that are on nonaccrual status</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6740" w:type="dxa"/>
            <w:vAlign w:val="bottom"/>
          </w:tcPr>
          <w:p>
            <w:pPr>
              <w:ind w:left="20"/>
              <w:spacing w:after="0"/>
              <w:rPr>
                <w:sz w:val="20"/>
                <w:szCs w:val="20"/>
                <w:color w:val="auto"/>
              </w:rPr>
            </w:pPr>
            <w:r>
              <w:rPr>
                <w:rFonts w:ascii="Arial" w:cs="Arial" w:eastAsia="Arial" w:hAnsi="Arial"/>
                <w:sz w:val="18"/>
                <w:szCs w:val="18"/>
                <w:color w:val="auto"/>
              </w:rPr>
              <w:t>(90 days or more past due)</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985</w:t>
            </w:r>
          </w:p>
        </w:tc>
        <w:tc>
          <w:tcPr>
            <w:tcW w:w="60" w:type="dxa"/>
            <w:vAlign w:val="bottom"/>
          </w:tcPr>
          <w:p>
            <w:pPr>
              <w:spacing w:after="0"/>
              <w:rPr>
                <w:sz w:val="20"/>
                <w:szCs w:val="20"/>
                <w:color w:val="auto"/>
              </w:rPr>
            </w:pPr>
          </w:p>
        </w:tc>
        <w:tc>
          <w:tcPr>
            <w:tcW w:w="6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finance receivables of CFEs are pledged to the CFEs trusts.</w:t>
      </w:r>
    </w:p>
    <w:p>
      <w:pPr>
        <w:spacing w:after="0" w:line="198" w:lineRule="exact"/>
        <w:rPr>
          <w:sz w:val="20"/>
          <w:szCs w:val="20"/>
          <w:color w:val="auto"/>
        </w:rPr>
      </w:pPr>
    </w:p>
    <w:p>
      <w:pPr>
        <w:ind w:right="880" w:firstLine="749"/>
        <w:spacing w:after="0" w:line="271" w:lineRule="auto"/>
        <w:rPr>
          <w:sz w:val="20"/>
          <w:szCs w:val="20"/>
          <w:color w:val="auto"/>
        </w:rPr>
      </w:pPr>
      <w:r>
        <w:rPr>
          <w:rFonts w:ascii="Arial" w:cs="Arial" w:eastAsia="Arial" w:hAnsi="Arial"/>
          <w:sz w:val="18"/>
          <w:szCs w:val="18"/>
          <w:color w:val="auto"/>
        </w:rPr>
        <w:t>The following table presents other relevant data related to securitization debt of consolidated VIEs carried at fair value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Securitization debt of consolidated</w:t>
            </w:r>
          </w:p>
        </w:tc>
      </w:tr>
      <w:tr>
        <w:trPr>
          <w:trHeight w:val="185"/>
        </w:trPr>
        <w:tc>
          <w:tcPr>
            <w:tcW w:w="8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 December 31, 2023</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VIEs at Fair Value</w:t>
            </w:r>
          </w:p>
        </w:tc>
        <w:tc>
          <w:tcPr>
            <w:tcW w:w="100" w:type="dxa"/>
            <w:vAlign w:val="bottom"/>
          </w:tcPr>
          <w:p>
            <w:pPr>
              <w:spacing w:after="0"/>
              <w:rPr>
                <w:sz w:val="16"/>
                <w:szCs w:val="16"/>
                <w:color w:val="auto"/>
              </w:rPr>
            </w:pPr>
          </w:p>
        </w:tc>
      </w:tr>
      <w:tr>
        <w:trPr>
          <w:trHeight w:val="223"/>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Aggregate unpaid principal balance of rated notes of securitized VIEs</w:t>
            </w:r>
          </w:p>
        </w:tc>
        <w:tc>
          <w:tcPr>
            <w:tcW w:w="5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318,085</w:t>
            </w:r>
          </w:p>
        </w:tc>
        <w:tc>
          <w:tcPr>
            <w:tcW w:w="100" w:type="dxa"/>
            <w:vAlign w:val="bottom"/>
            <w:shd w:val="clear" w:color="auto" w:fill="CCEEFF"/>
          </w:tcPr>
          <w:p>
            <w:pPr>
              <w:spacing w:after="0"/>
              <w:rPr>
                <w:sz w:val="19"/>
                <w:szCs w:val="19"/>
                <w:color w:val="auto"/>
              </w:rPr>
            </w:pPr>
          </w:p>
        </w:tc>
      </w:tr>
      <w:tr>
        <w:trPr>
          <w:trHeight w:val="23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Aggregate fair value of rated notes of securitized VIEs</w:t>
            </w:r>
          </w:p>
        </w:tc>
        <w:tc>
          <w:tcPr>
            <w:tcW w:w="5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314,095</w:t>
            </w:r>
          </w:p>
        </w:tc>
        <w:tc>
          <w:tcPr>
            <w:tcW w:w="100" w:type="dxa"/>
            <w:vAlign w:val="bottom"/>
          </w:tcPr>
          <w:p>
            <w:pPr>
              <w:spacing w:after="0"/>
              <w:rPr>
                <w:sz w:val="20"/>
                <w:szCs w:val="20"/>
                <w:color w:val="auto"/>
              </w:rPr>
            </w:pPr>
          </w:p>
        </w:tc>
      </w:tr>
      <w:tr>
        <w:trPr>
          <w:trHeight w:val="359"/>
        </w:trPr>
        <w:tc>
          <w:tcPr>
            <w:tcW w:w="8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Securitization debt of consolidated</w:t>
            </w:r>
          </w:p>
        </w:tc>
      </w:tr>
      <w:tr>
        <w:trPr>
          <w:trHeight w:val="185"/>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VIEs at Fair Value</w:t>
            </w:r>
          </w:p>
        </w:tc>
        <w:tc>
          <w:tcPr>
            <w:tcW w:w="100" w:type="dxa"/>
            <w:vAlign w:val="bottom"/>
          </w:tcPr>
          <w:p>
            <w:pPr>
              <w:spacing w:after="0"/>
              <w:rPr>
                <w:sz w:val="16"/>
                <w:szCs w:val="16"/>
                <w:color w:val="auto"/>
              </w:rPr>
            </w:pPr>
          </w:p>
        </w:tc>
      </w:tr>
      <w:tr>
        <w:trPr>
          <w:trHeight w:val="223"/>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Aggregate unpaid principal balance of rated notes of securitized VIEs</w:t>
            </w:r>
          </w:p>
        </w:tc>
        <w:tc>
          <w:tcPr>
            <w:tcW w:w="5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82,556</w:t>
            </w:r>
          </w:p>
        </w:tc>
        <w:tc>
          <w:tcPr>
            <w:tcW w:w="100" w:type="dxa"/>
            <w:vAlign w:val="bottom"/>
            <w:shd w:val="clear" w:color="auto" w:fill="CCEEFF"/>
          </w:tcPr>
          <w:p>
            <w:pPr>
              <w:spacing w:after="0"/>
              <w:rPr>
                <w:sz w:val="19"/>
                <w:szCs w:val="19"/>
                <w:color w:val="auto"/>
              </w:rPr>
            </w:pPr>
          </w:p>
        </w:tc>
      </w:tr>
      <w:tr>
        <w:trPr>
          <w:trHeight w:val="239"/>
        </w:trPr>
        <w:tc>
          <w:tcPr>
            <w:tcW w:w="8460" w:type="dxa"/>
            <w:vAlign w:val="bottom"/>
            <w:gridSpan w:val="2"/>
          </w:tcPr>
          <w:p>
            <w:pPr>
              <w:ind w:left="20"/>
              <w:spacing w:after="0"/>
              <w:rPr>
                <w:sz w:val="20"/>
                <w:szCs w:val="20"/>
                <w:color w:val="auto"/>
              </w:rPr>
            </w:pPr>
            <w:r>
              <w:rPr>
                <w:rFonts w:ascii="Arial" w:cs="Arial" w:eastAsia="Arial" w:hAnsi="Arial"/>
                <w:sz w:val="18"/>
                <w:szCs w:val="18"/>
                <w:color w:val="auto"/>
              </w:rPr>
              <w:t>Aggregate fair value of rated notes of securitized VIEs</w:t>
            </w:r>
          </w:p>
        </w:tc>
        <w:tc>
          <w:tcPr>
            <w:tcW w:w="5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79,829</w:t>
            </w:r>
          </w:p>
        </w:tc>
        <w:tc>
          <w:tcPr>
            <w:tcW w:w="100" w:type="dxa"/>
            <w:vAlign w:val="bottom"/>
          </w:tcPr>
          <w:p>
            <w:pPr>
              <w:spacing w:after="0"/>
              <w:rPr>
                <w:sz w:val="20"/>
                <w:szCs w:val="20"/>
                <w:color w:val="auto"/>
              </w:rPr>
            </w:pPr>
          </w:p>
        </w:tc>
      </w:tr>
      <w:tr>
        <w:trPr>
          <w:trHeight w:val="628"/>
        </w:trPr>
        <w:tc>
          <w:tcPr>
            <w:tcW w:w="8440" w:type="dxa"/>
            <w:vAlign w:val="bottom"/>
          </w:tcPr>
          <w:p>
            <w:pPr>
              <w:ind w:left="548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1"/>
        </w:trPr>
        <w:tc>
          <w:tcPr>
            <w:tcW w:w="8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Not Carried at Fair Value</w:t>
      </w:r>
    </w:p>
    <w:p>
      <w:pPr>
        <w:spacing w:after="0" w:line="196" w:lineRule="exact"/>
        <w:rPr>
          <w:sz w:val="20"/>
          <w:szCs w:val="20"/>
          <w:color w:val="auto"/>
        </w:rPr>
      </w:pPr>
    </w:p>
    <w:p>
      <w:pPr>
        <w:ind w:firstLine="749"/>
        <w:spacing w:after="0" w:line="246" w:lineRule="auto"/>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due to their short-term nature. The carrying value of the 2022 Vehicle Floorplan Facility and the Warehouse Credit Facilities was determined to approximate fair value due to its short-term duration and variable interest rate that approximates prevailing interest rates as of each reporting period.</w:t>
      </w:r>
    </w:p>
    <w:p>
      <w:pPr>
        <w:spacing w:after="0" w:line="163" w:lineRule="exact"/>
        <w:rPr>
          <w:sz w:val="20"/>
          <w:szCs w:val="20"/>
          <w:color w:val="auto"/>
        </w:rPr>
      </w:pPr>
    </w:p>
    <w:p>
      <w:pPr>
        <w:ind w:right="80" w:firstLine="749"/>
        <w:spacing w:after="0"/>
        <w:rPr>
          <w:sz w:val="20"/>
          <w:szCs w:val="20"/>
          <w:color w:val="auto"/>
        </w:rPr>
      </w:pPr>
      <w:r>
        <w:rPr>
          <w:rFonts w:ascii="Arial" w:cs="Arial" w:eastAsia="Arial" w:hAnsi="Arial"/>
          <w:sz w:val="18"/>
          <w:szCs w:val="18"/>
          <w:i w:val="1"/>
          <w:iCs w:val="1"/>
          <w:color w:val="auto"/>
        </w:rPr>
        <w:t xml:space="preserve">Finance receivables held for sale, net: </w:t>
      </w:r>
      <w:r>
        <w:rPr>
          <w:rFonts w:ascii="Arial" w:cs="Arial" w:eastAsia="Arial" w:hAnsi="Arial"/>
          <w:sz w:val="18"/>
          <w:szCs w:val="18"/>
          <w:color w:val="auto"/>
        </w:rPr>
        <w:t>For finance receivables eligible to be sold in a securitization, the Company determines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finance receivables utilizing sales prices based on estimated securitization transactions, adjusted for transformation costs, risk and a normal profit margin associated with securitization transactions. Such fair value measurement of finance receivables held for sale, net is considered Level 3 of the fair value hierarchy. As of December 31, 2023, the Company determined that all of these finance receivables should be marked to their fair value of $468.8 million based on the results of the Company's lower of amortized cost basis or fair value analysis. As of December 31, 2022, the carrying value and fair value of the finance receivables held for sale, net were $299.2 million and $299.9 million, respectively.</w:t>
      </w:r>
    </w:p>
    <w:p>
      <w:pPr>
        <w:spacing w:after="0" w:line="169"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In addition, from time to time the Company may mark certain receivables, that are no longer eligible to be sold in a securitization, classified as held for sale to fair value on a non-recurring basis. As of December 31, 2023 and 2022, there were $34.8 million and $22.4 million of these finance receivables that were marked to fair value on a non-recurring basis, respectively. These are finance receivables that became delinquent and no longer meet the expected securitization sales criteria. The Company uses a discounted cash flow model to estimate the present value of future recoveries for finance receivables. Such fair value measurement of finance receivables held for sale, net is considered Level 3 of the fair value hierarchy.</w:t>
      </w:r>
    </w:p>
    <w:p>
      <w:pPr>
        <w:spacing w:after="0" w:line="169"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18"/>
          <w:szCs w:val="18"/>
          <w:i w:val="1"/>
          <w:iCs w:val="1"/>
          <w:color w:val="auto"/>
        </w:rPr>
        <w:t xml:space="preserve">Convertible Senior Notes: </w:t>
      </w:r>
      <w:r>
        <w:rPr>
          <w:rFonts w:ascii="Arial" w:cs="Arial" w:eastAsia="Arial" w:hAnsi="Arial"/>
          <w:sz w:val="18"/>
          <w:szCs w:val="18"/>
          <w:color w:val="auto"/>
        </w:rPr>
        <w:t>The fair value of the Notes, which are not carried at fair value on the accompanying consolidated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sheets, was determined utilizing actual bids and offer prices of the Notes in markets that are not active and are classified within Level 2 of the fair value hierarchy.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899"/>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8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6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value</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286,800</w:t>
            </w:r>
          </w:p>
        </w:tc>
        <w:tc>
          <w:tcPr>
            <w:tcW w:w="104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359,254</w:t>
            </w:r>
          </w:p>
        </w:tc>
        <w:tc>
          <w:tcPr>
            <w:tcW w:w="100" w:type="dxa"/>
            <w:vAlign w:val="bottom"/>
            <w:shd w:val="clear" w:color="auto" w:fill="CFF0FC"/>
          </w:tcPr>
          <w:p>
            <w:pPr>
              <w:spacing w:after="0"/>
              <w:rPr>
                <w:sz w:val="19"/>
                <w:szCs w:val="19"/>
                <w:color w:val="auto"/>
              </w:rPr>
            </w:pPr>
          </w:p>
        </w:tc>
      </w:tr>
      <w:tr>
        <w:trPr>
          <w:trHeight w:val="239"/>
        </w:trPr>
        <w:tc>
          <w:tcPr>
            <w:tcW w:w="6120" w:type="dxa"/>
            <w:vAlign w:val="bottom"/>
          </w:tcPr>
          <w:p>
            <w:pPr>
              <w:ind w:left="20"/>
              <w:spacing w:after="0"/>
              <w:rPr>
                <w:sz w:val="20"/>
                <w:szCs w:val="20"/>
                <w:color w:val="auto"/>
              </w:rPr>
            </w:pPr>
            <w:r>
              <w:rPr>
                <w:rFonts w:ascii="Arial" w:cs="Arial" w:eastAsia="Arial" w:hAnsi="Arial"/>
                <w:sz w:val="18"/>
                <w:szCs w:val="18"/>
                <w:color w:val="auto"/>
              </w:rPr>
              <w:t>Fair value</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152,506</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128,026</w:t>
            </w:r>
          </w:p>
        </w:tc>
        <w:tc>
          <w:tcPr>
            <w:tcW w:w="100" w:type="dxa"/>
            <w:vAlign w:val="bottom"/>
          </w:tcPr>
          <w:p>
            <w:pPr>
              <w:spacing w:after="0"/>
              <w:rPr>
                <w:sz w:val="20"/>
                <w:szCs w:val="20"/>
                <w:color w:val="auto"/>
              </w:rPr>
            </w:pPr>
          </w:p>
        </w:tc>
      </w:tr>
    </w:tbl>
    <w:p>
      <w:pPr>
        <w:spacing w:after="0" w:line="174" w:lineRule="exact"/>
        <w:rPr>
          <w:sz w:val="20"/>
          <w:szCs w:val="20"/>
          <w:color w:val="auto"/>
        </w:rPr>
      </w:pPr>
    </w:p>
    <w:p>
      <w:pPr>
        <w:jc w:val="both"/>
        <w:ind w:right="140" w:firstLine="749"/>
        <w:spacing w:after="0" w:line="252" w:lineRule="auto"/>
        <w:rPr>
          <w:sz w:val="20"/>
          <w:szCs w:val="20"/>
          <w:color w:val="auto"/>
        </w:rPr>
      </w:pPr>
      <w:r>
        <w:rPr>
          <w:rFonts w:ascii="Arial" w:cs="Arial" w:eastAsia="Arial" w:hAnsi="Arial"/>
          <w:sz w:val="18"/>
          <w:szCs w:val="18"/>
          <w:i w:val="1"/>
          <w:iCs w:val="1"/>
          <w:color w:val="auto"/>
        </w:rPr>
        <w:t xml:space="preserve">Financing of beneficial interests in securitizations: </w:t>
      </w:r>
      <w:r>
        <w:rPr>
          <w:rFonts w:ascii="Arial" w:cs="Arial" w:eastAsia="Arial" w:hAnsi="Arial"/>
          <w:sz w:val="18"/>
          <w:szCs w:val="18"/>
          <w:color w:val="auto"/>
        </w:rPr>
        <w:t>The fair value of the financing of beneficial interests in securitizations,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carried at fair value on the accompanying consolidated balance sheets, approximated their carrying value as of December 31, 2023 and are classified within Level 3 of the fair value hierarchy.</w:t>
      </w:r>
    </w:p>
    <w:p>
      <w:pPr>
        <w:spacing w:after="0" w:line="157" w:lineRule="exact"/>
        <w:rPr>
          <w:sz w:val="20"/>
          <w:szCs w:val="20"/>
          <w:color w:val="auto"/>
        </w:rPr>
      </w:pPr>
    </w:p>
    <w:p>
      <w:pPr>
        <w:ind w:right="180" w:firstLine="749"/>
        <w:spacing w:after="0" w:line="252" w:lineRule="auto"/>
        <w:rPr>
          <w:sz w:val="20"/>
          <w:szCs w:val="20"/>
          <w:color w:val="auto"/>
        </w:rPr>
      </w:pPr>
      <w:r>
        <w:rPr>
          <w:rFonts w:ascii="Arial" w:cs="Arial" w:eastAsia="Arial" w:hAnsi="Arial"/>
          <w:sz w:val="18"/>
          <w:szCs w:val="18"/>
          <w:i w:val="1"/>
          <w:iCs w:val="1"/>
          <w:color w:val="auto"/>
        </w:rPr>
        <w:t xml:space="preserve">Junior Subordinated Debentures: </w:t>
      </w:r>
      <w:r>
        <w:rPr>
          <w:rFonts w:ascii="Arial" w:cs="Arial" w:eastAsia="Arial" w:hAnsi="Arial"/>
          <w:sz w:val="18"/>
          <w:szCs w:val="18"/>
          <w:color w:val="auto"/>
        </w:rPr>
        <w:t>The fair value of the junior subordinated debentures, which are not carried at fair value on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consolidated balance sheets, approximated their carrying value as of December 31, 2023 and 2022 and are classified within Level 3 of the fair value hierarchy.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on a Nonrecurring Basis</w:t>
      </w:r>
    </w:p>
    <w:p>
      <w:pPr>
        <w:spacing w:after="0" w:line="196" w:lineRule="exact"/>
        <w:rPr>
          <w:sz w:val="20"/>
          <w:szCs w:val="20"/>
          <w:color w:val="auto"/>
        </w:rPr>
      </w:pPr>
    </w:p>
    <w:p>
      <w:pPr>
        <w:ind w:right="140" w:firstLine="749"/>
        <w:spacing w:after="0" w:line="252" w:lineRule="auto"/>
        <w:rPr>
          <w:sz w:val="20"/>
          <w:szCs w:val="20"/>
          <w:color w:val="auto"/>
        </w:rPr>
      </w:pPr>
      <w:r>
        <w:rPr>
          <w:rFonts w:ascii="Arial" w:cs="Arial" w:eastAsia="Arial" w:hAnsi="Arial"/>
          <w:sz w:val="18"/>
          <w:szCs w:val="18"/>
          <w:color w:val="auto"/>
        </w:rPr>
        <w:t>Assets and liabilities acquired as part of a business combination and goodwill attributable to each of the Company's reporting units are recorded at fair value on a nonrecurring basis. Refer to Note 5 – Acquisition and Note 8 – Goodwill and Intangible Assets for additional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 Activities</w:t>
      </w:r>
    </w:p>
    <w:p>
      <w:pPr>
        <w:spacing w:after="0" w:line="198" w:lineRule="exact"/>
        <w:rPr>
          <w:sz w:val="20"/>
          <w:szCs w:val="20"/>
          <w:color w:val="auto"/>
        </w:rPr>
      </w:pPr>
    </w:p>
    <w:p>
      <w:pPr>
        <w:ind w:right="700" w:firstLine="761"/>
        <w:spacing w:after="0" w:line="271" w:lineRule="auto"/>
        <w:rPr>
          <w:sz w:val="20"/>
          <w:szCs w:val="20"/>
          <w:color w:val="auto"/>
        </w:rPr>
      </w:pPr>
      <w:r>
        <w:rPr>
          <w:rFonts w:ascii="Arial" w:cs="Arial" w:eastAsia="Arial" w:hAnsi="Arial"/>
          <w:sz w:val="18"/>
          <w:szCs w:val="18"/>
          <w:color w:val="auto"/>
        </w:rPr>
        <w:t>On May 5, 2022, the Company approved the Realignment Plan, which was designed to position the Company for long-term profitable growth by prioritizing unit economics, reducing operating expenses and maximizing liquidity.</w:t>
      </w:r>
    </w:p>
    <w:p>
      <w:pPr>
        <w:spacing w:after="0" w:line="139" w:lineRule="exact"/>
        <w:rPr>
          <w:sz w:val="20"/>
          <w:szCs w:val="20"/>
          <w:color w:val="auto"/>
        </w:rPr>
      </w:pPr>
    </w:p>
    <w:p>
      <w:pPr>
        <w:jc w:val="both"/>
        <w:ind w:right="200" w:firstLine="761"/>
        <w:spacing w:after="0" w:line="252" w:lineRule="auto"/>
        <w:rPr>
          <w:sz w:val="20"/>
          <w:szCs w:val="20"/>
          <w:color w:val="auto"/>
        </w:rPr>
      </w:pPr>
      <w:r>
        <w:rPr>
          <w:rFonts w:ascii="Arial" w:cs="Arial" w:eastAsia="Arial" w:hAnsi="Arial"/>
          <w:sz w:val="18"/>
          <w:szCs w:val="18"/>
          <w:color w:val="auto"/>
        </w:rPr>
        <w:t>In connection with the Realignment Plan, the Company reduced headcount across the organization and closed its New York City, Detroit, and one of its Houston office locations as well as several Sell Us Your Car® center facilities. Additionally, the Company streamlined TDA's operations and closed its service center. The service center was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repurposed to replace the reconditioning facility in Stafford, Texas, which was also closed. The Company also restructured its network of logistics hubs in order to align with reduced unit volume and its regional operating model.</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restructuring activities associated with the Realignment Plan were substantially completed during 2022.</w:t>
      </w:r>
    </w:p>
    <w:p>
      <w:pPr>
        <w:spacing w:after="0" w:line="198" w:lineRule="exact"/>
        <w:rPr>
          <w:sz w:val="20"/>
          <w:szCs w:val="20"/>
          <w:color w:val="auto"/>
        </w:rPr>
      </w:pPr>
    </w:p>
    <w:p>
      <w:pPr>
        <w:ind w:firstLine="761"/>
        <w:spacing w:after="0" w:line="246" w:lineRule="auto"/>
        <w:rPr>
          <w:sz w:val="20"/>
          <w:szCs w:val="20"/>
          <w:color w:val="auto"/>
        </w:rPr>
      </w:pPr>
      <w:r>
        <w:rPr>
          <w:rFonts w:ascii="Arial" w:cs="Arial" w:eastAsia="Arial" w:hAnsi="Arial"/>
          <w:sz w:val="18"/>
          <w:szCs w:val="18"/>
          <w:color w:val="auto"/>
        </w:rPr>
        <w:t>On January 18, 2023, the Company executed a reduction-in-force as part of the continued focus on reducing variable and fixed costs. The Company reduced Vroom’s headcount by approximately 275 employees based on the assessment of the Company's business needs, key initiatives, and long-term success and profitable growth. For the year ended December 31, 2023, the Company incurred expenses of approximately $4.1 million, primarily consisting of severance.</w:t>
      </w:r>
    </w:p>
    <w:p>
      <w:pPr>
        <w:spacing w:after="0" w:line="163" w:lineRule="exact"/>
        <w:rPr>
          <w:sz w:val="20"/>
          <w:szCs w:val="20"/>
          <w:color w:val="auto"/>
        </w:rPr>
      </w:pPr>
    </w:p>
    <w:p>
      <w:pPr>
        <w:ind w:right="100" w:firstLine="749"/>
        <w:spacing w:after="0" w:line="246" w:lineRule="auto"/>
        <w:rPr>
          <w:sz w:val="20"/>
          <w:szCs w:val="20"/>
          <w:color w:val="auto"/>
        </w:rPr>
      </w:pPr>
      <w:r>
        <w:rPr>
          <w:rFonts w:ascii="Arial" w:cs="Arial" w:eastAsia="Arial" w:hAnsi="Arial"/>
          <w:sz w:val="18"/>
          <w:szCs w:val="18"/>
          <w:color w:val="auto"/>
        </w:rPr>
        <w:t>On April 26, 2023, as part of the Company’s ongoing reexamination of all facets of the business, the Company implemented an organizational restructuring that included a reduction-in-force. The Company reduced Vroom’s headcount by approximately 120 employees and incurred total expenses of approximately $2.3 million for the year ended December 31, 2023, primarily consisting of severance costs, as a result of this reduction-in-force.</w:t>
      </w:r>
    </w:p>
    <w:p>
      <w:pPr>
        <w:spacing w:after="0" w:line="16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table summarizes the components of the restructuring and related charges: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Charges Incurred to</w:t>
            </w:r>
          </w:p>
        </w:tc>
      </w:tr>
      <w:tr>
        <w:trPr>
          <w:trHeight w:val="185"/>
        </w:trPr>
        <w:tc>
          <w:tcPr>
            <w:tcW w:w="4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gridSpan w:val="2"/>
          </w:tcPr>
          <w:p>
            <w:pPr>
              <w:ind w:left="340"/>
              <w:spacing w:after="0"/>
              <w:rPr>
                <w:sz w:val="20"/>
                <w:szCs w:val="20"/>
                <w:color w:val="auto"/>
              </w:rPr>
            </w:pPr>
            <w:r>
              <w:rPr>
                <w:rFonts w:ascii="Arial" w:cs="Arial" w:eastAsia="Arial" w:hAnsi="Arial"/>
                <w:sz w:val="14"/>
                <w:szCs w:val="14"/>
                <w:b w:val="1"/>
                <w:bCs w:val="1"/>
                <w:color w:val="auto"/>
              </w:rPr>
              <w:t>Date</w:t>
            </w:r>
          </w:p>
        </w:tc>
      </w:tr>
      <w:tr>
        <w:trPr>
          <w:trHeight w:val="182"/>
        </w:trPr>
        <w:tc>
          <w:tcPr>
            <w:tcW w:w="4340" w:type="dxa"/>
            <w:vAlign w:val="bottom"/>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176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Charges by activity:</w:t>
            </w:r>
          </w:p>
        </w:tc>
        <w:tc>
          <w:tcPr>
            <w:tcW w:w="54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34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Severance and termination benefits </w:t>
            </w:r>
            <w:r>
              <w:rPr>
                <w:rFonts w:ascii="Arial" w:cs="Arial" w:eastAsia="Arial" w:hAnsi="Arial"/>
                <w:sz w:val="24"/>
                <w:szCs w:val="24"/>
                <w:color w:val="auto"/>
                <w:vertAlign w:val="superscript"/>
              </w:rPr>
              <w:t>(1)</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6,703</w:t>
            </w:r>
          </w:p>
        </w:tc>
        <w:tc>
          <w:tcPr>
            <w:tcW w:w="1040" w:type="dxa"/>
            <w:vAlign w:val="bottom"/>
            <w:gridSpan w:val="2"/>
          </w:tcPr>
          <w:p>
            <w:pPr>
              <w:jc w:val="right"/>
              <w:ind w:right="53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7,358</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14,061</w:t>
            </w:r>
          </w:p>
        </w:tc>
        <w:tc>
          <w:tcPr>
            <w:tcW w:w="100" w:type="dxa"/>
            <w:vAlign w:val="bottom"/>
          </w:tcPr>
          <w:p>
            <w:pPr>
              <w:spacing w:after="0"/>
              <w:rPr>
                <w:sz w:val="19"/>
                <w:szCs w:val="19"/>
                <w:color w:val="auto"/>
              </w:rPr>
            </w:pPr>
          </w:p>
        </w:tc>
      </w:tr>
      <w:tr>
        <w:trPr>
          <w:trHeight w:val="344"/>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24"/>
                <w:szCs w:val="24"/>
                <w:color w:val="auto"/>
                <w:vertAlign w:val="subscript"/>
              </w:rPr>
              <w:t>(2)</w:t>
            </w:r>
            <w:r>
              <w:rPr>
                <w:rFonts w:ascii="Arial" w:cs="Arial" w:eastAsia="Arial" w:hAnsi="Arial"/>
                <w:sz w:val="18"/>
                <w:szCs w:val="18"/>
                <w:color w:val="auto"/>
              </w:rPr>
              <w:t>Impairment of operating lease right-of-use assets</w:t>
            </w:r>
          </w:p>
        </w:tc>
        <w:tc>
          <w:tcPr>
            <w:tcW w:w="540" w:type="dxa"/>
            <w:vAlign w:val="bottom"/>
            <w:tcBorders>
              <w:bottom w:val="single" w:sz="8" w:color="CFF0FC"/>
            </w:tcBorders>
            <w:shd w:val="clear" w:color="auto" w:fill="CFF0FC"/>
          </w:tcPr>
          <w:p>
            <w:pPr>
              <w:spacing w:after="0"/>
              <w:rPr>
                <w:sz w:val="24"/>
                <w:szCs w:val="24"/>
                <w:color w:val="auto"/>
              </w:rPr>
            </w:pPr>
          </w:p>
        </w:tc>
        <w:tc>
          <w:tcPr>
            <w:tcW w:w="1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6,491</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9"/>
        </w:trPr>
        <w:tc>
          <w:tcPr>
            <w:tcW w:w="4340" w:type="dxa"/>
            <w:vAlign w:val="bottom"/>
          </w:tcPr>
          <w:p>
            <w:pPr>
              <w:ind w:left="180"/>
              <w:spacing w:after="0" w:line="229" w:lineRule="exact"/>
              <w:rPr>
                <w:sz w:val="20"/>
                <w:szCs w:val="20"/>
                <w:color w:val="auto"/>
              </w:rPr>
            </w:pPr>
            <w:r>
              <w:rPr>
                <w:rFonts w:ascii="Arial" w:cs="Arial" w:eastAsia="Arial" w:hAnsi="Arial"/>
                <w:sz w:val="18"/>
                <w:szCs w:val="18"/>
                <w:color w:val="auto"/>
              </w:rPr>
              <w:t xml:space="preserve">Other costs </w:t>
            </w:r>
            <w:r>
              <w:rPr>
                <w:rFonts w:ascii="Arial" w:cs="Arial" w:eastAsia="Arial" w:hAnsi="Arial"/>
                <w:sz w:val="24"/>
                <w:szCs w:val="24"/>
                <w:color w:val="auto"/>
                <w:vertAlign w:val="superscript"/>
              </w:rPr>
              <w:t>(3)</w:t>
            </w:r>
          </w:p>
        </w:tc>
        <w:tc>
          <w:tcPr>
            <w:tcW w:w="5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r>
      <w:tr>
        <w:trPr>
          <w:trHeight w:val="263"/>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restructuring and related charges</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6,703</w:t>
            </w:r>
          </w:p>
        </w:tc>
        <w:tc>
          <w:tcPr>
            <w:tcW w:w="30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15,025</w:t>
            </w:r>
          </w:p>
        </w:tc>
        <w:tc>
          <w:tcPr>
            <w:tcW w:w="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21,728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-24765</wp:posOffset>
            </wp:positionV>
            <wp:extent cx="768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-7620</wp:posOffset>
            </wp:positionV>
            <wp:extent cx="768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-24765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-7620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2" w:lineRule="exact"/>
        <w:rPr>
          <w:sz w:val="20"/>
          <w:szCs w:val="20"/>
          <w:color w:val="auto"/>
        </w:rPr>
      </w:pPr>
    </w:p>
    <w:p>
      <w:pPr>
        <w:ind w:left="940" w:hanging="172"/>
        <w:spacing w:after="0"/>
        <w:tabs>
          <w:tab w:leader="none" w:pos="9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Severance and termination costs consist of severance costs provided to employees who have been terminated as well outplacement costs and COBRA benefits.</w:t>
      </w:r>
    </w:p>
    <w:p>
      <w:pPr>
        <w:spacing w:after="0" w:line="37" w:lineRule="exact"/>
        <w:rPr>
          <w:rFonts w:ascii="Arial" w:cs="Arial" w:eastAsia="Arial" w:hAnsi="Arial"/>
          <w:sz w:val="12"/>
          <w:szCs w:val="12"/>
          <w:color w:val="auto"/>
        </w:rPr>
      </w:pPr>
    </w:p>
    <w:p>
      <w:pPr>
        <w:ind w:right="380" w:firstLine="768"/>
        <w:spacing w:after="0" w:line="304" w:lineRule="auto"/>
        <w:tabs>
          <w:tab w:leader="none" w:pos="941" w:val="left"/>
        </w:tabs>
        <w:numPr>
          <w:ilvl w:val="0"/>
          <w:numId w:val="23"/>
        </w:numPr>
        <w:rPr>
          <w:rFonts w:ascii="Arial" w:cs="Arial" w:eastAsia="Arial" w:hAnsi="Arial"/>
          <w:sz w:val="12"/>
          <w:szCs w:val="12"/>
          <w:color w:val="auto"/>
        </w:rPr>
      </w:pPr>
      <w:r>
        <w:rPr>
          <w:rFonts w:ascii="Arial" w:cs="Arial" w:eastAsia="Arial" w:hAnsi="Arial"/>
          <w:sz w:val="12"/>
          <w:szCs w:val="12"/>
          <w:color w:val="auto"/>
        </w:rPr>
        <w:t>Impairment of operating lease right-of-use assets consist of costs associated with planned facility closures that will continue to be incurred under the contract for its remaining term without economic benefit to the Company.</w:t>
      </w:r>
    </w:p>
    <w:p>
      <w:pPr>
        <w:spacing w:after="0" w:line="1" w:lineRule="exact"/>
        <w:rPr>
          <w:rFonts w:ascii="Arial" w:cs="Arial" w:eastAsia="Arial" w:hAnsi="Arial"/>
          <w:sz w:val="12"/>
          <w:szCs w:val="12"/>
          <w:color w:val="auto"/>
        </w:rPr>
      </w:pPr>
    </w:p>
    <w:p>
      <w:pPr>
        <w:ind w:left="940" w:hanging="172"/>
        <w:spacing w:after="0"/>
        <w:tabs>
          <w:tab w:leader="none" w:pos="9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Other costs incurred to date consist of legal expenses incurred in connection with the Realignment Plan and acceleration of depreciation of property and equipment related to the planned facility</w:t>
      </w:r>
    </w:p>
    <w:p>
      <w:pPr>
        <w:spacing w:after="0" w:line="3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closures.</w:t>
      </w:r>
    </w:p>
    <w:p>
      <w:pPr>
        <w:spacing w:after="0" w:line="234" w:lineRule="exact"/>
        <w:rPr>
          <w:sz w:val="20"/>
          <w:szCs w:val="20"/>
          <w:color w:val="auto"/>
        </w:rPr>
      </w:pPr>
    </w:p>
    <w:p>
      <w:pPr>
        <w:jc w:val="both"/>
        <w:ind w:right="60" w:firstLine="761"/>
        <w:spacing w:after="0" w:line="252" w:lineRule="auto"/>
        <w:rPr>
          <w:sz w:val="20"/>
          <w:szCs w:val="20"/>
          <w:color w:val="auto"/>
        </w:rPr>
      </w:pPr>
      <w:r>
        <w:rPr>
          <w:rFonts w:ascii="Arial" w:cs="Arial" w:eastAsia="Arial" w:hAnsi="Arial"/>
          <w:sz w:val="18"/>
          <w:szCs w:val="18"/>
          <w:color w:val="auto"/>
        </w:rPr>
        <w:t>Severance and termination benefits and other costs are included in "Selling, general, and administrative expenses" and impairment of operating lease right-of-use assets are included in "Impairment charges" in the consolidated statements of operations for the years ended December 31, 2023 and 2022.</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is a reconciliation of the beginning and ending restructuring liability for the years ended December 31, 2023 and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2021</w:t>
            </w:r>
          </w:p>
        </w:tc>
        <w:tc>
          <w:tcPr>
            <w:tcW w:w="1740" w:type="dxa"/>
            <w:vAlign w:val="bottom"/>
            <w:shd w:val="clear" w:color="auto" w:fill="CFF0FC"/>
          </w:tcPr>
          <w:p>
            <w:pPr>
              <w:jc w:val="right"/>
              <w:ind w:right="1550"/>
              <w:spacing w:after="0"/>
              <w:rPr>
                <w:sz w:val="20"/>
                <w:szCs w:val="20"/>
                <w:color w:val="auto"/>
              </w:rPr>
            </w:pPr>
            <w:r>
              <w:rPr>
                <w:rFonts w:ascii="Arial" w:cs="Arial" w:eastAsia="Arial" w:hAnsi="Arial"/>
                <w:sz w:val="18"/>
                <w:szCs w:val="18"/>
                <w:color w:val="auto"/>
                <w:w w:val="79"/>
              </w:rPr>
              <w:t>$</w:t>
            </w:r>
          </w:p>
        </w:tc>
        <w:tc>
          <w:tcPr>
            <w:tcW w:w="2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240" w:type="dxa"/>
            <w:vAlign w:val="bottom"/>
          </w:tcPr>
          <w:p>
            <w:pPr>
              <w:ind w:left="160"/>
              <w:spacing w:after="0"/>
              <w:rPr>
                <w:sz w:val="20"/>
                <w:szCs w:val="20"/>
                <w:color w:val="auto"/>
              </w:rPr>
            </w:pPr>
            <w:r>
              <w:rPr>
                <w:rFonts w:ascii="Arial" w:cs="Arial" w:eastAsia="Arial" w:hAnsi="Arial"/>
                <w:sz w:val="18"/>
                <w:szCs w:val="18"/>
                <w:color w:val="auto"/>
              </w:rPr>
              <w:t>Accrual and accrual adjustments</w:t>
            </w:r>
          </w:p>
        </w:tc>
        <w:tc>
          <w:tcPr>
            <w:tcW w:w="17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7,941</w:t>
            </w: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payments</w:t>
            </w:r>
          </w:p>
        </w:tc>
        <w:tc>
          <w:tcPr>
            <w:tcW w:w="1740" w:type="dxa"/>
            <w:vAlign w:val="bottom"/>
            <w:shd w:val="clear" w:color="auto" w:fill="CFF0FC"/>
          </w:tcPr>
          <w:p>
            <w:pPr>
              <w:spacing w:after="0"/>
              <w:rPr>
                <w:sz w:val="19"/>
                <w:szCs w:val="19"/>
                <w:color w:val="auto"/>
              </w:rPr>
            </w:pPr>
          </w:p>
        </w:tc>
        <w:tc>
          <w:tcPr>
            <w:tcW w:w="2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(7,131 )</w:t>
            </w:r>
          </w:p>
        </w:tc>
      </w:tr>
      <w:tr>
        <w:trPr>
          <w:trHeight w:val="223"/>
        </w:trPr>
        <w:tc>
          <w:tcPr>
            <w:tcW w:w="72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December 31, 2022</w:t>
            </w:r>
          </w:p>
        </w:tc>
        <w:tc>
          <w:tcPr>
            <w:tcW w:w="1740" w:type="dxa"/>
            <w:vAlign w:val="bottom"/>
            <w:tcBorders>
              <w:top w:val="single" w:sz="8" w:color="auto"/>
              <w:bottom w:val="single" w:sz="8" w:color="auto"/>
            </w:tcBorders>
          </w:tcPr>
          <w:p>
            <w:pPr>
              <w:jc w:val="right"/>
              <w:ind w:right="155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Borders>
              <w:top w:val="single" w:sz="8" w:color="CFF0FC"/>
            </w:tcBorders>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Accrual and accrual adjustments</w:t>
            </w:r>
          </w:p>
        </w:tc>
        <w:tc>
          <w:tcPr>
            <w:tcW w:w="1740" w:type="dxa"/>
            <w:vAlign w:val="bottom"/>
            <w:shd w:val="clear" w:color="auto" w:fill="CFF0FC"/>
          </w:tcPr>
          <w:p>
            <w:pPr>
              <w:spacing w:after="0"/>
              <w:rPr>
                <w:sz w:val="18"/>
                <w:szCs w:val="18"/>
                <w:color w:val="auto"/>
              </w:rPr>
            </w:pPr>
          </w:p>
        </w:tc>
        <w:tc>
          <w:tcPr>
            <w:tcW w:w="2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w:t>
            </w:r>
          </w:p>
        </w:tc>
        <w:tc>
          <w:tcPr>
            <w:tcW w:w="100" w:type="dxa"/>
            <w:vAlign w:val="bottom"/>
            <w:shd w:val="clear" w:color="auto" w:fill="CFF0FC"/>
          </w:tcPr>
          <w:p>
            <w:pPr>
              <w:spacing w:after="0"/>
              <w:rPr>
                <w:sz w:val="18"/>
                <w:szCs w:val="18"/>
                <w:color w:val="auto"/>
              </w:rPr>
            </w:pPr>
          </w:p>
        </w:tc>
      </w:tr>
      <w:tr>
        <w:trPr>
          <w:trHeight w:val="229"/>
        </w:trPr>
        <w:tc>
          <w:tcPr>
            <w:tcW w:w="724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1740" w:type="dxa"/>
            <w:vAlign w:val="bottom"/>
          </w:tcPr>
          <w:p>
            <w:pPr>
              <w:spacing w:after="0"/>
              <w:rPr>
                <w:sz w:val="19"/>
                <w:szCs w:val="19"/>
                <w:color w:val="auto"/>
              </w:rPr>
            </w:pPr>
          </w:p>
        </w:tc>
        <w:tc>
          <w:tcPr>
            <w:tcW w:w="2260" w:type="dxa"/>
            <w:vAlign w:val="bottom"/>
            <w:gridSpan w:val="2"/>
          </w:tcPr>
          <w:p>
            <w:pPr>
              <w:jc w:val="right"/>
              <w:ind w:right="40"/>
              <w:spacing w:after="0"/>
              <w:rPr>
                <w:sz w:val="20"/>
                <w:szCs w:val="20"/>
                <w:color w:val="auto"/>
              </w:rPr>
            </w:pPr>
            <w:r>
              <w:rPr>
                <w:rFonts w:ascii="Arial" w:cs="Arial" w:eastAsia="Arial" w:hAnsi="Arial"/>
                <w:sz w:val="18"/>
                <w:szCs w:val="18"/>
                <w:color w:val="auto"/>
              </w:rPr>
              <w:t>(7,440 )</w:t>
            </w:r>
          </w:p>
        </w:tc>
      </w:tr>
      <w:tr>
        <w:trPr>
          <w:trHeight w:val="263"/>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December 31, 2023</w:t>
            </w:r>
          </w:p>
        </w:tc>
        <w:tc>
          <w:tcPr>
            <w:tcW w:w="1740" w:type="dxa"/>
            <w:vAlign w:val="bottom"/>
            <w:tcBorders>
              <w:top w:val="single" w:sz="8" w:color="auto"/>
              <w:bottom w:val="single" w:sz="8" w:color="auto"/>
            </w:tcBorders>
            <w:shd w:val="clear" w:color="auto" w:fill="CFF0FC"/>
          </w:tcPr>
          <w:p>
            <w:pPr>
              <w:jc w:val="right"/>
              <w:ind w:right="1550"/>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-650240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400" w:firstLine="761"/>
        <w:spacing w:after="0" w:line="271" w:lineRule="auto"/>
        <w:rPr>
          <w:sz w:val="20"/>
          <w:szCs w:val="20"/>
          <w:color w:val="auto"/>
        </w:rPr>
      </w:pPr>
      <w:r>
        <w:rPr>
          <w:rFonts w:ascii="Arial" w:cs="Arial" w:eastAsia="Arial" w:hAnsi="Arial"/>
          <w:sz w:val="18"/>
          <w:szCs w:val="18"/>
          <w:color w:val="auto"/>
        </w:rPr>
        <w:t>The restructuring liability for severance and termination benefits is reflected in "Accrued Expenses" in the consolidated balance sheet as of December 31, 2023 and 2022.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Segment Information</w:t>
      </w:r>
    </w:p>
    <w:p>
      <w:pPr>
        <w:spacing w:after="0" w:line="198" w:lineRule="exact"/>
        <w:rPr>
          <w:sz w:val="20"/>
          <w:szCs w:val="20"/>
          <w:color w:val="auto"/>
        </w:rPr>
      </w:pPr>
    </w:p>
    <w:p>
      <w:pPr>
        <w:ind w:right="280" w:firstLine="761"/>
        <w:spacing w:after="0" w:line="271" w:lineRule="auto"/>
        <w:rPr>
          <w:sz w:val="20"/>
          <w:szCs w:val="20"/>
          <w:color w:val="auto"/>
        </w:rPr>
      </w:pPr>
      <w:r>
        <w:rPr>
          <w:rFonts w:ascii="Arial" w:cs="Arial" w:eastAsia="Arial" w:hAnsi="Arial"/>
          <w:sz w:val="18"/>
          <w:szCs w:val="18"/>
          <w:color w:val="auto"/>
        </w:rPr>
        <w:t>The Company has three reportable segments: Ecommerce, Wholesale, and Retail Financing. No operating segments have been aggregated to form the reportable segments.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1" w:lineRule="exact"/>
        <w:rPr>
          <w:sz w:val="20"/>
          <w:szCs w:val="20"/>
          <w:color w:val="auto"/>
        </w:rPr>
      </w:pPr>
    </w:p>
    <w:p>
      <w:pPr>
        <w:ind w:right="760" w:firstLine="761"/>
        <w:spacing w:after="0" w:line="271" w:lineRule="auto"/>
        <w:rPr>
          <w:sz w:val="20"/>
          <w:szCs w:val="20"/>
          <w:color w:val="auto"/>
        </w:rPr>
      </w:pPr>
      <w:r>
        <w:rPr>
          <w:rFonts w:ascii="Arial" w:cs="Arial" w:eastAsia="Arial" w:hAnsi="Arial"/>
          <w:sz w:val="18"/>
          <w:szCs w:val="18"/>
          <w:color w:val="auto"/>
        </w:rPr>
        <w:t>As a result of the Value Maximization Plan and the wind-down of the ecommerce operations, the Company will discontinue reporting its results through the Ecommerce and Wholesale segments starting in the first quarter of 2024.</w:t>
      </w:r>
    </w:p>
    <w:p>
      <w:pPr>
        <w:spacing w:after="0" w:line="139" w:lineRule="exact"/>
        <w:rPr>
          <w:sz w:val="20"/>
          <w:szCs w:val="20"/>
          <w:color w:val="auto"/>
        </w:rPr>
      </w:pPr>
    </w:p>
    <w:p>
      <w:pPr>
        <w:ind w:firstLine="761"/>
        <w:spacing w:after="0" w:line="243" w:lineRule="auto"/>
        <w:rPr>
          <w:sz w:val="20"/>
          <w:szCs w:val="20"/>
          <w:color w:val="auto"/>
        </w:rPr>
      </w:pPr>
      <w:r>
        <w:rPr>
          <w:rFonts w:ascii="Arial" w:cs="Arial" w:eastAsia="Arial" w:hAnsi="Arial"/>
          <w:sz w:val="18"/>
          <w:szCs w:val="18"/>
          <w:color w:val="auto"/>
        </w:rPr>
        <w:t>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enterprise-wide group basis. Accordingly, the Company does not report segment asset information. As of December 31, 2023 and 2022, long-lived assets were predominantly located in the United States.</w:t>
      </w:r>
    </w:p>
    <w:p>
      <w:pPr>
        <w:spacing w:after="0" w:line="166" w:lineRule="exact"/>
        <w:rPr>
          <w:sz w:val="20"/>
          <w:szCs w:val="20"/>
          <w:color w:val="auto"/>
        </w:rPr>
      </w:pPr>
    </w:p>
    <w:p>
      <w:pPr>
        <w:ind w:right="60" w:firstLine="761"/>
        <w:spacing w:after="0" w:line="241"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revenue earned on vehicle financing originated by UACC or the Company's third-party financing sources and sales of value-added products associated with those vehicles sales. The Wholesale reportable segment represents sales of used vehicles through wholesale channels. The Retail Financing reportable segment represents UACC’s operations with its network of third-party dealership customers, including the purchases and servicing of vehicle installment contracts. Revenues within the "All Other" category consist of retail sales of used vehicles from TDA and fees earned on sales of value-added products associated with those vehicles sales and the CarStory business.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the Company’s reportable segments are as follows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599"/>
              <w:spacing w:after="0"/>
              <w:rPr>
                <w:sz w:val="20"/>
                <w:szCs w:val="20"/>
                <w:color w:val="auto"/>
              </w:rPr>
            </w:pPr>
            <w:r>
              <w:rPr>
                <w:rFonts w:ascii="Arial" w:cs="Arial" w:eastAsia="Arial" w:hAnsi="Arial"/>
                <w:sz w:val="14"/>
                <w:szCs w:val="14"/>
                <w:b w:val="1"/>
                <w:bCs w:val="1"/>
                <w:color w:val="auto"/>
              </w:rPr>
              <w:t>Year Ended December 31, 2023</w:t>
            </w: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19"/>
              <w:spacing w:after="0" w:line="159" w:lineRule="exact"/>
              <w:rPr>
                <w:sz w:val="20"/>
                <w:szCs w:val="20"/>
                <w:color w:val="auto"/>
              </w:rPr>
            </w:pPr>
            <w:r>
              <w:rPr>
                <w:rFonts w:ascii="Arial" w:cs="Arial" w:eastAsia="Arial" w:hAnsi="Arial"/>
                <w:sz w:val="14"/>
                <w:szCs w:val="14"/>
                <w:b w:val="1"/>
                <w:bCs w:val="1"/>
                <w:color w:val="auto"/>
              </w:rPr>
              <w:t>Retail</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Ecommerce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Financing</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576,170</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104,119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156,938</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55,976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893,203</w:t>
            </w:r>
          </w:p>
        </w:tc>
        <w:tc>
          <w:tcPr>
            <w:tcW w:w="100" w:type="dxa"/>
            <w:vAlign w:val="bottom"/>
            <w:shd w:val="clear" w:color="auto" w:fill="CFF0FC"/>
          </w:tcPr>
          <w:p>
            <w:pPr>
              <w:spacing w:after="0"/>
              <w:rPr>
                <w:sz w:val="19"/>
                <w:szCs w:val="19"/>
                <w:color w:val="auto"/>
              </w:rPr>
            </w:pP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59,231</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(34,353 )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125,610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11,459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161,947</w:t>
            </w:r>
          </w:p>
        </w:tc>
        <w:tc>
          <w:tcPr>
            <w:tcW w:w="100" w:type="dxa"/>
            <w:vAlign w:val="bottom"/>
          </w:tcPr>
          <w:p>
            <w:pPr>
              <w:spacing w:after="0"/>
              <w:rPr>
                <w:sz w:val="20"/>
                <w:szCs w:val="20"/>
                <w:color w:val="auto"/>
              </w:rPr>
            </w:pPr>
          </w:p>
        </w:tc>
      </w:tr>
      <w:tr>
        <w:trPr>
          <w:trHeight w:val="449"/>
        </w:trPr>
        <w:tc>
          <w:tcPr>
            <w:tcW w:w="4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left="599"/>
              <w:spacing w:after="0"/>
              <w:rPr>
                <w:sz w:val="20"/>
                <w:szCs w:val="20"/>
                <w:color w:val="auto"/>
              </w:rPr>
            </w:pPr>
            <w:r>
              <w:rPr>
                <w:rFonts w:ascii="Arial" w:cs="Arial" w:eastAsia="Arial" w:hAnsi="Arial"/>
                <w:sz w:val="14"/>
                <w:szCs w:val="14"/>
                <w:b w:val="1"/>
                <w:bCs w:val="1"/>
                <w:color w:val="auto"/>
              </w:rPr>
              <w:t>Year Ended December 31, 2022</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4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center"/>
              <w:ind w:right="119"/>
              <w:spacing w:after="0" w:line="159" w:lineRule="exact"/>
              <w:rPr>
                <w:sz w:val="20"/>
                <w:szCs w:val="20"/>
                <w:color w:val="auto"/>
              </w:rPr>
            </w:pPr>
            <w:r>
              <w:rPr>
                <w:rFonts w:ascii="Arial" w:cs="Arial" w:eastAsia="Arial" w:hAnsi="Arial"/>
                <w:sz w:val="14"/>
                <w:szCs w:val="14"/>
                <w:b w:val="1"/>
                <w:bCs w:val="1"/>
                <w:color w:val="auto"/>
              </w:rPr>
              <w:t>Retail</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Ecommerce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Wholesale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Financing</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All Other</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 from external customers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1,364,195</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293,528</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152,542</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138,636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1,948,901</w:t>
            </w:r>
          </w:p>
        </w:tc>
        <w:tc>
          <w:tcPr>
            <w:tcW w:w="100" w:type="dxa"/>
            <w:vAlign w:val="bottom"/>
            <w:shd w:val="clear" w:color="auto" w:fill="CFF0FC"/>
          </w:tcPr>
          <w:p>
            <w:pPr>
              <w:spacing w:after="0"/>
              <w:rPr>
                <w:sz w:val="19"/>
                <w:szCs w:val="19"/>
                <w:color w:val="auto"/>
              </w:rPr>
            </w:pPr>
          </w:p>
        </w:tc>
      </w:tr>
      <w:tr>
        <w:trPr>
          <w:trHeight w:val="239"/>
        </w:trPr>
        <w:tc>
          <w:tcPr>
            <w:tcW w:w="44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99,973</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(10,620 )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138,381</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17,053</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244,787</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57" w:lineRule="exact"/>
        <w:rPr>
          <w:sz w:val="20"/>
          <w:szCs w:val="20"/>
          <w:color w:val="auto"/>
        </w:rPr>
      </w:pPr>
    </w:p>
    <w:p>
      <w:pPr>
        <w:ind w:right="200" w:firstLine="764"/>
        <w:spacing w:after="0" w:line="271" w:lineRule="auto"/>
        <w:rPr>
          <w:sz w:val="20"/>
          <w:szCs w:val="20"/>
          <w:color w:val="auto"/>
        </w:rPr>
      </w:pPr>
      <w:r>
        <w:rPr>
          <w:rFonts w:ascii="Arial" w:cs="Arial" w:eastAsia="Arial" w:hAnsi="Arial"/>
          <w:sz w:val="18"/>
          <w:szCs w:val="18"/>
          <w:color w:val="auto"/>
        </w:rPr>
        <w:t>The reconciliation between reportable segment gross profit to consolidated loss before provision for income taxes is as follows (in thousands):</w:t>
      </w:r>
    </w:p>
    <w:p>
      <w:pPr>
        <w:spacing w:after="0" w:line="203"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to consolidated total revenue</w:t>
            </w:r>
          </w:p>
        </w:tc>
        <w:tc>
          <w:tcPr>
            <w:tcW w:w="1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Total reportable segment revenue</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837,227</w:t>
            </w:r>
          </w:p>
        </w:tc>
        <w:tc>
          <w:tcPr>
            <w:tcW w:w="3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1,810,265</w:t>
            </w:r>
          </w:p>
        </w:tc>
        <w:tc>
          <w:tcPr>
            <w:tcW w:w="100" w:type="dxa"/>
            <w:vAlign w:val="bottom"/>
          </w:tcPr>
          <w:p>
            <w:pPr>
              <w:spacing w:after="0"/>
              <w:rPr>
                <w:sz w:val="19"/>
                <w:szCs w:val="19"/>
                <w:color w:val="auto"/>
              </w:rPr>
            </w:pPr>
          </w:p>
        </w:tc>
      </w:tr>
      <w:tr>
        <w:trPr>
          <w:trHeight w:val="229"/>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All Other revenues</w:t>
            </w:r>
          </w:p>
        </w:tc>
        <w:tc>
          <w:tcPr>
            <w:tcW w:w="1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55,976</w:t>
            </w:r>
          </w:p>
        </w:tc>
        <w:tc>
          <w:tcPr>
            <w:tcW w:w="3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138,636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Consolidated total revenue</w:t>
            </w:r>
          </w:p>
        </w:tc>
        <w:tc>
          <w:tcPr>
            <w:tcW w:w="1140" w:type="dxa"/>
            <w:vAlign w:val="bottom"/>
            <w:tcBorders>
              <w:bottom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893,203</w:t>
            </w:r>
          </w:p>
        </w:tc>
        <w:tc>
          <w:tcPr>
            <w:tcW w:w="3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1,948,901</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to consolidated loss before (benefit) provision for income taxes</w:t>
            </w:r>
          </w:p>
        </w:tc>
        <w:tc>
          <w:tcPr>
            <w:tcW w:w="11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Total reportable segment gross profit</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150,488</w:t>
            </w:r>
          </w:p>
        </w:tc>
        <w:tc>
          <w:tcPr>
            <w:tcW w:w="3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227,734</w:t>
            </w: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 Other gross profit</w:t>
            </w:r>
          </w:p>
        </w:tc>
        <w:tc>
          <w:tcPr>
            <w:tcW w:w="1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11,459</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17,053</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340,657</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566,387</w:t>
            </w: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42,769</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38,290</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Impairment charges</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48,748</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211,873</w:t>
            </w: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Gain on debt extinguishment</w:t>
            </w:r>
          </w:p>
        </w:tc>
        <w:tc>
          <w:tcPr>
            <w:tcW w:w="1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(37,878 )</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(164,684 )</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45,445</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40,693</w:t>
            </w: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(21,158 )</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(19,363 )</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Other loss, net</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108,289</w:t>
            </w:r>
          </w:p>
        </w:tc>
        <w:tc>
          <w:tcPr>
            <w:tcW w:w="3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43,181</w:t>
            </w:r>
          </w:p>
        </w:tc>
        <w:tc>
          <w:tcPr>
            <w:tcW w:w="100" w:type="dxa"/>
            <w:vAlign w:val="bottom"/>
          </w:tcPr>
          <w:p>
            <w:pPr>
              <w:spacing w:after="0"/>
              <w:rPr>
                <w:sz w:val="19"/>
                <w:szCs w:val="19"/>
                <w:color w:val="auto"/>
              </w:rPr>
            </w:pPr>
          </w:p>
        </w:tc>
      </w:tr>
      <w:tr>
        <w:trPr>
          <w:trHeight w:val="24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Consolidated loss before provision (benefit) for income taxes</w:t>
            </w:r>
          </w:p>
        </w:tc>
        <w:tc>
          <w:tcPr>
            <w:tcW w:w="1140" w:type="dxa"/>
            <w:vAlign w:val="bottom"/>
            <w:shd w:val="clear" w:color="auto" w:fill="CFF0FC"/>
          </w:tcPr>
          <w:p>
            <w:pPr>
              <w:jc w:val="right"/>
              <w:ind w:right="934"/>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7"/>
              </w:rPr>
              <w:t>(364,925 )</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(471,590 )</w:t>
            </w:r>
          </w:p>
        </w:tc>
      </w:tr>
      <w:tr>
        <w:trPr>
          <w:trHeight w:val="20"/>
        </w:trPr>
        <w:tc>
          <w:tcPr>
            <w:tcW w:w="70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-1814830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-1814830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Domestic and foreign pretax income (loss) are as follows for the years ended December 31, 2023 and 2022 (in thousands):</w:t>
      </w:r>
    </w:p>
    <w:p>
      <w:pPr>
        <w:spacing w:after="0" w:line="221"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Domestic</w:t>
            </w:r>
          </w:p>
        </w:tc>
        <w:tc>
          <w:tcPr>
            <w:tcW w:w="114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7"/>
              </w:rPr>
              <w:t>(365,520 )</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(472,203 )</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Foreign</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3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r>
      <w:tr>
        <w:trPr>
          <w:trHeight w:val="24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7"/>
              </w:rPr>
              <w:t>(364,925 )</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(471,590 )</w:t>
            </w:r>
          </w:p>
        </w:tc>
      </w:tr>
      <w:tr>
        <w:trPr>
          <w:trHeight w:val="20"/>
        </w:trPr>
        <w:tc>
          <w:tcPr>
            <w:tcW w:w="70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03"/>
        </w:trPr>
        <w:tc>
          <w:tcPr>
            <w:tcW w:w="8220" w:type="dxa"/>
            <w:vAlign w:val="bottom"/>
            <w:gridSpan w:val="2"/>
          </w:tcPr>
          <w:p>
            <w:pPr>
              <w:ind w:left="760"/>
              <w:spacing w:after="0"/>
              <w:rPr>
                <w:sz w:val="20"/>
                <w:szCs w:val="20"/>
                <w:color w:val="auto"/>
              </w:rPr>
            </w:pPr>
            <w:r>
              <w:rPr>
                <w:rFonts w:ascii="Arial" w:cs="Arial" w:eastAsia="Arial" w:hAnsi="Arial"/>
                <w:sz w:val="18"/>
                <w:szCs w:val="18"/>
                <w:color w:val="auto"/>
              </w:rPr>
              <w:t>The components of the provision for income taxes are as follows (in thousands):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7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Year Ended</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70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08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w:t>
            </w:r>
          </w:p>
        </w:tc>
        <w:tc>
          <w:tcPr>
            <w:tcW w:w="1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 and local</w:t>
            </w:r>
          </w:p>
        </w:tc>
        <w:tc>
          <w:tcPr>
            <w:tcW w:w="1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4,083</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r>
      <w:tr>
        <w:trPr>
          <w:trHeight w:val="223"/>
        </w:trPr>
        <w:tc>
          <w:tcPr>
            <w:tcW w:w="708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Total current tax expense</w:t>
            </w:r>
          </w:p>
        </w:tc>
        <w:tc>
          <w:tcPr>
            <w:tcW w:w="1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3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4,175</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Deferred tax (benefit):</w:t>
            </w:r>
          </w:p>
        </w:tc>
        <w:tc>
          <w:tcPr>
            <w:tcW w:w="1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Federal</w:t>
            </w:r>
          </w:p>
        </w:tc>
        <w:tc>
          <w:tcPr>
            <w:tcW w:w="1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(20,472 )</w:t>
            </w:r>
          </w:p>
        </w:tc>
      </w:tr>
      <w:tr>
        <w:trPr>
          <w:trHeight w:val="229"/>
        </w:trPr>
        <w:tc>
          <w:tcPr>
            <w:tcW w:w="708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1140" w:type="dxa"/>
            <w:vAlign w:val="bottom"/>
          </w:tcPr>
          <w:p>
            <w:pPr>
              <w:spacing w:after="0"/>
              <w:rPr>
                <w:sz w:val="19"/>
                <w:szCs w:val="19"/>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(3,383 )</w:t>
            </w:r>
          </w:p>
        </w:tc>
      </w:tr>
      <w:tr>
        <w:trPr>
          <w:trHeight w:val="229"/>
        </w:trPr>
        <w:tc>
          <w:tcPr>
            <w:tcW w:w="70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Foreign</w:t>
            </w:r>
          </w:p>
        </w:tc>
        <w:tc>
          <w:tcPr>
            <w:tcW w:w="1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080" w:type="dxa"/>
            <w:vAlign w:val="bottom"/>
          </w:tcPr>
          <w:p>
            <w:pPr>
              <w:ind w:left="320"/>
              <w:spacing w:after="0"/>
              <w:rPr>
                <w:sz w:val="20"/>
                <w:szCs w:val="20"/>
                <w:color w:val="auto"/>
              </w:rPr>
            </w:pPr>
            <w:r>
              <w:rPr>
                <w:rFonts w:ascii="Arial" w:cs="Arial" w:eastAsia="Arial" w:hAnsi="Arial"/>
                <w:sz w:val="18"/>
                <w:szCs w:val="18"/>
                <w:color w:val="auto"/>
              </w:rPr>
              <w:t>Total deferred tax (benefit)</w:t>
            </w:r>
          </w:p>
        </w:tc>
        <w:tc>
          <w:tcPr>
            <w:tcW w:w="1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(23,855 )</w:t>
            </w:r>
          </w:p>
        </w:tc>
      </w:tr>
      <w:tr>
        <w:trPr>
          <w:trHeight w:val="20"/>
        </w:trPr>
        <w:tc>
          <w:tcPr>
            <w:tcW w:w="70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114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(19,680 )</w:t>
            </w:r>
          </w:p>
        </w:tc>
      </w:tr>
      <w:tr>
        <w:trPr>
          <w:trHeight w:val="20"/>
        </w:trPr>
        <w:tc>
          <w:tcPr>
            <w:tcW w:w="708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-2422525</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-2405380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-2422525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-2405380</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-333375</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380" w:firstLine="749"/>
        <w:spacing w:after="0" w:line="246" w:lineRule="auto"/>
        <w:rPr>
          <w:sz w:val="20"/>
          <w:szCs w:val="20"/>
          <w:color w:val="auto"/>
        </w:rPr>
      </w:pPr>
      <w:r>
        <w:rPr>
          <w:rFonts w:ascii="Arial" w:cs="Arial" w:eastAsia="Arial" w:hAnsi="Arial"/>
          <w:sz w:val="18"/>
          <w:szCs w:val="18"/>
          <w:color w:val="auto"/>
        </w:rPr>
        <w:t>On August 16, 2022, the Inflation Reduction Act of 2022 ("IRA") was signed into law. The IRA includes implementation of a new alternative minimum tax, an excise tax on stock buybacks, and significant tax incentives for energy and climate initiatives, among other provisions. The Company evaluated the provisions included under the IRA and the provisions do not have a material impact to the Company's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 Reconciliation</w:t>
      </w:r>
    </w:p>
    <w:p>
      <w:pPr>
        <w:spacing w:after="0" w:line="196" w:lineRule="exact"/>
        <w:rPr>
          <w:sz w:val="20"/>
          <w:szCs w:val="20"/>
          <w:color w:val="auto"/>
        </w:rPr>
      </w:pPr>
    </w:p>
    <w:p>
      <w:pPr>
        <w:ind w:right="120" w:firstLine="749"/>
        <w:spacing w:after="0" w:line="246" w:lineRule="auto"/>
        <w:rPr>
          <w:sz w:val="20"/>
          <w:szCs w:val="20"/>
          <w:color w:val="auto"/>
        </w:rPr>
      </w:pPr>
      <w:r>
        <w:rPr>
          <w:rFonts w:ascii="Arial" w:cs="Arial" w:eastAsia="Arial" w:hAnsi="Arial"/>
          <w:sz w:val="18"/>
          <w:szCs w:val="18"/>
          <w:color w:val="auto"/>
        </w:rPr>
        <w:t>The Company’s effective tax rate for the years ended December 31, 2023 and 2022 was (0.17)% and 4.17%, respectively. The increase in effective tax rate for the year ended December 31, 2022 was primarily driven by a deferred tax benefit recorded for the decrease of Valuation Allowance resulting from the acquisition of Unitas Holdings Corp. (now known as Vroom Finance Corporation) that occurred during the December 31, 2022 period, of $23.9 million.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ind w:right="460" w:firstLine="749"/>
        <w:spacing w:after="0" w:line="271" w:lineRule="auto"/>
        <w:rPr>
          <w:sz w:val="20"/>
          <w:szCs w:val="20"/>
          <w:color w:val="auto"/>
        </w:rPr>
      </w:pPr>
      <w:r>
        <w:rPr>
          <w:rFonts w:ascii="Arial" w:cs="Arial" w:eastAsia="Arial" w:hAnsi="Arial"/>
          <w:sz w:val="18"/>
          <w:szCs w:val="18"/>
          <w:color w:val="auto"/>
        </w:rPr>
        <w:t>A reconciliation of the provision for income taxes at the statutory rate to the amount reflected in the consolidated statements of operations is as follows (in thousands):</w:t>
      </w:r>
    </w:p>
    <w:p>
      <w:pPr>
        <w:spacing w:after="0" w:line="162"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Year Ended</w:t>
      </w:r>
    </w:p>
    <w:p>
      <w:pPr>
        <w:spacing w:after="0" w:line="15"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8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top w:val="single" w:sz="8" w:color="auto"/>
              <w:bottom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 at statutory rate</w:t>
            </w:r>
          </w:p>
        </w:tc>
        <w:tc>
          <w:tcPr>
            <w:tcW w:w="1200" w:type="dxa"/>
            <w:vAlign w:val="bottom"/>
            <w:shd w:val="clear" w:color="auto" w:fill="CFF0FC"/>
          </w:tcPr>
          <w:p>
            <w:pPr>
              <w:jc w:val="right"/>
              <w:ind w:right="996"/>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(76,657 )</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(99,034 )</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1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(23,718 )</w:t>
            </w:r>
          </w:p>
        </w:tc>
        <w:tc>
          <w:tcPr>
            <w:tcW w:w="4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(3,529 )</w:t>
            </w: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Foreign Rate Differential</w:t>
            </w:r>
          </w:p>
        </w:tc>
        <w:tc>
          <w:tcPr>
            <w:tcW w:w="1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(36 )</w:t>
            </w:r>
          </w:p>
        </w:tc>
        <w:tc>
          <w:tcPr>
            <w:tcW w:w="4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(129 )</w:t>
            </w: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Permanent differences</w:t>
            </w:r>
          </w:p>
        </w:tc>
        <w:tc>
          <w:tcPr>
            <w:tcW w:w="1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1,550</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9"/>
                <w:szCs w:val="19"/>
                <w:color w:val="auto"/>
              </w:rPr>
            </w:pP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 impairment</w:t>
            </w:r>
          </w:p>
        </w:tc>
        <w:tc>
          <w:tcPr>
            <w:tcW w:w="1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41,241</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Deferred tax adjustment for acquisition of business</w:t>
            </w:r>
          </w:p>
        </w:tc>
        <w:tc>
          <w:tcPr>
            <w:tcW w:w="12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(23,855 )</w:t>
            </w:r>
          </w:p>
        </w:tc>
      </w:tr>
      <w:tr>
        <w:trPr>
          <w:trHeight w:val="229"/>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 in valuation allowance</w:t>
            </w:r>
          </w:p>
        </w:tc>
        <w:tc>
          <w:tcPr>
            <w:tcW w:w="1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99,926</w:t>
            </w: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66,634</w:t>
            </w:r>
          </w:p>
        </w:tc>
        <w:tc>
          <w:tcPr>
            <w:tcW w:w="100" w:type="dxa"/>
            <w:vAlign w:val="bottom"/>
            <w:shd w:val="clear" w:color="auto" w:fill="CFF0FC"/>
          </w:tcPr>
          <w:p>
            <w:pPr>
              <w:spacing w:after="0"/>
              <w:rPr>
                <w:sz w:val="19"/>
                <w:szCs w:val="19"/>
                <w:color w:val="auto"/>
              </w:rPr>
            </w:pPr>
          </w:p>
        </w:tc>
      </w:tr>
      <w:tr>
        <w:trPr>
          <w:trHeight w:val="229"/>
        </w:trPr>
        <w:tc>
          <w:tcPr>
            <w:tcW w:w="7080" w:type="dxa"/>
            <w:vAlign w:val="bottom"/>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(450 )</w:t>
            </w:r>
          </w:p>
        </w:tc>
        <w:tc>
          <w:tcPr>
            <w:tcW w:w="44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(2,518 )</w:t>
            </w:r>
          </w:p>
        </w:tc>
      </w:tr>
      <w:tr>
        <w:trPr>
          <w:trHeight w:val="20"/>
        </w:trPr>
        <w:tc>
          <w:tcPr>
            <w:tcW w:w="70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income taxes</w:t>
            </w:r>
          </w:p>
        </w:tc>
        <w:tc>
          <w:tcPr>
            <w:tcW w:w="1200" w:type="dxa"/>
            <w:vAlign w:val="bottom"/>
            <w:shd w:val="clear" w:color="auto" w:fill="CFF0FC"/>
          </w:tcPr>
          <w:p>
            <w:pPr>
              <w:jc w:val="right"/>
              <w:ind w:right="99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(19,680 )</w:t>
            </w:r>
          </w:p>
        </w:tc>
      </w:tr>
      <w:tr>
        <w:trPr>
          <w:trHeight w:val="20"/>
        </w:trPr>
        <w:tc>
          <w:tcPr>
            <w:tcW w:w="70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-24765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(Liabilities)</w:t>
      </w:r>
    </w:p>
    <w:p>
      <w:pPr>
        <w:spacing w:after="0" w:line="196" w:lineRule="exact"/>
        <w:rPr>
          <w:sz w:val="20"/>
          <w:szCs w:val="20"/>
          <w:color w:val="auto"/>
        </w:rPr>
      </w:pPr>
    </w:p>
    <w:p>
      <w:pPr>
        <w:ind w:right="20" w:firstLine="761"/>
        <w:spacing w:after="0" w:line="239" w:lineRule="auto"/>
        <w:rPr>
          <w:sz w:val="20"/>
          <w:szCs w:val="20"/>
          <w:color w:val="auto"/>
        </w:rPr>
      </w:pPr>
      <w:r>
        <w:rPr>
          <w:rFonts w:ascii="Arial" w:cs="Arial" w:eastAsia="Arial" w:hAnsi="Arial"/>
          <w:sz w:val="18"/>
          <w:szCs w:val="18"/>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it is more likely than not that these assets will not be fully realized based on a current evaluation of expected future taxable income and the Company being in a cumulative 3-year loss position. As of December 31, 2023, 2022, and 2021, the valuation allowance balance was $358.7 million, $258.8 million and $216.0 million, respectively.</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Significant components of the Company’s deferred tax assets and liabilities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41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3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4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365,841</w:t>
            </w:r>
          </w:p>
        </w:tc>
        <w:tc>
          <w:tcPr>
            <w:tcW w:w="28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265,927</w:t>
            </w:r>
          </w:p>
        </w:tc>
        <w:tc>
          <w:tcPr>
            <w:tcW w:w="100" w:type="dxa"/>
            <w:vAlign w:val="bottom"/>
          </w:tcPr>
          <w:p>
            <w:pPr>
              <w:spacing w:after="0"/>
              <w:rPr>
                <w:sz w:val="19"/>
                <w:szCs w:val="19"/>
                <w:color w:val="auto"/>
              </w:rPr>
            </w:pPr>
          </w:p>
        </w:tc>
      </w:tr>
      <w:tr>
        <w:trPr>
          <w:trHeight w:val="229"/>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Inventory reserves</w:t>
            </w:r>
          </w:p>
        </w:tc>
        <w:tc>
          <w:tcPr>
            <w:tcW w:w="3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9,758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9,395</w:t>
            </w:r>
          </w:p>
        </w:tc>
        <w:tc>
          <w:tcPr>
            <w:tcW w:w="100" w:type="dxa"/>
            <w:vAlign w:val="bottom"/>
            <w:shd w:val="clear" w:color="auto" w:fill="CFF0FC"/>
          </w:tcPr>
          <w:p>
            <w:pPr>
              <w:spacing w:after="0"/>
              <w:rPr>
                <w:sz w:val="19"/>
                <w:szCs w:val="19"/>
                <w:color w:val="auto"/>
              </w:rPr>
            </w:pP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2,169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3,067</w:t>
            </w:r>
          </w:p>
        </w:tc>
        <w:tc>
          <w:tcPr>
            <w:tcW w:w="100" w:type="dxa"/>
            <w:vAlign w:val="bottom"/>
          </w:tcPr>
          <w:p>
            <w:pPr>
              <w:spacing w:after="0"/>
              <w:rPr>
                <w:sz w:val="19"/>
                <w:szCs w:val="19"/>
                <w:color w:val="auto"/>
              </w:rPr>
            </w:pPr>
          </w:p>
        </w:tc>
      </w:tr>
      <w:tr>
        <w:trPr>
          <w:trHeight w:val="229"/>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Depreciation</w:t>
            </w:r>
          </w:p>
        </w:tc>
        <w:tc>
          <w:tcPr>
            <w:tcW w:w="3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3,729</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rPr>
              <w:t>Lease Liability</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8,829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7,086</w:t>
            </w:r>
          </w:p>
        </w:tc>
        <w:tc>
          <w:tcPr>
            <w:tcW w:w="100" w:type="dxa"/>
            <w:vAlign w:val="bottom"/>
          </w:tcPr>
          <w:p>
            <w:pPr>
              <w:spacing w:after="0"/>
              <w:rPr>
                <w:sz w:val="19"/>
                <w:szCs w:val="19"/>
                <w:color w:val="auto"/>
              </w:rPr>
            </w:pPr>
          </w:p>
        </w:tc>
      </w:tr>
      <w:tr>
        <w:trPr>
          <w:trHeight w:val="229"/>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Unrealized Gains/Losses</w:t>
            </w:r>
          </w:p>
        </w:tc>
        <w:tc>
          <w:tcPr>
            <w:tcW w:w="3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3,636</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10,549</w:t>
            </w:r>
          </w:p>
        </w:tc>
        <w:tc>
          <w:tcPr>
            <w:tcW w:w="100" w:type="dxa"/>
            <w:vAlign w:val="bottom"/>
            <w:shd w:val="clear" w:color="auto" w:fill="CFF0FC"/>
          </w:tcPr>
          <w:p>
            <w:pPr>
              <w:spacing w:after="0"/>
              <w:rPr>
                <w:sz w:val="19"/>
                <w:szCs w:val="19"/>
                <w:color w:val="auto"/>
              </w:rPr>
            </w:pPr>
          </w:p>
        </w:tc>
      </w:tr>
      <w:tr>
        <w:trPr>
          <w:trHeight w:val="229"/>
        </w:trPr>
        <w:tc>
          <w:tcPr>
            <w:tcW w:w="412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8,342</w:t>
            </w:r>
          </w:p>
        </w:tc>
        <w:tc>
          <w:tcPr>
            <w:tcW w:w="100" w:type="dxa"/>
            <w:vAlign w:val="bottom"/>
          </w:tcPr>
          <w:p>
            <w:pPr>
              <w:spacing w:after="0"/>
              <w:rPr>
                <w:sz w:val="19"/>
                <w:szCs w:val="19"/>
                <w:color w:val="auto"/>
              </w:rPr>
            </w:pPr>
          </w:p>
        </w:tc>
      </w:tr>
      <w:tr>
        <w:trPr>
          <w:trHeight w:val="229"/>
        </w:trPr>
        <w:tc>
          <w:tcPr>
            <w:tcW w:w="41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Other</w:t>
            </w:r>
          </w:p>
        </w:tc>
        <w:tc>
          <w:tcPr>
            <w:tcW w:w="36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2,441</w:t>
            </w:r>
          </w:p>
        </w:tc>
        <w:tc>
          <w:tcPr>
            <w:tcW w:w="2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398,168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306,978</w:t>
            </w:r>
          </w:p>
        </w:tc>
        <w:tc>
          <w:tcPr>
            <w:tcW w:w="100" w:type="dxa"/>
            <w:vAlign w:val="bottom"/>
          </w:tcPr>
          <w:p>
            <w:pPr>
              <w:spacing w:after="0"/>
              <w:rPr>
                <w:sz w:val="19"/>
                <w:szCs w:val="19"/>
                <w:color w:val="auto"/>
              </w:rPr>
            </w:pPr>
          </w:p>
        </w:tc>
      </w:tr>
      <w:tr>
        <w:trPr>
          <w:trHeight w:val="229"/>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valuation allowance</w:t>
            </w:r>
          </w:p>
        </w:tc>
        <w:tc>
          <w:tcPr>
            <w:tcW w:w="3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(358,722 )</w:t>
            </w: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(258,796 )</w:t>
            </w:r>
          </w:p>
        </w:tc>
      </w:tr>
      <w:tr>
        <w:trPr>
          <w:trHeight w:val="223"/>
        </w:trPr>
        <w:tc>
          <w:tcPr>
            <w:tcW w:w="41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Net deferred tax assets</w:t>
            </w:r>
          </w:p>
        </w:tc>
        <w:tc>
          <w:tcPr>
            <w:tcW w:w="3620" w:type="dxa"/>
            <w:vAlign w:val="bottom"/>
            <w:tcBorders>
              <w:top w:val="single" w:sz="8" w:color="CFF0F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39,446</w:t>
            </w:r>
          </w:p>
        </w:tc>
        <w:tc>
          <w:tcPr>
            <w:tcW w:w="280" w:type="dxa"/>
            <w:vAlign w:val="bottom"/>
            <w:tcBorders>
              <w:top w:val="single" w:sz="8" w:color="CFF0FC"/>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48,182</w:t>
            </w:r>
          </w:p>
        </w:tc>
        <w:tc>
          <w:tcPr>
            <w:tcW w:w="100" w:type="dxa"/>
            <w:vAlign w:val="bottom"/>
            <w:tcBorders>
              <w:top w:val="single" w:sz="8" w:color="CFF0FC"/>
            </w:tcBorders>
          </w:tcPr>
          <w:p>
            <w:pPr>
              <w:spacing w:after="0"/>
              <w:rPr>
                <w:sz w:val="19"/>
                <w:szCs w:val="19"/>
                <w:color w:val="auto"/>
              </w:rPr>
            </w:pPr>
          </w:p>
        </w:tc>
      </w:tr>
      <w:tr>
        <w:trPr>
          <w:trHeight w:val="229"/>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3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rPr>
              <w:t>Intangible amortization</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(32,687 )</w:t>
            </w:r>
          </w:p>
        </w:tc>
        <w:tc>
          <w:tcPr>
            <w:tcW w:w="5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(37,377 )</w:t>
            </w:r>
          </w:p>
        </w:tc>
      </w:tr>
      <w:tr>
        <w:trPr>
          <w:trHeight w:val="229"/>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Depreciation</w:t>
            </w:r>
          </w:p>
        </w:tc>
        <w:tc>
          <w:tcPr>
            <w:tcW w:w="3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(3,017 )</w:t>
            </w: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rPr>
              <w:t>Repo Expenses</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(4,966 )</w:t>
            </w:r>
          </w:p>
        </w:tc>
        <w:tc>
          <w:tcPr>
            <w:tcW w:w="5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(2,194 )</w:t>
            </w:r>
          </w:p>
        </w:tc>
      </w:tr>
      <w:tr>
        <w:trPr>
          <w:trHeight w:val="229"/>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Right of Use Asset</w:t>
            </w:r>
          </w:p>
        </w:tc>
        <w:tc>
          <w:tcPr>
            <w:tcW w:w="3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(1,793 )</w:t>
            </w:r>
          </w:p>
        </w:tc>
        <w:tc>
          <w:tcPr>
            <w:tcW w:w="5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(5,594 )</w:t>
            </w:r>
          </w:p>
        </w:tc>
      </w:tr>
      <w:tr>
        <w:trPr>
          <w:trHeight w:val="20"/>
        </w:trPr>
        <w:tc>
          <w:tcPr>
            <w:tcW w:w="4120" w:type="dxa"/>
            <w:vAlign w:val="bottom"/>
            <w:shd w:val="clear" w:color="auto" w:fill="CFF0FC"/>
          </w:tcPr>
          <w:p>
            <w:pPr>
              <w:spacing w:after="0" w:line="20" w:lineRule="exact"/>
              <w:rPr>
                <w:sz w:val="1"/>
                <w:szCs w:val="1"/>
                <w:color w:val="auto"/>
              </w:rPr>
            </w:pPr>
          </w:p>
        </w:tc>
        <w:tc>
          <w:tcPr>
            <w:tcW w:w="36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120" w:type="dxa"/>
            <w:vAlign w:val="bottom"/>
          </w:tcPr>
          <w:p>
            <w:pPr>
              <w:ind w:left="20"/>
              <w:spacing w:after="0"/>
              <w:rPr>
                <w:sz w:val="20"/>
                <w:szCs w:val="20"/>
                <w:color w:val="auto"/>
              </w:rPr>
            </w:pPr>
            <w:r>
              <w:rPr>
                <w:rFonts w:ascii="Arial" w:cs="Arial" w:eastAsia="Arial" w:hAnsi="Arial"/>
                <w:sz w:val="18"/>
                <w:szCs w:val="18"/>
                <w:color w:val="auto"/>
              </w:rPr>
              <w:t>Net deferred tax liabilities</w:t>
            </w:r>
          </w:p>
        </w:tc>
        <w:tc>
          <w:tcPr>
            <w:tcW w:w="3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(39,446 )</w:t>
            </w:r>
          </w:p>
        </w:tc>
        <w:tc>
          <w:tcPr>
            <w:tcW w:w="5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(48,182 )</w:t>
            </w:r>
          </w:p>
        </w:tc>
      </w:tr>
      <w:tr>
        <w:trPr>
          <w:trHeight w:val="269"/>
        </w:trPr>
        <w:tc>
          <w:tcPr>
            <w:tcW w:w="41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deferred income taxes</w:t>
            </w:r>
          </w:p>
        </w:tc>
        <w:tc>
          <w:tcPr>
            <w:tcW w:w="4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618"/>
        </w:trPr>
        <w:tc>
          <w:tcPr>
            <w:tcW w:w="4120" w:type="dxa"/>
            <w:vAlign w:val="bottom"/>
            <w:tcBorders>
              <w:top w:val="single" w:sz="8" w:color="CFF0FC"/>
            </w:tcBorders>
          </w:tcPr>
          <w:p>
            <w:pPr>
              <w:spacing w:after="0"/>
              <w:rPr>
                <w:sz w:val="24"/>
                <w:szCs w:val="24"/>
                <w:color w:val="auto"/>
              </w:rPr>
            </w:pPr>
          </w:p>
        </w:tc>
        <w:tc>
          <w:tcPr>
            <w:tcW w:w="3620" w:type="dxa"/>
            <w:vAlign w:val="bottom"/>
            <w:tcBorders>
              <w:top w:val="single" w:sz="8" w:color="CFF0FC"/>
            </w:tcBorders>
          </w:tcPr>
          <w:p>
            <w:pPr>
              <w:jc w:val="right"/>
              <w:ind w:right="1870"/>
              <w:spacing w:after="0"/>
              <w:rPr>
                <w:sz w:val="20"/>
                <w:szCs w:val="20"/>
                <w:color w:val="auto"/>
              </w:rPr>
            </w:pPr>
            <w:r>
              <w:rPr>
                <w:rFonts w:ascii="Arial" w:cs="Arial" w:eastAsia="Arial" w:hAnsi="Arial"/>
                <w:sz w:val="18"/>
                <w:szCs w:val="18"/>
                <w:color w:val="auto"/>
              </w:rPr>
              <w:t>121</w:t>
            </w: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31"/>
        </w:trPr>
        <w:tc>
          <w:tcPr>
            <w:tcW w:w="41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-2388235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-2388235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-2088515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-2088515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-1206500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-906780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-889635</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-906780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-889635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VROOM,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Losses</w:t>
      </w:r>
    </w:p>
    <w:p>
      <w:pPr>
        <w:spacing w:after="0" w:line="196" w:lineRule="exact"/>
        <w:rPr>
          <w:sz w:val="20"/>
          <w:szCs w:val="20"/>
          <w:color w:val="auto"/>
        </w:rPr>
      </w:pPr>
    </w:p>
    <w:p>
      <w:pPr>
        <w:ind w:firstLine="761"/>
        <w:spacing w:after="0" w:line="252" w:lineRule="auto"/>
        <w:rPr>
          <w:sz w:val="20"/>
          <w:szCs w:val="20"/>
          <w:color w:val="auto"/>
        </w:rPr>
      </w:pPr>
      <w:r>
        <w:rPr>
          <w:rFonts w:ascii="Arial" w:cs="Arial" w:eastAsia="Arial" w:hAnsi="Arial"/>
          <w:sz w:val="18"/>
          <w:szCs w:val="18"/>
          <w:color w:val="auto"/>
        </w:rPr>
        <w:t>As of December 31, 2023, the Company had total net operating loss carryforwards for U.S. federal income tax purposes of $1,504.9 million, of which $168.5 million expire from 2028 through 2042 and $1,336.4 million do not expire. The Company has net operating loss carryforwards for state income tax purposes of $767.8 million, which expire from 2034 through 2042.</w:t>
      </w:r>
    </w:p>
    <w:p>
      <w:pPr>
        <w:spacing w:after="0" w:line="157" w:lineRule="exact"/>
        <w:rPr>
          <w:sz w:val="20"/>
          <w:szCs w:val="20"/>
          <w:color w:val="auto"/>
        </w:rPr>
      </w:pPr>
    </w:p>
    <w:p>
      <w:pPr>
        <w:ind w:right="40" w:firstLine="761"/>
        <w:spacing w:after="0" w:line="252" w:lineRule="auto"/>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2017 and prior. The company is not currently under audit for any US federal or state income tax audits.</w:t>
      </w:r>
    </w:p>
    <w:p>
      <w:pPr>
        <w:spacing w:after="0" w:line="157" w:lineRule="exact"/>
        <w:rPr>
          <w:sz w:val="20"/>
          <w:szCs w:val="20"/>
          <w:color w:val="auto"/>
        </w:rPr>
      </w:pPr>
    </w:p>
    <w:p>
      <w:pPr>
        <w:ind w:right="160" w:firstLine="761"/>
        <w:spacing w:after="0" w:line="243"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four ownership changes the most recent of which was April 2021. These changes will substantially limit the use of the net operating losses generated before the change in control.</w:t>
      </w:r>
    </w:p>
    <w:p>
      <w:pPr>
        <w:spacing w:after="0" w:line="166" w:lineRule="exact"/>
        <w:rPr>
          <w:sz w:val="20"/>
          <w:szCs w:val="20"/>
          <w:color w:val="auto"/>
        </w:rPr>
      </w:pPr>
    </w:p>
    <w:p>
      <w:pPr>
        <w:ind w:right="380" w:firstLine="761"/>
        <w:spacing w:after="0" w:line="252" w:lineRule="auto"/>
        <w:rPr>
          <w:sz w:val="20"/>
          <w:szCs w:val="20"/>
          <w:color w:val="auto"/>
        </w:rPr>
      </w:pPr>
      <w:r>
        <w:rPr>
          <w:rFonts w:ascii="Arial" w:cs="Arial" w:eastAsia="Arial" w:hAnsi="Arial"/>
          <w:sz w:val="18"/>
          <w:szCs w:val="18"/>
          <w:color w:val="auto"/>
        </w:rPr>
        <w:t>The Company acquired Unitas Holdings Corp. (now known as Vroom Finance Corporation) on February 1, 2022 in a stock acquisition, refer to Note 5 – Acquisition for additional information. The NOLs and other tax attributes acquired are subject to Section 382 limitations.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96" w:lineRule="exact"/>
        <w:rPr>
          <w:sz w:val="20"/>
          <w:szCs w:val="20"/>
          <w:color w:val="auto"/>
        </w:rPr>
      </w:pPr>
    </w:p>
    <w:p>
      <w:pPr>
        <w:ind w:right="60" w:firstLine="761"/>
        <w:spacing w:after="0" w:line="252" w:lineRule="auto"/>
        <w:rPr>
          <w:sz w:val="20"/>
          <w:szCs w:val="20"/>
          <w:color w:val="auto"/>
        </w:rPr>
      </w:pPr>
      <w:r>
        <w:rPr>
          <w:rFonts w:ascii="Arial" w:cs="Arial" w:eastAsia="Arial" w:hAnsi="Arial"/>
          <w:sz w:val="18"/>
          <w:szCs w:val="18"/>
          <w:color w:val="auto"/>
        </w:rPr>
        <w:t>The Company has not identified any uncertain tax positions as of December 31, 2023 or 2022. Any interest and penalties related to uncertain tax positions shall be recorded as a component of income tax expense. To date, no interest or penalties have been accrued in relation to uncertain tax positions.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Net Loss Per Share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Year Ended</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0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4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(365,540 )</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(451,910 )</w:t>
            </w:r>
          </w:p>
        </w:tc>
        <w:tc>
          <w:tcPr>
            <w:tcW w:w="0" w:type="dxa"/>
            <w:vAlign w:val="bottom"/>
          </w:tcPr>
          <w:p>
            <w:pPr>
              <w:spacing w:after="0"/>
              <w:rPr>
                <w:sz w:val="1"/>
                <w:szCs w:val="1"/>
                <w:color w:val="auto"/>
              </w:rPr>
            </w:pPr>
          </w:p>
        </w:tc>
      </w:tr>
      <w:tr>
        <w:trPr>
          <w:trHeight w:val="190"/>
        </w:trPr>
        <w:tc>
          <w:tcPr>
            <w:tcW w:w="7080" w:type="dxa"/>
            <w:vAlign w:val="bottom"/>
            <w:tcBorders>
              <w:top w:val="single" w:sz="8" w:color="CFF0FC"/>
            </w:tcBorders>
          </w:tcPr>
          <w:p>
            <w:pPr>
              <w:ind w:left="20"/>
              <w:spacing w:after="0" w:line="190" w:lineRule="exact"/>
              <w:rPr>
                <w:sz w:val="20"/>
                <w:szCs w:val="20"/>
                <w:color w:val="auto"/>
              </w:rPr>
            </w:pPr>
            <w:r>
              <w:rPr>
                <w:rFonts w:ascii="Arial" w:cs="Arial" w:eastAsia="Arial" w:hAnsi="Arial"/>
                <w:sz w:val="18"/>
                <w:szCs w:val="18"/>
                <w:color w:val="auto"/>
              </w:rPr>
              <w:t>Weighted-average number of shares outstanding used to compute net loss per share</w:t>
            </w:r>
          </w:p>
        </w:tc>
        <w:tc>
          <w:tcPr>
            <w:tcW w:w="4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1,743,128</w:t>
            </w:r>
          </w:p>
        </w:tc>
        <w:tc>
          <w:tcPr>
            <w:tcW w:w="300" w:type="dxa"/>
            <w:vAlign w:val="bottom"/>
            <w:tcBorders>
              <w:top w:val="single" w:sz="8" w:color="CFF0FC"/>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1,723,843</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080" w:type="dxa"/>
            <w:vAlign w:val="bottom"/>
          </w:tcPr>
          <w:p>
            <w:pPr>
              <w:ind w:left="20"/>
              <w:spacing w:after="0"/>
              <w:rPr>
                <w:sz w:val="20"/>
                <w:szCs w:val="20"/>
                <w:color w:val="auto"/>
              </w:rPr>
            </w:pPr>
            <w:r>
              <w:rPr>
                <w:rFonts w:ascii="Arial" w:cs="Arial" w:eastAsia="Arial" w:hAnsi="Arial"/>
                <w:sz w:val="18"/>
                <w:szCs w:val="18"/>
                <w:color w:val="auto"/>
              </w:rPr>
              <w:t>attributable to common stockholders, basic and diluted</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(209.70 )</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(262.15 )</w:t>
            </w:r>
          </w:p>
        </w:tc>
        <w:tc>
          <w:tcPr>
            <w:tcW w:w="0" w:type="dxa"/>
            <w:vAlign w:val="bottom"/>
          </w:tcPr>
          <w:p>
            <w:pPr>
              <w:spacing w:after="0"/>
              <w:rPr>
                <w:sz w:val="1"/>
                <w:szCs w:val="1"/>
                <w:color w:val="auto"/>
              </w:rPr>
            </w:pPr>
          </w:p>
        </w:tc>
      </w:tr>
      <w:tr>
        <w:trPr>
          <w:trHeight w:val="20"/>
        </w:trPr>
        <w:tc>
          <w:tcPr>
            <w:tcW w:w="70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-453390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right="120" w:firstLine="761"/>
        <w:spacing w:after="0" w:line="271"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203"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As of December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20" w:type="dxa"/>
            <w:vAlign w:val="bottom"/>
          </w:tcPr>
          <w:p>
            <w:pPr>
              <w:spacing w:after="0"/>
              <w:rPr>
                <w:sz w:val="15"/>
                <w:szCs w:val="15"/>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6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02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3"/>
        </w:trPr>
        <w:tc>
          <w:tcPr>
            <w:tcW w:w="8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Convertible senior notes</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64,830</w:t>
            </w:r>
          </w:p>
        </w:tc>
        <w:tc>
          <w:tcPr>
            <w:tcW w:w="216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81,635</w:t>
            </w:r>
          </w:p>
        </w:tc>
        <w:tc>
          <w:tcPr>
            <w:tcW w:w="0" w:type="dxa"/>
            <w:vAlign w:val="bottom"/>
          </w:tcPr>
          <w:p>
            <w:pPr>
              <w:spacing w:after="0"/>
              <w:rPr>
                <w:sz w:val="1"/>
                <w:szCs w:val="1"/>
                <w:color w:val="auto"/>
              </w:rPr>
            </w:pPr>
          </w:p>
        </w:tc>
      </w:tr>
      <w:tr>
        <w:trPr>
          <w:trHeight w:val="229"/>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Stock options</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26,088</w:t>
            </w:r>
          </w:p>
        </w:tc>
        <w:tc>
          <w:tcPr>
            <w:tcW w:w="2160" w:type="dxa"/>
            <w:vAlign w:val="bottom"/>
            <w:gridSpan w:val="2"/>
          </w:tcPr>
          <w:p>
            <w:pPr>
              <w:jc w:val="right"/>
              <w:ind w:right="39"/>
              <w:spacing w:after="0"/>
              <w:rPr>
                <w:sz w:val="20"/>
                <w:szCs w:val="20"/>
                <w:color w:val="auto"/>
              </w:rPr>
            </w:pPr>
            <w:r>
              <w:rPr>
                <w:rFonts w:ascii="Arial" w:cs="Arial" w:eastAsia="Arial" w:hAnsi="Arial"/>
                <w:sz w:val="18"/>
                <w:szCs w:val="18"/>
                <w:color w:val="auto"/>
              </w:rPr>
              <w:t>35,715</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1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175,266</w:t>
            </w:r>
          </w:p>
        </w:tc>
        <w:tc>
          <w:tcPr>
            <w:tcW w:w="14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108,268</w:t>
            </w:r>
          </w:p>
        </w:tc>
        <w:tc>
          <w:tcPr>
            <w:tcW w:w="0" w:type="dxa"/>
            <w:vAlign w:val="bottom"/>
          </w:tcPr>
          <w:p>
            <w:pPr>
              <w:spacing w:after="0"/>
              <w:rPr>
                <w:sz w:val="1"/>
                <w:szCs w:val="1"/>
                <w:color w:val="auto"/>
              </w:rPr>
            </w:pPr>
          </w:p>
        </w:tc>
      </w:tr>
      <w:tr>
        <w:trPr>
          <w:trHeight w:val="223"/>
        </w:trPr>
        <w:tc>
          <w:tcPr>
            <w:tcW w:w="82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266,184</w:t>
            </w:r>
          </w:p>
        </w:tc>
        <w:tc>
          <w:tcPr>
            <w:tcW w:w="2160" w:type="dxa"/>
            <w:vAlign w:val="bottom"/>
            <w:gridSpan w:val="2"/>
          </w:tcPr>
          <w:p>
            <w:pPr>
              <w:jc w:val="right"/>
              <w:ind w:right="39"/>
              <w:spacing w:after="0"/>
              <w:rPr>
                <w:sz w:val="20"/>
                <w:szCs w:val="20"/>
                <w:color w:val="auto"/>
              </w:rPr>
            </w:pPr>
            <w:r>
              <w:rPr>
                <w:rFonts w:ascii="Arial" w:cs="Arial" w:eastAsia="Arial" w:hAnsi="Arial"/>
                <w:sz w:val="18"/>
                <w:szCs w:val="18"/>
                <w:color w:val="auto"/>
              </w:rPr>
              <w:t>225,618</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5480"/>
              <w:spacing w:after="0"/>
              <w:rPr>
                <w:sz w:val="20"/>
                <w:szCs w:val="20"/>
                <w:color w:val="auto"/>
              </w:rPr>
            </w:pPr>
            <w:r>
              <w:rPr>
                <w:rFonts w:ascii="Arial" w:cs="Arial" w:eastAsia="Arial" w:hAnsi="Arial"/>
                <w:sz w:val="18"/>
                <w:szCs w:val="18"/>
                <w:color w:val="auto"/>
              </w:rPr>
              <w:t>122</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70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70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5767705</wp:posOffset>
            </wp:positionH>
            <wp:positionV relativeFrom="paragraph">
              <wp:posOffset>-1069975</wp:posOffset>
            </wp:positionV>
            <wp:extent cx="8572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98" w:lineRule="exact"/>
        <w:rPr>
          <w:sz w:val="20"/>
          <w:szCs w:val="20"/>
          <w:color w:val="auto"/>
        </w:rPr>
      </w:pPr>
    </w:p>
    <w:p>
      <w:pPr>
        <w:ind w:right="40" w:firstLine="761"/>
        <w:spacing w:after="0" w:line="246"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8" w:lineRule="exact"/>
        <w:rPr>
          <w:sz w:val="20"/>
          <w:szCs w:val="20"/>
          <w:color w:val="auto"/>
        </w:rPr>
      </w:pPr>
    </w:p>
    <w:p>
      <w:pPr>
        <w:ind w:right="660" w:firstLine="761"/>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defined in Rules 13a-15(e) and 15d-15(e) under the Exchange Act) as of December 31, 2023.</w:t>
      </w:r>
    </w:p>
    <w:p>
      <w:pPr>
        <w:spacing w:after="0" w:line="157" w:lineRule="exact"/>
        <w:rPr>
          <w:sz w:val="20"/>
          <w:szCs w:val="20"/>
          <w:color w:val="auto"/>
        </w:rPr>
      </w:pPr>
    </w:p>
    <w:p>
      <w:pPr>
        <w:ind w:right="160" w:firstLine="761"/>
        <w:spacing w:after="0" w:line="271" w:lineRule="auto"/>
        <w:rPr>
          <w:sz w:val="20"/>
          <w:szCs w:val="20"/>
          <w:color w:val="auto"/>
        </w:rPr>
      </w:pPr>
      <w:r>
        <w:rPr>
          <w:rFonts w:ascii="Arial" w:cs="Arial" w:eastAsia="Arial" w:hAnsi="Arial"/>
          <w:sz w:val="18"/>
          <w:szCs w:val="18"/>
          <w:color w:val="auto"/>
        </w:rPr>
        <w:t>Based on that evaluation, our Principal Executive Officer and Principal Financial Officer have concluded that, as of December 31, 2023, our disclosure controls and procedures were effective at the reasonable assurance level.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98" w:lineRule="exact"/>
        <w:rPr>
          <w:sz w:val="20"/>
          <w:szCs w:val="20"/>
          <w:color w:val="auto"/>
        </w:rPr>
      </w:pPr>
    </w:p>
    <w:p>
      <w:pPr>
        <w:jc w:val="both"/>
        <w:ind w:firstLine="761"/>
        <w:spacing w:after="0" w:line="243"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Rules 13a-15(f) and 15d-15(f). Management has assessed the effectiveness of the Company’s internal control over financial reporting as of December 31, 2023, using the criteria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(2013 framework) issued by the Committee of Sponsoring Organizations of the Treadway Commission (COSO). Based on this evaluation, our management concluded that the Company’s internal control over financial reporting was effective as of December 31, 2023.</w:t>
      </w:r>
    </w:p>
    <w:p>
      <w:pPr>
        <w:spacing w:after="0" w:line="166" w:lineRule="exact"/>
        <w:rPr>
          <w:sz w:val="20"/>
          <w:szCs w:val="20"/>
          <w:color w:val="auto"/>
        </w:rPr>
      </w:pPr>
    </w:p>
    <w:p>
      <w:pPr>
        <w:ind w:right="420" w:firstLine="761"/>
        <w:spacing w:after="0" w:line="252" w:lineRule="auto"/>
        <w:rPr>
          <w:sz w:val="20"/>
          <w:szCs w:val="20"/>
          <w:color w:val="auto"/>
        </w:rPr>
      </w:pPr>
      <w:r>
        <w:rPr>
          <w:rFonts w:ascii="Arial" w:cs="Arial" w:eastAsia="Arial" w:hAnsi="Arial"/>
          <w:sz w:val="18"/>
          <w:szCs w:val="18"/>
          <w:color w:val="auto"/>
        </w:rPr>
        <w:t>The effectiveness of the Company’s internal control over financial reporting as of December 31, 2023 has been audited by PricewaterhouseCoopers LLP, an independent registered public accounting firm, as stated in their report which appears in Item 8 of this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ind w:right="220" w:firstLine="761"/>
        <w:spacing w:after="0" w:line="241" w:lineRule="auto"/>
        <w:rPr>
          <w:sz w:val="20"/>
          <w:szCs w:val="20"/>
          <w:color w:val="auto"/>
        </w:rPr>
      </w:pPr>
      <w:r>
        <w:rPr>
          <w:rFonts w:ascii="Arial" w:cs="Arial" w:eastAsia="Arial" w:hAnsi="Arial"/>
          <w:sz w:val="18"/>
          <w:szCs w:val="18"/>
          <w:color w:val="auto"/>
        </w:rPr>
        <w:t>During the year ended December 31, 2023, we completed the process of incorporating the internal controls of Unitas Holdings Corp., including its wholly owned subsidiaries United PanAm Financial Corp. and United Auto Credit Corporation, into our internal control over financial reporting and extending our Section 404 compliance program under the Sarbanes-Oxley Act and the applicable rules and regulations under such law to include such entities. Except for the foregoing, there was no change in our internal control over financial reporting (as defined in Rules 13a-15(f) and 15d-15(f) under the Exchange Act) that occurred during the quarterly period ended December 31, 2023, that has materially affected, or is reasonably likely to materially affect, our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305" w:lineRule="exact"/>
        <w:rPr>
          <w:sz w:val="20"/>
          <w:szCs w:val="20"/>
          <w:color w:val="auto"/>
        </w:rPr>
      </w:pPr>
    </w:p>
    <w:p>
      <w:pPr>
        <w:ind w:left="1020" w:hanging="504"/>
        <w:spacing w:after="0"/>
        <w:tabs>
          <w:tab w:leader="none" w:pos="10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in lieu of reporting on a Current Report on Form 8-K.</w:t>
      </w:r>
    </w:p>
    <w:p>
      <w:pPr>
        <w:spacing w:after="0" w:line="198" w:lineRule="exact"/>
        <w:rPr>
          <w:sz w:val="20"/>
          <w:szCs w:val="20"/>
          <w:color w:val="auto"/>
        </w:rPr>
      </w:pPr>
    </w:p>
    <w:p>
      <w:pPr>
        <w:ind w:right="140" w:firstLine="761"/>
        <w:spacing w:after="0" w:line="257" w:lineRule="auto"/>
        <w:rPr>
          <w:sz w:val="20"/>
          <w:szCs w:val="20"/>
          <w:color w:val="auto"/>
        </w:rPr>
      </w:pPr>
      <w:r>
        <w:rPr>
          <w:rFonts w:ascii="Arial" w:cs="Arial" w:eastAsia="Arial" w:hAnsi="Arial"/>
          <w:sz w:val="17"/>
          <w:szCs w:val="17"/>
          <w:color w:val="auto"/>
        </w:rPr>
        <w:t>On March 8, 2024 (the “Effective Date”), the Compensation Committee (the “Committee”) of the Board of Directors of Vroom, Inc. (the “Company”) approved retention letter agreements (each, a “Retention Agreement”) with each of Thomas Shortt, Robert Krakowiak and Patricia Moran providing for: (i) an amendment to each executive’s outstanding restricted stock units which are scheduled to vest in 2024, 2025 and 2026 to vest in full between March 17, 2025 and March 20, 2025, subject to the executive’s continued employment through such date (the “RSU Vesting Amendment”) or earlier acceleration on a termination without Cause or for Good Reason (each as defined in the Retention Agreement), (ii) in consideration of the executives’ agreement to the RSU Vesting Amendment, a grant of additional restricted stock units with respect to 2,250, 1,085, and 531 shares of common stock, respectively, with the same vesting terms, and (iii) an</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extension of the post-termination exercise period of any outstanding vested stock options held by such executive in the event of the executive’s termination without Cause or for Good Reason through the original expiration date of such options. In addition, Mr. Shortt’s Retention Agreement provides that he will be eligible to earn a retention bonus of $1,000,000, which will be payable in five equal installments on or shortly following each date of filing of the Company’s annual report on Form 10-K for fiscal year 2023, the quarterly reports on Form 10-Q for each of the first three fiscal quarters of fiscal year 2024, and the Company’s annual report on Form 10-K for fiscal year 2024, subject to his continued service with the Company on the applicable payment date or on an earlier termination without Cause or for Good Reason.</w:t>
      </w:r>
    </w:p>
    <w:p>
      <w:pPr>
        <w:spacing w:after="0" w:line="155"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The Committee also determined to increase the base salaries of Mr. Krakowiak and Ms. Moran to $650,000 and $600,000, respectively, effective as of February 1, 2024. In addition, the Committee approved an amendment and restatement of the Company's Amended and Restated Executive Severance Plan (the "Executive Severance Plan") which: (i) clarifies that a Competing Business (as defined in the Executive Severance Plan) includes a business engaged in financing motor vehicles in order to reflect changes to the Company’s business activities since the effective date of the Executive Severance Plan, (ii) makes certain other clarifying changes, including to reflect the severance terms previously agreed to with the Company’s Chief Executive Officer Mr. Shortt in his employment letter with the Company dated May 9, 2022; and (iii) provides that the severance payments payable on a qualifying termination (outside of the Change in Control Period (as defined in the Executive Severance Plan)) will be paid in substantially equal installments over a period of four months (rather than the original eighteen- or twelve- month periods, as applicable).</w:t>
      </w:r>
    </w:p>
    <w:p>
      <w:pPr>
        <w:spacing w:after="0" w:line="168" w:lineRule="exact"/>
        <w:rPr>
          <w:sz w:val="20"/>
          <w:szCs w:val="20"/>
          <w:color w:val="auto"/>
        </w:rPr>
      </w:pPr>
    </w:p>
    <w:p>
      <w:pPr>
        <w:ind w:firstLine="749"/>
        <w:spacing w:after="0" w:line="252" w:lineRule="auto"/>
        <w:rPr>
          <w:sz w:val="20"/>
          <w:szCs w:val="20"/>
          <w:color w:val="auto"/>
        </w:rPr>
      </w:pPr>
      <w:r>
        <w:rPr>
          <w:rFonts w:ascii="Arial" w:cs="Arial" w:eastAsia="Arial" w:hAnsi="Arial"/>
          <w:sz w:val="18"/>
          <w:szCs w:val="18"/>
          <w:color w:val="auto"/>
        </w:rPr>
        <w:t>The foregoing summary of the amendment and restatement to the Executive Severance Plan and Retention Agreements is not complete and is qualified in its entirety by reference to the full text of the amended and restated Executive Severance Plan, a copy of which is attached as Exhibit 10.15 and the Retention Agreements, a copy of which are attached as Exhibits 10.25, 10.26 and 10.27.</w:t>
      </w:r>
    </w:p>
    <w:p>
      <w:pPr>
        <w:spacing w:after="0" w:line="265" w:lineRule="exact"/>
        <w:rPr>
          <w:sz w:val="20"/>
          <w:szCs w:val="20"/>
          <w:color w:val="auto"/>
        </w:rPr>
      </w:pPr>
    </w:p>
    <w:p>
      <w:pPr>
        <w:ind w:left="1020" w:hanging="504"/>
        <w:spacing w:after="0"/>
        <w:tabs>
          <w:tab w:leader="none" w:pos="10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Insider Trading Arrangements and Policies.</w:t>
      </w:r>
    </w:p>
    <w:p>
      <w:pPr>
        <w:spacing w:after="0" w:line="198" w:lineRule="exact"/>
        <w:rPr>
          <w:sz w:val="20"/>
          <w:szCs w:val="20"/>
          <w:color w:val="auto"/>
        </w:rPr>
      </w:pPr>
    </w:p>
    <w:p>
      <w:pPr>
        <w:ind w:right="280" w:firstLine="761"/>
        <w:spacing w:after="0" w:line="271" w:lineRule="auto"/>
        <w:rPr>
          <w:sz w:val="20"/>
          <w:szCs w:val="20"/>
          <w:color w:val="auto"/>
        </w:rPr>
      </w:pPr>
      <w:r>
        <w:rPr>
          <w:rFonts w:ascii="Arial" w:cs="Arial" w:eastAsia="Arial" w:hAnsi="Arial"/>
          <w:sz w:val="18"/>
          <w:szCs w:val="18"/>
          <w:color w:val="auto"/>
        </w:rPr>
        <w:t>During the three months ended December 31, 2023, no director or officer of the Company adopted or terminated a “Rule 10b5-1 trading arrangement” or “non-Rule 10b5-1 trading arrangement,” as each term is defined in Item 408(a) of Regulation 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8"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 xml:space="preserve">We have adopted a written code of ethics, entitled “Code of Business Conduct and Ethics,” that applies to all of our directors, executive officers and employees, including our principal executive officer, principal financial officer, principal accounting officer and controller, or persons performing similar functions. We make available our code of ethics free of charge through our investor relations website which is located at </w:t>
      </w:r>
      <w:r>
        <w:rPr>
          <w:rFonts w:ascii="Arial" w:cs="Arial" w:eastAsia="Arial" w:hAnsi="Arial"/>
          <w:sz w:val="18"/>
          <w:szCs w:val="18"/>
          <w:i w:val="1"/>
          <w:iCs w:val="1"/>
          <w:color w:val="auto"/>
        </w:rPr>
        <w:t>ir.vroom.com</w:t>
      </w:r>
      <w:r>
        <w:rPr>
          <w:rFonts w:ascii="Arial" w:cs="Arial" w:eastAsia="Arial" w:hAnsi="Arial"/>
          <w:sz w:val="18"/>
          <w:szCs w:val="18"/>
          <w:color w:val="auto"/>
        </w:rPr>
        <w:t>. We intend to post on our website all disclosures that are required by law or Nasdaq listing standards concerning any amendments to, or waivers from, any provision of our code of ethics.</w:t>
      </w:r>
    </w:p>
    <w:p>
      <w:pPr>
        <w:spacing w:after="0" w:line="166"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The information concerning our executive offers and directors required by this Item 10 is contained under the caption “Information about our Executive Officers and Directors” at the end of Part I of this Annual Report on Form 10-K. The remaining information required by this item is incorporated by reference to Vroom’s Proxy Statement for its 2024 Annual Meeting of Stockholders to be filed with the SEC within 120 days after the end of the fiscal year ended December 31, 2023, under the headings "Our Board of Directors," "Our Executive Officers," "Corporate Governance," and, if applicable, "Delinquent Section 16(a) Reports".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8" w:lineRule="exact"/>
        <w:rPr>
          <w:sz w:val="20"/>
          <w:szCs w:val="20"/>
          <w:color w:val="auto"/>
        </w:rPr>
      </w:pPr>
    </w:p>
    <w:p>
      <w:pPr>
        <w:ind w:right="560" w:firstLine="749"/>
        <w:spacing w:after="0" w:line="252" w:lineRule="auto"/>
        <w:rPr>
          <w:sz w:val="20"/>
          <w:szCs w:val="20"/>
          <w:color w:val="auto"/>
        </w:rPr>
      </w:pPr>
      <w:r>
        <w:rPr>
          <w:rFonts w:ascii="Arial" w:cs="Arial" w:eastAsia="Arial" w:hAnsi="Arial"/>
          <w:sz w:val="18"/>
          <w:szCs w:val="18"/>
          <w:color w:val="auto"/>
        </w:rPr>
        <w:t>The information required by this item is incorporated by reference to Vroom’s Proxy Statement for its 2024 Annual Meeting of Stockholders to be filed with the SEC within 120 days after the end of the fiscal year ended December 31, 2023, under the headings "Executive Compensation" and "Compensation Committee Interlocks and Insider Participation".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8" w:lineRule="exact"/>
        <w:rPr>
          <w:sz w:val="20"/>
          <w:szCs w:val="20"/>
          <w:color w:val="auto"/>
        </w:rPr>
      </w:pPr>
    </w:p>
    <w:p>
      <w:pPr>
        <w:ind w:right="300" w:firstLine="749"/>
        <w:spacing w:after="0" w:line="246" w:lineRule="auto"/>
        <w:rPr>
          <w:sz w:val="20"/>
          <w:szCs w:val="20"/>
          <w:color w:val="auto"/>
        </w:rPr>
      </w:pPr>
      <w:r>
        <w:rPr>
          <w:rFonts w:ascii="Arial" w:cs="Arial" w:eastAsia="Arial" w:hAnsi="Arial"/>
          <w:sz w:val="18"/>
          <w:szCs w:val="18"/>
          <w:color w:val="auto"/>
        </w:rPr>
        <w:t>The information required by this item is incorporated by reference to Vroom’s Proxy Statement for its 2024 Annual Meeting of Stockholders to be filed with the SEC within 120 days after the end of the fiscal year ended December 31, 2023, under the headings "Security Ownership of Certain Beneficial Owners and Management" and "Securities Authorized for Issuance under Equity Compensation Plans".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8" w:lineRule="exact"/>
        <w:rPr>
          <w:sz w:val="20"/>
          <w:szCs w:val="20"/>
          <w:color w:val="auto"/>
        </w:rPr>
      </w:pPr>
    </w:p>
    <w:p>
      <w:pPr>
        <w:ind w:right="40" w:firstLine="749"/>
        <w:spacing w:after="0" w:line="252" w:lineRule="auto"/>
        <w:rPr>
          <w:sz w:val="20"/>
          <w:szCs w:val="20"/>
          <w:color w:val="auto"/>
        </w:rPr>
      </w:pPr>
      <w:r>
        <w:rPr>
          <w:rFonts w:ascii="Arial" w:cs="Arial" w:eastAsia="Arial" w:hAnsi="Arial"/>
          <w:sz w:val="18"/>
          <w:szCs w:val="18"/>
          <w:color w:val="auto"/>
        </w:rPr>
        <w:t>The information required by this item is incorporated by reference to Vroom’s Proxy Statement for its 2024 Annual Meeting of Stockholders to be filed with the SEC within 120 days after the end of the fiscal year ended December 31, 2023, under the headings "Certain Relationships and Related Person Transactions" and "Corporate Governance".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98" w:lineRule="exact"/>
        <w:rPr>
          <w:sz w:val="20"/>
          <w:szCs w:val="20"/>
          <w:color w:val="auto"/>
        </w:rPr>
      </w:pPr>
    </w:p>
    <w:p>
      <w:pPr>
        <w:jc w:val="both"/>
        <w:ind w:right="540" w:firstLine="749"/>
        <w:spacing w:after="0" w:line="252" w:lineRule="auto"/>
        <w:rPr>
          <w:sz w:val="20"/>
          <w:szCs w:val="20"/>
          <w:color w:val="auto"/>
        </w:rPr>
      </w:pPr>
      <w:r>
        <w:rPr>
          <w:rFonts w:ascii="Arial" w:cs="Arial" w:eastAsia="Arial" w:hAnsi="Arial"/>
          <w:sz w:val="18"/>
          <w:szCs w:val="18"/>
          <w:color w:val="auto"/>
        </w:rPr>
        <w:t>The information required by this item is incorporated by reference to Vroom’s Proxy Statement for its 2024 Annual Meeting of Stockholders to be filed with the SEC within 120 days after the end of the fiscal year ended December 31, 2023, under the subheading "Principal Accountant Fees and Services".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11" w:lineRule="exact"/>
        <w:rPr>
          <w:sz w:val="20"/>
          <w:szCs w:val="20"/>
          <w:color w:val="auto"/>
        </w:rPr>
      </w:pPr>
    </w:p>
    <w:p>
      <w:pPr>
        <w:ind w:left="760" w:right="20" w:hanging="378"/>
        <w:spacing w:after="0" w:line="27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Statements: The Consolidated Financial Statements of Vroom are set forth in Part II, Item 8 of this Annual Report on Form 10-K.</w:t>
      </w:r>
    </w:p>
    <w:p>
      <w:pPr>
        <w:spacing w:after="0" w:line="152" w:lineRule="exact"/>
        <w:rPr>
          <w:rFonts w:ascii="Arial" w:cs="Arial" w:eastAsia="Arial" w:hAnsi="Arial"/>
          <w:sz w:val="18"/>
          <w:szCs w:val="18"/>
          <w:color w:val="auto"/>
        </w:rPr>
      </w:pPr>
    </w:p>
    <w:p>
      <w:pPr>
        <w:ind w:left="760" w:right="140" w:hanging="378"/>
        <w:spacing w:after="0" w:line="27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Financial Statement Schedules: All financial statement schedules have been omitted because they are not applicable, not material or the required information is shown in Part II, Item 8 of this Annual Report on Form 10-K.</w:t>
      </w:r>
    </w:p>
    <w:p>
      <w:pPr>
        <w:spacing w:after="0" w:line="152" w:lineRule="exact"/>
        <w:rPr>
          <w:rFonts w:ascii="Arial" w:cs="Arial" w:eastAsia="Arial" w:hAnsi="Arial"/>
          <w:sz w:val="18"/>
          <w:szCs w:val="18"/>
          <w:color w:val="auto"/>
        </w:rPr>
      </w:pPr>
    </w:p>
    <w:p>
      <w:pPr>
        <w:ind w:left="760" w:right="580" w:hanging="378"/>
        <w:spacing w:after="0" w:line="27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Exhibits: The exhibits listed in the accompanying Exhibit Index are filed, furnished or incorporated by reference as part of this Annual Report on Form 10-K.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22"/>
          </w:tcPr>
          <w:p>
            <w:pPr>
              <w:ind w:left="20"/>
              <w:spacing w:after="0"/>
              <w:rPr>
                <w:sz w:val="20"/>
                <w:szCs w:val="20"/>
                <w:color w:val="auto"/>
              </w:rPr>
            </w:pPr>
            <w:r>
              <w:rPr>
                <w:rFonts w:ascii="Arial" w:cs="Arial" w:eastAsia="Arial" w:hAnsi="Arial"/>
                <w:sz w:val="14"/>
                <w:szCs w:val="14"/>
                <w:b w:val="1"/>
                <w:bCs w:val="1"/>
                <w:color w:val="212529"/>
              </w:rPr>
              <w:t>Exhibit Description</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212529"/>
              </w:rPr>
              <w:t>Form</w:t>
            </w:r>
          </w:p>
        </w:tc>
        <w:tc>
          <w:tcPr>
            <w:tcW w:w="120" w:type="dxa"/>
            <w:vAlign w:val="bottom"/>
          </w:tcPr>
          <w:p>
            <w:pPr>
              <w:spacing w:after="0"/>
              <w:rPr>
                <w:sz w:val="14"/>
                <w:szCs w:val="14"/>
                <w:color w:val="auto"/>
              </w:rPr>
            </w:pPr>
          </w:p>
        </w:tc>
        <w:tc>
          <w:tcPr>
            <w:tcW w:w="1240" w:type="dxa"/>
            <w:vAlign w:val="bottom"/>
          </w:tcPr>
          <w:p>
            <w:pPr>
              <w:jc w:val="right"/>
              <w:ind w:right="288"/>
              <w:spacing w:after="0"/>
              <w:rPr>
                <w:sz w:val="20"/>
                <w:szCs w:val="20"/>
                <w:color w:val="auto"/>
              </w:rPr>
            </w:pPr>
            <w:r>
              <w:rPr>
                <w:rFonts w:ascii="Arial" w:cs="Arial" w:eastAsia="Arial" w:hAnsi="Arial"/>
                <w:sz w:val="14"/>
                <w:szCs w:val="14"/>
                <w:b w:val="1"/>
                <w:bCs w:val="1"/>
                <w:color w:val="212529"/>
              </w:rPr>
              <w:t>File No.</w:t>
            </w: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212529"/>
              </w:rPr>
              <w:t>Exhibit</w:t>
            </w: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212529"/>
              </w:rPr>
              <w:t>Filing</w:t>
            </w:r>
          </w:p>
        </w:tc>
        <w:tc>
          <w:tcPr>
            <w:tcW w:w="1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212529"/>
                <w:w w:val="97"/>
              </w:rPr>
              <w:t>Filed</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212529"/>
              </w:rPr>
              <w:t>Furnished</w:t>
            </w:r>
          </w:p>
        </w:tc>
        <w:tc>
          <w:tcPr>
            <w:tcW w:w="0" w:type="dxa"/>
            <w:vAlign w:val="bottom"/>
          </w:tcPr>
          <w:p>
            <w:pPr>
              <w:spacing w:after="0"/>
              <w:rPr>
                <w:sz w:val="1"/>
                <w:szCs w:val="1"/>
                <w:color w:val="auto"/>
              </w:rPr>
            </w:pPr>
          </w:p>
        </w:tc>
      </w:tr>
      <w:tr>
        <w:trPr>
          <w:trHeight w:val="185"/>
        </w:trPr>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Date</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212529"/>
              </w:rPr>
              <w:t>Herewith</w:t>
            </w:r>
          </w:p>
        </w:tc>
        <w:tc>
          <w:tcPr>
            <w:tcW w:w="0" w:type="dxa"/>
            <w:vAlign w:val="bottom"/>
          </w:tcPr>
          <w:p>
            <w:pPr>
              <w:spacing w:after="0"/>
              <w:rPr>
                <w:sz w:val="1"/>
                <w:szCs w:val="1"/>
                <w:color w:val="auto"/>
              </w:rPr>
            </w:pPr>
          </w:p>
        </w:tc>
      </w:tr>
      <w:tr>
        <w:trPr>
          <w:trHeight w:val="304"/>
        </w:trPr>
        <w:tc>
          <w:tcPr>
            <w:tcW w:w="840" w:type="dxa"/>
            <w:vAlign w:val="bottom"/>
          </w:tcPr>
          <w:p>
            <w:pPr>
              <w:ind w:lef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3240" w:type="dxa"/>
            <w:vAlign w:val="bottom"/>
            <w:gridSpan w:val="24"/>
          </w:tcPr>
          <w:p>
            <w:pPr>
              <w:spacing w:after="0"/>
              <w:rPr>
                <w:rFonts w:ascii="Arial" w:cs="Arial" w:eastAsia="Arial" w:hAnsi="Arial"/>
                <w:sz w:val="18"/>
                <w:szCs w:val="18"/>
                <w:color w:val="0000FF"/>
              </w:rPr>
            </w:pPr>
            <w:hyperlink r:id="rId536">
              <w:r>
                <w:rPr>
                  <w:rFonts w:ascii="Arial" w:cs="Arial" w:eastAsia="Arial" w:hAnsi="Arial"/>
                  <w:sz w:val="18"/>
                  <w:szCs w:val="18"/>
                  <w:color w:val="0000FF"/>
                </w:rPr>
                <w:t>Agreement and Plan of Merger, dated</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October 12,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w w:val="98"/>
              </w:rPr>
            </w:pPr>
            <w:hyperlink r:id="rId536">
              <w:r>
                <w:rPr>
                  <w:rFonts w:ascii="Arial" w:cs="Arial" w:eastAsia="Arial" w:hAnsi="Arial"/>
                  <w:sz w:val="18"/>
                  <w:szCs w:val="18"/>
                  <w:color w:val="0000FF"/>
                  <w:w w:val="98"/>
                </w:rPr>
                <w:t>as of October 11, 2021, by and among</w:t>
              </w:r>
            </w:hyperlink>
          </w:p>
        </w:tc>
        <w:tc>
          <w:tcPr>
            <w:tcW w:w="20" w:type="dxa"/>
            <w:vAlign w:val="bottom"/>
            <w:tcBorders>
              <w:bottom w:val="single" w:sz="8" w:color="0000FF"/>
            </w:tcBorders>
          </w:tcPr>
          <w:p>
            <w:pPr>
              <w:spacing w:after="0"/>
              <w:rPr>
                <w:sz w:val="15"/>
                <w:szCs w:val="15"/>
                <w:color w:val="auto"/>
              </w:rPr>
            </w:pPr>
          </w:p>
        </w:tc>
        <w:tc>
          <w:tcPr>
            <w:tcW w:w="4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20"/>
          </w:tcPr>
          <w:p>
            <w:pPr>
              <w:spacing w:after="0" w:line="182" w:lineRule="exact"/>
              <w:rPr>
                <w:rFonts w:ascii="Arial" w:cs="Arial" w:eastAsia="Arial" w:hAnsi="Arial"/>
                <w:sz w:val="18"/>
                <w:szCs w:val="18"/>
                <w:color w:val="0000FF"/>
              </w:rPr>
            </w:pPr>
            <w:hyperlink r:id="rId536">
              <w:r>
                <w:rPr>
                  <w:rFonts w:ascii="Arial" w:cs="Arial" w:eastAsia="Arial" w:hAnsi="Arial"/>
                  <w:sz w:val="18"/>
                  <w:szCs w:val="18"/>
                  <w:color w:val="0000FF"/>
                </w:rPr>
                <w:t>Vroom, Inc., Vroom Finance</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tcBorders>
              <w:top w:val="single" w:sz="8" w:color="0000FF"/>
            </w:tcBorders>
            <w:gridSpan w:val="7"/>
          </w:tcPr>
          <w:p>
            <w:pPr>
              <w:spacing w:after="0" w:line="182" w:lineRule="exact"/>
              <w:rPr>
                <w:rFonts w:ascii="Arial" w:cs="Arial" w:eastAsia="Arial" w:hAnsi="Arial"/>
                <w:sz w:val="18"/>
                <w:szCs w:val="18"/>
                <w:color w:val="0000FF"/>
                <w:w w:val="97"/>
              </w:rPr>
            </w:pPr>
            <w:hyperlink r:id="rId536">
              <w:r>
                <w:rPr>
                  <w:rFonts w:ascii="Arial" w:cs="Arial" w:eastAsia="Arial" w:hAnsi="Arial"/>
                  <w:sz w:val="18"/>
                  <w:szCs w:val="18"/>
                  <w:color w:val="0000FF"/>
                  <w:w w:val="97"/>
                </w:rPr>
                <w:t>Corporation, Unitas Holdings</w:t>
              </w:r>
            </w:hyperlink>
          </w:p>
        </w:tc>
        <w:tc>
          <w:tcPr>
            <w:tcW w:w="40" w:type="dxa"/>
            <w:vAlign w:val="bottom"/>
          </w:tcPr>
          <w:p>
            <w:pPr>
              <w:spacing w:after="0"/>
              <w:rPr>
                <w:sz w:val="15"/>
                <w:szCs w:val="15"/>
                <w:color w:val="auto"/>
              </w:rPr>
            </w:pPr>
          </w:p>
        </w:tc>
        <w:tc>
          <w:tcPr>
            <w:tcW w:w="940" w:type="dxa"/>
            <w:vAlign w:val="bottom"/>
            <w:gridSpan w:val="16"/>
          </w:tcPr>
          <w:p>
            <w:pPr>
              <w:ind w:left="40"/>
              <w:spacing w:after="0" w:line="182" w:lineRule="exact"/>
              <w:rPr>
                <w:rFonts w:ascii="Arial" w:cs="Arial" w:eastAsia="Arial" w:hAnsi="Arial"/>
                <w:sz w:val="18"/>
                <w:szCs w:val="18"/>
                <w:color w:val="0000FF"/>
              </w:rPr>
            </w:pPr>
            <w:hyperlink r:id="rId536">
              <w:r>
                <w:rPr>
                  <w:rFonts w:ascii="Arial" w:cs="Arial" w:eastAsia="Arial" w:hAnsi="Arial"/>
                  <w:sz w:val="18"/>
                  <w:szCs w:val="18"/>
                  <w:color w:val="0000FF"/>
                </w:rPr>
                <w:t>Corp. and</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8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536">
              <w:r>
                <w:rPr>
                  <w:rFonts w:ascii="Arial" w:cs="Arial" w:eastAsia="Arial" w:hAnsi="Arial"/>
                  <w:sz w:val="18"/>
                  <w:szCs w:val="18"/>
                  <w:color w:val="0000FF"/>
                </w:rPr>
                <w:t>Fortis Advisors LLC, solely in its</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536">
              <w:r>
                <w:rPr>
                  <w:rFonts w:ascii="Arial" w:cs="Arial" w:eastAsia="Arial" w:hAnsi="Arial"/>
                  <w:sz w:val="18"/>
                  <w:szCs w:val="18"/>
                  <w:color w:val="0000FF"/>
                </w:rPr>
                <w:t>capacity as the equityholders'</w:t>
              </w:r>
            </w:hyperlink>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tcBorders>
              <w:top w:val="single" w:sz="8" w:color="0000FF"/>
            </w:tcBorders>
            <w:gridSpan w:val="9"/>
          </w:tcPr>
          <w:p>
            <w:pPr>
              <w:spacing w:after="0" w:line="182" w:lineRule="exact"/>
              <w:rPr>
                <w:rFonts w:ascii="Arial" w:cs="Arial" w:eastAsia="Arial" w:hAnsi="Arial"/>
                <w:sz w:val="18"/>
                <w:szCs w:val="18"/>
                <w:color w:val="0000FF"/>
              </w:rPr>
            </w:pPr>
            <w:hyperlink r:id="rId536">
              <w:r>
                <w:rPr>
                  <w:rFonts w:ascii="Arial" w:cs="Arial" w:eastAsia="Arial" w:hAnsi="Arial"/>
                  <w:sz w:val="18"/>
                  <w:szCs w:val="18"/>
                  <w:color w:val="0000FF"/>
                </w:rPr>
                <w:t>representative</w:t>
              </w:r>
            </w:hyperlink>
          </w:p>
        </w:tc>
        <w:tc>
          <w:tcPr>
            <w:tcW w:w="10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40" w:type="dxa"/>
            <w:vAlign w:val="bottom"/>
          </w:tcPr>
          <w:p>
            <w:pPr>
              <w:ind w:left="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3240" w:type="dxa"/>
            <w:vAlign w:val="bottom"/>
            <w:gridSpan w:val="24"/>
          </w:tcPr>
          <w:p>
            <w:pPr>
              <w:spacing w:after="0"/>
              <w:rPr>
                <w:rFonts w:ascii="Arial" w:cs="Arial" w:eastAsia="Arial" w:hAnsi="Arial"/>
                <w:sz w:val="18"/>
                <w:szCs w:val="18"/>
                <w:color w:val="0000FF"/>
              </w:rPr>
            </w:pPr>
            <w:hyperlink r:id="rId537">
              <w:r>
                <w:rPr>
                  <w:rFonts w:ascii="Arial" w:cs="Arial" w:eastAsia="Arial" w:hAnsi="Arial"/>
                  <w:sz w:val="18"/>
                  <w:szCs w:val="18"/>
                  <w:color w:val="0000FF"/>
                </w:rPr>
                <w:t>Amended and Restated Certificate of</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14"/>
          </w:tcPr>
          <w:p>
            <w:pPr>
              <w:spacing w:after="0" w:line="182" w:lineRule="exact"/>
              <w:rPr>
                <w:rFonts w:ascii="Arial" w:cs="Arial" w:eastAsia="Arial" w:hAnsi="Arial"/>
                <w:sz w:val="18"/>
                <w:szCs w:val="18"/>
                <w:color w:val="0000FF"/>
              </w:rPr>
            </w:pPr>
            <w:hyperlink r:id="rId537">
              <w:r>
                <w:rPr>
                  <w:rFonts w:ascii="Arial" w:cs="Arial" w:eastAsia="Arial" w:hAnsi="Arial"/>
                  <w:sz w:val="18"/>
                  <w:szCs w:val="18"/>
                  <w:color w:val="0000FF"/>
                </w:rPr>
                <w:t>Incorporation of Vroom, Inc.</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ind w:left="20"/>
              <w:spacing w:after="0"/>
              <w:rPr>
                <w:sz w:val="20"/>
                <w:szCs w:val="20"/>
                <w:color w:val="auto"/>
              </w:rPr>
            </w:pPr>
            <w:r>
              <w:rPr>
                <w:rFonts w:ascii="Arial" w:cs="Arial" w:eastAsia="Arial" w:hAnsi="Arial"/>
                <w:sz w:val="17"/>
                <w:szCs w:val="17"/>
                <w:color w:val="auto"/>
              </w:rPr>
              <w:t>3.2</w:t>
            </w: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8"/>
              </w:rPr>
              <w:t>8-K</w:t>
            </w:r>
          </w:p>
        </w:tc>
        <w:tc>
          <w:tcPr>
            <w:tcW w:w="1360" w:type="dxa"/>
            <w:vAlign w:val="bottom"/>
            <w:gridSpan w:val="2"/>
            <w:vMerge w:val="restart"/>
          </w:tcPr>
          <w:p>
            <w:pPr>
              <w:jc w:val="center"/>
              <w:ind w:left="11"/>
              <w:spacing w:after="0"/>
              <w:rPr>
                <w:sz w:val="20"/>
                <w:szCs w:val="20"/>
                <w:color w:val="auto"/>
              </w:rPr>
            </w:pPr>
            <w:r>
              <w:rPr>
                <w:rFonts w:ascii="Arial" w:cs="Arial" w:eastAsia="Arial" w:hAnsi="Arial"/>
                <w:sz w:val="17"/>
                <w:szCs w:val="17"/>
                <w:color w:val="auto"/>
              </w:rPr>
              <w:t>001-39315</w:t>
            </w:r>
          </w:p>
        </w:tc>
        <w:tc>
          <w:tcPr>
            <w:tcW w:w="960" w:type="dxa"/>
            <w:vAlign w:val="bottom"/>
            <w:gridSpan w:val="2"/>
            <w:vMerge w:val="restart"/>
          </w:tcPr>
          <w:p>
            <w:pPr>
              <w:jc w:val="center"/>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line="20" w:lineRule="exact"/>
              <w:rPr>
                <w:sz w:val="1"/>
                <w:szCs w:val="1"/>
                <w:color w:val="auto"/>
              </w:rPr>
            </w:pPr>
          </w:p>
        </w:tc>
        <w:tc>
          <w:tcPr>
            <w:tcW w:w="1720" w:type="dxa"/>
            <w:vAlign w:val="bottom"/>
            <w:vMerge w:val="restart"/>
          </w:tcPr>
          <w:p>
            <w:pPr>
              <w:jc w:val="center"/>
              <w:spacing w:after="0"/>
              <w:rPr>
                <w:sz w:val="20"/>
                <w:szCs w:val="20"/>
                <w:color w:val="auto"/>
              </w:rPr>
            </w:pPr>
            <w:r>
              <w:rPr>
                <w:rFonts w:ascii="Arial" w:cs="Arial" w:eastAsia="Arial" w:hAnsi="Arial"/>
                <w:sz w:val="17"/>
                <w:szCs w:val="17"/>
                <w:color w:val="auto"/>
              </w:rPr>
              <w:t>February 14, 2024</w:t>
            </w: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3240" w:type="dxa"/>
            <w:vAlign w:val="bottom"/>
            <w:gridSpan w:val="24"/>
          </w:tcPr>
          <w:p>
            <w:pPr>
              <w:spacing w:after="0"/>
              <w:rPr>
                <w:rFonts w:ascii="Arial" w:cs="Arial" w:eastAsia="Arial" w:hAnsi="Arial"/>
                <w:sz w:val="18"/>
                <w:szCs w:val="18"/>
                <w:color w:val="0000FF"/>
              </w:rPr>
            </w:pPr>
            <w:hyperlink r:id="rId538">
              <w:r>
                <w:rPr>
                  <w:rFonts w:ascii="Arial" w:cs="Arial" w:eastAsia="Arial" w:hAnsi="Arial"/>
                  <w:sz w:val="18"/>
                  <w:szCs w:val="18"/>
                  <w:color w:val="0000FF"/>
                </w:rPr>
                <w:t>Certificate of Amendment of Amended</w:t>
              </w:r>
            </w:hyperlink>
          </w:p>
        </w:tc>
        <w:tc>
          <w:tcPr>
            <w:tcW w:w="22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360" w:type="dxa"/>
            <w:vAlign w:val="bottom"/>
            <w:gridSpan w:val="2"/>
            <w:vMerge w:val="continue"/>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gridSpan w:val="19"/>
          </w:tcPr>
          <w:p>
            <w:pPr>
              <w:spacing w:after="0" w:line="182" w:lineRule="exact"/>
              <w:rPr>
                <w:rFonts w:ascii="Arial" w:cs="Arial" w:eastAsia="Arial" w:hAnsi="Arial"/>
                <w:sz w:val="18"/>
                <w:szCs w:val="18"/>
                <w:color w:val="0000FF"/>
                <w:w w:val="94"/>
              </w:rPr>
            </w:pPr>
            <w:hyperlink r:id="rId538">
              <w:r>
                <w:rPr>
                  <w:rFonts w:ascii="Arial" w:cs="Arial" w:eastAsia="Arial" w:hAnsi="Arial"/>
                  <w:sz w:val="18"/>
                  <w:szCs w:val="18"/>
                  <w:color w:val="0000FF"/>
                  <w:w w:val="94"/>
                </w:rPr>
                <w:t>and Restated Certificate of Incorporation</w:t>
              </w:r>
            </w:hyperlink>
          </w:p>
        </w:tc>
        <w:tc>
          <w:tcPr>
            <w:tcW w:w="40" w:type="dxa"/>
            <w:vAlign w:val="bottom"/>
            <w:gridSpan w:val="2"/>
            <w:vMerge w:val="continue"/>
          </w:tcPr>
          <w:p>
            <w:pPr>
              <w:spacing w:after="0"/>
              <w:rPr>
                <w:sz w:val="15"/>
                <w:szCs w:val="15"/>
                <w:color w:val="auto"/>
              </w:rPr>
            </w:pPr>
          </w:p>
        </w:tc>
        <w:tc>
          <w:tcPr>
            <w:tcW w:w="8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20" w:type="dxa"/>
            <w:vAlign w:val="bottom"/>
            <w:tcBorders>
              <w:top w:val="single" w:sz="8" w:color="0000FF"/>
              <w:bottom w:val="single" w:sz="8" w:color="0000FF"/>
            </w:tcBorders>
            <w:gridSpan w:val="23"/>
          </w:tcPr>
          <w:p>
            <w:pPr>
              <w:spacing w:after="0" w:line="182" w:lineRule="exact"/>
              <w:rPr>
                <w:rFonts w:ascii="Arial" w:cs="Arial" w:eastAsia="Arial" w:hAnsi="Arial"/>
                <w:sz w:val="18"/>
                <w:szCs w:val="18"/>
                <w:color w:val="0000FF"/>
                <w:w w:val="98"/>
              </w:rPr>
            </w:pPr>
            <w:hyperlink r:id="rId538">
              <w:r>
                <w:rPr>
                  <w:rFonts w:ascii="Arial" w:cs="Arial" w:eastAsia="Arial" w:hAnsi="Arial"/>
                  <w:sz w:val="18"/>
                  <w:szCs w:val="18"/>
                  <w:color w:val="0000FF"/>
                  <w:w w:val="98"/>
                </w:rPr>
                <w:t>of Vroom, Inc., dated February 13, 2024.</w:t>
              </w:r>
            </w:hyperlink>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840" w:type="dxa"/>
            <w:vAlign w:val="bottom"/>
          </w:tcPr>
          <w:p>
            <w:pPr>
              <w:ind w:left="2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3240" w:type="dxa"/>
            <w:vAlign w:val="bottom"/>
            <w:gridSpan w:val="24"/>
          </w:tcPr>
          <w:p>
            <w:pPr>
              <w:spacing w:after="0"/>
              <w:rPr>
                <w:rFonts w:ascii="Arial" w:cs="Arial" w:eastAsia="Arial" w:hAnsi="Arial"/>
                <w:sz w:val="18"/>
                <w:szCs w:val="18"/>
                <w:color w:val="0000FF"/>
              </w:rPr>
            </w:pPr>
            <w:hyperlink r:id="rId539">
              <w:r>
                <w:rPr>
                  <w:rFonts w:ascii="Arial" w:cs="Arial" w:eastAsia="Arial" w:hAnsi="Arial"/>
                  <w:sz w:val="18"/>
                  <w:szCs w:val="18"/>
                  <w:color w:val="0000FF"/>
                </w:rPr>
                <w:t>Amended and Restated Bylaws of</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720" w:type="dxa"/>
            <w:vAlign w:val="bottom"/>
          </w:tcPr>
          <w:p>
            <w:pPr>
              <w:ind w:left="260"/>
              <w:spacing w:after="0"/>
              <w:rPr>
                <w:sz w:val="20"/>
                <w:szCs w:val="20"/>
                <w:color w:val="auto"/>
              </w:rPr>
            </w:pPr>
            <w:r>
              <w:rPr>
                <w:rFonts w:ascii="Arial" w:cs="Arial" w:eastAsia="Arial" w:hAnsi="Arial"/>
                <w:sz w:val="18"/>
                <w:szCs w:val="18"/>
                <w:color w:val="auto"/>
              </w:rPr>
              <w:t>August 13,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5"/>
              </w:rPr>
            </w:pPr>
            <w:hyperlink r:id="rId539">
              <w:r>
                <w:rPr>
                  <w:rFonts w:ascii="Arial" w:cs="Arial" w:eastAsia="Arial" w:hAnsi="Arial"/>
                  <w:sz w:val="18"/>
                  <w:szCs w:val="18"/>
                  <w:color w:val="0000FF"/>
                  <w:w w:val="95"/>
                </w:rPr>
                <w:t>Vroom, Inc.</w:t>
              </w:r>
            </w:hyperlink>
          </w:p>
        </w:tc>
        <w:tc>
          <w:tcPr>
            <w:tcW w:w="20" w:type="dxa"/>
            <w:vAlign w:val="bottom"/>
            <w:tcBorders>
              <w:top w:val="single" w:sz="8" w:color="0000FF"/>
              <w:bottom w:val="single" w:sz="8" w:color="0000EE"/>
            </w:tcBorders>
          </w:tcPr>
          <w:p>
            <w:pPr>
              <w:spacing w:after="0"/>
              <w:rPr>
                <w:sz w:val="15"/>
                <w:szCs w:val="15"/>
                <w:color w:val="auto"/>
              </w:rPr>
            </w:pPr>
          </w:p>
        </w:tc>
        <w:tc>
          <w:tcPr>
            <w:tcW w:w="1820" w:type="dxa"/>
            <w:vAlign w:val="bottom"/>
            <w:tcBorders>
              <w:top w:val="single" w:sz="8" w:color="0000FF"/>
            </w:tcBorders>
            <w:gridSpan w:val="10"/>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0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84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3240" w:type="dxa"/>
            <w:vAlign w:val="bottom"/>
            <w:gridSpan w:val="24"/>
          </w:tcPr>
          <w:p>
            <w:pPr>
              <w:spacing w:after="0"/>
              <w:rPr>
                <w:rFonts w:ascii="Arial" w:cs="Arial" w:eastAsia="Arial" w:hAnsi="Arial"/>
                <w:sz w:val="18"/>
                <w:szCs w:val="18"/>
                <w:color w:val="0000FF"/>
              </w:rPr>
            </w:pPr>
            <w:hyperlink r:id="rId540">
              <w:r>
                <w:rPr>
                  <w:rFonts w:ascii="Arial" w:cs="Arial" w:eastAsia="Arial" w:hAnsi="Arial"/>
                  <w:sz w:val="18"/>
                  <w:szCs w:val="18"/>
                  <w:color w:val="0000FF"/>
                </w:rPr>
                <w:t>Specimen Stock Certificate evidencing</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jc w:val="center"/>
              <w:ind w:left="31"/>
              <w:spacing w:after="0"/>
              <w:rPr>
                <w:sz w:val="20"/>
                <w:szCs w:val="20"/>
                <w:color w:val="auto"/>
              </w:rPr>
            </w:pPr>
            <w:r>
              <w:rPr>
                <w:rFonts w:ascii="Arial" w:cs="Arial" w:eastAsia="Arial" w:hAnsi="Arial"/>
                <w:sz w:val="18"/>
                <w:szCs w:val="18"/>
                <w:color w:val="auto"/>
                <w:w w:val="99"/>
              </w:rPr>
              <w:t>333-238482</w:t>
            </w:r>
          </w:p>
        </w:tc>
        <w:tc>
          <w:tcPr>
            <w:tcW w:w="960" w:type="dxa"/>
            <w:vAlign w:val="bottom"/>
            <w:gridSpan w:val="2"/>
          </w:tcPr>
          <w:p>
            <w:pPr>
              <w:jc w:val="center"/>
              <w:ind w:lef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June 1,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8"/>
              </w:rPr>
            </w:pPr>
            <w:hyperlink r:id="rId540">
              <w:r>
                <w:rPr>
                  <w:rFonts w:ascii="Arial" w:cs="Arial" w:eastAsia="Arial" w:hAnsi="Arial"/>
                  <w:sz w:val="18"/>
                  <w:szCs w:val="18"/>
                  <w:color w:val="0000FF"/>
                  <w:w w:val="98"/>
                </w:rPr>
                <w:t>the shares of common stock</w:t>
              </w:r>
            </w:hyperlink>
          </w:p>
        </w:tc>
        <w:tc>
          <w:tcPr>
            <w:tcW w:w="900" w:type="dxa"/>
            <w:vAlign w:val="bottom"/>
            <w:tcBorders>
              <w:top w:val="single" w:sz="8" w:color="0000FF"/>
            </w:tcBorders>
            <w:gridSpan w:val="15"/>
          </w:tcPr>
          <w:p>
            <w:pPr>
              <w:spacing w:after="0"/>
              <w:rPr>
                <w:sz w:val="15"/>
                <w:szCs w:val="15"/>
                <w:color w:val="auto"/>
              </w:rPr>
            </w:pPr>
          </w:p>
        </w:tc>
        <w:tc>
          <w:tcPr>
            <w:tcW w:w="100" w:type="dxa"/>
            <w:vAlign w:val="bottom"/>
            <w:gridSpan w:val="3"/>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840" w:type="dxa"/>
            <w:vAlign w:val="bottom"/>
          </w:tcPr>
          <w:p>
            <w:pPr>
              <w:ind w:left="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3240" w:type="dxa"/>
            <w:vAlign w:val="bottom"/>
            <w:gridSpan w:val="24"/>
          </w:tcPr>
          <w:p>
            <w:pPr>
              <w:spacing w:after="0"/>
              <w:rPr>
                <w:rFonts w:ascii="Arial" w:cs="Arial" w:eastAsia="Arial" w:hAnsi="Arial"/>
                <w:sz w:val="18"/>
                <w:szCs w:val="18"/>
                <w:color w:val="0000FF"/>
              </w:rPr>
            </w:pPr>
            <w:hyperlink r:id="rId541">
              <w:r>
                <w:rPr>
                  <w:rFonts w:ascii="Arial" w:cs="Arial" w:eastAsia="Arial" w:hAnsi="Arial"/>
                  <w:sz w:val="18"/>
                  <w:szCs w:val="18"/>
                  <w:color w:val="0000FF"/>
                </w:rPr>
                <w:t>Indenture, dated as of June 18, 2021,</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June 21,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2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541">
              <w:r>
                <w:rPr>
                  <w:rFonts w:ascii="Arial" w:cs="Arial" w:eastAsia="Arial" w:hAnsi="Arial"/>
                  <w:sz w:val="18"/>
                  <w:szCs w:val="18"/>
                  <w:color w:val="0000FF"/>
                </w:rPr>
                <w:t>between Vroom, Inc. and U.S. Bank</w:t>
              </w:r>
            </w:hyperlink>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5"/>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541">
              <w:r>
                <w:rPr>
                  <w:rFonts w:ascii="Arial" w:cs="Arial" w:eastAsia="Arial" w:hAnsi="Arial"/>
                  <w:sz w:val="18"/>
                  <w:szCs w:val="18"/>
                  <w:color w:val="0000FF"/>
                </w:rPr>
                <w:t>National Association, as trustee</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5"/>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840" w:type="dxa"/>
            <w:vAlign w:val="bottom"/>
          </w:tcPr>
          <w:p>
            <w:pPr>
              <w:ind w:left="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3240" w:type="dxa"/>
            <w:vAlign w:val="bottom"/>
            <w:gridSpan w:val="24"/>
          </w:tcPr>
          <w:p>
            <w:pPr>
              <w:spacing w:after="0"/>
              <w:rPr>
                <w:rFonts w:ascii="Arial" w:cs="Arial" w:eastAsia="Arial" w:hAnsi="Arial"/>
                <w:sz w:val="18"/>
                <w:szCs w:val="18"/>
                <w:color w:val="0000FF"/>
              </w:rPr>
            </w:pPr>
            <w:hyperlink r:id="rId541">
              <w:r>
                <w:rPr>
                  <w:rFonts w:ascii="Arial" w:cs="Arial" w:eastAsia="Arial" w:hAnsi="Arial"/>
                  <w:sz w:val="18"/>
                  <w:szCs w:val="18"/>
                  <w:color w:val="0000FF"/>
                </w:rPr>
                <w:t>Form of Global Note representing the</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001-39315</w:t>
            </w:r>
          </w:p>
        </w:tc>
        <w:tc>
          <w:tcPr>
            <w:tcW w:w="960" w:type="dxa"/>
            <w:vAlign w:val="bottom"/>
            <w:gridSpan w:val="2"/>
          </w:tcPr>
          <w:p>
            <w:pPr>
              <w:jc w:val="center"/>
              <w:ind w:lef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June 21, 2021</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8"/>
              </w:rPr>
            </w:pPr>
            <w:hyperlink r:id="rId541">
              <w:r>
                <w:rPr>
                  <w:rFonts w:ascii="Arial" w:cs="Arial" w:eastAsia="Arial" w:hAnsi="Arial"/>
                  <w:sz w:val="18"/>
                  <w:szCs w:val="18"/>
                  <w:color w:val="0000FF"/>
                  <w:w w:val="98"/>
                </w:rPr>
                <w:t>0.</w:t>
              </w:r>
              <w:r>
                <w:rPr>
                  <w:rFonts w:ascii="Arial" w:cs="Arial" w:eastAsia="Arial" w:hAnsi="Arial"/>
                  <w:sz w:val="18"/>
                  <w:szCs w:val="18"/>
                  <w:u w:val="single" w:color="auto"/>
                  <w:color w:val="0000FF"/>
                  <w:w w:val="98"/>
                </w:rPr>
                <w:t>750%</w:t>
              </w:r>
              <w:r>
                <w:rPr>
                  <w:rFonts w:ascii="Arial" w:cs="Arial" w:eastAsia="Arial" w:hAnsi="Arial"/>
                  <w:sz w:val="18"/>
                  <w:szCs w:val="18"/>
                  <w:color w:val="0000FF"/>
                  <w:w w:val="98"/>
                </w:rPr>
                <w:t xml:space="preserve"> Convertible Senior Notes due</w:t>
              </w:r>
            </w:hyperlink>
          </w:p>
        </w:tc>
        <w:tc>
          <w:tcPr>
            <w:tcW w:w="60" w:type="dxa"/>
            <w:vAlign w:val="bottom"/>
            <w:tcBorders>
              <w:bottom w:val="single" w:sz="8" w:color="0000FF"/>
            </w:tcBorders>
            <w:gridSpan w:val="3"/>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5"/>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60" w:type="dxa"/>
            <w:vAlign w:val="bottom"/>
            <w:gridSpan w:val="18"/>
          </w:tcPr>
          <w:p>
            <w:pPr>
              <w:spacing w:after="0" w:line="182" w:lineRule="exact"/>
              <w:rPr>
                <w:rFonts w:ascii="Arial" w:cs="Arial" w:eastAsia="Arial" w:hAnsi="Arial"/>
                <w:sz w:val="18"/>
                <w:szCs w:val="18"/>
                <w:color w:val="0000FF"/>
              </w:rPr>
            </w:pPr>
            <w:hyperlink r:id="rId541">
              <w:r>
                <w:rPr>
                  <w:rFonts w:ascii="Arial" w:cs="Arial" w:eastAsia="Arial" w:hAnsi="Arial"/>
                  <w:sz w:val="18"/>
                  <w:szCs w:val="18"/>
                  <w:color w:val="0000FF"/>
                </w:rPr>
                <w:t>2026 (included in Exhibit 4.2)</w:t>
              </w:r>
            </w:hyperlink>
          </w:p>
        </w:tc>
        <w:tc>
          <w:tcPr>
            <w:tcW w:w="40" w:type="dxa"/>
            <w:vAlign w:val="bottom"/>
          </w:tcPr>
          <w:p>
            <w:pPr>
              <w:spacing w:after="0"/>
              <w:rPr>
                <w:sz w:val="15"/>
                <w:szCs w:val="15"/>
                <w:color w:val="auto"/>
              </w:rPr>
            </w:pPr>
          </w:p>
        </w:tc>
        <w:tc>
          <w:tcPr>
            <w:tcW w:w="140" w:type="dxa"/>
            <w:vAlign w:val="bottom"/>
            <w:gridSpan w:val="5"/>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40" w:type="dxa"/>
            <w:vAlign w:val="bottom"/>
          </w:tcPr>
          <w:p>
            <w:pPr>
              <w:ind w:left="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3240" w:type="dxa"/>
            <w:vAlign w:val="bottom"/>
            <w:gridSpan w:val="24"/>
          </w:tcPr>
          <w:p>
            <w:pPr>
              <w:spacing w:after="0"/>
              <w:rPr>
                <w:rFonts w:ascii="Arial" w:cs="Arial" w:eastAsia="Arial" w:hAnsi="Arial"/>
                <w:sz w:val="18"/>
                <w:szCs w:val="18"/>
                <w:color w:val="0000FF"/>
              </w:rPr>
            </w:pPr>
            <w:hyperlink r:id="rId542">
              <w:r>
                <w:rPr>
                  <w:rFonts w:ascii="Arial" w:cs="Arial" w:eastAsia="Arial" w:hAnsi="Arial"/>
                  <w:sz w:val="18"/>
                  <w:szCs w:val="18"/>
                  <w:color w:val="0000FF"/>
                </w:rPr>
                <w:t>Eighth Amended and Restated</w:t>
              </w:r>
            </w:hyperlink>
          </w:p>
        </w:tc>
        <w:tc>
          <w:tcPr>
            <w:tcW w:w="2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jc w:val="center"/>
              <w:ind w:left="31"/>
              <w:spacing w:after="0"/>
              <w:rPr>
                <w:sz w:val="20"/>
                <w:szCs w:val="20"/>
                <w:color w:val="auto"/>
              </w:rPr>
            </w:pPr>
            <w:r>
              <w:rPr>
                <w:rFonts w:ascii="Arial" w:cs="Arial" w:eastAsia="Arial" w:hAnsi="Arial"/>
                <w:sz w:val="18"/>
                <w:szCs w:val="18"/>
                <w:color w:val="auto"/>
                <w:w w:val="99"/>
              </w:rPr>
              <w:t>333-238482</w:t>
            </w:r>
          </w:p>
        </w:tc>
        <w:tc>
          <w:tcPr>
            <w:tcW w:w="960" w:type="dxa"/>
            <w:vAlign w:val="bottom"/>
            <w:gridSpan w:val="2"/>
          </w:tcPr>
          <w:p>
            <w:pPr>
              <w:jc w:val="center"/>
              <w:ind w:lef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8"/>
              </w:rPr>
              <w:t>May 18, 2020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500" w:type="dxa"/>
            <w:vAlign w:val="bottom"/>
            <w:gridSpan w:val="7"/>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24"/>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Investors’ Rights Agreement, dated as</w:t>
              </w:r>
            </w:hyperlink>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of November 21, 2019, by and among</w:t>
              </w:r>
            </w:hyperlink>
          </w:p>
        </w:tc>
        <w:tc>
          <w:tcPr>
            <w:tcW w:w="140" w:type="dxa"/>
            <w:vAlign w:val="bottom"/>
            <w:gridSpan w:val="5"/>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0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Vroom, Inc. and certain holders of its</w:t>
              </w:r>
            </w:hyperlink>
          </w:p>
        </w:tc>
        <w:tc>
          <w:tcPr>
            <w:tcW w:w="140" w:type="dxa"/>
            <w:vAlign w:val="bottom"/>
            <w:gridSpan w:val="5"/>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542">
              <w:r>
                <w:rPr>
                  <w:rFonts w:ascii="Arial" w:cs="Arial" w:eastAsia="Arial" w:hAnsi="Arial"/>
                  <w:sz w:val="18"/>
                  <w:szCs w:val="18"/>
                  <w:color w:val="0000FF"/>
                </w:rPr>
                <w:t>capital stock</w:t>
              </w:r>
            </w:hyperlink>
          </w:p>
        </w:tc>
        <w:tc>
          <w:tcPr>
            <w:tcW w:w="260" w:type="dxa"/>
            <w:vAlign w:val="bottom"/>
            <w:gridSpan w:val="10"/>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74"/>
        </w:trPr>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gridSpan w:val="2"/>
          </w:tcPr>
          <w:p>
            <w:pPr>
              <w:jc w:val="right"/>
              <w:ind w:right="768"/>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8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07"/>
        </w:trPr>
        <w:tc>
          <w:tcPr>
            <w:tcW w:w="4200" w:type="dxa"/>
            <w:vAlign w:val="bottom"/>
            <w:gridSpan w:val="24"/>
          </w:tcPr>
          <w:p>
            <w:pPr>
              <w:spacing w:after="0"/>
              <w:rPr>
                <w:sz w:val="20"/>
                <w:szCs w:val="20"/>
                <w:color w:val="auto"/>
              </w:rPr>
            </w:pPr>
            <w:r>
              <w:rPr>
                <w:rFonts w:ascii="Arial" w:cs="Arial" w:eastAsia="Arial" w:hAnsi="Arial"/>
                <w:sz w:val="18"/>
                <w:szCs w:val="18"/>
                <w:color w:val="0000FF"/>
              </w:rPr>
              <w:t>Table of Contents</w:t>
            </w:r>
          </w:p>
        </w:tc>
        <w:tc>
          <w:tcPr>
            <w:tcW w:w="10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80" w:type="dxa"/>
            <w:vAlign w:val="bottom"/>
          </w:tcPr>
          <w:p>
            <w:pPr>
              <w:ind w:left="80"/>
              <w:spacing w:after="0"/>
              <w:rPr>
                <w:sz w:val="20"/>
                <w:szCs w:val="20"/>
                <w:color w:val="auto"/>
              </w:rPr>
            </w:pPr>
            <w:r>
              <w:rPr>
                <w:rFonts w:ascii="Arial" w:cs="Arial" w:eastAsia="Arial" w:hAnsi="Arial"/>
                <w:sz w:val="18"/>
                <w:szCs w:val="18"/>
                <w:color w:val="auto"/>
              </w:rPr>
              <w:t>4.5</w:t>
            </w:r>
          </w:p>
        </w:tc>
        <w:tc>
          <w:tcPr>
            <w:tcW w:w="3220" w:type="dxa"/>
            <w:vAlign w:val="bottom"/>
            <w:gridSpan w:val="23"/>
          </w:tcPr>
          <w:p>
            <w:pPr>
              <w:spacing w:after="0"/>
              <w:rPr>
                <w:rFonts w:ascii="Arial" w:cs="Arial" w:eastAsia="Arial" w:hAnsi="Arial"/>
                <w:sz w:val="18"/>
                <w:szCs w:val="18"/>
                <w:color w:val="0000FF"/>
              </w:rPr>
            </w:pPr>
            <w:hyperlink r:id="rId545">
              <w:r>
                <w:rPr>
                  <w:rFonts w:ascii="Arial" w:cs="Arial" w:eastAsia="Arial" w:hAnsi="Arial"/>
                  <w:sz w:val="18"/>
                  <w:szCs w:val="18"/>
                  <w:color w:val="0000FF"/>
                </w:rPr>
                <w:t>Description of Registrant’s Securities</w:t>
              </w:r>
            </w:hyperlink>
          </w:p>
        </w:tc>
        <w:tc>
          <w:tcPr>
            <w:tcW w:w="1080" w:type="dxa"/>
            <w:vAlign w:val="bottom"/>
          </w:tcPr>
          <w:p>
            <w:pPr>
              <w:jc w:val="center"/>
              <w:ind w:left="13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center"/>
              <w:spacing w:after="0"/>
              <w:rPr>
                <w:sz w:val="20"/>
                <w:szCs w:val="20"/>
                <w:color w:val="auto"/>
              </w:rPr>
            </w:pPr>
            <w:r>
              <w:rPr>
                <w:rFonts w:ascii="Arial" w:cs="Arial" w:eastAsia="Arial" w:hAnsi="Arial"/>
                <w:sz w:val="18"/>
                <w:szCs w:val="18"/>
                <w:color w:val="auto"/>
              </w:rPr>
              <w:t>4.3</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March 3, 2021</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980" w:type="dxa"/>
            <w:vAlign w:val="bottom"/>
          </w:tcPr>
          <w:p>
            <w:pPr>
              <w:ind w:left="20"/>
              <w:spacing w:after="0"/>
              <w:rPr>
                <w:sz w:val="20"/>
                <w:szCs w:val="20"/>
                <w:color w:val="auto"/>
              </w:rPr>
            </w:pPr>
            <w:r>
              <w:rPr>
                <w:rFonts w:ascii="Arial" w:cs="Arial" w:eastAsia="Arial" w:hAnsi="Arial"/>
                <w:sz w:val="18"/>
                <w:szCs w:val="18"/>
                <w:color w:val="auto"/>
              </w:rPr>
              <w:t>10.1†</w:t>
            </w:r>
          </w:p>
        </w:tc>
        <w:tc>
          <w:tcPr>
            <w:tcW w:w="3220" w:type="dxa"/>
            <w:vAlign w:val="bottom"/>
            <w:gridSpan w:val="23"/>
          </w:tcPr>
          <w:p>
            <w:pPr>
              <w:spacing w:after="0"/>
              <w:rPr>
                <w:rFonts w:ascii="Arial" w:cs="Arial" w:eastAsia="Arial" w:hAnsi="Arial"/>
                <w:sz w:val="18"/>
                <w:szCs w:val="18"/>
                <w:color w:val="0000FF"/>
              </w:rPr>
            </w:pPr>
            <w:hyperlink r:id="rId546">
              <w:r>
                <w:rPr>
                  <w:rFonts w:ascii="Arial" w:cs="Arial" w:eastAsia="Arial" w:hAnsi="Arial"/>
                  <w:sz w:val="18"/>
                  <w:szCs w:val="18"/>
                  <w:color w:val="0000FF"/>
                </w:rPr>
                <w:t>Second Amended &amp; Restated 2014</w:t>
              </w:r>
            </w:hyperlink>
          </w:p>
        </w:tc>
        <w:tc>
          <w:tcPr>
            <w:tcW w:w="1080" w:type="dxa"/>
            <w:vAlign w:val="bottom"/>
          </w:tcPr>
          <w:p>
            <w:pPr>
              <w:jc w:val="center"/>
              <w:ind w:left="130"/>
              <w:spacing w:after="0"/>
              <w:rPr>
                <w:sz w:val="20"/>
                <w:szCs w:val="20"/>
                <w:color w:val="auto"/>
              </w:rPr>
            </w:pPr>
            <w:r>
              <w:rPr>
                <w:rFonts w:ascii="Arial" w:cs="Arial" w:eastAsia="Arial" w:hAnsi="Arial"/>
                <w:sz w:val="18"/>
                <w:szCs w:val="18"/>
                <w:color w:val="auto"/>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8"/>
              </w:rPr>
              <w:t>May 18, 2020</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tcPr>
          <w:p>
            <w:pPr>
              <w:spacing w:after="0"/>
              <w:rPr>
                <w:sz w:val="15"/>
                <w:szCs w:val="15"/>
                <w:color w:val="auto"/>
              </w:rPr>
            </w:pPr>
          </w:p>
        </w:tc>
        <w:tc>
          <w:tcPr>
            <w:tcW w:w="2860" w:type="dxa"/>
            <w:vAlign w:val="bottom"/>
            <w:gridSpan w:val="17"/>
          </w:tcPr>
          <w:p>
            <w:pPr>
              <w:spacing w:after="0" w:line="182" w:lineRule="exact"/>
              <w:rPr>
                <w:rFonts w:ascii="Arial" w:cs="Arial" w:eastAsia="Arial" w:hAnsi="Arial"/>
                <w:sz w:val="18"/>
                <w:szCs w:val="18"/>
                <w:color w:val="0000FF"/>
              </w:rPr>
            </w:pPr>
            <w:hyperlink r:id="rId546">
              <w:r>
                <w:rPr>
                  <w:rFonts w:ascii="Arial" w:cs="Arial" w:eastAsia="Arial" w:hAnsi="Arial"/>
                  <w:sz w:val="18"/>
                  <w:szCs w:val="18"/>
                  <w:color w:val="0000FF"/>
                </w:rPr>
                <w:t>Equity Incentive Plan, as amended</w:t>
              </w:r>
            </w:hyperlink>
          </w:p>
        </w:tc>
        <w:tc>
          <w:tcPr>
            <w:tcW w:w="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980" w:type="dxa"/>
            <w:vAlign w:val="bottom"/>
          </w:tcPr>
          <w:p>
            <w:pPr>
              <w:ind w:left="20"/>
              <w:spacing w:after="0"/>
              <w:rPr>
                <w:sz w:val="20"/>
                <w:szCs w:val="20"/>
                <w:color w:val="auto"/>
              </w:rPr>
            </w:pPr>
            <w:r>
              <w:rPr>
                <w:rFonts w:ascii="Arial" w:cs="Arial" w:eastAsia="Arial" w:hAnsi="Arial"/>
                <w:sz w:val="18"/>
                <w:szCs w:val="18"/>
                <w:color w:val="auto"/>
              </w:rPr>
              <w:t>10.2†</w:t>
            </w:r>
          </w:p>
        </w:tc>
        <w:tc>
          <w:tcPr>
            <w:tcW w:w="3220" w:type="dxa"/>
            <w:vAlign w:val="bottom"/>
            <w:gridSpan w:val="23"/>
          </w:tcPr>
          <w:p>
            <w:pPr>
              <w:spacing w:after="0"/>
              <w:rPr>
                <w:rFonts w:ascii="Arial" w:cs="Arial" w:eastAsia="Arial" w:hAnsi="Arial"/>
                <w:sz w:val="18"/>
                <w:szCs w:val="18"/>
                <w:color w:val="0000FF"/>
              </w:rPr>
            </w:pPr>
            <w:hyperlink r:id="rId547">
              <w:r>
                <w:rPr>
                  <w:rFonts w:ascii="Arial" w:cs="Arial" w:eastAsia="Arial" w:hAnsi="Arial"/>
                  <w:sz w:val="18"/>
                  <w:szCs w:val="18"/>
                  <w:color w:val="0000FF"/>
                </w:rPr>
                <w:t>First Amendment to the Second</w:t>
              </w:r>
            </w:hyperlink>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August 13, 2020</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60" w:type="dxa"/>
            <w:vAlign w:val="bottom"/>
            <w:gridSpan w:val="12"/>
            <w:vMerge w:val="restart"/>
          </w:tcPr>
          <w:p>
            <w:pPr>
              <w:spacing w:after="0" w:line="202" w:lineRule="exact"/>
              <w:rPr>
                <w:rFonts w:ascii="Arial" w:cs="Arial" w:eastAsia="Arial" w:hAnsi="Arial"/>
                <w:sz w:val="18"/>
                <w:szCs w:val="18"/>
                <w:color w:val="0000FF"/>
              </w:rPr>
            </w:pPr>
            <w:hyperlink r:id="rId547">
              <w:r>
                <w:rPr>
                  <w:rFonts w:ascii="Arial" w:cs="Arial" w:eastAsia="Arial" w:hAnsi="Arial"/>
                  <w:sz w:val="18"/>
                  <w:szCs w:val="18"/>
                  <w:color w:val="0000FF"/>
                </w:rPr>
                <w:t>Inc.</w:t>
              </w:r>
            </w:hyperlink>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tcPr>
          <w:p>
            <w:pPr>
              <w:spacing w:after="0"/>
              <w:rPr>
                <w:sz w:val="15"/>
                <w:szCs w:val="15"/>
                <w:color w:val="auto"/>
              </w:rPr>
            </w:pPr>
          </w:p>
        </w:tc>
        <w:tc>
          <w:tcPr>
            <w:tcW w:w="2560" w:type="dxa"/>
            <w:vAlign w:val="bottom"/>
            <w:gridSpan w:val="11"/>
          </w:tcPr>
          <w:p>
            <w:pPr>
              <w:spacing w:after="0" w:line="182" w:lineRule="exact"/>
              <w:rPr>
                <w:rFonts w:ascii="Arial" w:cs="Arial" w:eastAsia="Arial" w:hAnsi="Arial"/>
                <w:sz w:val="18"/>
                <w:szCs w:val="18"/>
                <w:color w:val="0000FF"/>
              </w:rPr>
            </w:pPr>
            <w:hyperlink r:id="rId547">
              <w:r>
                <w:rPr>
                  <w:rFonts w:ascii="Arial" w:cs="Arial" w:eastAsia="Arial" w:hAnsi="Arial"/>
                  <w:sz w:val="18"/>
                  <w:szCs w:val="18"/>
                  <w:color w:val="0000FF"/>
                </w:rPr>
                <w:t>Amended and Restated Vroom,</w:t>
              </w:r>
            </w:hyperlink>
          </w:p>
        </w:tc>
        <w:tc>
          <w:tcPr>
            <w:tcW w:w="660" w:type="dxa"/>
            <w:vAlign w:val="bottom"/>
            <w:gridSpan w:val="12"/>
            <w:vMerge w:val="continue"/>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68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8"/>
              </w:rPr>
            </w:pPr>
            <w:hyperlink r:id="rId547">
              <w:r>
                <w:rPr>
                  <w:rFonts w:ascii="Arial" w:cs="Arial" w:eastAsia="Arial" w:hAnsi="Arial"/>
                  <w:sz w:val="18"/>
                  <w:szCs w:val="18"/>
                  <w:color w:val="0000FF"/>
                  <w:w w:val="98"/>
                </w:rPr>
                <w:t>2014 Equity Incentive Award Plan</w:t>
              </w:r>
            </w:hyperlink>
          </w:p>
        </w:tc>
        <w:tc>
          <w:tcPr>
            <w:tcW w:w="240" w:type="dxa"/>
            <w:vAlign w:val="bottom"/>
            <w:tcBorders>
              <w:top w:val="single" w:sz="8" w:color="0000FF"/>
            </w:tcBorders>
            <w:gridSpan w:val="4"/>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10.3†</w:t>
            </w:r>
          </w:p>
        </w:tc>
        <w:tc>
          <w:tcPr>
            <w:tcW w:w="3220" w:type="dxa"/>
            <w:vAlign w:val="bottom"/>
            <w:gridSpan w:val="23"/>
          </w:tcPr>
          <w:p>
            <w:pPr>
              <w:spacing w:after="0"/>
              <w:rPr>
                <w:rFonts w:ascii="Arial" w:cs="Arial" w:eastAsia="Arial" w:hAnsi="Arial"/>
                <w:sz w:val="18"/>
                <w:szCs w:val="18"/>
                <w:color w:val="0000FF"/>
              </w:rPr>
            </w:pPr>
            <w:hyperlink r:id="rId548">
              <w:r>
                <w:rPr>
                  <w:rFonts w:ascii="Arial" w:cs="Arial" w:eastAsia="Arial" w:hAnsi="Arial"/>
                  <w:sz w:val="18"/>
                  <w:szCs w:val="18"/>
                  <w:color w:val="0000FF"/>
                </w:rPr>
                <w:t>Second Amendment to the Second</w:t>
              </w:r>
            </w:hyperlink>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August 13, 2020</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3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tcPr>
          <w:p>
            <w:pPr>
              <w:spacing w:after="0"/>
              <w:rPr>
                <w:sz w:val="15"/>
                <w:szCs w:val="15"/>
                <w:color w:val="auto"/>
              </w:rPr>
            </w:pPr>
          </w:p>
        </w:tc>
        <w:tc>
          <w:tcPr>
            <w:tcW w:w="2820" w:type="dxa"/>
            <w:vAlign w:val="bottom"/>
            <w:gridSpan w:val="16"/>
          </w:tcPr>
          <w:p>
            <w:pPr>
              <w:spacing w:after="0" w:line="182" w:lineRule="exact"/>
              <w:rPr>
                <w:rFonts w:ascii="Arial" w:cs="Arial" w:eastAsia="Arial" w:hAnsi="Arial"/>
                <w:sz w:val="18"/>
                <w:szCs w:val="18"/>
                <w:color w:val="0000FF"/>
                <w:w w:val="97"/>
              </w:rPr>
            </w:pPr>
            <w:hyperlink r:id="rId548">
              <w:r>
                <w:rPr>
                  <w:rFonts w:ascii="Arial" w:cs="Arial" w:eastAsia="Arial" w:hAnsi="Arial"/>
                  <w:sz w:val="18"/>
                  <w:szCs w:val="18"/>
                  <w:color w:val="0000FF"/>
                  <w:w w:val="97"/>
                </w:rPr>
                <w:t>Amended and Restated Vroom, Inc.</w:t>
              </w:r>
            </w:hyperlink>
          </w:p>
        </w:tc>
        <w:tc>
          <w:tcPr>
            <w:tcW w:w="10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68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8"/>
              </w:rPr>
            </w:pPr>
            <w:hyperlink r:id="rId548">
              <w:r>
                <w:rPr>
                  <w:rFonts w:ascii="Arial" w:cs="Arial" w:eastAsia="Arial" w:hAnsi="Arial"/>
                  <w:sz w:val="18"/>
                  <w:szCs w:val="18"/>
                  <w:color w:val="0000FF"/>
                  <w:w w:val="98"/>
                </w:rPr>
                <w:t>2014 Equity Incentive Award Plan</w:t>
              </w:r>
            </w:hyperlink>
          </w:p>
        </w:tc>
        <w:tc>
          <w:tcPr>
            <w:tcW w:w="240" w:type="dxa"/>
            <w:vAlign w:val="bottom"/>
            <w:tcBorders>
              <w:top w:val="single" w:sz="8" w:color="0000FF"/>
            </w:tcBorders>
            <w:gridSpan w:val="4"/>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3220" w:type="dxa"/>
            <w:vAlign w:val="bottom"/>
            <w:gridSpan w:val="23"/>
          </w:tcPr>
          <w:p>
            <w:pPr>
              <w:spacing w:after="0"/>
              <w:rPr>
                <w:rFonts w:ascii="Arial" w:cs="Arial" w:eastAsia="Arial" w:hAnsi="Arial"/>
                <w:sz w:val="18"/>
                <w:szCs w:val="18"/>
                <w:color w:val="0000FF"/>
              </w:rPr>
            </w:pPr>
            <w:hyperlink r:id="rId549">
              <w:r>
                <w:rPr>
                  <w:rFonts w:ascii="Arial" w:cs="Arial" w:eastAsia="Arial" w:hAnsi="Arial"/>
                  <w:sz w:val="18"/>
                  <w:szCs w:val="18"/>
                  <w:color w:val="0000FF"/>
                </w:rPr>
                <w:t>Form of Stock Option Agreement</w:t>
              </w:r>
            </w:hyperlink>
          </w:p>
        </w:tc>
        <w:tc>
          <w:tcPr>
            <w:tcW w:w="1080" w:type="dxa"/>
            <w:vAlign w:val="bottom"/>
          </w:tcPr>
          <w:p>
            <w:pPr>
              <w:jc w:val="center"/>
              <w:ind w:left="13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March 3, 2021</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660" w:type="dxa"/>
            <w:vAlign w:val="bottom"/>
            <w:tcBorders>
              <w:top w:val="single" w:sz="8" w:color="0000FF"/>
            </w:tcBorders>
            <w:gridSpan w:val="13"/>
          </w:tcPr>
          <w:p>
            <w:pPr>
              <w:spacing w:after="0" w:line="182" w:lineRule="exact"/>
              <w:rPr>
                <w:rFonts w:ascii="Arial" w:cs="Arial" w:eastAsia="Arial" w:hAnsi="Arial"/>
                <w:sz w:val="18"/>
                <w:szCs w:val="18"/>
                <w:color w:val="0000FF"/>
                <w:w w:val="98"/>
              </w:rPr>
            </w:pPr>
            <w:hyperlink r:id="rId549">
              <w:r>
                <w:rPr>
                  <w:rFonts w:ascii="Arial" w:cs="Arial" w:eastAsia="Arial" w:hAnsi="Arial"/>
                  <w:sz w:val="18"/>
                  <w:szCs w:val="18"/>
                  <w:color w:val="0000FF"/>
                  <w:w w:val="98"/>
                </w:rPr>
                <w:t>pursuant to the Second Amended</w:t>
              </w:r>
            </w:hyperlink>
          </w:p>
        </w:tc>
        <w:tc>
          <w:tcPr>
            <w:tcW w:w="560" w:type="dxa"/>
            <w:vAlign w:val="bottom"/>
            <w:gridSpan w:val="10"/>
          </w:tcPr>
          <w:p>
            <w:pPr>
              <w:ind w:left="60"/>
              <w:spacing w:after="0" w:line="182" w:lineRule="exact"/>
              <w:rPr>
                <w:rFonts w:ascii="Arial" w:cs="Arial" w:eastAsia="Arial" w:hAnsi="Arial"/>
                <w:sz w:val="18"/>
                <w:szCs w:val="18"/>
                <w:color w:val="0000FF"/>
              </w:rPr>
            </w:pPr>
            <w:hyperlink r:id="rId549">
              <w:r>
                <w:rPr>
                  <w:rFonts w:ascii="Arial" w:cs="Arial" w:eastAsia="Arial" w:hAnsi="Arial"/>
                  <w:sz w:val="18"/>
                  <w:szCs w:val="18"/>
                  <w:color w:val="0000FF"/>
                </w:rPr>
                <w:t>and</w:t>
              </w:r>
            </w:hyperlink>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060" w:type="dxa"/>
            <w:vAlign w:val="bottom"/>
            <w:tcBorders>
              <w:top w:val="single" w:sz="8" w:color="0000FF"/>
              <w:bottom w:val="single" w:sz="8" w:color="0000FF"/>
            </w:tcBorders>
            <w:gridSpan w:val="19"/>
          </w:tcPr>
          <w:p>
            <w:pPr>
              <w:spacing w:after="0" w:line="182" w:lineRule="exact"/>
              <w:rPr>
                <w:rFonts w:ascii="Arial" w:cs="Arial" w:eastAsia="Arial" w:hAnsi="Arial"/>
                <w:sz w:val="18"/>
                <w:szCs w:val="18"/>
                <w:color w:val="0000FF"/>
                <w:w w:val="99"/>
              </w:rPr>
            </w:pPr>
            <w:hyperlink r:id="rId549">
              <w:r>
                <w:rPr>
                  <w:rFonts w:ascii="Arial" w:cs="Arial" w:eastAsia="Arial" w:hAnsi="Arial"/>
                  <w:sz w:val="18"/>
                  <w:szCs w:val="18"/>
                  <w:color w:val="0000FF"/>
                  <w:w w:val="99"/>
                </w:rPr>
                <w:t>Restated 2014 Equity Incentive Award</w:t>
              </w:r>
            </w:hyperlink>
          </w:p>
        </w:tc>
        <w:tc>
          <w:tcPr>
            <w:tcW w:w="20" w:type="dxa"/>
            <w:vAlign w:val="bottom"/>
            <w:tcBorders>
              <w:bottom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080" w:type="dxa"/>
            <w:vAlign w:val="bottom"/>
            <w:gridSpan w:val="20"/>
          </w:tcPr>
          <w:p>
            <w:pPr>
              <w:spacing w:after="0" w:line="182" w:lineRule="exact"/>
              <w:rPr>
                <w:rFonts w:ascii="Arial" w:cs="Arial" w:eastAsia="Arial" w:hAnsi="Arial"/>
                <w:sz w:val="18"/>
                <w:szCs w:val="18"/>
                <w:color w:val="0000FF"/>
              </w:rPr>
            </w:pPr>
            <w:hyperlink r:id="rId549">
              <w:r>
                <w:rPr>
                  <w:rFonts w:ascii="Arial" w:cs="Arial" w:eastAsia="Arial" w:hAnsi="Arial"/>
                  <w:sz w:val="18"/>
                  <w:szCs w:val="18"/>
                  <w:color w:val="0000FF"/>
                </w:rPr>
                <w:t>Plan</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10.5†</w:t>
            </w:r>
          </w:p>
        </w:tc>
        <w:tc>
          <w:tcPr>
            <w:tcW w:w="3220" w:type="dxa"/>
            <w:vAlign w:val="bottom"/>
            <w:gridSpan w:val="23"/>
          </w:tcPr>
          <w:p>
            <w:pPr>
              <w:spacing w:after="0"/>
              <w:rPr>
                <w:rFonts w:ascii="Arial" w:cs="Arial" w:eastAsia="Arial" w:hAnsi="Arial"/>
                <w:sz w:val="18"/>
                <w:szCs w:val="18"/>
                <w:color w:val="0000FF"/>
              </w:rPr>
            </w:pPr>
            <w:hyperlink r:id="rId550">
              <w:r>
                <w:rPr>
                  <w:rFonts w:ascii="Arial" w:cs="Arial" w:eastAsia="Arial" w:hAnsi="Arial"/>
                  <w:sz w:val="18"/>
                  <w:szCs w:val="18"/>
                  <w:color w:val="0000FF"/>
                </w:rPr>
                <w:t>Form of Restricted Stock Unit</w:t>
              </w:r>
            </w:hyperlink>
          </w:p>
        </w:tc>
        <w:tc>
          <w:tcPr>
            <w:tcW w:w="1080" w:type="dxa"/>
            <w:vAlign w:val="bottom"/>
          </w:tcPr>
          <w:p>
            <w:pPr>
              <w:jc w:val="center"/>
              <w:ind w:left="130"/>
              <w:spacing w:after="0"/>
              <w:rPr>
                <w:sz w:val="20"/>
                <w:szCs w:val="20"/>
                <w:color w:val="auto"/>
              </w:rPr>
            </w:pPr>
            <w:r>
              <w:rPr>
                <w:rFonts w:ascii="Arial" w:cs="Arial" w:eastAsia="Arial" w:hAnsi="Arial"/>
                <w:sz w:val="18"/>
                <w:szCs w:val="18"/>
                <w:color w:val="auto"/>
                <w:w w:val="99"/>
              </w:rPr>
              <w:t>10-K</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March 3, 2021</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tcPr>
          <w:p>
            <w:pPr>
              <w:spacing w:after="0"/>
              <w:rPr>
                <w:sz w:val="15"/>
                <w:szCs w:val="15"/>
                <w:color w:val="auto"/>
              </w:rPr>
            </w:pPr>
          </w:p>
        </w:tc>
        <w:tc>
          <w:tcPr>
            <w:tcW w:w="3220" w:type="dxa"/>
            <w:vAlign w:val="bottom"/>
            <w:gridSpan w:val="23"/>
          </w:tcPr>
          <w:p>
            <w:pPr>
              <w:spacing w:after="0" w:line="182" w:lineRule="exact"/>
              <w:rPr>
                <w:rFonts w:ascii="Arial" w:cs="Arial" w:eastAsia="Arial" w:hAnsi="Arial"/>
                <w:sz w:val="18"/>
                <w:szCs w:val="18"/>
                <w:color w:val="0000FF"/>
              </w:rPr>
            </w:pPr>
            <w:hyperlink r:id="rId550">
              <w:r>
                <w:rPr>
                  <w:rFonts w:ascii="Arial" w:cs="Arial" w:eastAsia="Arial" w:hAnsi="Arial"/>
                  <w:sz w:val="18"/>
                  <w:szCs w:val="18"/>
                  <w:color w:val="0000FF"/>
                </w:rPr>
                <w:t>Agreement pursuant to the Second</w:t>
              </w:r>
            </w:hyperlink>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820" w:type="dxa"/>
            <w:vAlign w:val="bottom"/>
            <w:tcBorders>
              <w:top w:val="single" w:sz="8" w:color="0000FF"/>
              <w:bottom w:val="single" w:sz="8" w:color="0000FF"/>
            </w:tcBorders>
            <w:gridSpan w:val="16"/>
          </w:tcPr>
          <w:p>
            <w:pPr>
              <w:spacing w:after="0" w:line="182" w:lineRule="exact"/>
              <w:rPr>
                <w:rFonts w:ascii="Arial" w:cs="Arial" w:eastAsia="Arial" w:hAnsi="Arial"/>
                <w:sz w:val="18"/>
                <w:szCs w:val="18"/>
                <w:color w:val="0000FF"/>
                <w:w w:val="96"/>
              </w:rPr>
            </w:pPr>
            <w:hyperlink r:id="rId550">
              <w:r>
                <w:rPr>
                  <w:rFonts w:ascii="Arial" w:cs="Arial" w:eastAsia="Arial" w:hAnsi="Arial"/>
                  <w:sz w:val="18"/>
                  <w:szCs w:val="18"/>
                  <w:color w:val="0000FF"/>
                  <w:w w:val="96"/>
                </w:rPr>
                <w:t>Amended and Restated 2014 Equity</w:t>
              </w:r>
            </w:hyperlink>
          </w:p>
        </w:tc>
        <w:tc>
          <w:tcPr>
            <w:tcW w:w="100" w:type="dxa"/>
            <w:vAlign w:val="bottom"/>
            <w:tcBorders>
              <w:bottom w:val="single" w:sz="8" w:color="0000FF"/>
            </w:tcBorders>
            <w:gridSpan w:val="2"/>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680" w:type="dxa"/>
            <w:vAlign w:val="bottom"/>
            <w:tcBorders>
              <w:bottom w:val="single" w:sz="8" w:color="0000FF"/>
            </w:tcBorders>
            <w:gridSpan w:val="3"/>
          </w:tcPr>
          <w:p>
            <w:pPr>
              <w:spacing w:after="0" w:line="182" w:lineRule="exact"/>
              <w:rPr>
                <w:rFonts w:ascii="Arial" w:cs="Arial" w:eastAsia="Arial" w:hAnsi="Arial"/>
                <w:sz w:val="18"/>
                <w:szCs w:val="18"/>
                <w:color w:val="0000FF"/>
                <w:w w:val="98"/>
              </w:rPr>
            </w:pPr>
            <w:hyperlink r:id="rId550">
              <w:r>
                <w:rPr>
                  <w:rFonts w:ascii="Arial" w:cs="Arial" w:eastAsia="Arial" w:hAnsi="Arial"/>
                  <w:sz w:val="18"/>
                  <w:szCs w:val="18"/>
                  <w:color w:val="0000FF"/>
                  <w:w w:val="98"/>
                </w:rPr>
                <w:t>Incentive Award Plan</w:t>
              </w:r>
            </w:hyperlink>
          </w:p>
        </w:tc>
        <w:tc>
          <w:tcPr>
            <w:tcW w:w="20" w:type="dxa"/>
            <w:vAlign w:val="bottom"/>
            <w:tcBorders>
              <w:bottom w:val="single" w:sz="8" w:color="0000EE"/>
            </w:tcBorders>
          </w:tcPr>
          <w:p>
            <w:pPr>
              <w:spacing w:after="0"/>
              <w:rPr>
                <w:sz w:val="15"/>
                <w:szCs w:val="15"/>
                <w:color w:val="auto"/>
              </w:rPr>
            </w:pPr>
          </w:p>
        </w:tc>
        <w:tc>
          <w:tcPr>
            <w:tcW w:w="1220" w:type="dxa"/>
            <w:vAlign w:val="bottom"/>
            <w:gridSpan w:val="14"/>
          </w:tcPr>
          <w:p>
            <w:pPr>
              <w:spacing w:after="0"/>
              <w:rPr>
                <w:sz w:val="15"/>
                <w:szCs w:val="15"/>
                <w:color w:val="auto"/>
              </w:rPr>
            </w:pPr>
          </w:p>
        </w:tc>
        <w:tc>
          <w:tcPr>
            <w:tcW w:w="2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10.6†</w:t>
            </w:r>
          </w:p>
        </w:tc>
        <w:tc>
          <w:tcPr>
            <w:tcW w:w="3220" w:type="dxa"/>
            <w:vAlign w:val="bottom"/>
            <w:gridSpan w:val="23"/>
          </w:tcPr>
          <w:p>
            <w:pPr>
              <w:spacing w:after="0"/>
              <w:rPr>
                <w:rFonts w:ascii="Arial" w:cs="Arial" w:eastAsia="Arial" w:hAnsi="Arial"/>
                <w:sz w:val="18"/>
                <w:szCs w:val="18"/>
                <w:color w:val="0000FF"/>
              </w:rPr>
            </w:pPr>
            <w:hyperlink r:id="rId551">
              <w:r>
                <w:rPr>
                  <w:rFonts w:ascii="Arial" w:cs="Arial" w:eastAsia="Arial" w:hAnsi="Arial"/>
                  <w:sz w:val="18"/>
                  <w:szCs w:val="18"/>
                  <w:color w:val="0000FF"/>
                </w:rPr>
                <w:t>2019 Short Term Incentive Plan</w:t>
              </w:r>
            </w:hyperlink>
          </w:p>
        </w:tc>
        <w:tc>
          <w:tcPr>
            <w:tcW w:w="1080" w:type="dxa"/>
            <w:vAlign w:val="bottom"/>
          </w:tcPr>
          <w:p>
            <w:pPr>
              <w:jc w:val="center"/>
              <w:ind w:left="130"/>
              <w:spacing w:after="0"/>
              <w:rPr>
                <w:sz w:val="20"/>
                <w:szCs w:val="20"/>
                <w:color w:val="auto"/>
              </w:rPr>
            </w:pPr>
            <w:r>
              <w:rPr>
                <w:rFonts w:ascii="Arial" w:cs="Arial" w:eastAsia="Arial" w:hAnsi="Arial"/>
                <w:sz w:val="18"/>
                <w:szCs w:val="18"/>
                <w:color w:val="auto"/>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8"/>
              </w:rPr>
              <w:t>May 18, 2020</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80" w:type="dxa"/>
            <w:vAlign w:val="bottom"/>
          </w:tcPr>
          <w:p>
            <w:pPr>
              <w:ind w:left="20"/>
              <w:spacing w:after="0"/>
              <w:rPr>
                <w:sz w:val="20"/>
                <w:szCs w:val="20"/>
                <w:color w:val="auto"/>
              </w:rPr>
            </w:pPr>
            <w:r>
              <w:rPr>
                <w:rFonts w:ascii="Arial" w:cs="Arial" w:eastAsia="Arial" w:hAnsi="Arial"/>
                <w:sz w:val="18"/>
                <w:szCs w:val="18"/>
                <w:color w:val="auto"/>
              </w:rPr>
              <w:t>10.7†</w:t>
            </w:r>
          </w:p>
        </w:tc>
        <w:tc>
          <w:tcPr>
            <w:tcW w:w="3220" w:type="dxa"/>
            <w:vAlign w:val="bottom"/>
            <w:gridSpan w:val="23"/>
          </w:tcPr>
          <w:p>
            <w:pPr>
              <w:spacing w:after="0"/>
              <w:rPr>
                <w:rFonts w:ascii="Arial" w:cs="Arial" w:eastAsia="Arial" w:hAnsi="Arial"/>
                <w:sz w:val="18"/>
                <w:szCs w:val="18"/>
                <w:color w:val="0000FF"/>
              </w:rPr>
            </w:pPr>
            <w:hyperlink r:id="rId552">
              <w:r>
                <w:rPr>
                  <w:rFonts w:ascii="Arial" w:cs="Arial" w:eastAsia="Arial" w:hAnsi="Arial"/>
                  <w:sz w:val="18"/>
                  <w:szCs w:val="18"/>
                  <w:color w:val="0000FF"/>
                </w:rPr>
                <w:t>2020 Incentive Award Plan</w:t>
              </w:r>
            </w:hyperlink>
          </w:p>
        </w:tc>
        <w:tc>
          <w:tcPr>
            <w:tcW w:w="1080" w:type="dxa"/>
            <w:vAlign w:val="bottom"/>
          </w:tcPr>
          <w:p>
            <w:pPr>
              <w:jc w:val="center"/>
              <w:ind w:left="130"/>
              <w:spacing w:after="0"/>
              <w:rPr>
                <w:sz w:val="20"/>
                <w:szCs w:val="20"/>
                <w:color w:val="auto"/>
              </w:rPr>
            </w:pPr>
            <w:r>
              <w:rPr>
                <w:rFonts w:ascii="Arial" w:cs="Arial" w:eastAsia="Arial" w:hAnsi="Arial"/>
                <w:sz w:val="18"/>
                <w:szCs w:val="18"/>
                <w:color w:val="auto"/>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10.3</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June 1, 2020</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80" w:type="dxa"/>
            <w:vAlign w:val="bottom"/>
          </w:tcPr>
          <w:p>
            <w:pPr>
              <w:ind w:left="20"/>
              <w:spacing w:after="0"/>
              <w:rPr>
                <w:sz w:val="20"/>
                <w:szCs w:val="20"/>
                <w:color w:val="auto"/>
              </w:rPr>
            </w:pPr>
            <w:r>
              <w:rPr>
                <w:rFonts w:ascii="Arial" w:cs="Arial" w:eastAsia="Arial" w:hAnsi="Arial"/>
                <w:sz w:val="18"/>
                <w:szCs w:val="18"/>
                <w:color w:val="auto"/>
              </w:rPr>
              <w:t>10.8†</w:t>
            </w:r>
          </w:p>
        </w:tc>
        <w:tc>
          <w:tcPr>
            <w:tcW w:w="3220" w:type="dxa"/>
            <w:vAlign w:val="bottom"/>
            <w:gridSpan w:val="23"/>
          </w:tcPr>
          <w:p>
            <w:pPr>
              <w:spacing w:after="0"/>
              <w:rPr>
                <w:rFonts w:ascii="Arial" w:cs="Arial" w:eastAsia="Arial" w:hAnsi="Arial"/>
                <w:sz w:val="18"/>
                <w:szCs w:val="18"/>
                <w:color w:val="0000FF"/>
              </w:rPr>
            </w:pPr>
            <w:hyperlink r:id="rId553">
              <w:r>
                <w:rPr>
                  <w:rFonts w:ascii="Arial" w:cs="Arial" w:eastAsia="Arial" w:hAnsi="Arial"/>
                  <w:sz w:val="18"/>
                  <w:szCs w:val="18"/>
                  <w:color w:val="0000FF"/>
                </w:rPr>
                <w:t>Form of Restricted Stock Unit</w:t>
              </w:r>
            </w:hyperlink>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rPr>
              <w:t>August 13, 2020</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tcPr>
          <w:p>
            <w:pPr>
              <w:spacing w:after="0"/>
              <w:rPr>
                <w:sz w:val="15"/>
                <w:szCs w:val="15"/>
                <w:color w:val="auto"/>
              </w:rPr>
            </w:pPr>
          </w:p>
        </w:tc>
        <w:tc>
          <w:tcPr>
            <w:tcW w:w="3220" w:type="dxa"/>
            <w:vAlign w:val="bottom"/>
            <w:gridSpan w:val="23"/>
          </w:tcPr>
          <w:p>
            <w:pPr>
              <w:spacing w:after="0" w:line="182" w:lineRule="exact"/>
              <w:rPr>
                <w:rFonts w:ascii="Arial" w:cs="Arial" w:eastAsia="Arial" w:hAnsi="Arial"/>
                <w:sz w:val="18"/>
                <w:szCs w:val="18"/>
                <w:color w:val="0000FF"/>
              </w:rPr>
            </w:pPr>
            <w:hyperlink r:id="rId553">
              <w:r>
                <w:rPr>
                  <w:rFonts w:ascii="Arial" w:cs="Arial" w:eastAsia="Arial" w:hAnsi="Arial"/>
                  <w:sz w:val="18"/>
                  <w:szCs w:val="18"/>
                  <w:color w:val="0000FF"/>
                </w:rPr>
                <w:t>Agreement pursuant to the 2020</w:t>
              </w:r>
            </w:hyperlink>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68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8"/>
              </w:rPr>
            </w:pPr>
            <w:hyperlink r:id="rId553">
              <w:r>
                <w:rPr>
                  <w:rFonts w:ascii="Arial" w:cs="Arial" w:eastAsia="Arial" w:hAnsi="Arial"/>
                  <w:sz w:val="18"/>
                  <w:szCs w:val="18"/>
                  <w:color w:val="0000FF"/>
                  <w:w w:val="98"/>
                </w:rPr>
                <w:t>Incentive Award Plan</w:t>
              </w:r>
            </w:hyperlink>
          </w:p>
        </w:tc>
        <w:tc>
          <w:tcPr>
            <w:tcW w:w="20" w:type="dxa"/>
            <w:vAlign w:val="bottom"/>
            <w:tcBorders>
              <w:top w:val="single" w:sz="8" w:color="0000FF"/>
              <w:bottom w:val="single" w:sz="8" w:color="0000EE"/>
            </w:tcBorders>
          </w:tcPr>
          <w:p>
            <w:pPr>
              <w:spacing w:after="0"/>
              <w:rPr>
                <w:sz w:val="15"/>
                <w:szCs w:val="15"/>
                <w:color w:val="auto"/>
              </w:rPr>
            </w:pPr>
          </w:p>
        </w:tc>
        <w:tc>
          <w:tcPr>
            <w:tcW w:w="920" w:type="dxa"/>
            <w:vAlign w:val="bottom"/>
            <w:tcBorders>
              <w:top w:val="single" w:sz="8" w:color="0000FF"/>
            </w:tcBorders>
            <w:gridSpan w:val="8"/>
          </w:tcPr>
          <w:p>
            <w:pPr>
              <w:spacing w:after="0"/>
              <w:rPr>
                <w:sz w:val="15"/>
                <w:szCs w:val="15"/>
                <w:color w:val="auto"/>
              </w:rPr>
            </w:pPr>
          </w:p>
        </w:tc>
        <w:tc>
          <w:tcPr>
            <w:tcW w:w="200" w:type="dxa"/>
            <w:vAlign w:val="bottom"/>
            <w:gridSpan w:val="4"/>
          </w:tcPr>
          <w:p>
            <w:pPr>
              <w:spacing w:after="0"/>
              <w:rPr>
                <w:sz w:val="15"/>
                <w:szCs w:val="15"/>
                <w:color w:val="auto"/>
              </w:rPr>
            </w:pPr>
          </w:p>
        </w:tc>
        <w:tc>
          <w:tcPr>
            <w:tcW w:w="3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10.9†</w:t>
            </w:r>
          </w:p>
        </w:tc>
        <w:tc>
          <w:tcPr>
            <w:tcW w:w="3220" w:type="dxa"/>
            <w:vAlign w:val="bottom"/>
            <w:gridSpan w:val="23"/>
          </w:tcPr>
          <w:p>
            <w:pPr>
              <w:spacing w:after="0"/>
              <w:rPr>
                <w:rFonts w:ascii="Arial" w:cs="Arial" w:eastAsia="Arial" w:hAnsi="Arial"/>
                <w:sz w:val="18"/>
                <w:szCs w:val="18"/>
                <w:color w:val="0000FF"/>
              </w:rPr>
            </w:pPr>
            <w:hyperlink r:id="rId554">
              <w:r>
                <w:rPr>
                  <w:rFonts w:ascii="Arial" w:cs="Arial" w:eastAsia="Arial" w:hAnsi="Arial"/>
                  <w:sz w:val="18"/>
                  <w:szCs w:val="18"/>
                  <w:color w:val="0000FF"/>
                </w:rPr>
                <w:t>Form of Stock Option Grant Notice and</w:t>
              </w:r>
            </w:hyperlink>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10.4</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August 8, 2022</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140" w:type="dxa"/>
            <w:vAlign w:val="bottom"/>
            <w:tcBorders>
              <w:top w:val="single" w:sz="8" w:color="0000FF"/>
              <w:bottom w:val="single" w:sz="8" w:color="0000FF"/>
            </w:tcBorders>
            <w:gridSpan w:val="21"/>
          </w:tcPr>
          <w:p>
            <w:pPr>
              <w:spacing w:after="0" w:line="182" w:lineRule="exact"/>
              <w:rPr>
                <w:rFonts w:ascii="Arial" w:cs="Arial" w:eastAsia="Arial" w:hAnsi="Arial"/>
                <w:sz w:val="18"/>
                <w:szCs w:val="18"/>
                <w:color w:val="0000FF"/>
                <w:w w:val="97"/>
              </w:rPr>
            </w:pPr>
            <w:hyperlink r:id="rId554">
              <w:r>
                <w:rPr>
                  <w:rFonts w:ascii="Arial" w:cs="Arial" w:eastAsia="Arial" w:hAnsi="Arial"/>
                  <w:sz w:val="18"/>
                  <w:szCs w:val="18"/>
                  <w:color w:val="0000FF"/>
                  <w:w w:val="97"/>
                </w:rPr>
                <w:t>Stock Option Agreement pursuant to the</w:t>
              </w:r>
            </w:hyperlink>
          </w:p>
        </w:tc>
        <w:tc>
          <w:tcPr>
            <w:tcW w:w="20" w:type="dxa"/>
            <w:vAlign w:val="bottom"/>
            <w:tcBorders>
              <w:bottom w:val="single" w:sz="8" w:color="0000FF"/>
            </w:tcBorders>
          </w:tcPr>
          <w:p>
            <w:pPr>
              <w:spacing w:after="0"/>
              <w:rPr>
                <w:sz w:val="15"/>
                <w:szCs w:val="15"/>
                <w:color w:val="auto"/>
              </w:rPr>
            </w:pPr>
          </w:p>
        </w:tc>
        <w:tc>
          <w:tcPr>
            <w:tcW w:w="60" w:type="dxa"/>
            <w:vAlign w:val="bottom"/>
            <w:tcBorders>
              <w:bottom w:val="single" w:sz="8" w:color="0000FF"/>
            </w:tcBorders>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140" w:type="dxa"/>
            <w:vAlign w:val="bottom"/>
            <w:tcBorders>
              <w:bottom w:val="single" w:sz="8" w:color="0000FF"/>
            </w:tcBorders>
            <w:gridSpan w:val="6"/>
          </w:tcPr>
          <w:p>
            <w:pPr>
              <w:spacing w:after="0" w:line="182" w:lineRule="exact"/>
              <w:rPr>
                <w:rFonts w:ascii="Arial" w:cs="Arial" w:eastAsia="Arial" w:hAnsi="Arial"/>
                <w:sz w:val="18"/>
                <w:szCs w:val="18"/>
                <w:color w:val="0000FF"/>
                <w:w w:val="98"/>
              </w:rPr>
            </w:pPr>
            <w:hyperlink r:id="rId554">
              <w:r>
                <w:rPr>
                  <w:rFonts w:ascii="Arial" w:cs="Arial" w:eastAsia="Arial" w:hAnsi="Arial"/>
                  <w:sz w:val="18"/>
                  <w:szCs w:val="18"/>
                  <w:color w:val="0000FF"/>
                  <w:w w:val="98"/>
                </w:rPr>
                <w:t>2020 Incentive Award Plan</w:t>
              </w:r>
            </w:hyperlink>
          </w:p>
        </w:tc>
        <w:tc>
          <w:tcPr>
            <w:tcW w:w="1080" w:type="dxa"/>
            <w:vAlign w:val="bottom"/>
            <w:gridSpan w:val="17"/>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10.10†</w:t>
            </w:r>
          </w:p>
        </w:tc>
        <w:tc>
          <w:tcPr>
            <w:tcW w:w="3220" w:type="dxa"/>
            <w:vAlign w:val="bottom"/>
            <w:gridSpan w:val="23"/>
          </w:tcPr>
          <w:p>
            <w:pPr>
              <w:spacing w:after="0"/>
              <w:rPr>
                <w:rFonts w:ascii="Arial" w:cs="Arial" w:eastAsia="Arial" w:hAnsi="Arial"/>
                <w:sz w:val="18"/>
                <w:szCs w:val="18"/>
                <w:color w:val="0000FF"/>
              </w:rPr>
            </w:pPr>
            <w:hyperlink r:id="rId555">
              <w:r>
                <w:rPr>
                  <w:rFonts w:ascii="Arial" w:cs="Arial" w:eastAsia="Arial" w:hAnsi="Arial"/>
                  <w:sz w:val="18"/>
                  <w:szCs w:val="18"/>
                  <w:color w:val="0000FF"/>
                </w:rPr>
                <w:t>2022 Inducement Award Plan</w:t>
              </w:r>
            </w:hyperlink>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99"/>
              </w:rPr>
              <w:t>S-8</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333-265233</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99.1</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8"/>
              </w:rPr>
              <w:t>May 26, 2022</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10.11†</w:t>
            </w:r>
          </w:p>
        </w:tc>
        <w:tc>
          <w:tcPr>
            <w:tcW w:w="3220" w:type="dxa"/>
            <w:vAlign w:val="bottom"/>
            <w:gridSpan w:val="23"/>
          </w:tcPr>
          <w:p>
            <w:pPr>
              <w:spacing w:after="0"/>
              <w:rPr>
                <w:rFonts w:ascii="Arial" w:cs="Arial" w:eastAsia="Arial" w:hAnsi="Arial"/>
                <w:sz w:val="18"/>
                <w:szCs w:val="18"/>
                <w:color w:val="0000FF"/>
              </w:rPr>
            </w:pPr>
            <w:hyperlink r:id="rId556">
              <w:r>
                <w:rPr>
                  <w:rFonts w:ascii="Arial" w:cs="Arial" w:eastAsia="Arial" w:hAnsi="Arial"/>
                  <w:sz w:val="18"/>
                  <w:szCs w:val="18"/>
                  <w:color w:val="0000FF"/>
                </w:rPr>
                <w:t>Form of Restricted Stock Unit</w:t>
              </w:r>
            </w:hyperlink>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99"/>
              </w:rPr>
              <w:t>S-8</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333-265233</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99.2</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8"/>
              </w:rPr>
              <w:t>May 26, 2022</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1900" w:type="dxa"/>
            <w:vAlign w:val="bottom"/>
            <w:gridSpan w:val="5"/>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tcPr>
          <w:p>
            <w:pPr>
              <w:spacing w:after="0"/>
              <w:rPr>
                <w:sz w:val="15"/>
                <w:szCs w:val="15"/>
                <w:color w:val="auto"/>
              </w:rPr>
            </w:pPr>
          </w:p>
        </w:tc>
        <w:tc>
          <w:tcPr>
            <w:tcW w:w="3220" w:type="dxa"/>
            <w:vAlign w:val="bottom"/>
            <w:gridSpan w:val="23"/>
          </w:tcPr>
          <w:p>
            <w:pPr>
              <w:spacing w:after="0" w:line="182" w:lineRule="exact"/>
              <w:rPr>
                <w:rFonts w:ascii="Arial" w:cs="Arial" w:eastAsia="Arial" w:hAnsi="Arial"/>
                <w:sz w:val="18"/>
                <w:szCs w:val="18"/>
                <w:color w:val="0000FF"/>
              </w:rPr>
            </w:pPr>
            <w:hyperlink r:id="rId556">
              <w:r>
                <w:rPr>
                  <w:rFonts w:ascii="Arial" w:cs="Arial" w:eastAsia="Arial" w:hAnsi="Arial"/>
                  <w:sz w:val="18"/>
                  <w:szCs w:val="18"/>
                  <w:color w:val="0000FF"/>
                </w:rPr>
                <w:t>Agreement pursuant to the 2022</w:t>
              </w:r>
            </w:hyperlink>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190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8"/>
              </w:rPr>
            </w:pPr>
            <w:hyperlink r:id="rId556">
              <w:r>
                <w:rPr>
                  <w:rFonts w:ascii="Arial" w:cs="Arial" w:eastAsia="Arial" w:hAnsi="Arial"/>
                  <w:sz w:val="18"/>
                  <w:szCs w:val="18"/>
                  <w:color w:val="0000FF"/>
                  <w:w w:val="98"/>
                </w:rPr>
                <w:t>Inducement Award Plan</w:t>
              </w:r>
            </w:hyperlink>
          </w:p>
        </w:tc>
        <w:tc>
          <w:tcPr>
            <w:tcW w:w="720" w:type="dxa"/>
            <w:vAlign w:val="bottom"/>
            <w:tcBorders>
              <w:top w:val="single" w:sz="8" w:color="0000FF"/>
            </w:tcBorders>
            <w:gridSpan w:val="7"/>
          </w:tcPr>
          <w:p>
            <w:pPr>
              <w:spacing w:after="0"/>
              <w:rPr>
                <w:sz w:val="15"/>
                <w:szCs w:val="15"/>
                <w:color w:val="auto"/>
              </w:rPr>
            </w:pPr>
          </w:p>
        </w:tc>
        <w:tc>
          <w:tcPr>
            <w:tcW w:w="200" w:type="dxa"/>
            <w:vAlign w:val="bottom"/>
            <w:gridSpan w:val="4"/>
          </w:tcPr>
          <w:p>
            <w:pPr>
              <w:spacing w:after="0"/>
              <w:rPr>
                <w:sz w:val="15"/>
                <w:szCs w:val="15"/>
                <w:color w:val="auto"/>
              </w:rPr>
            </w:pPr>
          </w:p>
        </w:tc>
        <w:tc>
          <w:tcPr>
            <w:tcW w:w="340" w:type="dxa"/>
            <w:vAlign w:val="bottom"/>
            <w:gridSpan w:val="6"/>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10.12†</w:t>
            </w:r>
          </w:p>
        </w:tc>
        <w:tc>
          <w:tcPr>
            <w:tcW w:w="3220" w:type="dxa"/>
            <w:vAlign w:val="bottom"/>
            <w:gridSpan w:val="23"/>
          </w:tcPr>
          <w:p>
            <w:pPr>
              <w:spacing w:after="0"/>
              <w:rPr>
                <w:rFonts w:ascii="Arial" w:cs="Arial" w:eastAsia="Arial" w:hAnsi="Arial"/>
                <w:sz w:val="18"/>
                <w:szCs w:val="18"/>
                <w:color w:val="0000FF"/>
              </w:rPr>
            </w:pPr>
            <w:hyperlink r:id="rId557">
              <w:r>
                <w:rPr>
                  <w:rFonts w:ascii="Arial" w:cs="Arial" w:eastAsia="Arial" w:hAnsi="Arial"/>
                  <w:sz w:val="18"/>
                  <w:szCs w:val="18"/>
                  <w:color w:val="0000FF"/>
                </w:rPr>
                <w:t>Form of Stock Option Agreement</w:t>
              </w:r>
            </w:hyperlink>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99"/>
              </w:rPr>
              <w:t>S-8</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333-265233</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99.3</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8"/>
              </w:rPr>
              <w:t>May 26, 2022</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66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9"/>
              </w:rPr>
            </w:pPr>
            <w:hyperlink r:id="rId557">
              <w:r>
                <w:rPr>
                  <w:rFonts w:ascii="Arial" w:cs="Arial" w:eastAsia="Arial" w:hAnsi="Arial"/>
                  <w:sz w:val="18"/>
                  <w:szCs w:val="18"/>
                  <w:color w:val="0000FF"/>
                  <w:w w:val="99"/>
                </w:rPr>
                <w:t>pursuant to the 2022 Inducement</w:t>
              </w:r>
            </w:hyperlink>
          </w:p>
        </w:tc>
        <w:tc>
          <w:tcPr>
            <w:tcW w:w="560" w:type="dxa"/>
            <w:vAlign w:val="bottom"/>
            <w:tcBorders>
              <w:bottom w:val="single" w:sz="8" w:color="0000FF"/>
            </w:tcBorders>
            <w:gridSpan w:val="10"/>
          </w:tcPr>
          <w:p>
            <w:pPr>
              <w:ind w:left="20"/>
              <w:spacing w:after="0" w:line="182" w:lineRule="exact"/>
              <w:rPr>
                <w:rFonts w:ascii="Arial" w:cs="Arial" w:eastAsia="Arial" w:hAnsi="Arial"/>
                <w:sz w:val="18"/>
                <w:szCs w:val="18"/>
                <w:color w:val="0000FF"/>
              </w:rPr>
            </w:pPr>
            <w:hyperlink r:id="rId557">
              <w:r>
                <w:rPr>
                  <w:rFonts w:ascii="Arial" w:cs="Arial" w:eastAsia="Arial" w:hAnsi="Arial"/>
                  <w:sz w:val="18"/>
                  <w:szCs w:val="18"/>
                  <w:color w:val="0000FF"/>
                </w:rPr>
                <w:t>Award</w:t>
              </w:r>
            </w:hyperlink>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220" w:type="dxa"/>
            <w:vAlign w:val="bottom"/>
            <w:gridSpan w:val="23"/>
          </w:tcPr>
          <w:p>
            <w:pPr>
              <w:spacing w:after="0" w:line="182" w:lineRule="exact"/>
              <w:rPr>
                <w:rFonts w:ascii="Arial" w:cs="Arial" w:eastAsia="Arial" w:hAnsi="Arial"/>
                <w:sz w:val="18"/>
                <w:szCs w:val="18"/>
                <w:color w:val="0000FF"/>
              </w:rPr>
            </w:pPr>
            <w:hyperlink r:id="rId557">
              <w:r>
                <w:rPr>
                  <w:rFonts w:ascii="Arial" w:cs="Arial" w:eastAsia="Arial" w:hAnsi="Arial"/>
                  <w:sz w:val="18"/>
                  <w:szCs w:val="18"/>
                  <w:color w:val="0000FF"/>
                </w:rPr>
                <w:t>Plan</w:t>
              </w:r>
            </w:hyperlink>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0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10.13†</w:t>
            </w:r>
          </w:p>
        </w:tc>
        <w:tc>
          <w:tcPr>
            <w:tcW w:w="3220" w:type="dxa"/>
            <w:vAlign w:val="bottom"/>
            <w:gridSpan w:val="23"/>
          </w:tcPr>
          <w:p>
            <w:pPr>
              <w:spacing w:after="0"/>
              <w:rPr>
                <w:rFonts w:ascii="Arial" w:cs="Arial" w:eastAsia="Arial" w:hAnsi="Arial"/>
                <w:sz w:val="18"/>
                <w:szCs w:val="18"/>
                <w:color w:val="0000FF"/>
              </w:rPr>
            </w:pPr>
            <w:hyperlink r:id="rId558">
              <w:r>
                <w:rPr>
                  <w:rFonts w:ascii="Arial" w:cs="Arial" w:eastAsia="Arial" w:hAnsi="Arial"/>
                  <w:sz w:val="18"/>
                  <w:szCs w:val="18"/>
                  <w:color w:val="0000FF"/>
                </w:rPr>
                <w:t>Amended and Restated Non-Employee</w:t>
              </w:r>
            </w:hyperlink>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99"/>
              </w:rPr>
              <w:t>10-Q</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10.9</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August 8, 2022</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8"/>
              </w:rPr>
            </w:pPr>
            <w:hyperlink r:id="rId558">
              <w:r>
                <w:rPr>
                  <w:rFonts w:ascii="Arial" w:cs="Arial" w:eastAsia="Arial" w:hAnsi="Arial"/>
                  <w:sz w:val="18"/>
                  <w:szCs w:val="18"/>
                  <w:color w:val="0000FF"/>
                  <w:w w:val="98"/>
                </w:rPr>
                <w:t>Director Compensation Policy</w:t>
              </w:r>
            </w:hyperlink>
          </w:p>
        </w:tc>
        <w:tc>
          <w:tcPr>
            <w:tcW w:w="40" w:type="dxa"/>
            <w:vAlign w:val="bottom"/>
            <w:tcBorders>
              <w:top w:val="single" w:sz="8" w:color="0000FF"/>
              <w:bottom w:val="single" w:sz="8" w:color="0000EE"/>
            </w:tcBorders>
          </w:tcPr>
          <w:p>
            <w:pPr>
              <w:spacing w:after="0"/>
              <w:rPr>
                <w:sz w:val="15"/>
                <w:szCs w:val="15"/>
                <w:color w:val="auto"/>
              </w:rPr>
            </w:pPr>
          </w:p>
        </w:tc>
        <w:tc>
          <w:tcPr>
            <w:tcW w:w="760" w:type="dxa"/>
            <w:vAlign w:val="bottom"/>
            <w:tcBorders>
              <w:top w:val="single" w:sz="8" w:color="0000FF"/>
            </w:tcBorders>
            <w:gridSpan w:val="13"/>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10.14†</w:t>
            </w:r>
          </w:p>
        </w:tc>
        <w:tc>
          <w:tcPr>
            <w:tcW w:w="3220" w:type="dxa"/>
            <w:vAlign w:val="bottom"/>
            <w:gridSpan w:val="23"/>
          </w:tcPr>
          <w:p>
            <w:pPr>
              <w:spacing w:after="0"/>
              <w:rPr>
                <w:rFonts w:ascii="Arial" w:cs="Arial" w:eastAsia="Arial" w:hAnsi="Arial"/>
                <w:sz w:val="18"/>
                <w:szCs w:val="18"/>
                <w:color w:val="0000FF"/>
              </w:rPr>
            </w:pPr>
            <w:hyperlink r:id="rId559">
              <w:r>
                <w:rPr>
                  <w:rFonts w:ascii="Arial" w:cs="Arial" w:eastAsia="Arial" w:hAnsi="Arial"/>
                  <w:sz w:val="18"/>
                  <w:szCs w:val="18"/>
                  <w:color w:val="0000FF"/>
                </w:rPr>
                <w:t>Form of Indemnification Agreement</w:t>
              </w:r>
            </w:hyperlink>
          </w:p>
        </w:tc>
        <w:tc>
          <w:tcPr>
            <w:tcW w:w="1080" w:type="dxa"/>
            <w:vAlign w:val="bottom"/>
          </w:tcPr>
          <w:p>
            <w:pPr>
              <w:jc w:val="center"/>
              <w:ind w:left="130"/>
              <w:spacing w:after="0"/>
              <w:rPr>
                <w:sz w:val="20"/>
                <w:szCs w:val="20"/>
                <w:color w:val="auto"/>
              </w:rPr>
            </w:pPr>
            <w:r>
              <w:rPr>
                <w:rFonts w:ascii="Arial" w:cs="Arial" w:eastAsia="Arial" w:hAnsi="Arial"/>
                <w:sz w:val="18"/>
                <w:szCs w:val="18"/>
                <w:color w:val="auto"/>
              </w:rPr>
              <w:t>S-1/A</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333-238482</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10.5</w:t>
            </w:r>
          </w:p>
        </w:tc>
        <w:tc>
          <w:tcPr>
            <w:tcW w:w="3640" w:type="dxa"/>
            <w:vAlign w:val="bottom"/>
          </w:tcPr>
          <w:p>
            <w:pPr>
              <w:jc w:val="center"/>
              <w:ind w:right="1670"/>
              <w:spacing w:after="0"/>
              <w:rPr>
                <w:sz w:val="20"/>
                <w:szCs w:val="20"/>
                <w:color w:val="auto"/>
              </w:rPr>
            </w:pPr>
            <w:r>
              <w:rPr>
                <w:rFonts w:ascii="Arial" w:cs="Arial" w:eastAsia="Arial" w:hAnsi="Arial"/>
                <w:sz w:val="18"/>
                <w:szCs w:val="18"/>
                <w:color w:val="auto"/>
                <w:w w:val="99"/>
              </w:rPr>
              <w:t>June 1, 2020</w:t>
            </w:r>
          </w:p>
        </w:tc>
        <w:tc>
          <w:tcPr>
            <w:tcW w:w="0" w:type="dxa"/>
            <w:vAlign w:val="bottom"/>
          </w:tcPr>
          <w:p>
            <w:pPr>
              <w:spacing w:after="0"/>
              <w:rPr>
                <w:sz w:val="1"/>
                <w:szCs w:val="1"/>
                <w:color w:val="auto"/>
              </w:rPr>
            </w:pPr>
          </w:p>
        </w:tc>
      </w:tr>
      <w:tr>
        <w:trPr>
          <w:trHeight w:val="604"/>
        </w:trPr>
        <w:tc>
          <w:tcPr>
            <w:tcW w:w="98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right"/>
              <w:ind w:right="850"/>
              <w:spacing w:after="0"/>
              <w:rPr>
                <w:sz w:val="20"/>
                <w:szCs w:val="20"/>
                <w:color w:val="auto"/>
              </w:rPr>
            </w:pPr>
            <w:r>
              <w:rPr>
                <w:rFonts w:ascii="Arial" w:cs="Arial" w:eastAsia="Arial" w:hAnsi="Arial"/>
                <w:sz w:val="18"/>
                <w:szCs w:val="18"/>
                <w:color w:val="auto"/>
              </w:rPr>
              <w:t>127</w:t>
            </w:r>
          </w:p>
        </w:tc>
        <w:tc>
          <w:tcPr>
            <w:tcW w:w="8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07"/>
        </w:trPr>
        <w:tc>
          <w:tcPr>
            <w:tcW w:w="4180" w:type="dxa"/>
            <w:vAlign w:val="bottom"/>
            <w:gridSpan w:val="32"/>
          </w:tcPr>
          <w:p>
            <w:pPr>
              <w:spacing w:after="0"/>
              <w:rPr>
                <w:sz w:val="20"/>
                <w:szCs w:val="20"/>
                <w:color w:val="auto"/>
              </w:rPr>
            </w:pPr>
            <w:r>
              <w:rPr>
                <w:rFonts w:ascii="Arial" w:cs="Arial" w:eastAsia="Arial" w:hAnsi="Arial"/>
                <w:sz w:val="18"/>
                <w:szCs w:val="18"/>
                <w:color w:val="0000FF"/>
              </w:rPr>
              <w:t>Table of Contents</w:t>
            </w: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10.15†</w:t>
            </w:r>
          </w:p>
        </w:tc>
        <w:tc>
          <w:tcPr>
            <w:tcW w:w="3200" w:type="dxa"/>
            <w:vAlign w:val="bottom"/>
            <w:gridSpan w:val="31"/>
          </w:tcPr>
          <w:p>
            <w:pPr>
              <w:spacing w:after="0"/>
              <w:rPr>
                <w:sz w:val="20"/>
                <w:szCs w:val="20"/>
                <w:color w:val="auto"/>
              </w:rPr>
            </w:pPr>
            <w:r>
              <w:rPr>
                <w:rFonts w:ascii="Arial" w:cs="Arial" w:eastAsia="Arial" w:hAnsi="Arial"/>
                <w:sz w:val="18"/>
                <w:szCs w:val="18"/>
                <w:color w:val="0000FF"/>
              </w:rPr>
              <w:t>Amended and Restated Executive</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tcPr>
          <w:p>
            <w:pPr>
              <w:jc w:val="center"/>
              <w:ind w:left="99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tcPr>
          <w:p>
            <w:pPr>
              <w:spacing w:after="0"/>
              <w:rPr>
                <w:sz w:val="15"/>
                <w:szCs w:val="15"/>
                <w:color w:val="auto"/>
              </w:rPr>
            </w:pPr>
          </w:p>
        </w:tc>
        <w:tc>
          <w:tcPr>
            <w:tcW w:w="2800" w:type="dxa"/>
            <w:vAlign w:val="bottom"/>
            <w:gridSpan w:val="16"/>
          </w:tcPr>
          <w:p>
            <w:pPr>
              <w:spacing w:after="0" w:line="182" w:lineRule="exact"/>
              <w:rPr>
                <w:sz w:val="20"/>
                <w:szCs w:val="20"/>
                <w:color w:val="auto"/>
              </w:rPr>
            </w:pPr>
            <w:r>
              <w:rPr>
                <w:rFonts w:ascii="Arial" w:cs="Arial" w:eastAsia="Arial" w:hAnsi="Arial"/>
                <w:sz w:val="18"/>
                <w:szCs w:val="18"/>
                <w:color w:val="0000FF"/>
              </w:rPr>
              <w:t>Severance Plan, as amended and</w:t>
            </w: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64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5"/>
              </w:rPr>
              <w:t>restated</w:t>
            </w:r>
          </w:p>
        </w:tc>
        <w:tc>
          <w:tcPr>
            <w:tcW w:w="20" w:type="dxa"/>
            <w:vAlign w:val="bottom"/>
            <w:tcBorders>
              <w:top w:val="single" w:sz="8" w:color="0000FF"/>
              <w:bottom w:val="single" w:sz="8" w:color="0000EE"/>
            </w:tcBorders>
          </w:tcPr>
          <w:p>
            <w:pPr>
              <w:spacing w:after="0"/>
              <w:rPr>
                <w:sz w:val="15"/>
                <w:szCs w:val="15"/>
                <w:color w:val="auto"/>
              </w:rPr>
            </w:pPr>
          </w:p>
        </w:tc>
        <w:tc>
          <w:tcPr>
            <w:tcW w:w="2140" w:type="dxa"/>
            <w:vAlign w:val="bottom"/>
            <w:tcBorders>
              <w:top w:val="single" w:sz="8" w:color="0000FF"/>
            </w:tcBorders>
            <w:gridSpan w:val="1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10.16#</w:t>
            </w:r>
          </w:p>
        </w:tc>
        <w:tc>
          <w:tcPr>
            <w:tcW w:w="3200" w:type="dxa"/>
            <w:vAlign w:val="bottom"/>
            <w:gridSpan w:val="31"/>
          </w:tcPr>
          <w:p>
            <w:pPr>
              <w:spacing w:after="0"/>
              <w:rPr>
                <w:rFonts w:ascii="Arial" w:cs="Arial" w:eastAsia="Arial" w:hAnsi="Arial"/>
                <w:sz w:val="18"/>
                <w:szCs w:val="18"/>
                <w:color w:val="0000FF"/>
              </w:rPr>
            </w:pPr>
            <w:hyperlink r:id="rId562">
              <w:r>
                <w:rPr>
                  <w:rFonts w:ascii="Arial" w:cs="Arial" w:eastAsia="Arial" w:hAnsi="Arial"/>
                  <w:sz w:val="18"/>
                  <w:szCs w:val="18"/>
                  <w:color w:val="0000FF"/>
                </w:rPr>
                <w:t>Amended and Restated Inventory</w:t>
              </w:r>
            </w:hyperlink>
          </w:p>
        </w:tc>
        <w:tc>
          <w:tcPr>
            <w:tcW w:w="20" w:type="dxa"/>
            <w:vAlign w:val="bottom"/>
          </w:tcPr>
          <w:p>
            <w:pPr>
              <w:spacing w:after="0"/>
              <w:rPr>
                <w:sz w:val="24"/>
                <w:szCs w:val="24"/>
                <w:color w:val="auto"/>
              </w:rPr>
            </w:pPr>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3680" w:type="dxa"/>
            <w:vAlign w:val="bottom"/>
          </w:tcPr>
          <w:p>
            <w:pPr>
              <w:jc w:val="center"/>
              <w:ind w:right="1630"/>
              <w:spacing w:after="0"/>
              <w:rPr>
                <w:sz w:val="20"/>
                <w:szCs w:val="20"/>
                <w:color w:val="auto"/>
              </w:rPr>
            </w:pPr>
            <w:r>
              <w:rPr>
                <w:rFonts w:ascii="Arial" w:cs="Arial" w:eastAsia="Arial" w:hAnsi="Arial"/>
                <w:sz w:val="18"/>
                <w:szCs w:val="18"/>
                <w:color w:val="auto"/>
                <w:w w:val="99"/>
              </w:rPr>
              <w:t>November 7, 2022</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72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6"/>
              </w:rPr>
            </w:pPr>
            <w:hyperlink r:id="rId562">
              <w:r>
                <w:rPr>
                  <w:rFonts w:ascii="Arial" w:cs="Arial" w:eastAsia="Arial" w:hAnsi="Arial"/>
                  <w:sz w:val="18"/>
                  <w:szCs w:val="18"/>
                  <w:color w:val="0000FF"/>
                  <w:w w:val="96"/>
                </w:rPr>
                <w:t>Financing and Security Agreement,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200" w:type="dxa"/>
            <w:vAlign w:val="bottom"/>
            <w:tcBorders>
              <w:bottom w:val="single" w:sz="8" w:color="0000FF"/>
            </w:tcBorders>
            <w:gridSpan w:val="31"/>
          </w:tcPr>
          <w:p>
            <w:pPr>
              <w:spacing w:after="0" w:line="182" w:lineRule="exact"/>
              <w:rPr>
                <w:rFonts w:ascii="Arial" w:cs="Arial" w:eastAsia="Arial" w:hAnsi="Arial"/>
                <w:sz w:val="18"/>
                <w:szCs w:val="18"/>
                <w:color w:val="0000FF"/>
              </w:rPr>
            </w:pPr>
            <w:hyperlink r:id="rId562">
              <w:r>
                <w:rPr>
                  <w:rFonts w:ascii="Arial" w:cs="Arial" w:eastAsia="Arial" w:hAnsi="Arial"/>
                  <w:sz w:val="18"/>
                  <w:szCs w:val="18"/>
                  <w:color w:val="0000FF"/>
                </w:rPr>
                <w:t>dated November 4, 2022 by and among</w:t>
              </w:r>
            </w:hyperlink>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200" w:type="dxa"/>
            <w:vAlign w:val="bottom"/>
            <w:gridSpan w:val="31"/>
          </w:tcPr>
          <w:p>
            <w:pPr>
              <w:spacing w:after="0" w:line="182" w:lineRule="exact"/>
              <w:rPr>
                <w:rFonts w:ascii="Arial" w:cs="Arial" w:eastAsia="Arial" w:hAnsi="Arial"/>
                <w:sz w:val="18"/>
                <w:szCs w:val="18"/>
                <w:color w:val="0000FF"/>
              </w:rPr>
            </w:pPr>
            <w:hyperlink r:id="rId562">
              <w:r>
                <w:rPr>
                  <w:rFonts w:ascii="Arial" w:cs="Arial" w:eastAsia="Arial" w:hAnsi="Arial"/>
                  <w:sz w:val="18"/>
                  <w:szCs w:val="18"/>
                  <w:color w:val="0000FF"/>
                </w:rPr>
                <w:t>Ally Bank, Ally Financial Inc., Vroom</w:t>
              </w:r>
            </w:hyperlink>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92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r:id="rId562">
              <w:r>
                <w:rPr>
                  <w:rFonts w:ascii="Arial" w:cs="Arial" w:eastAsia="Arial" w:hAnsi="Arial"/>
                  <w:sz w:val="18"/>
                  <w:szCs w:val="18"/>
                  <w:color w:val="0000FF"/>
                </w:rPr>
                <w:t>Automotive, LLC and Vroom, Inc.</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10.17</w:t>
            </w:r>
          </w:p>
        </w:tc>
        <w:tc>
          <w:tcPr>
            <w:tcW w:w="3200" w:type="dxa"/>
            <w:vAlign w:val="bottom"/>
            <w:gridSpan w:val="31"/>
          </w:tcPr>
          <w:p>
            <w:pPr>
              <w:spacing w:after="0"/>
              <w:rPr>
                <w:rFonts w:ascii="Arial" w:cs="Arial" w:eastAsia="Arial" w:hAnsi="Arial"/>
                <w:sz w:val="18"/>
                <w:szCs w:val="18"/>
                <w:color w:val="0000FF"/>
              </w:rPr>
            </w:pPr>
            <w:hyperlink r:id="rId563">
              <w:r>
                <w:rPr>
                  <w:rFonts w:ascii="Arial" w:cs="Arial" w:eastAsia="Arial" w:hAnsi="Arial"/>
                  <w:sz w:val="18"/>
                  <w:szCs w:val="18"/>
                  <w:color w:val="0000FF"/>
                </w:rPr>
                <w:t>First Amendment to Amended and</w:t>
              </w:r>
            </w:hyperlink>
          </w:p>
        </w:tc>
        <w:tc>
          <w:tcPr>
            <w:tcW w:w="20" w:type="dxa"/>
            <w:vAlign w:val="bottom"/>
          </w:tcPr>
          <w:p>
            <w:pPr>
              <w:spacing w:after="0"/>
              <w:rPr>
                <w:sz w:val="24"/>
                <w:szCs w:val="24"/>
                <w:color w:val="auto"/>
              </w:rPr>
            </w:pPr>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3680" w:type="dxa"/>
            <w:vAlign w:val="bottom"/>
          </w:tcPr>
          <w:p>
            <w:pPr>
              <w:jc w:val="center"/>
              <w:ind w:right="1630"/>
              <w:spacing w:after="0"/>
              <w:rPr>
                <w:sz w:val="20"/>
                <w:szCs w:val="20"/>
                <w:color w:val="auto"/>
              </w:rPr>
            </w:pPr>
            <w:r>
              <w:rPr>
                <w:rFonts w:ascii="Arial" w:cs="Arial" w:eastAsia="Arial" w:hAnsi="Arial"/>
                <w:sz w:val="18"/>
                <w:szCs w:val="18"/>
                <w:color w:val="auto"/>
                <w:w w:val="99"/>
              </w:rPr>
              <w:t>August 8, 2023</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tcPr>
          <w:p>
            <w:pPr>
              <w:spacing w:after="0"/>
              <w:rPr>
                <w:sz w:val="15"/>
                <w:szCs w:val="15"/>
                <w:color w:val="auto"/>
              </w:rPr>
            </w:pPr>
          </w:p>
        </w:tc>
        <w:tc>
          <w:tcPr>
            <w:tcW w:w="2840" w:type="dxa"/>
            <w:vAlign w:val="bottom"/>
            <w:gridSpan w:val="17"/>
          </w:tcPr>
          <w:p>
            <w:pPr>
              <w:spacing w:after="0" w:line="182" w:lineRule="exact"/>
              <w:rPr>
                <w:rFonts w:ascii="Arial" w:cs="Arial" w:eastAsia="Arial" w:hAnsi="Arial"/>
                <w:sz w:val="18"/>
                <w:szCs w:val="18"/>
                <w:color w:val="0000FF"/>
              </w:rPr>
            </w:pPr>
            <w:hyperlink r:id="rId563">
              <w:r>
                <w:rPr>
                  <w:rFonts w:ascii="Arial" w:cs="Arial" w:eastAsia="Arial" w:hAnsi="Arial"/>
                  <w:sz w:val="18"/>
                  <w:szCs w:val="18"/>
                  <w:color w:val="0000FF"/>
                </w:rPr>
                <w:t>Restated Inventory Financing and</w:t>
              </w:r>
            </w:hyperlink>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76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r:id="rId563">
              <w:r>
                <w:rPr>
                  <w:rFonts w:ascii="Arial" w:cs="Arial" w:eastAsia="Arial" w:hAnsi="Arial"/>
                  <w:sz w:val="18"/>
                  <w:szCs w:val="18"/>
                  <w:color w:val="0000FF"/>
                  <w:w w:val="99"/>
                </w:rPr>
                <w:t>Security Agreement, dated August</w:t>
              </w:r>
            </w:hyperlink>
          </w:p>
        </w:tc>
        <w:tc>
          <w:tcPr>
            <w:tcW w:w="220" w:type="dxa"/>
            <w:vAlign w:val="bottom"/>
            <w:tcBorders>
              <w:bottom w:val="single" w:sz="8" w:color="0000FF"/>
            </w:tcBorders>
            <w:gridSpan w:val="8"/>
          </w:tcPr>
          <w:p>
            <w:pPr>
              <w:jc w:val="right"/>
              <w:ind w:right="60"/>
              <w:spacing w:after="0" w:line="182" w:lineRule="exact"/>
              <w:rPr>
                <w:rFonts w:ascii="Arial" w:cs="Arial" w:eastAsia="Arial" w:hAnsi="Arial"/>
                <w:sz w:val="18"/>
                <w:szCs w:val="18"/>
                <w:color w:val="0000FF"/>
                <w:w w:val="92"/>
              </w:rPr>
            </w:pPr>
            <w:hyperlink r:id="rId563">
              <w:r>
                <w:rPr>
                  <w:rFonts w:ascii="Arial" w:cs="Arial" w:eastAsia="Arial" w:hAnsi="Arial"/>
                  <w:sz w:val="18"/>
                  <w:szCs w:val="18"/>
                  <w:color w:val="0000FF"/>
                  <w:w w:val="92"/>
                </w:rPr>
                <w:t>1,</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860" w:type="dxa"/>
            <w:vAlign w:val="bottom"/>
            <w:tcBorders>
              <w:bottom w:val="single" w:sz="8" w:color="0000FF"/>
            </w:tcBorders>
            <w:gridSpan w:val="18"/>
          </w:tcPr>
          <w:p>
            <w:pPr>
              <w:spacing w:after="0" w:line="182" w:lineRule="exact"/>
              <w:rPr>
                <w:rFonts w:ascii="Arial" w:cs="Arial" w:eastAsia="Arial" w:hAnsi="Arial"/>
                <w:sz w:val="18"/>
                <w:szCs w:val="18"/>
                <w:color w:val="0000FF"/>
              </w:rPr>
            </w:pPr>
            <w:hyperlink r:id="rId563">
              <w:r>
                <w:rPr>
                  <w:rFonts w:ascii="Arial" w:cs="Arial" w:eastAsia="Arial" w:hAnsi="Arial"/>
                  <w:sz w:val="18"/>
                  <w:szCs w:val="18"/>
                  <w:color w:val="0000FF"/>
                </w:rPr>
                <w:t>2023, by and among Ally Bank, Ally</w:t>
              </w:r>
            </w:hyperlink>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200" w:type="dxa"/>
            <w:vAlign w:val="bottom"/>
            <w:gridSpan w:val="31"/>
          </w:tcPr>
          <w:p>
            <w:pPr>
              <w:spacing w:after="0" w:line="182" w:lineRule="exact"/>
              <w:rPr>
                <w:rFonts w:ascii="Arial" w:cs="Arial" w:eastAsia="Arial" w:hAnsi="Arial"/>
                <w:sz w:val="18"/>
                <w:szCs w:val="18"/>
                <w:color w:val="0000FF"/>
              </w:rPr>
            </w:pPr>
            <w:hyperlink r:id="rId563">
              <w:r>
                <w:rPr>
                  <w:rFonts w:ascii="Arial" w:cs="Arial" w:eastAsia="Arial" w:hAnsi="Arial"/>
                  <w:sz w:val="18"/>
                  <w:szCs w:val="18"/>
                  <w:color w:val="0000FF"/>
                </w:rPr>
                <w:t>Financial Inc., Vroom Automotive, LLC</w:t>
              </w:r>
            </w:hyperlink>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100" w:type="dxa"/>
            <w:vAlign w:val="bottom"/>
            <w:tcBorders>
              <w:top w:val="single" w:sz="8" w:color="0000FF"/>
            </w:tcBorders>
            <w:gridSpan w:val="27"/>
          </w:tcPr>
          <w:p>
            <w:pPr>
              <w:spacing w:after="0" w:line="182" w:lineRule="exact"/>
              <w:rPr>
                <w:rFonts w:ascii="Arial" w:cs="Arial" w:eastAsia="Arial" w:hAnsi="Arial"/>
                <w:sz w:val="18"/>
                <w:szCs w:val="18"/>
                <w:color w:val="0000FF"/>
              </w:rPr>
            </w:pPr>
            <w:hyperlink r:id="rId563">
              <w:r>
                <w:rPr>
                  <w:rFonts w:ascii="Arial" w:cs="Arial" w:eastAsia="Arial" w:hAnsi="Arial"/>
                  <w:sz w:val="18"/>
                  <w:szCs w:val="18"/>
                  <w:color w:val="0000FF"/>
                </w:rPr>
                <w:t>and Vroom, Inc.</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10.18</w:t>
            </w:r>
          </w:p>
        </w:tc>
        <w:tc>
          <w:tcPr>
            <w:tcW w:w="3200" w:type="dxa"/>
            <w:vAlign w:val="bottom"/>
            <w:gridSpan w:val="31"/>
          </w:tcPr>
          <w:p>
            <w:pPr>
              <w:spacing w:after="0"/>
              <w:rPr>
                <w:sz w:val="20"/>
                <w:szCs w:val="20"/>
                <w:color w:val="auto"/>
              </w:rPr>
            </w:pPr>
            <w:r>
              <w:rPr>
                <w:rFonts w:ascii="Arial" w:cs="Arial" w:eastAsia="Arial" w:hAnsi="Arial"/>
                <w:sz w:val="18"/>
                <w:szCs w:val="18"/>
                <w:color w:val="0000FF"/>
              </w:rPr>
              <w:t>Second Amendment to Amended and</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tcPr>
          <w:p>
            <w:pPr>
              <w:jc w:val="center"/>
              <w:ind w:left="950"/>
              <w:spacing w:after="0"/>
              <w:rPr>
                <w:sz w:val="20"/>
                <w:szCs w:val="20"/>
                <w:color w:val="auto"/>
              </w:rPr>
            </w:pPr>
            <w:r>
              <w:rPr>
                <w:rFonts w:ascii="Arial" w:cs="Arial" w:eastAsia="Arial" w:hAnsi="Arial"/>
                <w:sz w:val="19"/>
                <w:szCs w:val="19"/>
                <w:color w:val="auto"/>
                <w:w w:val="94"/>
              </w:rPr>
              <w:t>X</w:t>
            </w: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tcPr>
          <w:p>
            <w:pPr>
              <w:spacing w:after="0"/>
              <w:rPr>
                <w:sz w:val="15"/>
                <w:szCs w:val="15"/>
                <w:color w:val="auto"/>
              </w:rPr>
            </w:pPr>
          </w:p>
        </w:tc>
        <w:tc>
          <w:tcPr>
            <w:tcW w:w="3040" w:type="dxa"/>
            <w:vAlign w:val="bottom"/>
            <w:gridSpan w:val="25"/>
          </w:tcPr>
          <w:p>
            <w:pPr>
              <w:spacing w:after="0" w:line="182" w:lineRule="exact"/>
              <w:rPr>
                <w:sz w:val="20"/>
                <w:szCs w:val="20"/>
                <w:color w:val="auto"/>
              </w:rPr>
            </w:pPr>
            <w:r>
              <w:rPr>
                <w:rFonts w:ascii="Arial" w:cs="Arial" w:eastAsia="Arial" w:hAnsi="Arial"/>
                <w:sz w:val="18"/>
                <w:szCs w:val="18"/>
                <w:color w:val="0000FF"/>
              </w:rPr>
              <w:t>Restated Inventory Financing and</w:t>
            </w:r>
          </w:p>
        </w:tc>
        <w:tc>
          <w:tcPr>
            <w:tcW w:w="40" w:type="dxa"/>
            <w:vAlign w:val="bottom"/>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760" w:type="dxa"/>
            <w:vAlign w:val="bottom"/>
            <w:tcBorders>
              <w:top w:val="single" w:sz="8" w:color="0000FF"/>
              <w:bottom w:val="single" w:sz="8" w:color="0000FF"/>
            </w:tcBorders>
            <w:gridSpan w:val="15"/>
          </w:tcPr>
          <w:p>
            <w:pPr>
              <w:spacing w:after="0" w:line="182" w:lineRule="exact"/>
              <w:rPr>
                <w:sz w:val="20"/>
                <w:szCs w:val="20"/>
                <w:color w:val="auto"/>
              </w:rPr>
            </w:pPr>
            <w:r>
              <w:rPr>
                <w:rFonts w:ascii="Arial" w:cs="Arial" w:eastAsia="Arial" w:hAnsi="Arial"/>
                <w:sz w:val="18"/>
                <w:szCs w:val="18"/>
                <w:color w:val="0000FF"/>
                <w:w w:val="97"/>
              </w:rPr>
              <w:t>Security Agreement, dated January</w:t>
            </w:r>
          </w:p>
        </w:tc>
        <w:tc>
          <w:tcPr>
            <w:tcW w:w="360" w:type="dxa"/>
            <w:vAlign w:val="bottom"/>
            <w:tcBorders>
              <w:bottom w:val="single" w:sz="8" w:color="0000FF"/>
            </w:tcBorders>
            <w:gridSpan w:val="13"/>
          </w:tcPr>
          <w:p>
            <w:pPr>
              <w:jc w:val="right"/>
              <w:ind w:right="20"/>
              <w:spacing w:after="0" w:line="182" w:lineRule="exact"/>
              <w:rPr>
                <w:sz w:val="20"/>
                <w:szCs w:val="20"/>
                <w:color w:val="auto"/>
              </w:rPr>
            </w:pPr>
            <w:r>
              <w:rPr>
                <w:rFonts w:ascii="Arial" w:cs="Arial" w:eastAsia="Arial" w:hAnsi="Arial"/>
                <w:sz w:val="18"/>
                <w:szCs w:val="18"/>
                <w:color w:val="0000FF"/>
              </w:rPr>
              <w:t>19,</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860" w:type="dxa"/>
            <w:vAlign w:val="bottom"/>
            <w:tcBorders>
              <w:bottom w:val="single" w:sz="8" w:color="0000FF"/>
            </w:tcBorders>
            <w:gridSpan w:val="18"/>
          </w:tcPr>
          <w:p>
            <w:pPr>
              <w:spacing w:after="0" w:line="182" w:lineRule="exact"/>
              <w:rPr>
                <w:sz w:val="20"/>
                <w:szCs w:val="20"/>
                <w:color w:val="auto"/>
              </w:rPr>
            </w:pPr>
            <w:r>
              <w:rPr>
                <w:rFonts w:ascii="Arial" w:cs="Arial" w:eastAsia="Arial" w:hAnsi="Arial"/>
                <w:sz w:val="18"/>
                <w:szCs w:val="18"/>
                <w:color w:val="0000FF"/>
              </w:rPr>
              <w:t>2024, by and among Ally Bank, Ally</w:t>
            </w:r>
          </w:p>
        </w:tc>
        <w:tc>
          <w:tcPr>
            <w:tcW w:w="300" w:type="dxa"/>
            <w:vAlign w:val="bottom"/>
            <w:gridSpan w:val="1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200" w:type="dxa"/>
            <w:vAlign w:val="bottom"/>
            <w:gridSpan w:val="31"/>
          </w:tcPr>
          <w:p>
            <w:pPr>
              <w:spacing w:after="0" w:line="182" w:lineRule="exact"/>
              <w:rPr>
                <w:sz w:val="20"/>
                <w:szCs w:val="20"/>
                <w:color w:val="auto"/>
              </w:rPr>
            </w:pPr>
            <w:r>
              <w:rPr>
                <w:rFonts w:ascii="Arial" w:cs="Arial" w:eastAsia="Arial" w:hAnsi="Arial"/>
                <w:sz w:val="18"/>
                <w:szCs w:val="18"/>
                <w:color w:val="0000FF"/>
              </w:rPr>
              <w:t>Financial Inc., Vroom Automotive, LLC</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100" w:type="dxa"/>
            <w:vAlign w:val="bottom"/>
            <w:tcBorders>
              <w:top w:val="single" w:sz="8" w:color="0000FF"/>
            </w:tcBorders>
            <w:gridSpan w:val="27"/>
          </w:tcPr>
          <w:p>
            <w:pPr>
              <w:spacing w:after="0" w:line="182" w:lineRule="exact"/>
              <w:rPr>
                <w:sz w:val="20"/>
                <w:szCs w:val="20"/>
                <w:color w:val="auto"/>
              </w:rPr>
            </w:pPr>
            <w:r>
              <w:rPr>
                <w:rFonts w:ascii="Arial" w:cs="Arial" w:eastAsia="Arial" w:hAnsi="Arial"/>
                <w:sz w:val="18"/>
                <w:szCs w:val="18"/>
                <w:color w:val="0000FF"/>
              </w:rPr>
              <w:t>and Vroom, Inc.</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10.19†</w:t>
            </w:r>
          </w:p>
        </w:tc>
        <w:tc>
          <w:tcPr>
            <w:tcW w:w="3200" w:type="dxa"/>
            <w:vAlign w:val="bottom"/>
            <w:gridSpan w:val="31"/>
          </w:tcPr>
          <w:p>
            <w:pPr>
              <w:spacing w:after="0"/>
              <w:rPr>
                <w:sz w:val="20"/>
                <w:szCs w:val="20"/>
                <w:color w:val="auto"/>
              </w:rPr>
            </w:pPr>
            <w:r>
              <w:rPr>
                <w:rFonts w:ascii="Arial" w:cs="Arial" w:eastAsia="Arial" w:hAnsi="Arial"/>
                <w:sz w:val="18"/>
                <w:szCs w:val="18"/>
                <w:color w:val="0000FF"/>
              </w:rPr>
              <w:t>Agreement of Termination of Amended</w:t>
            </w: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tcPr>
          <w:p>
            <w:pPr>
              <w:jc w:val="center"/>
              <w:ind w:left="95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120" w:type="dxa"/>
            <w:vAlign w:val="bottom"/>
            <w:tcBorders>
              <w:top w:val="single" w:sz="8" w:color="0000FF"/>
            </w:tcBorders>
            <w:gridSpan w:val="28"/>
          </w:tcPr>
          <w:p>
            <w:pPr>
              <w:spacing w:after="0" w:line="182" w:lineRule="exact"/>
              <w:rPr>
                <w:sz w:val="20"/>
                <w:szCs w:val="20"/>
                <w:color w:val="auto"/>
              </w:rPr>
            </w:pPr>
            <w:r>
              <w:rPr>
                <w:rFonts w:ascii="Arial" w:cs="Arial" w:eastAsia="Arial" w:hAnsi="Arial"/>
                <w:sz w:val="18"/>
                <w:szCs w:val="18"/>
                <w:color w:val="0000FF"/>
              </w:rPr>
              <w:t>and Restated Inventory Financing and</w:t>
            </w: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080" w:type="dxa"/>
            <w:vAlign w:val="bottom"/>
            <w:tcBorders>
              <w:top w:val="single" w:sz="8" w:color="0000FF"/>
              <w:bottom w:val="single" w:sz="8" w:color="0000FF"/>
            </w:tcBorders>
            <w:gridSpan w:val="26"/>
          </w:tcPr>
          <w:p>
            <w:pPr>
              <w:spacing w:after="0" w:line="182" w:lineRule="exact"/>
              <w:rPr>
                <w:sz w:val="20"/>
                <w:szCs w:val="20"/>
                <w:color w:val="auto"/>
              </w:rPr>
            </w:pPr>
            <w:r>
              <w:rPr>
                <w:rFonts w:ascii="Arial" w:cs="Arial" w:eastAsia="Arial" w:hAnsi="Arial"/>
                <w:sz w:val="18"/>
                <w:szCs w:val="18"/>
                <w:color w:val="0000FF"/>
                <w:w w:val="96"/>
              </w:rPr>
              <w:t>Security Agreement and Credit Balance</w:t>
            </w:r>
          </w:p>
        </w:tc>
        <w:tc>
          <w:tcPr>
            <w:tcW w:w="60" w:type="dxa"/>
            <w:vAlign w:val="bottom"/>
            <w:tcBorders>
              <w:bottom w:val="single" w:sz="8" w:color="0000FF"/>
            </w:tcBorders>
            <w:gridSpan w:val="3"/>
          </w:tcPr>
          <w:p>
            <w:pPr>
              <w:spacing w:after="0"/>
              <w:rPr>
                <w:sz w:val="15"/>
                <w:szCs w:val="15"/>
                <w:color w:val="auto"/>
              </w:rPr>
            </w:pPr>
          </w:p>
        </w:tc>
        <w:tc>
          <w:tcPr>
            <w:tcW w:w="6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200" w:type="dxa"/>
            <w:vAlign w:val="bottom"/>
            <w:gridSpan w:val="31"/>
          </w:tcPr>
          <w:p>
            <w:pPr>
              <w:spacing w:after="0" w:line="182" w:lineRule="exact"/>
              <w:rPr>
                <w:sz w:val="20"/>
                <w:szCs w:val="20"/>
                <w:color w:val="auto"/>
              </w:rPr>
            </w:pPr>
            <w:r>
              <w:rPr>
                <w:rFonts w:ascii="Arial" w:cs="Arial" w:eastAsia="Arial" w:hAnsi="Arial"/>
                <w:sz w:val="18"/>
                <w:szCs w:val="18"/>
                <w:color w:val="0000FF"/>
              </w:rPr>
              <w:t>Agreement, dated March 12, 2024 by</w:t>
            </w: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04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and among Ally Bank, Ally Financial</w:t>
            </w:r>
          </w:p>
        </w:tc>
        <w:tc>
          <w:tcPr>
            <w:tcW w:w="10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90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Inc., Vroom Automotive, LLC and</w:t>
            </w:r>
          </w:p>
        </w:tc>
        <w:tc>
          <w:tcPr>
            <w:tcW w:w="4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900" w:type="dxa"/>
            <w:vAlign w:val="bottom"/>
            <w:tcBorders>
              <w:top w:val="single" w:sz="8" w:color="0000FF"/>
              <w:bottom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95"/>
              </w:rPr>
              <w:t>Vroom, Inc.</w:t>
            </w:r>
          </w:p>
        </w:tc>
        <w:tc>
          <w:tcPr>
            <w:tcW w:w="20" w:type="dxa"/>
            <w:vAlign w:val="bottom"/>
            <w:tcBorders>
              <w:top w:val="single" w:sz="8" w:color="0000FF"/>
              <w:bottom w:val="single" w:sz="8" w:color="0000EE"/>
            </w:tcBorders>
          </w:tcPr>
          <w:p>
            <w:pPr>
              <w:spacing w:after="0"/>
              <w:rPr>
                <w:sz w:val="15"/>
                <w:szCs w:val="15"/>
                <w:color w:val="auto"/>
              </w:rPr>
            </w:pPr>
          </w:p>
        </w:tc>
        <w:tc>
          <w:tcPr>
            <w:tcW w:w="1760" w:type="dxa"/>
            <w:vAlign w:val="bottom"/>
            <w:tcBorders>
              <w:top w:val="single" w:sz="8" w:color="0000FF"/>
            </w:tcBorders>
            <w:gridSpan w:val="7"/>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10.20</w:t>
            </w:r>
            <w:r>
              <w:rPr>
                <w:rFonts w:ascii="Arial" w:cs="Arial" w:eastAsia="Arial" w:hAnsi="Arial"/>
                <w:sz w:val="16"/>
                <w:szCs w:val="16"/>
                <w:color w:val="auto"/>
              </w:rPr>
              <w:t>†</w:t>
            </w:r>
          </w:p>
        </w:tc>
        <w:tc>
          <w:tcPr>
            <w:tcW w:w="3200" w:type="dxa"/>
            <w:vAlign w:val="bottom"/>
            <w:gridSpan w:val="31"/>
          </w:tcPr>
          <w:p>
            <w:pPr>
              <w:spacing w:after="0"/>
              <w:rPr>
                <w:rFonts w:ascii="Arial" w:cs="Arial" w:eastAsia="Arial" w:hAnsi="Arial"/>
                <w:sz w:val="18"/>
                <w:szCs w:val="18"/>
                <w:color w:val="0000FF"/>
              </w:rPr>
            </w:pPr>
            <w:hyperlink r:id="rId564">
              <w:r>
                <w:rPr>
                  <w:rFonts w:ascii="Arial" w:cs="Arial" w:eastAsia="Arial" w:hAnsi="Arial"/>
                  <w:sz w:val="18"/>
                  <w:szCs w:val="18"/>
                  <w:color w:val="0000FF"/>
                </w:rPr>
                <w:t>Employment Offer Letter, dated</w:t>
              </w:r>
            </w:hyperlink>
          </w:p>
        </w:tc>
        <w:tc>
          <w:tcPr>
            <w:tcW w:w="20" w:type="dxa"/>
            <w:vAlign w:val="bottom"/>
          </w:tcPr>
          <w:p>
            <w:pPr>
              <w:spacing w:after="0"/>
              <w:rPr>
                <w:sz w:val="24"/>
                <w:szCs w:val="24"/>
                <w:color w:val="auto"/>
              </w:rPr>
            </w:pPr>
          </w:p>
        </w:tc>
        <w:tc>
          <w:tcPr>
            <w:tcW w:w="1080" w:type="dxa"/>
            <w:vAlign w:val="bottom"/>
          </w:tcPr>
          <w:p>
            <w:pPr>
              <w:jc w:val="center"/>
              <w:ind w:left="130"/>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60" w:type="dxa"/>
            <w:vAlign w:val="bottom"/>
          </w:tcPr>
          <w:p>
            <w:pPr>
              <w:jc w:val="center"/>
              <w:spacing w:after="0"/>
              <w:rPr>
                <w:sz w:val="20"/>
                <w:szCs w:val="20"/>
                <w:color w:val="auto"/>
              </w:rPr>
            </w:pPr>
            <w:r>
              <w:rPr>
                <w:rFonts w:ascii="Arial" w:cs="Arial" w:eastAsia="Arial" w:hAnsi="Arial"/>
                <w:sz w:val="18"/>
                <w:szCs w:val="18"/>
                <w:color w:val="auto"/>
              </w:rPr>
              <w:t>10.18</w:t>
            </w:r>
          </w:p>
        </w:tc>
        <w:tc>
          <w:tcPr>
            <w:tcW w:w="3680" w:type="dxa"/>
            <w:vAlign w:val="bottom"/>
          </w:tcPr>
          <w:p>
            <w:pPr>
              <w:jc w:val="center"/>
              <w:ind w:right="1630"/>
              <w:spacing w:after="0"/>
              <w:rPr>
                <w:sz w:val="20"/>
                <w:szCs w:val="20"/>
                <w:color w:val="auto"/>
              </w:rPr>
            </w:pPr>
            <w:r>
              <w:rPr>
                <w:rFonts w:ascii="Arial" w:cs="Arial" w:eastAsia="Arial" w:hAnsi="Arial"/>
                <w:sz w:val="18"/>
                <w:szCs w:val="18"/>
                <w:color w:val="auto"/>
                <w:w w:val="99"/>
              </w:rPr>
              <w:t>September 8, 2020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40" w:type="dxa"/>
            <w:vAlign w:val="bottom"/>
            <w:tcBorders>
              <w:right w:val="single" w:sz="8" w:color="0000FF"/>
            </w:tcBorders>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tcPr>
          <w:p>
            <w:pPr>
              <w:spacing w:after="0"/>
              <w:rPr>
                <w:sz w:val="15"/>
                <w:szCs w:val="15"/>
                <w:color w:val="auto"/>
              </w:rPr>
            </w:pPr>
          </w:p>
        </w:tc>
        <w:tc>
          <w:tcPr>
            <w:tcW w:w="3200" w:type="dxa"/>
            <w:vAlign w:val="bottom"/>
            <w:gridSpan w:val="31"/>
          </w:tcPr>
          <w:p>
            <w:pPr>
              <w:spacing w:after="0" w:line="182" w:lineRule="exact"/>
              <w:rPr>
                <w:rFonts w:ascii="Arial" w:cs="Arial" w:eastAsia="Arial" w:hAnsi="Arial"/>
                <w:sz w:val="18"/>
                <w:szCs w:val="18"/>
                <w:color w:val="0000FF"/>
              </w:rPr>
            </w:pPr>
            <w:hyperlink r:id="rId564">
              <w:r>
                <w:rPr>
                  <w:rFonts w:ascii="Arial" w:cs="Arial" w:eastAsia="Arial" w:hAnsi="Arial"/>
                  <w:sz w:val="18"/>
                  <w:szCs w:val="18"/>
                  <w:color w:val="0000FF"/>
                </w:rPr>
                <w:t>December 29, 2018, by and between</w:t>
              </w:r>
            </w:hyperlink>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46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8"/>
              </w:rPr>
            </w:pPr>
            <w:hyperlink r:id="rId564">
              <w:r>
                <w:rPr>
                  <w:rFonts w:ascii="Arial" w:cs="Arial" w:eastAsia="Arial" w:hAnsi="Arial"/>
                  <w:sz w:val="18"/>
                  <w:szCs w:val="18"/>
                  <w:color w:val="0000FF"/>
                  <w:w w:val="98"/>
                </w:rPr>
                <w:t>Vroom, Inc. and Patricia Moran</w:t>
              </w:r>
            </w:hyperlink>
          </w:p>
        </w:tc>
        <w:tc>
          <w:tcPr>
            <w:tcW w:w="60" w:type="dxa"/>
            <w:vAlign w:val="bottom"/>
            <w:tcBorders>
              <w:top w:val="single" w:sz="8" w:color="0000FF"/>
              <w:bottom w:val="single" w:sz="8" w:color="0000EE"/>
            </w:tcBorders>
          </w:tcPr>
          <w:p>
            <w:pPr>
              <w:spacing w:after="0"/>
              <w:rPr>
                <w:sz w:val="15"/>
                <w:szCs w:val="15"/>
                <w:color w:val="auto"/>
              </w:rPr>
            </w:pPr>
          </w:p>
        </w:tc>
        <w:tc>
          <w:tcPr>
            <w:tcW w:w="480" w:type="dxa"/>
            <w:vAlign w:val="bottom"/>
            <w:tcBorders>
              <w:top w:val="single" w:sz="8" w:color="0000FF"/>
            </w:tcBorders>
            <w:gridSpan w:val="14"/>
          </w:tcPr>
          <w:p>
            <w:pPr>
              <w:spacing w:after="0"/>
              <w:rPr>
                <w:sz w:val="15"/>
                <w:szCs w:val="15"/>
                <w:color w:val="auto"/>
              </w:rPr>
            </w:pPr>
          </w:p>
        </w:tc>
        <w:tc>
          <w:tcPr>
            <w:tcW w:w="140" w:type="dxa"/>
            <w:vAlign w:val="bottom"/>
            <w:gridSpan w:val="5"/>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10.21</w:t>
            </w:r>
            <w:r>
              <w:rPr>
                <w:rFonts w:ascii="Arial" w:cs="Arial" w:eastAsia="Arial" w:hAnsi="Arial"/>
                <w:sz w:val="16"/>
                <w:szCs w:val="16"/>
                <w:color w:val="auto"/>
              </w:rPr>
              <w:t>†</w:t>
            </w:r>
          </w:p>
        </w:tc>
        <w:tc>
          <w:tcPr>
            <w:tcW w:w="3200" w:type="dxa"/>
            <w:vAlign w:val="bottom"/>
            <w:gridSpan w:val="31"/>
          </w:tcPr>
          <w:p>
            <w:pPr>
              <w:spacing w:after="0"/>
              <w:rPr>
                <w:rFonts w:ascii="Arial" w:cs="Arial" w:eastAsia="Arial" w:hAnsi="Arial"/>
                <w:sz w:val="18"/>
                <w:szCs w:val="18"/>
                <w:color w:val="0000FF"/>
              </w:rPr>
            </w:pPr>
            <w:hyperlink r:id="rId565">
              <w:r>
                <w:rPr>
                  <w:rFonts w:ascii="Arial" w:cs="Arial" w:eastAsia="Arial" w:hAnsi="Arial"/>
                  <w:sz w:val="18"/>
                  <w:szCs w:val="18"/>
                  <w:color w:val="0000FF"/>
                </w:rPr>
                <w:t>Employment Offer Letter, dated</w:t>
              </w:r>
            </w:hyperlink>
          </w:p>
        </w:tc>
        <w:tc>
          <w:tcPr>
            <w:tcW w:w="20" w:type="dxa"/>
            <w:vAlign w:val="bottom"/>
          </w:tcPr>
          <w:p>
            <w:pPr>
              <w:spacing w:after="0"/>
              <w:rPr>
                <w:sz w:val="24"/>
                <w:szCs w:val="24"/>
                <w:color w:val="auto"/>
              </w:rPr>
            </w:pPr>
          </w:p>
        </w:tc>
        <w:tc>
          <w:tcPr>
            <w:tcW w:w="1080" w:type="dxa"/>
            <w:vAlign w:val="bottom"/>
          </w:tcPr>
          <w:p>
            <w:pPr>
              <w:jc w:val="center"/>
              <w:ind w:left="130"/>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60" w:type="dxa"/>
            <w:vAlign w:val="bottom"/>
          </w:tcPr>
          <w:p>
            <w:pPr>
              <w:jc w:val="center"/>
              <w:spacing w:after="0"/>
              <w:rPr>
                <w:sz w:val="20"/>
                <w:szCs w:val="20"/>
                <w:color w:val="auto"/>
              </w:rPr>
            </w:pPr>
            <w:r>
              <w:rPr>
                <w:rFonts w:ascii="Arial" w:cs="Arial" w:eastAsia="Arial" w:hAnsi="Arial"/>
                <w:sz w:val="18"/>
                <w:szCs w:val="18"/>
                <w:color w:val="auto"/>
              </w:rPr>
              <w:t>10.19</w:t>
            </w:r>
          </w:p>
        </w:tc>
        <w:tc>
          <w:tcPr>
            <w:tcW w:w="3680" w:type="dxa"/>
            <w:vAlign w:val="bottom"/>
          </w:tcPr>
          <w:p>
            <w:pPr>
              <w:jc w:val="center"/>
              <w:ind w:right="1630"/>
              <w:spacing w:after="0"/>
              <w:rPr>
                <w:sz w:val="20"/>
                <w:szCs w:val="20"/>
                <w:color w:val="auto"/>
              </w:rPr>
            </w:pPr>
            <w:r>
              <w:rPr>
                <w:rFonts w:ascii="Arial" w:cs="Arial" w:eastAsia="Arial" w:hAnsi="Arial"/>
                <w:sz w:val="18"/>
                <w:szCs w:val="18"/>
                <w:color w:val="auto"/>
                <w:w w:val="99"/>
              </w:rPr>
              <w:t>September 8, 2020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140" w:type="dxa"/>
            <w:vAlign w:val="bottom"/>
            <w:tcBorders>
              <w:right w:val="single" w:sz="8" w:color="0000FF"/>
            </w:tcBorders>
            <w:gridSpan w:val="7"/>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tcPr>
          <w:p>
            <w:pPr>
              <w:spacing w:after="0"/>
              <w:rPr>
                <w:sz w:val="15"/>
                <w:szCs w:val="15"/>
                <w:color w:val="auto"/>
              </w:rPr>
            </w:pPr>
          </w:p>
        </w:tc>
        <w:tc>
          <w:tcPr>
            <w:tcW w:w="3200" w:type="dxa"/>
            <w:vAlign w:val="bottom"/>
            <w:gridSpan w:val="31"/>
          </w:tcPr>
          <w:p>
            <w:pPr>
              <w:spacing w:after="0" w:line="182" w:lineRule="exact"/>
              <w:rPr>
                <w:rFonts w:ascii="Arial" w:cs="Arial" w:eastAsia="Arial" w:hAnsi="Arial"/>
                <w:sz w:val="18"/>
                <w:szCs w:val="18"/>
                <w:color w:val="0000FF"/>
              </w:rPr>
            </w:pPr>
            <w:hyperlink r:id="rId565">
              <w:r>
                <w:rPr>
                  <w:rFonts w:ascii="Arial" w:cs="Arial" w:eastAsia="Arial" w:hAnsi="Arial"/>
                  <w:sz w:val="18"/>
                  <w:szCs w:val="18"/>
                  <w:color w:val="0000FF"/>
                </w:rPr>
                <w:t>November 3, 2016, by and between</w:t>
              </w:r>
            </w:hyperlink>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840" w:type="dxa"/>
            <w:vAlign w:val="bottom"/>
            <w:tcBorders>
              <w:top w:val="single" w:sz="8" w:color="0000FF"/>
              <w:bottom w:val="single" w:sz="8" w:color="0000FF"/>
            </w:tcBorders>
            <w:gridSpan w:val="17"/>
          </w:tcPr>
          <w:p>
            <w:pPr>
              <w:spacing w:after="0" w:line="182" w:lineRule="exact"/>
              <w:rPr>
                <w:rFonts w:ascii="Arial" w:cs="Arial" w:eastAsia="Arial" w:hAnsi="Arial"/>
                <w:sz w:val="18"/>
                <w:szCs w:val="18"/>
                <w:color w:val="0000FF"/>
              </w:rPr>
            </w:pPr>
            <w:hyperlink r:id="rId565">
              <w:r>
                <w:rPr>
                  <w:rFonts w:ascii="Arial" w:cs="Arial" w:eastAsia="Arial" w:hAnsi="Arial"/>
                  <w:sz w:val="18"/>
                  <w:szCs w:val="18"/>
                  <w:color w:val="0000FF"/>
                </w:rPr>
                <w:t>Vroom, Inc. and Carol Denise Stott</w:t>
              </w:r>
            </w:hyperlink>
          </w:p>
        </w:tc>
        <w:tc>
          <w:tcPr>
            <w:tcW w:w="40" w:type="dxa"/>
            <w:vAlign w:val="bottom"/>
            <w:tcBorders>
              <w:top w:val="single" w:sz="8" w:color="0000FF"/>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0" w:type="dxa"/>
            <w:vAlign w:val="bottom"/>
            <w:gridSpan w:val="7"/>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10.22</w:t>
            </w:r>
            <w:r>
              <w:rPr>
                <w:rFonts w:ascii="Arial" w:cs="Arial" w:eastAsia="Arial" w:hAnsi="Arial"/>
                <w:sz w:val="16"/>
                <w:szCs w:val="16"/>
                <w:color w:val="auto"/>
              </w:rPr>
              <w:t>†</w:t>
            </w:r>
          </w:p>
        </w:tc>
        <w:tc>
          <w:tcPr>
            <w:tcW w:w="3200" w:type="dxa"/>
            <w:vAlign w:val="bottom"/>
            <w:gridSpan w:val="31"/>
          </w:tcPr>
          <w:p>
            <w:pPr>
              <w:spacing w:after="0"/>
              <w:rPr>
                <w:rFonts w:ascii="Arial" w:cs="Arial" w:eastAsia="Arial" w:hAnsi="Arial"/>
                <w:sz w:val="18"/>
                <w:szCs w:val="18"/>
                <w:color w:val="0000FF"/>
              </w:rPr>
            </w:pPr>
            <w:hyperlink r:id="rId566">
              <w:r>
                <w:rPr>
                  <w:rFonts w:ascii="Arial" w:cs="Arial" w:eastAsia="Arial" w:hAnsi="Arial"/>
                  <w:sz w:val="18"/>
                  <w:szCs w:val="18"/>
                  <w:color w:val="0000FF"/>
                </w:rPr>
                <w:t>Letter Agreement, dated as of</w:t>
              </w:r>
            </w:hyperlink>
          </w:p>
        </w:tc>
        <w:tc>
          <w:tcPr>
            <w:tcW w:w="20" w:type="dxa"/>
            <w:vAlign w:val="bottom"/>
          </w:tcPr>
          <w:p>
            <w:pPr>
              <w:spacing w:after="0"/>
              <w:rPr>
                <w:sz w:val="24"/>
                <w:szCs w:val="24"/>
                <w:color w:val="auto"/>
              </w:rPr>
            </w:pPr>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3680" w:type="dxa"/>
            <w:vAlign w:val="bottom"/>
          </w:tcPr>
          <w:p>
            <w:pPr>
              <w:jc w:val="center"/>
              <w:ind w:right="1630"/>
              <w:spacing w:after="0"/>
              <w:rPr>
                <w:sz w:val="20"/>
                <w:szCs w:val="20"/>
                <w:color w:val="auto"/>
              </w:rPr>
            </w:pPr>
            <w:r>
              <w:rPr>
                <w:rFonts w:ascii="Arial" w:cs="Arial" w:eastAsia="Arial" w:hAnsi="Arial"/>
                <w:sz w:val="18"/>
                <w:szCs w:val="18"/>
                <w:color w:val="auto"/>
              </w:rPr>
              <w:t>September 13, 2021</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4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566">
              <w:r>
                <w:rPr>
                  <w:rFonts w:ascii="Arial" w:cs="Arial" w:eastAsia="Arial" w:hAnsi="Arial"/>
                  <w:sz w:val="18"/>
                  <w:szCs w:val="18"/>
                  <w:color w:val="0000FF"/>
                </w:rPr>
                <w:t>September 13, 2021, by and</w:t>
              </w:r>
            </w:hyperlink>
          </w:p>
        </w:tc>
        <w:tc>
          <w:tcPr>
            <w:tcW w:w="780" w:type="dxa"/>
            <w:vAlign w:val="bottom"/>
            <w:gridSpan w:val="23"/>
          </w:tcPr>
          <w:p>
            <w:pPr>
              <w:spacing w:after="0" w:line="182" w:lineRule="exact"/>
              <w:rPr>
                <w:rFonts w:ascii="Arial" w:cs="Arial" w:eastAsia="Arial" w:hAnsi="Arial"/>
                <w:sz w:val="18"/>
                <w:szCs w:val="18"/>
                <w:color w:val="0000FF"/>
              </w:rPr>
            </w:pPr>
            <w:hyperlink r:id="rId566">
              <w:r>
                <w:rPr>
                  <w:rFonts w:ascii="Arial" w:cs="Arial" w:eastAsia="Arial" w:hAnsi="Arial"/>
                  <w:sz w:val="18"/>
                  <w:szCs w:val="18"/>
                  <w:color w:val="0000FF"/>
                </w:rPr>
                <w:t>between</w:t>
              </w:r>
            </w:hyperlink>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74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566">
              <w:r>
                <w:rPr>
                  <w:rFonts w:ascii="Arial" w:cs="Arial" w:eastAsia="Arial" w:hAnsi="Arial"/>
                  <w:sz w:val="18"/>
                  <w:szCs w:val="18"/>
                  <w:color w:val="0000FF"/>
                  <w:w w:val="99"/>
                </w:rPr>
                <w:t>Robert Krakowiak and Vroom, Inc.</w:t>
              </w:r>
            </w:hyperlink>
          </w:p>
        </w:tc>
        <w:tc>
          <w:tcPr>
            <w:tcW w:w="300" w:type="dxa"/>
            <w:vAlign w:val="bottom"/>
            <w:tcBorders>
              <w:top w:val="single" w:sz="8" w:color="0000FF"/>
            </w:tcBorders>
            <w:gridSpan w:val="11"/>
          </w:tcPr>
          <w:p>
            <w:pPr>
              <w:spacing w:after="0"/>
              <w:rPr>
                <w:sz w:val="15"/>
                <w:szCs w:val="15"/>
                <w:color w:val="auto"/>
              </w:rPr>
            </w:pPr>
          </w:p>
        </w:tc>
        <w:tc>
          <w:tcPr>
            <w:tcW w:w="10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10.23</w:t>
            </w:r>
            <w:r>
              <w:rPr>
                <w:rFonts w:ascii="Arial" w:cs="Arial" w:eastAsia="Arial" w:hAnsi="Arial"/>
                <w:sz w:val="16"/>
                <w:szCs w:val="16"/>
                <w:color w:val="auto"/>
              </w:rPr>
              <w:t>†</w:t>
            </w:r>
          </w:p>
        </w:tc>
        <w:tc>
          <w:tcPr>
            <w:tcW w:w="3200" w:type="dxa"/>
            <w:vAlign w:val="bottom"/>
            <w:gridSpan w:val="31"/>
          </w:tcPr>
          <w:p>
            <w:pPr>
              <w:spacing w:after="0"/>
              <w:rPr>
                <w:rFonts w:ascii="Arial" w:cs="Arial" w:eastAsia="Arial" w:hAnsi="Arial"/>
                <w:sz w:val="18"/>
                <w:szCs w:val="18"/>
                <w:color w:val="0000FF"/>
              </w:rPr>
            </w:pPr>
            <w:hyperlink r:id="rId567">
              <w:r>
                <w:rPr>
                  <w:rFonts w:ascii="Arial" w:cs="Arial" w:eastAsia="Arial" w:hAnsi="Arial"/>
                  <w:sz w:val="18"/>
                  <w:szCs w:val="18"/>
                  <w:color w:val="0000FF"/>
                </w:rPr>
                <w:t>Amended Offer Letter, dated as of May</w:t>
              </w:r>
            </w:hyperlink>
          </w:p>
        </w:tc>
        <w:tc>
          <w:tcPr>
            <w:tcW w:w="20" w:type="dxa"/>
            <w:vAlign w:val="bottom"/>
          </w:tcPr>
          <w:p>
            <w:pPr>
              <w:spacing w:after="0"/>
              <w:rPr>
                <w:sz w:val="24"/>
                <w:szCs w:val="24"/>
                <w:color w:val="auto"/>
              </w:rPr>
            </w:pPr>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10.2</w:t>
            </w:r>
          </w:p>
        </w:tc>
        <w:tc>
          <w:tcPr>
            <w:tcW w:w="3680" w:type="dxa"/>
            <w:vAlign w:val="bottom"/>
          </w:tcPr>
          <w:p>
            <w:pPr>
              <w:jc w:val="center"/>
              <w:ind w:right="1630"/>
              <w:spacing w:after="0"/>
              <w:rPr>
                <w:sz w:val="20"/>
                <w:szCs w:val="20"/>
                <w:color w:val="auto"/>
              </w:rPr>
            </w:pPr>
            <w:r>
              <w:rPr>
                <w:rFonts w:ascii="Arial" w:cs="Arial" w:eastAsia="Arial" w:hAnsi="Arial"/>
                <w:sz w:val="18"/>
                <w:szCs w:val="18"/>
                <w:color w:val="auto"/>
                <w:w w:val="98"/>
              </w:rPr>
              <w:t>May 26, 2022</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140" w:type="dxa"/>
            <w:vAlign w:val="bottom"/>
            <w:tcBorders>
              <w:top w:val="single" w:sz="8" w:color="0000FF"/>
            </w:tcBorders>
            <w:gridSpan w:val="29"/>
          </w:tcPr>
          <w:p>
            <w:pPr>
              <w:spacing w:after="0" w:line="182" w:lineRule="exact"/>
              <w:rPr>
                <w:rFonts w:ascii="Arial" w:cs="Arial" w:eastAsia="Arial" w:hAnsi="Arial"/>
                <w:sz w:val="18"/>
                <w:szCs w:val="18"/>
                <w:color w:val="0000FF"/>
              </w:rPr>
            </w:pPr>
            <w:hyperlink r:id="rId567">
              <w:r>
                <w:rPr>
                  <w:rFonts w:ascii="Arial" w:cs="Arial" w:eastAsia="Arial" w:hAnsi="Arial"/>
                  <w:sz w:val="18"/>
                  <w:szCs w:val="18"/>
                  <w:color w:val="0000FF"/>
                </w:rPr>
                <w:t>20, 2022, by and between Robert R.</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94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567">
              <w:r>
                <w:rPr>
                  <w:rFonts w:ascii="Arial" w:cs="Arial" w:eastAsia="Arial" w:hAnsi="Arial"/>
                  <w:sz w:val="18"/>
                  <w:szCs w:val="18"/>
                  <w:color w:val="0000FF"/>
                </w:rPr>
                <w:t>Krakowiak and Vroom, Inc.</w:t>
              </w:r>
            </w:hyperlink>
          </w:p>
        </w:tc>
        <w:tc>
          <w:tcPr>
            <w:tcW w:w="2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140" w:type="dxa"/>
            <w:vAlign w:val="bottom"/>
            <w:tcBorders>
              <w:right w:val="single" w:sz="8" w:color="0000EE"/>
            </w:tcBorders>
            <w:gridSpan w:val="7"/>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8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80" w:type="dxa"/>
            <w:vAlign w:val="bottom"/>
          </w:tcPr>
          <w:p>
            <w:pPr>
              <w:ind w:left="20"/>
              <w:spacing w:after="0"/>
              <w:rPr>
                <w:sz w:val="20"/>
                <w:szCs w:val="20"/>
                <w:color w:val="auto"/>
              </w:rPr>
            </w:pPr>
            <w:r>
              <w:rPr>
                <w:rFonts w:ascii="Arial" w:cs="Arial" w:eastAsia="Arial" w:hAnsi="Arial"/>
                <w:sz w:val="18"/>
                <w:szCs w:val="18"/>
                <w:color w:val="auto"/>
              </w:rPr>
              <w:t>10.24†</w:t>
            </w:r>
          </w:p>
        </w:tc>
        <w:tc>
          <w:tcPr>
            <w:tcW w:w="3200" w:type="dxa"/>
            <w:vAlign w:val="bottom"/>
            <w:gridSpan w:val="31"/>
          </w:tcPr>
          <w:p>
            <w:pPr>
              <w:spacing w:after="0"/>
              <w:rPr>
                <w:rFonts w:ascii="Arial" w:cs="Arial" w:eastAsia="Arial" w:hAnsi="Arial"/>
                <w:sz w:val="18"/>
                <w:szCs w:val="18"/>
                <w:color w:val="0000FF"/>
              </w:rPr>
            </w:pPr>
            <w:hyperlink r:id="rId568">
              <w:r>
                <w:rPr>
                  <w:rFonts w:ascii="Arial" w:cs="Arial" w:eastAsia="Arial" w:hAnsi="Arial"/>
                  <w:sz w:val="18"/>
                  <w:szCs w:val="18"/>
                  <w:color w:val="0000FF"/>
                </w:rPr>
                <w:t>Letter Agreement, dated as of</w:t>
              </w:r>
            </w:hyperlink>
          </w:p>
        </w:tc>
        <w:tc>
          <w:tcPr>
            <w:tcW w:w="20" w:type="dxa"/>
            <w:vAlign w:val="bottom"/>
          </w:tcPr>
          <w:p>
            <w:pPr>
              <w:spacing w:after="0"/>
              <w:rPr>
                <w:sz w:val="24"/>
                <w:szCs w:val="24"/>
                <w:color w:val="auto"/>
              </w:rPr>
            </w:pPr>
          </w:p>
        </w:tc>
        <w:tc>
          <w:tcPr>
            <w:tcW w:w="1080" w:type="dxa"/>
            <w:vAlign w:val="bottom"/>
          </w:tcPr>
          <w:p>
            <w:pPr>
              <w:jc w:val="center"/>
              <w:ind w:left="1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6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3680" w:type="dxa"/>
            <w:vAlign w:val="bottom"/>
          </w:tcPr>
          <w:p>
            <w:pPr>
              <w:jc w:val="center"/>
              <w:ind w:right="1610"/>
              <w:spacing w:after="0"/>
              <w:rPr>
                <w:sz w:val="20"/>
                <w:szCs w:val="20"/>
                <w:color w:val="auto"/>
              </w:rPr>
            </w:pPr>
            <w:r>
              <w:rPr>
                <w:rFonts w:ascii="Arial" w:cs="Arial" w:eastAsia="Arial" w:hAnsi="Arial"/>
                <w:sz w:val="18"/>
                <w:szCs w:val="18"/>
                <w:color w:val="auto"/>
                <w:w w:val="99"/>
              </w:rPr>
              <w:t>December 17, 2021</w:t>
            </w: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242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568">
              <w:r>
                <w:rPr>
                  <w:rFonts w:ascii="Arial" w:cs="Arial" w:eastAsia="Arial" w:hAnsi="Arial"/>
                  <w:sz w:val="18"/>
                  <w:szCs w:val="18"/>
                  <w:color w:val="0000FF"/>
                </w:rPr>
                <w:t>December 15, 2021, by and</w:t>
              </w:r>
            </w:hyperlink>
          </w:p>
        </w:tc>
        <w:tc>
          <w:tcPr>
            <w:tcW w:w="780" w:type="dxa"/>
            <w:vAlign w:val="bottom"/>
            <w:gridSpan w:val="23"/>
          </w:tcPr>
          <w:p>
            <w:pPr>
              <w:spacing w:after="0" w:line="182" w:lineRule="exact"/>
              <w:rPr>
                <w:rFonts w:ascii="Arial" w:cs="Arial" w:eastAsia="Arial" w:hAnsi="Arial"/>
                <w:sz w:val="18"/>
                <w:szCs w:val="18"/>
                <w:color w:val="0000FF"/>
              </w:rPr>
            </w:pPr>
            <w:hyperlink r:id="rId568">
              <w:r>
                <w:rPr>
                  <w:rFonts w:ascii="Arial" w:cs="Arial" w:eastAsia="Arial" w:hAnsi="Arial"/>
                  <w:sz w:val="18"/>
                  <w:szCs w:val="18"/>
                  <w:color w:val="0000FF"/>
                </w:rPr>
                <w:t>between</w:t>
              </w:r>
            </w:hyperlink>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80" w:type="dxa"/>
            <w:vAlign w:val="bottom"/>
          </w:tcPr>
          <w:p>
            <w:pPr>
              <w:spacing w:after="0"/>
              <w:rPr>
                <w:sz w:val="15"/>
                <w:szCs w:val="15"/>
                <w:color w:val="auto"/>
              </w:rPr>
            </w:pPr>
          </w:p>
        </w:tc>
        <w:tc>
          <w:tcPr>
            <w:tcW w:w="3000" w:type="dxa"/>
            <w:vAlign w:val="bottom"/>
            <w:tcBorders>
              <w:top w:val="single" w:sz="8" w:color="0000FF"/>
            </w:tcBorders>
            <w:gridSpan w:val="24"/>
          </w:tcPr>
          <w:p>
            <w:pPr>
              <w:spacing w:after="0" w:line="182" w:lineRule="exact"/>
              <w:rPr>
                <w:rFonts w:ascii="Arial" w:cs="Arial" w:eastAsia="Arial" w:hAnsi="Arial"/>
                <w:sz w:val="18"/>
                <w:szCs w:val="18"/>
                <w:color w:val="0000FF"/>
              </w:rPr>
            </w:pPr>
            <w:hyperlink r:id="rId568">
              <w:r>
                <w:rPr>
                  <w:rFonts w:ascii="Arial" w:cs="Arial" w:eastAsia="Arial" w:hAnsi="Arial"/>
                  <w:sz w:val="18"/>
                  <w:szCs w:val="18"/>
                  <w:color w:val="0000FF"/>
                </w:rPr>
                <w:t>Thomas Shortt and Vroom, Inc.</w:t>
              </w:r>
            </w:hyperlink>
          </w:p>
        </w:tc>
        <w:tc>
          <w:tcPr>
            <w:tcW w:w="20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2"/>
        </w:trPr>
        <w:tc>
          <w:tcPr>
            <w:tcW w:w="980" w:type="dxa"/>
            <w:vAlign w:val="bottom"/>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jc w:val="right"/>
              <w:ind w:right="830"/>
              <w:spacing w:after="0"/>
              <w:rPr>
                <w:sz w:val="20"/>
                <w:szCs w:val="20"/>
                <w:color w:val="auto"/>
              </w:rPr>
            </w:pPr>
            <w:r>
              <w:rPr>
                <w:rFonts w:ascii="Arial" w:cs="Arial" w:eastAsia="Arial" w:hAnsi="Arial"/>
                <w:sz w:val="18"/>
                <w:szCs w:val="18"/>
                <w:color w:val="auto"/>
              </w:rPr>
              <w:t>128</w:t>
            </w:r>
          </w:p>
        </w:tc>
        <w:tc>
          <w:tcPr>
            <w:tcW w:w="8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9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7"/>
        </w:trPr>
        <w:tc>
          <w:tcPr>
            <w:tcW w:w="4260" w:type="dxa"/>
            <w:vAlign w:val="bottom"/>
            <w:gridSpan w:val="38"/>
          </w:tcPr>
          <w:p>
            <w:pPr>
              <w:spacing w:after="0"/>
              <w:rPr>
                <w:sz w:val="20"/>
                <w:szCs w:val="20"/>
                <w:color w:val="auto"/>
              </w:rPr>
            </w:pPr>
            <w:r>
              <w:rPr>
                <w:rFonts w:ascii="Arial" w:cs="Arial" w:eastAsia="Arial" w:hAnsi="Arial"/>
                <w:sz w:val="18"/>
                <w:szCs w:val="18"/>
                <w:color w:val="0000FF"/>
              </w:rPr>
              <w:t>Table of Contents</w:t>
            </w:r>
          </w:p>
        </w:tc>
        <w:tc>
          <w:tcPr>
            <w:tcW w:w="1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20"/>
        </w:trPr>
        <w:tc>
          <w:tcPr>
            <w:tcW w:w="9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10.25</w:t>
            </w:r>
            <w:r>
              <w:rPr>
                <w:rFonts w:ascii="Arial" w:cs="Arial" w:eastAsia="Arial" w:hAnsi="Arial"/>
                <w:sz w:val="16"/>
                <w:szCs w:val="16"/>
                <w:color w:val="auto"/>
              </w:rPr>
              <w:t>†</w:t>
            </w:r>
          </w:p>
        </w:tc>
        <w:tc>
          <w:tcPr>
            <w:tcW w:w="3280" w:type="dxa"/>
            <w:vAlign w:val="bottom"/>
            <w:gridSpan w:val="37"/>
          </w:tcPr>
          <w:p>
            <w:pPr>
              <w:spacing w:after="0"/>
              <w:rPr>
                <w:sz w:val="20"/>
                <w:szCs w:val="20"/>
                <w:color w:val="auto"/>
              </w:rPr>
            </w:pPr>
            <w:r>
              <w:rPr>
                <w:rFonts w:ascii="Arial" w:cs="Arial" w:eastAsia="Arial" w:hAnsi="Arial"/>
                <w:sz w:val="18"/>
                <w:szCs w:val="18"/>
                <w:color w:val="0000FF"/>
              </w:rPr>
              <w:t>Letter Agreement dated as of March 11,</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60" w:type="dxa"/>
            <w:vAlign w:val="bottom"/>
          </w:tcPr>
          <w:p>
            <w:pPr>
              <w:ind w:left="2280"/>
              <w:spacing w:after="0"/>
              <w:rPr>
                <w:sz w:val="20"/>
                <w:szCs w:val="20"/>
                <w:color w:val="auto"/>
              </w:rPr>
            </w:pPr>
            <w:r>
              <w:rPr>
                <w:rFonts w:ascii="Arial" w:cs="Arial" w:eastAsia="Arial" w:hAnsi="Arial"/>
                <w:sz w:val="19"/>
                <w:szCs w:val="19"/>
                <w:color w:val="auto"/>
              </w:rPr>
              <w:t>X</w:t>
            </w:r>
          </w:p>
        </w:tc>
      </w:tr>
      <w:tr>
        <w:trPr>
          <w:trHeight w:val="182"/>
        </w:trPr>
        <w:tc>
          <w:tcPr>
            <w:tcW w:w="980" w:type="dxa"/>
            <w:vAlign w:val="bottom"/>
          </w:tcPr>
          <w:p>
            <w:pPr>
              <w:spacing w:after="0"/>
              <w:rPr>
                <w:sz w:val="15"/>
                <w:szCs w:val="15"/>
                <w:color w:val="auto"/>
              </w:rPr>
            </w:pPr>
          </w:p>
        </w:tc>
        <w:tc>
          <w:tcPr>
            <w:tcW w:w="3200" w:type="dxa"/>
            <w:vAlign w:val="bottom"/>
            <w:tcBorders>
              <w:top w:val="single" w:sz="8" w:color="0000FF"/>
            </w:tcBorders>
            <w:gridSpan w:val="33"/>
          </w:tcPr>
          <w:p>
            <w:pPr>
              <w:spacing w:after="0" w:line="182" w:lineRule="exact"/>
              <w:rPr>
                <w:sz w:val="20"/>
                <w:szCs w:val="20"/>
                <w:color w:val="auto"/>
              </w:rPr>
            </w:pPr>
            <w:r>
              <w:rPr>
                <w:rFonts w:ascii="Arial" w:cs="Arial" w:eastAsia="Arial" w:hAnsi="Arial"/>
                <w:sz w:val="18"/>
                <w:szCs w:val="18"/>
                <w:color w:val="0000FF"/>
              </w:rPr>
              <w:t>2024, by and between Thomas Shortt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1300" w:type="dxa"/>
            <w:vAlign w:val="bottom"/>
            <w:tcBorders>
              <w:top w:val="single" w:sz="8" w:color="0000FF"/>
              <w:bottom w:val="single" w:sz="8" w:color="0000EE"/>
            </w:tcBorders>
            <w:gridSpan w:val="4"/>
          </w:tcPr>
          <w:p>
            <w:pPr>
              <w:spacing w:after="0" w:line="182" w:lineRule="exact"/>
              <w:rPr>
                <w:sz w:val="20"/>
                <w:szCs w:val="20"/>
                <w:color w:val="auto"/>
              </w:rPr>
            </w:pPr>
            <w:r>
              <w:rPr>
                <w:rFonts w:ascii="Arial" w:cs="Arial" w:eastAsia="Arial" w:hAnsi="Arial"/>
                <w:sz w:val="18"/>
                <w:szCs w:val="18"/>
                <w:color w:val="0000FF"/>
              </w:rPr>
              <w:t>and Vroom, Inc.</w:t>
            </w:r>
          </w:p>
        </w:tc>
        <w:tc>
          <w:tcPr>
            <w:tcW w:w="1800" w:type="dxa"/>
            <w:vAlign w:val="bottom"/>
            <w:tcBorders>
              <w:top w:val="single" w:sz="8" w:color="0000FF"/>
            </w:tcBorders>
            <w:gridSpan w:val="27"/>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10.26</w:t>
            </w:r>
            <w:r>
              <w:rPr>
                <w:rFonts w:ascii="Arial" w:cs="Arial" w:eastAsia="Arial" w:hAnsi="Arial"/>
                <w:sz w:val="16"/>
                <w:szCs w:val="16"/>
                <w:color w:val="auto"/>
              </w:rPr>
              <w:t>†</w:t>
            </w:r>
          </w:p>
        </w:tc>
        <w:tc>
          <w:tcPr>
            <w:tcW w:w="3280" w:type="dxa"/>
            <w:vAlign w:val="bottom"/>
            <w:gridSpan w:val="37"/>
          </w:tcPr>
          <w:p>
            <w:pPr>
              <w:spacing w:after="0"/>
              <w:rPr>
                <w:sz w:val="20"/>
                <w:szCs w:val="20"/>
                <w:color w:val="auto"/>
              </w:rPr>
            </w:pPr>
            <w:r>
              <w:rPr>
                <w:rFonts w:ascii="Arial" w:cs="Arial" w:eastAsia="Arial" w:hAnsi="Arial"/>
                <w:sz w:val="18"/>
                <w:szCs w:val="18"/>
                <w:color w:val="0000FF"/>
              </w:rPr>
              <w:t>Letter Agreement dated as of March 11,</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60" w:type="dxa"/>
            <w:vAlign w:val="bottom"/>
          </w:tcPr>
          <w:p>
            <w:pPr>
              <w:ind w:left="2280"/>
              <w:spacing w:after="0"/>
              <w:rPr>
                <w:sz w:val="20"/>
                <w:szCs w:val="20"/>
                <w:color w:val="auto"/>
              </w:rPr>
            </w:pPr>
            <w:r>
              <w:rPr>
                <w:rFonts w:ascii="Arial" w:cs="Arial" w:eastAsia="Arial" w:hAnsi="Arial"/>
                <w:sz w:val="19"/>
                <w:szCs w:val="19"/>
                <w:color w:val="auto"/>
              </w:rPr>
              <w:t>X</w:t>
            </w:r>
          </w:p>
        </w:tc>
      </w:tr>
      <w:tr>
        <w:trPr>
          <w:trHeight w:val="182"/>
        </w:trPr>
        <w:tc>
          <w:tcPr>
            <w:tcW w:w="980" w:type="dxa"/>
            <w:vAlign w:val="bottom"/>
          </w:tcPr>
          <w:p>
            <w:pPr>
              <w:spacing w:after="0"/>
              <w:rPr>
                <w:sz w:val="15"/>
                <w:szCs w:val="15"/>
                <w:color w:val="auto"/>
              </w:rPr>
            </w:pPr>
          </w:p>
        </w:tc>
        <w:tc>
          <w:tcPr>
            <w:tcW w:w="3200" w:type="dxa"/>
            <w:vAlign w:val="bottom"/>
            <w:tcBorders>
              <w:top w:val="single" w:sz="8" w:color="0000FF"/>
            </w:tcBorders>
            <w:gridSpan w:val="33"/>
          </w:tcPr>
          <w:p>
            <w:pPr>
              <w:spacing w:after="0" w:line="182" w:lineRule="exact"/>
              <w:rPr>
                <w:sz w:val="20"/>
                <w:szCs w:val="20"/>
                <w:color w:val="auto"/>
              </w:rPr>
            </w:pPr>
            <w:r>
              <w:rPr>
                <w:rFonts w:ascii="Arial" w:cs="Arial" w:eastAsia="Arial" w:hAnsi="Arial"/>
                <w:sz w:val="18"/>
                <w:szCs w:val="18"/>
                <w:color w:val="0000FF"/>
              </w:rPr>
              <w:t>2024, by and between Robert Ronald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080" w:type="dxa"/>
            <w:vAlign w:val="bottom"/>
            <w:tcBorders>
              <w:top w:val="single" w:sz="8" w:color="0000FF"/>
            </w:tcBorders>
            <w:gridSpan w:val="30"/>
          </w:tcPr>
          <w:p>
            <w:pPr>
              <w:spacing w:after="0" w:line="182" w:lineRule="exact"/>
              <w:rPr>
                <w:sz w:val="20"/>
                <w:szCs w:val="20"/>
                <w:color w:val="auto"/>
              </w:rPr>
            </w:pPr>
            <w:r>
              <w:rPr>
                <w:rFonts w:ascii="Arial" w:cs="Arial" w:eastAsia="Arial" w:hAnsi="Arial"/>
                <w:sz w:val="18"/>
                <w:szCs w:val="18"/>
                <w:color w:val="0000FF"/>
              </w:rPr>
              <w:t>Krakowiak and Vroom, Inc.</w:t>
            </w:r>
          </w:p>
        </w:tc>
        <w:tc>
          <w:tcPr>
            <w:tcW w:w="4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10.27</w:t>
            </w:r>
            <w:r>
              <w:rPr>
                <w:rFonts w:ascii="Arial" w:cs="Arial" w:eastAsia="Arial" w:hAnsi="Arial"/>
                <w:sz w:val="16"/>
                <w:szCs w:val="16"/>
                <w:color w:val="auto"/>
              </w:rPr>
              <w:t>†</w:t>
            </w:r>
          </w:p>
        </w:tc>
        <w:tc>
          <w:tcPr>
            <w:tcW w:w="3280" w:type="dxa"/>
            <w:vAlign w:val="bottom"/>
            <w:gridSpan w:val="37"/>
          </w:tcPr>
          <w:p>
            <w:pPr>
              <w:spacing w:after="0"/>
              <w:rPr>
                <w:sz w:val="20"/>
                <w:szCs w:val="20"/>
                <w:color w:val="auto"/>
              </w:rPr>
            </w:pPr>
            <w:r>
              <w:rPr>
                <w:rFonts w:ascii="Arial" w:cs="Arial" w:eastAsia="Arial" w:hAnsi="Arial"/>
                <w:sz w:val="18"/>
                <w:szCs w:val="18"/>
                <w:color w:val="0000FF"/>
              </w:rPr>
              <w:t>Letter Agreement dated as of March 11,</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60" w:type="dxa"/>
            <w:vAlign w:val="bottom"/>
          </w:tcPr>
          <w:p>
            <w:pPr>
              <w:ind w:left="2280"/>
              <w:spacing w:after="0"/>
              <w:rPr>
                <w:sz w:val="20"/>
                <w:szCs w:val="20"/>
                <w:color w:val="auto"/>
              </w:rPr>
            </w:pPr>
            <w:r>
              <w:rPr>
                <w:rFonts w:ascii="Arial" w:cs="Arial" w:eastAsia="Arial" w:hAnsi="Arial"/>
                <w:sz w:val="19"/>
                <w:szCs w:val="19"/>
                <w:color w:val="auto"/>
              </w:rPr>
              <w:t>X</w:t>
            </w:r>
          </w:p>
        </w:tc>
      </w:tr>
      <w:tr>
        <w:trPr>
          <w:trHeight w:val="182"/>
        </w:trPr>
        <w:tc>
          <w:tcPr>
            <w:tcW w:w="980" w:type="dxa"/>
            <w:vAlign w:val="bottom"/>
          </w:tcPr>
          <w:p>
            <w:pPr>
              <w:spacing w:after="0"/>
              <w:rPr>
                <w:sz w:val="15"/>
                <w:szCs w:val="15"/>
                <w:color w:val="auto"/>
              </w:rPr>
            </w:pPr>
          </w:p>
        </w:tc>
        <w:tc>
          <w:tcPr>
            <w:tcW w:w="3200" w:type="dxa"/>
            <w:vAlign w:val="bottom"/>
            <w:tcBorders>
              <w:top w:val="single" w:sz="8" w:color="0000FF"/>
            </w:tcBorders>
            <w:gridSpan w:val="33"/>
          </w:tcPr>
          <w:p>
            <w:pPr>
              <w:spacing w:after="0" w:line="182" w:lineRule="exact"/>
              <w:rPr>
                <w:sz w:val="20"/>
                <w:szCs w:val="20"/>
                <w:color w:val="auto"/>
              </w:rPr>
            </w:pPr>
            <w:r>
              <w:rPr>
                <w:rFonts w:ascii="Arial" w:cs="Arial" w:eastAsia="Arial" w:hAnsi="Arial"/>
                <w:sz w:val="18"/>
                <w:szCs w:val="18"/>
                <w:color w:val="0000FF"/>
              </w:rPr>
              <w:t>2024, by and between Patricia Moran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1300" w:type="dxa"/>
            <w:vAlign w:val="bottom"/>
            <w:tcBorders>
              <w:top w:val="single" w:sz="8" w:color="0000FF"/>
              <w:bottom w:val="single" w:sz="8" w:color="0000EE"/>
            </w:tcBorders>
            <w:gridSpan w:val="4"/>
          </w:tcPr>
          <w:p>
            <w:pPr>
              <w:spacing w:after="0" w:line="182" w:lineRule="exact"/>
              <w:rPr>
                <w:sz w:val="20"/>
                <w:szCs w:val="20"/>
                <w:color w:val="auto"/>
              </w:rPr>
            </w:pPr>
            <w:r>
              <w:rPr>
                <w:rFonts w:ascii="Arial" w:cs="Arial" w:eastAsia="Arial" w:hAnsi="Arial"/>
                <w:sz w:val="18"/>
                <w:szCs w:val="18"/>
                <w:color w:val="0000FF"/>
              </w:rPr>
              <w:t>and Vroom, Inc.</w:t>
            </w:r>
          </w:p>
        </w:tc>
        <w:tc>
          <w:tcPr>
            <w:tcW w:w="1760" w:type="dxa"/>
            <w:vAlign w:val="bottom"/>
            <w:tcBorders>
              <w:top w:val="single" w:sz="8" w:color="0000FF"/>
            </w:tcBorders>
            <w:gridSpan w:val="25"/>
          </w:tcPr>
          <w:p>
            <w:pPr>
              <w:spacing w:after="0"/>
              <w:rPr>
                <w:sz w:val="15"/>
                <w:szCs w:val="15"/>
                <w:color w:val="auto"/>
              </w:rPr>
            </w:pPr>
          </w:p>
        </w:tc>
        <w:tc>
          <w:tcPr>
            <w:tcW w:w="60" w:type="dxa"/>
            <w:vAlign w:val="bottom"/>
            <w:gridSpan w:val="3"/>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438"/>
        </w:trPr>
        <w:tc>
          <w:tcPr>
            <w:tcW w:w="980" w:type="dxa"/>
            <w:vAlign w:val="bottom"/>
          </w:tcPr>
          <w:p>
            <w:pPr>
              <w:ind w:left="20"/>
              <w:spacing w:after="0"/>
              <w:rPr>
                <w:sz w:val="20"/>
                <w:szCs w:val="20"/>
                <w:color w:val="auto"/>
              </w:rPr>
            </w:pPr>
            <w:r>
              <w:rPr>
                <w:rFonts w:ascii="Arial" w:cs="Arial" w:eastAsia="Arial" w:hAnsi="Arial"/>
                <w:sz w:val="18"/>
                <w:szCs w:val="18"/>
                <w:color w:val="auto"/>
              </w:rPr>
              <w:t>10.28</w:t>
            </w:r>
            <w:r>
              <w:rPr>
                <w:rFonts w:ascii="Arial" w:cs="Arial" w:eastAsia="Arial" w:hAnsi="Arial"/>
                <w:sz w:val="16"/>
                <w:szCs w:val="16"/>
                <w:color w:val="auto"/>
              </w:rPr>
              <w:t>†</w:t>
            </w:r>
          </w:p>
        </w:tc>
        <w:tc>
          <w:tcPr>
            <w:tcW w:w="3280" w:type="dxa"/>
            <w:vAlign w:val="bottom"/>
            <w:gridSpan w:val="37"/>
          </w:tcPr>
          <w:p>
            <w:pPr>
              <w:spacing w:after="0"/>
              <w:rPr>
                <w:rFonts w:ascii="Arial" w:cs="Arial" w:eastAsia="Arial" w:hAnsi="Arial"/>
                <w:sz w:val="18"/>
                <w:szCs w:val="18"/>
                <w:color w:val="0000FF"/>
              </w:rPr>
            </w:pPr>
            <w:hyperlink r:id="rId571">
              <w:r>
                <w:rPr>
                  <w:rFonts w:ascii="Arial" w:cs="Arial" w:eastAsia="Arial" w:hAnsi="Arial"/>
                  <w:sz w:val="18"/>
                  <w:szCs w:val="18"/>
                  <w:color w:val="0000FF"/>
                </w:rPr>
                <w:t>Employment Letter, dated as of May 9,</w:t>
              </w:r>
            </w:hyperlink>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3660" w:type="dxa"/>
            <w:vAlign w:val="bottom"/>
          </w:tcPr>
          <w:p>
            <w:pPr>
              <w:jc w:val="center"/>
              <w:ind w:right="1649"/>
              <w:spacing w:after="0"/>
              <w:rPr>
                <w:sz w:val="20"/>
                <w:szCs w:val="20"/>
                <w:color w:val="auto"/>
              </w:rPr>
            </w:pPr>
            <w:r>
              <w:rPr>
                <w:rFonts w:ascii="Arial" w:cs="Arial" w:eastAsia="Arial" w:hAnsi="Arial"/>
                <w:sz w:val="18"/>
                <w:szCs w:val="18"/>
                <w:color w:val="auto"/>
              </w:rPr>
              <w:t>May 9, 2022</w:t>
            </w:r>
          </w:p>
        </w:tc>
      </w:tr>
      <w:tr>
        <w:trPr>
          <w:trHeight w:val="182"/>
        </w:trPr>
        <w:tc>
          <w:tcPr>
            <w:tcW w:w="980" w:type="dxa"/>
            <w:vAlign w:val="bottom"/>
          </w:tcPr>
          <w:p>
            <w:pPr>
              <w:spacing w:after="0"/>
              <w:rPr>
                <w:sz w:val="15"/>
                <w:szCs w:val="15"/>
                <w:color w:val="auto"/>
              </w:rPr>
            </w:pPr>
          </w:p>
        </w:tc>
        <w:tc>
          <w:tcPr>
            <w:tcW w:w="3120" w:type="dxa"/>
            <w:vAlign w:val="bottom"/>
            <w:tcBorders>
              <w:top w:val="single" w:sz="8" w:color="0000FF"/>
            </w:tcBorders>
            <w:gridSpan w:val="32"/>
          </w:tcPr>
          <w:p>
            <w:pPr>
              <w:spacing w:after="0" w:line="182" w:lineRule="exact"/>
              <w:rPr>
                <w:rFonts w:ascii="Arial" w:cs="Arial" w:eastAsia="Arial" w:hAnsi="Arial"/>
                <w:sz w:val="18"/>
                <w:szCs w:val="18"/>
                <w:color w:val="0000FF"/>
              </w:rPr>
            </w:pPr>
            <w:hyperlink r:id="rId571">
              <w:r>
                <w:rPr>
                  <w:rFonts w:ascii="Arial" w:cs="Arial" w:eastAsia="Arial" w:hAnsi="Arial"/>
                  <w:sz w:val="18"/>
                  <w:szCs w:val="18"/>
                  <w:color w:val="0000FF"/>
                </w:rPr>
                <w:t>2022, by and between Thomas Shortt</w:t>
              </w:r>
            </w:hyperlink>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100" w:type="dxa"/>
            <w:vAlign w:val="bottom"/>
            <w:tcBorders>
              <w:top w:val="single" w:sz="8" w:color="0000FF"/>
            </w:tcBorders>
            <w:gridSpan w:val="31"/>
          </w:tcPr>
          <w:p>
            <w:pPr>
              <w:spacing w:after="0" w:line="182" w:lineRule="exact"/>
              <w:rPr>
                <w:rFonts w:ascii="Arial" w:cs="Arial" w:eastAsia="Arial" w:hAnsi="Arial"/>
                <w:sz w:val="18"/>
                <w:szCs w:val="18"/>
                <w:color w:val="0000FF"/>
              </w:rPr>
            </w:pPr>
            <w:hyperlink r:id="rId571">
              <w:r>
                <w:rPr>
                  <w:rFonts w:ascii="Arial" w:cs="Arial" w:eastAsia="Arial" w:hAnsi="Arial"/>
                  <w:sz w:val="18"/>
                  <w:szCs w:val="18"/>
                  <w:color w:val="0000FF"/>
                </w:rPr>
                <w:t>and Vroom, Inc.</w:t>
              </w:r>
            </w:hyperlink>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right w:val="single" w:sz="8" w:color="0000EE"/>
            </w:tcBorders>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425"/>
        </w:trPr>
        <w:tc>
          <w:tcPr>
            <w:tcW w:w="980" w:type="dxa"/>
            <w:vAlign w:val="bottom"/>
          </w:tcPr>
          <w:p>
            <w:pPr>
              <w:ind w:left="20"/>
              <w:spacing w:after="0"/>
              <w:rPr>
                <w:sz w:val="20"/>
                <w:szCs w:val="20"/>
                <w:color w:val="auto"/>
              </w:rPr>
            </w:pPr>
            <w:r>
              <w:rPr>
                <w:rFonts w:ascii="Arial" w:cs="Arial" w:eastAsia="Arial" w:hAnsi="Arial"/>
                <w:sz w:val="18"/>
                <w:szCs w:val="18"/>
                <w:color w:val="auto"/>
              </w:rPr>
              <w:t>10.29</w:t>
            </w:r>
            <w:r>
              <w:rPr>
                <w:rFonts w:ascii="Arial" w:cs="Arial" w:eastAsia="Arial" w:hAnsi="Arial"/>
                <w:sz w:val="16"/>
                <w:szCs w:val="16"/>
                <w:color w:val="auto"/>
              </w:rPr>
              <w:t>†</w:t>
            </w:r>
          </w:p>
        </w:tc>
        <w:tc>
          <w:tcPr>
            <w:tcW w:w="3280" w:type="dxa"/>
            <w:vAlign w:val="bottom"/>
            <w:gridSpan w:val="37"/>
          </w:tcPr>
          <w:p>
            <w:pPr>
              <w:spacing w:after="0"/>
              <w:rPr>
                <w:rFonts w:ascii="Arial" w:cs="Arial" w:eastAsia="Arial" w:hAnsi="Arial"/>
                <w:sz w:val="18"/>
                <w:szCs w:val="18"/>
                <w:color w:val="0000FF"/>
              </w:rPr>
            </w:pPr>
            <w:hyperlink r:id="rId572">
              <w:r>
                <w:rPr>
                  <w:rFonts w:ascii="Arial" w:cs="Arial" w:eastAsia="Arial" w:hAnsi="Arial"/>
                  <w:sz w:val="18"/>
                  <w:szCs w:val="18"/>
                  <w:color w:val="0000FF"/>
                </w:rPr>
                <w:t>Nominee and Indemnity Agreement,</w:t>
              </w:r>
            </w:hyperlink>
          </w:p>
        </w:tc>
        <w:tc>
          <w:tcPr>
            <w:tcW w:w="1020" w:type="dxa"/>
            <w:vAlign w:val="bottom"/>
          </w:tcPr>
          <w:p>
            <w:pPr>
              <w:jc w:val="center"/>
              <w:ind w:left="70"/>
              <w:spacing w:after="0"/>
              <w:rPr>
                <w:sz w:val="20"/>
                <w:szCs w:val="20"/>
                <w:color w:val="auto"/>
              </w:rPr>
            </w:pPr>
            <w:r>
              <w:rPr>
                <w:rFonts w:ascii="Arial" w:cs="Arial" w:eastAsia="Arial" w:hAnsi="Arial"/>
                <w:sz w:val="18"/>
                <w:szCs w:val="18"/>
                <w:color w:val="auto"/>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333-248655</w:t>
            </w:r>
          </w:p>
        </w:tc>
        <w:tc>
          <w:tcPr>
            <w:tcW w:w="880" w:type="dxa"/>
            <w:vAlign w:val="bottom"/>
          </w:tcPr>
          <w:p>
            <w:pPr>
              <w:jc w:val="center"/>
              <w:spacing w:after="0"/>
              <w:rPr>
                <w:sz w:val="20"/>
                <w:szCs w:val="20"/>
                <w:color w:val="auto"/>
              </w:rPr>
            </w:pPr>
            <w:r>
              <w:rPr>
                <w:rFonts w:ascii="Arial" w:cs="Arial" w:eastAsia="Arial" w:hAnsi="Arial"/>
                <w:sz w:val="18"/>
                <w:szCs w:val="18"/>
                <w:color w:val="auto"/>
              </w:rPr>
              <w:t>10.21</w:t>
            </w:r>
          </w:p>
        </w:tc>
        <w:tc>
          <w:tcPr>
            <w:tcW w:w="3660" w:type="dxa"/>
            <w:vAlign w:val="bottom"/>
          </w:tcPr>
          <w:p>
            <w:pPr>
              <w:jc w:val="center"/>
              <w:ind w:right="1649"/>
              <w:spacing w:after="0"/>
              <w:rPr>
                <w:sz w:val="20"/>
                <w:szCs w:val="20"/>
                <w:color w:val="auto"/>
              </w:rPr>
            </w:pPr>
            <w:r>
              <w:rPr>
                <w:rFonts w:ascii="Arial" w:cs="Arial" w:eastAsia="Arial" w:hAnsi="Arial"/>
                <w:sz w:val="18"/>
                <w:szCs w:val="18"/>
                <w:color w:val="auto"/>
                <w:w w:val="99"/>
              </w:rPr>
              <w:t>September 8, 2020</w:t>
            </w:r>
          </w:p>
        </w:tc>
      </w:tr>
      <w:tr>
        <w:trPr>
          <w:trHeight w:val="182"/>
        </w:trPr>
        <w:tc>
          <w:tcPr>
            <w:tcW w:w="980" w:type="dxa"/>
            <w:vAlign w:val="bottom"/>
          </w:tcPr>
          <w:p>
            <w:pPr>
              <w:spacing w:after="0"/>
              <w:rPr>
                <w:sz w:val="15"/>
                <w:szCs w:val="15"/>
                <w:color w:val="auto"/>
              </w:rPr>
            </w:pPr>
          </w:p>
        </w:tc>
        <w:tc>
          <w:tcPr>
            <w:tcW w:w="2920" w:type="dxa"/>
            <w:vAlign w:val="bottom"/>
            <w:tcBorders>
              <w:top w:val="single" w:sz="8" w:color="0000FF"/>
            </w:tcBorders>
            <w:gridSpan w:val="22"/>
          </w:tcPr>
          <w:p>
            <w:pPr>
              <w:spacing w:after="0" w:line="182" w:lineRule="exact"/>
              <w:rPr>
                <w:rFonts w:ascii="Arial" w:cs="Arial" w:eastAsia="Arial" w:hAnsi="Arial"/>
                <w:sz w:val="18"/>
                <w:szCs w:val="18"/>
                <w:color w:val="0000FF"/>
              </w:rPr>
            </w:pPr>
            <w:hyperlink r:id="rId572">
              <w:r>
                <w:rPr>
                  <w:rFonts w:ascii="Arial" w:cs="Arial" w:eastAsia="Arial" w:hAnsi="Arial"/>
                  <w:sz w:val="18"/>
                  <w:szCs w:val="18"/>
                  <w:color w:val="0000FF"/>
                </w:rPr>
                <w:t>dated September 1, 2020, by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70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572">
              <w:r>
                <w:rPr>
                  <w:rFonts w:ascii="Arial" w:cs="Arial" w:eastAsia="Arial" w:hAnsi="Arial"/>
                  <w:sz w:val="18"/>
                  <w:szCs w:val="18"/>
                  <w:color w:val="0000FF"/>
                </w:rPr>
                <w:t>among Catterton Management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50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w w:val="98"/>
              </w:rPr>
            </w:pPr>
            <w:hyperlink r:id="rId572">
              <w:r>
                <w:rPr>
                  <w:rFonts w:ascii="Arial" w:cs="Arial" w:eastAsia="Arial" w:hAnsi="Arial"/>
                  <w:sz w:val="18"/>
                  <w:szCs w:val="18"/>
                  <w:color w:val="0000FF"/>
                  <w:w w:val="98"/>
                </w:rPr>
                <w:t>Company, L.L.C. as investment</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280" w:type="dxa"/>
            <w:vAlign w:val="bottom"/>
            <w:gridSpan w:val="37"/>
          </w:tcPr>
          <w:p>
            <w:pPr>
              <w:spacing w:after="0" w:line="182" w:lineRule="exact"/>
              <w:rPr>
                <w:rFonts w:ascii="Arial" w:cs="Arial" w:eastAsia="Arial" w:hAnsi="Arial"/>
                <w:sz w:val="18"/>
                <w:szCs w:val="18"/>
                <w:color w:val="0000FF"/>
              </w:rPr>
            </w:pPr>
            <w:hyperlink r:id="rId572">
              <w:r>
                <w:rPr>
                  <w:rFonts w:ascii="Arial" w:cs="Arial" w:eastAsia="Arial" w:hAnsi="Arial"/>
                  <w:sz w:val="18"/>
                  <w:szCs w:val="18"/>
                  <w:color w:val="0000FF"/>
                </w:rPr>
                <w:t>manager of CGP2 Lone Star, L.P.,</w:t>
              </w:r>
            </w:hyperlink>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540" w:type="dxa"/>
            <w:vAlign w:val="bottom"/>
            <w:tcBorders>
              <w:top w:val="single" w:sz="8" w:color="0000FF"/>
              <w:bottom w:val="single" w:sz="8" w:color="0000FF"/>
            </w:tcBorders>
            <w:gridSpan w:val="15"/>
          </w:tcPr>
          <w:p>
            <w:pPr>
              <w:spacing w:after="0" w:line="182" w:lineRule="exact"/>
              <w:rPr>
                <w:rFonts w:ascii="Arial" w:cs="Arial" w:eastAsia="Arial" w:hAnsi="Arial"/>
                <w:sz w:val="18"/>
                <w:szCs w:val="18"/>
                <w:color w:val="0000FF"/>
                <w:w w:val="99"/>
              </w:rPr>
            </w:pPr>
            <w:hyperlink r:id="rId572">
              <w:r>
                <w:rPr>
                  <w:rFonts w:ascii="Arial" w:cs="Arial" w:eastAsia="Arial" w:hAnsi="Arial"/>
                  <w:sz w:val="18"/>
                  <w:szCs w:val="18"/>
                  <w:color w:val="0000FF"/>
                  <w:w w:val="99"/>
                </w:rPr>
                <w:t>Michael Farello and Vroom, Inc.</w:t>
              </w:r>
            </w:hyperlink>
          </w:p>
        </w:tc>
        <w:tc>
          <w:tcPr>
            <w:tcW w:w="20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654"/>
        </w:trPr>
        <w:tc>
          <w:tcPr>
            <w:tcW w:w="980" w:type="dxa"/>
            <w:vAlign w:val="bottom"/>
          </w:tcPr>
          <w:p>
            <w:pPr>
              <w:ind w:left="20"/>
              <w:spacing w:after="0"/>
              <w:rPr>
                <w:sz w:val="20"/>
                <w:szCs w:val="20"/>
                <w:color w:val="auto"/>
              </w:rPr>
            </w:pPr>
            <w:r>
              <w:rPr>
                <w:rFonts w:ascii="Arial" w:cs="Arial" w:eastAsia="Arial" w:hAnsi="Arial"/>
                <w:sz w:val="18"/>
                <w:szCs w:val="18"/>
                <w:color w:val="auto"/>
              </w:rPr>
              <w:t>10.30</w:t>
            </w:r>
            <w:r>
              <w:rPr>
                <w:rFonts w:ascii="Arial" w:cs="Arial" w:eastAsia="Arial" w:hAnsi="Arial"/>
                <w:sz w:val="16"/>
                <w:szCs w:val="16"/>
                <w:color w:val="auto"/>
              </w:rPr>
              <w:t>†</w:t>
            </w:r>
          </w:p>
        </w:tc>
        <w:tc>
          <w:tcPr>
            <w:tcW w:w="3280" w:type="dxa"/>
            <w:vAlign w:val="bottom"/>
            <w:gridSpan w:val="37"/>
          </w:tcPr>
          <w:p>
            <w:pPr>
              <w:spacing w:after="0"/>
              <w:rPr>
                <w:rFonts w:ascii="Arial" w:cs="Arial" w:eastAsia="Arial" w:hAnsi="Arial"/>
                <w:sz w:val="18"/>
                <w:szCs w:val="18"/>
                <w:color w:val="0000FF"/>
              </w:rPr>
            </w:pPr>
            <w:hyperlink r:id="rId573">
              <w:r>
                <w:rPr>
                  <w:rFonts w:ascii="Arial" w:cs="Arial" w:eastAsia="Arial" w:hAnsi="Arial"/>
                  <w:sz w:val="18"/>
                  <w:szCs w:val="18"/>
                  <w:color w:val="0000FF"/>
                </w:rPr>
                <w:t>Assignment of Contracts, dated July 29,</w:t>
              </w:r>
            </w:hyperlink>
          </w:p>
        </w:tc>
        <w:tc>
          <w:tcPr>
            <w:tcW w:w="1020" w:type="dxa"/>
            <w:vAlign w:val="bottom"/>
          </w:tcPr>
          <w:p>
            <w:pPr>
              <w:jc w:val="center"/>
              <w:ind w:left="50"/>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001-39315</w:t>
            </w:r>
          </w:p>
        </w:tc>
        <w:tc>
          <w:tcPr>
            <w:tcW w:w="88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3660" w:type="dxa"/>
            <w:vAlign w:val="bottom"/>
          </w:tcPr>
          <w:p>
            <w:pPr>
              <w:jc w:val="center"/>
              <w:ind w:right="1629"/>
              <w:spacing w:after="0"/>
              <w:rPr>
                <w:sz w:val="20"/>
                <w:szCs w:val="20"/>
                <w:color w:val="auto"/>
              </w:rPr>
            </w:pPr>
            <w:r>
              <w:rPr>
                <w:rFonts w:ascii="Arial" w:cs="Arial" w:eastAsia="Arial" w:hAnsi="Arial"/>
                <w:sz w:val="18"/>
                <w:szCs w:val="18"/>
                <w:color w:val="auto"/>
                <w:w w:val="99"/>
              </w:rPr>
              <w:t>August 11, 2021</w:t>
            </w:r>
          </w:p>
        </w:tc>
      </w:tr>
      <w:tr>
        <w:trPr>
          <w:trHeight w:val="182"/>
        </w:trPr>
        <w:tc>
          <w:tcPr>
            <w:tcW w:w="980" w:type="dxa"/>
            <w:vAlign w:val="bottom"/>
          </w:tcPr>
          <w:p>
            <w:pPr>
              <w:spacing w:after="0"/>
              <w:rPr>
                <w:sz w:val="15"/>
                <w:szCs w:val="15"/>
                <w:color w:val="auto"/>
              </w:rPr>
            </w:pPr>
          </w:p>
        </w:tc>
        <w:tc>
          <w:tcPr>
            <w:tcW w:w="3220" w:type="dxa"/>
            <w:vAlign w:val="bottom"/>
            <w:tcBorders>
              <w:top w:val="single" w:sz="8" w:color="0000FF"/>
              <w:bottom w:val="single" w:sz="8" w:color="0000FF"/>
            </w:tcBorders>
            <w:gridSpan w:val="34"/>
          </w:tcPr>
          <w:p>
            <w:pPr>
              <w:spacing w:after="0" w:line="182" w:lineRule="exact"/>
              <w:rPr>
                <w:rFonts w:ascii="Arial" w:cs="Arial" w:eastAsia="Arial" w:hAnsi="Arial"/>
                <w:sz w:val="18"/>
                <w:szCs w:val="18"/>
                <w:color w:val="0000FF"/>
              </w:rPr>
            </w:pPr>
            <w:hyperlink r:id="rId573">
              <w:r>
                <w:rPr>
                  <w:rFonts w:ascii="Arial" w:cs="Arial" w:eastAsia="Arial" w:hAnsi="Arial"/>
                  <w:sz w:val="18"/>
                  <w:szCs w:val="18"/>
                  <w:color w:val="0000FF"/>
                </w:rPr>
                <w:t>2021, by and between CGP2 Lone Star,</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240" w:type="dxa"/>
            <w:vAlign w:val="bottom"/>
            <w:gridSpan w:val="35"/>
          </w:tcPr>
          <w:p>
            <w:pPr>
              <w:spacing w:after="0" w:line="182" w:lineRule="exact"/>
              <w:rPr>
                <w:rFonts w:ascii="Arial" w:cs="Arial" w:eastAsia="Arial" w:hAnsi="Arial"/>
                <w:sz w:val="18"/>
                <w:szCs w:val="18"/>
                <w:color w:val="0000FF"/>
              </w:rPr>
            </w:pPr>
            <w:hyperlink r:id="rId573">
              <w:r>
                <w:rPr>
                  <w:rFonts w:ascii="Arial" w:cs="Arial" w:eastAsia="Arial" w:hAnsi="Arial"/>
                  <w:sz w:val="18"/>
                  <w:szCs w:val="18"/>
                  <w:color w:val="0000FF"/>
                </w:rPr>
                <w:t>LP as assignor and Catterton Growth</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72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w w:val="99"/>
              </w:rPr>
            </w:pPr>
            <w:hyperlink r:id="rId573">
              <w:r>
                <w:rPr>
                  <w:rFonts w:ascii="Arial" w:cs="Arial" w:eastAsia="Arial" w:hAnsi="Arial"/>
                  <w:sz w:val="18"/>
                  <w:szCs w:val="18"/>
                  <w:color w:val="0000FF"/>
                  <w:w w:val="99"/>
                </w:rPr>
                <w:t>Partners II, L.P., Catterton Growth</w:t>
              </w:r>
            </w:hyperlink>
          </w:p>
        </w:tc>
        <w:tc>
          <w:tcPr>
            <w:tcW w:w="28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020" w:type="dxa"/>
            <w:vAlign w:val="bottom"/>
            <w:tcBorders>
              <w:bottom w:val="single" w:sz="8" w:color="0000FF"/>
            </w:tcBorders>
            <w:gridSpan w:val="27"/>
          </w:tcPr>
          <w:p>
            <w:pPr>
              <w:spacing w:after="0" w:line="182" w:lineRule="exact"/>
              <w:rPr>
                <w:rFonts w:ascii="Arial" w:cs="Arial" w:eastAsia="Arial" w:hAnsi="Arial"/>
                <w:sz w:val="18"/>
                <w:szCs w:val="18"/>
                <w:color w:val="0000FF"/>
              </w:rPr>
            </w:pPr>
            <w:hyperlink r:id="rId573">
              <w:r>
                <w:rPr>
                  <w:rFonts w:ascii="Arial" w:cs="Arial" w:eastAsia="Arial" w:hAnsi="Arial"/>
                  <w:sz w:val="18"/>
                  <w:szCs w:val="18"/>
                  <w:color w:val="0000FF"/>
                </w:rPr>
                <w:t>Partners II Offshore, L.P., L Catterton</w:t>
              </w:r>
            </w:hyperlink>
          </w:p>
        </w:tc>
        <w:tc>
          <w:tcPr>
            <w:tcW w:w="260" w:type="dxa"/>
            <w:vAlign w:val="bottom"/>
            <w:gridSpan w:val="10"/>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280" w:type="dxa"/>
            <w:vAlign w:val="bottom"/>
            <w:tcBorders>
              <w:bottom w:val="single" w:sz="8" w:color="0000FF"/>
            </w:tcBorders>
            <w:gridSpan w:val="37"/>
          </w:tcPr>
          <w:p>
            <w:pPr>
              <w:spacing w:after="0" w:line="182" w:lineRule="exact"/>
              <w:rPr>
                <w:rFonts w:ascii="Arial" w:cs="Arial" w:eastAsia="Arial" w:hAnsi="Arial"/>
                <w:sz w:val="18"/>
                <w:szCs w:val="18"/>
                <w:color w:val="0000FF"/>
              </w:rPr>
            </w:pPr>
            <w:hyperlink r:id="rId573">
              <w:r>
                <w:rPr>
                  <w:rFonts w:ascii="Arial" w:cs="Arial" w:eastAsia="Arial" w:hAnsi="Arial"/>
                  <w:sz w:val="18"/>
                  <w:szCs w:val="18"/>
                  <w:color w:val="0000FF"/>
                </w:rPr>
                <w:t>Growth Partners III, L.P. and L Catterton</w:t>
              </w:r>
            </w:hyperlink>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280" w:type="dxa"/>
            <w:vAlign w:val="bottom"/>
            <w:gridSpan w:val="37"/>
          </w:tcPr>
          <w:p>
            <w:pPr>
              <w:spacing w:after="0" w:line="182" w:lineRule="exact"/>
              <w:rPr>
                <w:rFonts w:ascii="Arial" w:cs="Arial" w:eastAsia="Arial" w:hAnsi="Arial"/>
                <w:sz w:val="18"/>
                <w:szCs w:val="18"/>
                <w:color w:val="0000FF"/>
              </w:rPr>
            </w:pPr>
            <w:hyperlink r:id="rId573">
              <w:r>
                <w:rPr>
                  <w:rFonts w:ascii="Arial" w:cs="Arial" w:eastAsia="Arial" w:hAnsi="Arial"/>
                  <w:sz w:val="18"/>
                  <w:szCs w:val="18"/>
                  <w:color w:val="0000FF"/>
                </w:rPr>
                <w:t>Growth Partners Offshore III, L.P. as</w:t>
              </w:r>
            </w:hyperlink>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940" w:type="dxa"/>
            <w:vAlign w:val="bottom"/>
            <w:tcBorders>
              <w:top w:val="single" w:sz="8" w:color="0000FF"/>
            </w:tcBorders>
            <w:gridSpan w:val="23"/>
          </w:tcPr>
          <w:p>
            <w:pPr>
              <w:spacing w:after="0" w:line="182" w:lineRule="exact"/>
              <w:rPr>
                <w:rFonts w:ascii="Arial" w:cs="Arial" w:eastAsia="Arial" w:hAnsi="Arial"/>
                <w:sz w:val="18"/>
                <w:szCs w:val="18"/>
                <w:color w:val="0000FF"/>
              </w:rPr>
            </w:pPr>
            <w:hyperlink r:id="rId573">
              <w:r>
                <w:rPr>
                  <w:rFonts w:ascii="Arial" w:cs="Arial" w:eastAsia="Arial" w:hAnsi="Arial"/>
                  <w:sz w:val="18"/>
                  <w:szCs w:val="18"/>
                  <w:color w:val="0000FF"/>
                </w:rPr>
                <w:t>assignees, of the Nominee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5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573">
              <w:r>
                <w:rPr>
                  <w:rFonts w:ascii="Arial" w:cs="Arial" w:eastAsia="Arial" w:hAnsi="Arial"/>
                  <w:sz w:val="18"/>
                  <w:szCs w:val="18"/>
                  <w:color w:val="0000FF"/>
                </w:rPr>
                <w:t>Indemnity Agreements, dated</w:t>
              </w:r>
            </w:hyperlink>
          </w:p>
        </w:tc>
        <w:tc>
          <w:tcPr>
            <w:tcW w:w="240" w:type="dxa"/>
            <w:vAlign w:val="bottom"/>
            <w:gridSpan w:val="6"/>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38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r:id="rId573">
              <w:r>
                <w:rPr>
                  <w:rFonts w:ascii="Arial" w:cs="Arial" w:eastAsia="Arial" w:hAnsi="Arial"/>
                  <w:sz w:val="18"/>
                  <w:szCs w:val="18"/>
                  <w:color w:val="0000FF"/>
                </w:rPr>
                <w:t>September 1, 2020, of Scott</w:t>
              </w:r>
            </w:hyperlink>
          </w:p>
        </w:tc>
        <w:tc>
          <w:tcPr>
            <w:tcW w:w="900" w:type="dxa"/>
            <w:vAlign w:val="bottom"/>
            <w:gridSpan w:val="27"/>
          </w:tcPr>
          <w:p>
            <w:pPr>
              <w:spacing w:after="0" w:line="182" w:lineRule="exact"/>
              <w:rPr>
                <w:rFonts w:ascii="Arial" w:cs="Arial" w:eastAsia="Arial" w:hAnsi="Arial"/>
                <w:sz w:val="18"/>
                <w:szCs w:val="18"/>
                <w:color w:val="0000FF"/>
              </w:rPr>
            </w:pPr>
            <w:hyperlink r:id="rId573">
              <w:r>
                <w:rPr>
                  <w:rFonts w:ascii="Arial" w:cs="Arial" w:eastAsia="Arial" w:hAnsi="Arial"/>
                  <w:sz w:val="18"/>
                  <w:szCs w:val="18"/>
                  <w:color w:val="0000FF"/>
                </w:rPr>
                <w:t>Dahnke</w:t>
              </w:r>
            </w:hyperlink>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156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8"/>
              </w:rPr>
            </w:pPr>
            <w:hyperlink r:id="rId573">
              <w:r>
                <w:rPr>
                  <w:rFonts w:ascii="Arial" w:cs="Arial" w:eastAsia="Arial" w:hAnsi="Arial"/>
                  <w:sz w:val="18"/>
                  <w:szCs w:val="18"/>
                  <w:color w:val="0000FF"/>
                  <w:w w:val="98"/>
                </w:rPr>
                <w:t>and Michael Farello</w:t>
              </w:r>
            </w:hyperlink>
          </w:p>
        </w:tc>
        <w:tc>
          <w:tcPr>
            <w:tcW w:w="20" w:type="dxa"/>
            <w:vAlign w:val="bottom"/>
            <w:tcBorders>
              <w:top w:val="single" w:sz="8" w:color="0000FF"/>
              <w:bottom w:val="single" w:sz="8" w:color="0000EE"/>
            </w:tcBorders>
          </w:tcPr>
          <w:p>
            <w:pPr>
              <w:spacing w:after="0"/>
              <w:rPr>
                <w:sz w:val="15"/>
                <w:szCs w:val="15"/>
                <w:color w:val="auto"/>
              </w:rPr>
            </w:pPr>
          </w:p>
        </w:tc>
        <w:tc>
          <w:tcPr>
            <w:tcW w:w="1380" w:type="dxa"/>
            <w:vAlign w:val="bottom"/>
            <w:tcBorders>
              <w:top w:val="single" w:sz="8" w:color="0000FF"/>
            </w:tcBorders>
            <w:gridSpan w:val="18"/>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452"/>
        </w:trPr>
        <w:tc>
          <w:tcPr>
            <w:tcW w:w="980" w:type="dxa"/>
            <w:vAlign w:val="bottom"/>
          </w:tcPr>
          <w:p>
            <w:pPr>
              <w:ind w:left="20"/>
              <w:spacing w:after="0"/>
              <w:rPr>
                <w:sz w:val="20"/>
                <w:szCs w:val="20"/>
                <w:color w:val="auto"/>
              </w:rPr>
            </w:pPr>
            <w:r>
              <w:rPr>
                <w:rFonts w:ascii="Arial" w:cs="Arial" w:eastAsia="Arial" w:hAnsi="Arial"/>
                <w:sz w:val="18"/>
                <w:szCs w:val="18"/>
                <w:color w:val="auto"/>
              </w:rPr>
              <w:t>21.1</w:t>
            </w:r>
          </w:p>
        </w:tc>
        <w:tc>
          <w:tcPr>
            <w:tcW w:w="3280" w:type="dxa"/>
            <w:vAlign w:val="bottom"/>
            <w:gridSpan w:val="37"/>
          </w:tcPr>
          <w:p>
            <w:pPr>
              <w:spacing w:after="0"/>
              <w:rPr>
                <w:sz w:val="20"/>
                <w:szCs w:val="20"/>
                <w:color w:val="auto"/>
              </w:rPr>
            </w:pPr>
            <w:r>
              <w:rPr>
                <w:rFonts w:ascii="Arial" w:cs="Arial" w:eastAsia="Arial" w:hAnsi="Arial"/>
                <w:sz w:val="18"/>
                <w:szCs w:val="18"/>
                <w:color w:val="0000FF"/>
              </w:rPr>
              <w:t>Subsidiaries of the Registrant</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60" w:type="dxa"/>
            <w:vAlign w:val="bottom"/>
          </w:tcPr>
          <w:p>
            <w:pPr>
              <w:ind w:left="2260"/>
              <w:spacing w:after="0"/>
              <w:rPr>
                <w:sz w:val="20"/>
                <w:szCs w:val="20"/>
                <w:color w:val="auto"/>
              </w:rPr>
            </w:pPr>
            <w:r>
              <w:rPr>
                <w:rFonts w:ascii="Arial" w:cs="Arial" w:eastAsia="Arial" w:hAnsi="Arial"/>
                <w:sz w:val="18"/>
                <w:szCs w:val="18"/>
                <w:color w:val="auto"/>
              </w:rPr>
              <w:t>X</w:t>
            </w: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gridSpan w:val="7"/>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411"/>
        </w:trPr>
        <w:tc>
          <w:tcPr>
            <w:tcW w:w="980" w:type="dxa"/>
            <w:vAlign w:val="bottom"/>
          </w:tcPr>
          <w:p>
            <w:pPr>
              <w:ind w:left="20"/>
              <w:spacing w:after="0"/>
              <w:rPr>
                <w:sz w:val="20"/>
                <w:szCs w:val="20"/>
                <w:color w:val="auto"/>
              </w:rPr>
            </w:pPr>
            <w:r>
              <w:rPr>
                <w:rFonts w:ascii="Arial" w:cs="Arial" w:eastAsia="Arial" w:hAnsi="Arial"/>
                <w:sz w:val="18"/>
                <w:szCs w:val="18"/>
                <w:color w:val="auto"/>
              </w:rPr>
              <w:t>23.1</w:t>
            </w:r>
          </w:p>
        </w:tc>
        <w:tc>
          <w:tcPr>
            <w:tcW w:w="3280" w:type="dxa"/>
            <w:vAlign w:val="bottom"/>
            <w:gridSpan w:val="37"/>
          </w:tcPr>
          <w:p>
            <w:pPr>
              <w:spacing w:after="0"/>
              <w:rPr>
                <w:sz w:val="20"/>
                <w:szCs w:val="20"/>
                <w:color w:val="auto"/>
              </w:rPr>
            </w:pPr>
            <w:r>
              <w:rPr>
                <w:rFonts w:ascii="Arial" w:cs="Arial" w:eastAsia="Arial" w:hAnsi="Arial"/>
                <w:sz w:val="18"/>
                <w:szCs w:val="18"/>
                <w:color w:val="0000FF"/>
              </w:rPr>
              <w:t>Consent of PricewaterhouseCoopers</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60" w:type="dxa"/>
            <w:vAlign w:val="bottom"/>
          </w:tcPr>
          <w:p>
            <w:pPr>
              <w:ind w:left="2280"/>
              <w:spacing w:after="0"/>
              <w:rPr>
                <w:sz w:val="20"/>
                <w:szCs w:val="20"/>
                <w:color w:val="auto"/>
              </w:rPr>
            </w:pPr>
            <w:r>
              <w:rPr>
                <w:rFonts w:ascii="Arial" w:cs="Arial" w:eastAsia="Arial" w:hAnsi="Arial"/>
                <w:sz w:val="18"/>
                <w:szCs w:val="18"/>
                <w:color w:val="auto"/>
              </w:rPr>
              <w:t>X</w:t>
            </w:r>
          </w:p>
        </w:tc>
      </w:tr>
      <w:tr>
        <w:trPr>
          <w:trHeight w:val="182"/>
        </w:trPr>
        <w:tc>
          <w:tcPr>
            <w:tcW w:w="980" w:type="dxa"/>
            <w:vAlign w:val="bottom"/>
          </w:tcPr>
          <w:p>
            <w:pPr>
              <w:spacing w:after="0"/>
              <w:rPr>
                <w:sz w:val="15"/>
                <w:szCs w:val="15"/>
                <w:color w:val="auto"/>
              </w:rPr>
            </w:pPr>
          </w:p>
        </w:tc>
        <w:tc>
          <w:tcPr>
            <w:tcW w:w="298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LLP</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4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94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31.1</w:t>
            </w:r>
          </w:p>
        </w:tc>
        <w:tc>
          <w:tcPr>
            <w:tcW w:w="3280" w:type="dxa"/>
            <w:vAlign w:val="bottom"/>
            <w:gridSpan w:val="37"/>
          </w:tcPr>
          <w:p>
            <w:pPr>
              <w:spacing w:after="0"/>
              <w:rPr>
                <w:sz w:val="20"/>
                <w:szCs w:val="20"/>
                <w:color w:val="auto"/>
              </w:rPr>
            </w:pPr>
            <w:r>
              <w:rPr>
                <w:rFonts w:ascii="Arial" w:cs="Arial" w:eastAsia="Arial" w:hAnsi="Arial"/>
                <w:sz w:val="18"/>
                <w:szCs w:val="18"/>
                <w:color w:val="0000FF"/>
              </w:rPr>
              <w:t>Certification of Principal Executive</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60" w:type="dxa"/>
            <w:vAlign w:val="bottom"/>
          </w:tcPr>
          <w:p>
            <w:pPr>
              <w:ind w:left="2280"/>
              <w:spacing w:after="0"/>
              <w:rPr>
                <w:sz w:val="20"/>
                <w:szCs w:val="20"/>
                <w:color w:val="auto"/>
              </w:rPr>
            </w:pPr>
            <w:r>
              <w:rPr>
                <w:rFonts w:ascii="Arial" w:cs="Arial" w:eastAsia="Arial" w:hAnsi="Arial"/>
                <w:sz w:val="18"/>
                <w:szCs w:val="18"/>
                <w:color w:val="auto"/>
              </w:rPr>
              <w:t>X</w:t>
            </w:r>
          </w:p>
        </w:tc>
      </w:tr>
      <w:tr>
        <w:trPr>
          <w:trHeight w:val="182"/>
        </w:trPr>
        <w:tc>
          <w:tcPr>
            <w:tcW w:w="980" w:type="dxa"/>
            <w:vAlign w:val="bottom"/>
          </w:tcPr>
          <w:p>
            <w:pPr>
              <w:spacing w:after="0"/>
              <w:rPr>
                <w:sz w:val="15"/>
                <w:szCs w:val="15"/>
                <w:color w:val="auto"/>
              </w:rPr>
            </w:pPr>
          </w:p>
        </w:tc>
        <w:tc>
          <w:tcPr>
            <w:tcW w:w="276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w w:val="96"/>
              </w:rPr>
              <w:t>Officer Pursuant to Rules 13a-14(a)</w:t>
            </w:r>
          </w:p>
        </w:tc>
        <w:tc>
          <w:tcPr>
            <w:tcW w:w="40" w:type="dxa"/>
            <w:vAlign w:val="bottom"/>
          </w:tcPr>
          <w:p>
            <w:pPr>
              <w:spacing w:after="0"/>
              <w:rPr>
                <w:sz w:val="15"/>
                <w:szCs w:val="15"/>
                <w:color w:val="auto"/>
              </w:rPr>
            </w:pPr>
          </w:p>
        </w:tc>
        <w:tc>
          <w:tcPr>
            <w:tcW w:w="480" w:type="dxa"/>
            <w:vAlign w:val="bottom"/>
            <w:gridSpan w:val="16"/>
          </w:tcPr>
          <w:p>
            <w:pPr>
              <w:ind w:left="60"/>
              <w:spacing w:after="0" w:line="182" w:lineRule="exact"/>
              <w:rPr>
                <w:sz w:val="20"/>
                <w:szCs w:val="20"/>
                <w:color w:val="auto"/>
              </w:rPr>
            </w:pPr>
            <w:r>
              <w:rPr>
                <w:rFonts w:ascii="Arial" w:cs="Arial" w:eastAsia="Arial" w:hAnsi="Arial"/>
                <w:sz w:val="18"/>
                <w:szCs w:val="18"/>
                <w:color w:val="0000FF"/>
              </w:rPr>
              <w:t>and</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480" w:type="dxa"/>
            <w:vAlign w:val="bottom"/>
            <w:tcBorders>
              <w:top w:val="single" w:sz="8" w:color="0000FF"/>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15d-14(a) under the Securities</w:t>
            </w:r>
          </w:p>
        </w:tc>
        <w:tc>
          <w:tcPr>
            <w:tcW w:w="780" w:type="dxa"/>
            <w:vAlign w:val="bottom"/>
            <w:tcBorders>
              <w:top w:val="single" w:sz="8" w:color="0000FF"/>
            </w:tcBorders>
            <w:gridSpan w:val="24"/>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280" w:type="dxa"/>
            <w:vAlign w:val="bottom"/>
            <w:gridSpan w:val="37"/>
          </w:tcPr>
          <w:p>
            <w:pPr>
              <w:spacing w:after="0" w:line="182" w:lineRule="exact"/>
              <w:rPr>
                <w:sz w:val="20"/>
                <w:szCs w:val="20"/>
                <w:color w:val="auto"/>
              </w:rPr>
            </w:pPr>
            <w:r>
              <w:rPr>
                <w:rFonts w:ascii="Arial" w:cs="Arial" w:eastAsia="Arial" w:hAnsi="Arial"/>
                <w:sz w:val="18"/>
                <w:szCs w:val="18"/>
                <w:color w:val="0000FF"/>
              </w:rPr>
              <w:t>Exchange Act of 1934, as Adopted</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46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Pursuant to Section 302 of the</w:t>
            </w:r>
          </w:p>
        </w:tc>
        <w:tc>
          <w:tcPr>
            <w:tcW w:w="340" w:type="dxa"/>
            <w:vAlign w:val="bottom"/>
            <w:tcBorders>
              <w:top w:val="single" w:sz="8" w:color="0000FF"/>
            </w:tcBorders>
            <w:gridSpan w:val="10"/>
          </w:tcPr>
          <w:p>
            <w:pPr>
              <w:spacing w:after="0"/>
              <w:rPr>
                <w:sz w:val="15"/>
                <w:szCs w:val="15"/>
                <w:color w:val="auto"/>
              </w:rPr>
            </w:pPr>
          </w:p>
        </w:tc>
        <w:tc>
          <w:tcPr>
            <w:tcW w:w="2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60" w:type="dxa"/>
            <w:vAlign w:val="bottom"/>
            <w:gridSpan w:val="5"/>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2460" w:type="dxa"/>
            <w:vAlign w:val="bottom"/>
            <w:gridSpan w:val="11"/>
          </w:tcPr>
          <w:p>
            <w:pPr>
              <w:spacing w:after="0" w:line="182" w:lineRule="exact"/>
              <w:rPr>
                <w:sz w:val="20"/>
                <w:szCs w:val="20"/>
                <w:color w:val="auto"/>
              </w:rPr>
            </w:pPr>
            <w:r>
              <w:rPr>
                <w:rFonts w:ascii="Arial" w:cs="Arial" w:eastAsia="Arial" w:hAnsi="Arial"/>
                <w:sz w:val="18"/>
                <w:szCs w:val="18"/>
                <w:color w:val="0000FF"/>
              </w:rPr>
              <w:t>Sarbanes-Oxley Act of 2002</w:t>
            </w:r>
          </w:p>
        </w:tc>
        <w:tc>
          <w:tcPr>
            <w:tcW w:w="560" w:type="dxa"/>
            <w:vAlign w:val="bottom"/>
            <w:gridSpan w:val="16"/>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160" w:type="dxa"/>
            <w:vAlign w:val="bottom"/>
            <w:gridSpan w:val="5"/>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20"/>
        </w:trPr>
        <w:tc>
          <w:tcPr>
            <w:tcW w:w="980" w:type="dxa"/>
            <w:vAlign w:val="bottom"/>
            <w:tcBorders>
              <w:right w:val="single" w:sz="8" w:color="0000EE"/>
            </w:tcBorders>
          </w:tcPr>
          <w:p>
            <w:pPr>
              <w:spacing w:after="0" w:line="20" w:lineRule="exact"/>
              <w:rPr>
                <w:sz w:val="1"/>
                <w:szCs w:val="1"/>
                <w:color w:val="auto"/>
              </w:rPr>
            </w:pPr>
          </w:p>
        </w:tc>
        <w:tc>
          <w:tcPr>
            <w:tcW w:w="2260" w:type="dxa"/>
            <w:vAlign w:val="bottom"/>
            <w:tcBorders>
              <w:right w:val="single" w:sz="8" w:color="0000EE"/>
            </w:tcBorders>
            <w:gridSpan w:val="8"/>
            <w:shd w:val="clear" w:color="auto" w:fill="0000FF"/>
          </w:tcPr>
          <w:p>
            <w:pPr>
              <w:spacing w:after="0" w:line="20" w:lineRule="exact"/>
              <w:rPr>
                <w:sz w:val="1"/>
                <w:szCs w:val="1"/>
                <w:color w:val="auto"/>
              </w:rPr>
            </w:pPr>
          </w:p>
        </w:tc>
        <w:tc>
          <w:tcPr>
            <w:tcW w:w="76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r>
      <w:tr>
        <w:trPr>
          <w:trHeight w:val="371"/>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3280" w:type="dxa"/>
            <w:vAlign w:val="bottom"/>
            <w:gridSpan w:val="37"/>
          </w:tcPr>
          <w:p>
            <w:pPr>
              <w:spacing w:after="0"/>
              <w:rPr>
                <w:sz w:val="20"/>
                <w:szCs w:val="20"/>
                <w:color w:val="auto"/>
              </w:rPr>
            </w:pPr>
            <w:r>
              <w:rPr>
                <w:rFonts w:ascii="Arial" w:cs="Arial" w:eastAsia="Arial" w:hAnsi="Arial"/>
                <w:sz w:val="18"/>
                <w:szCs w:val="18"/>
                <w:color w:val="0000FF"/>
              </w:rPr>
              <w:t>Certification of Principal Financial Officer</w:t>
            </w:r>
          </w:p>
        </w:tc>
        <w:tc>
          <w:tcPr>
            <w:tcW w:w="1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60" w:type="dxa"/>
            <w:vAlign w:val="bottom"/>
          </w:tcPr>
          <w:p>
            <w:pPr>
              <w:ind w:left="2280"/>
              <w:spacing w:after="0"/>
              <w:rPr>
                <w:sz w:val="20"/>
                <w:szCs w:val="20"/>
                <w:color w:val="auto"/>
              </w:rPr>
            </w:pPr>
            <w:r>
              <w:rPr>
                <w:rFonts w:ascii="Arial" w:cs="Arial" w:eastAsia="Arial" w:hAnsi="Arial"/>
                <w:sz w:val="18"/>
                <w:szCs w:val="18"/>
                <w:color w:val="auto"/>
              </w:rPr>
              <w:t>X</w:t>
            </w:r>
          </w:p>
        </w:tc>
      </w:tr>
      <w:tr>
        <w:trPr>
          <w:trHeight w:val="182"/>
        </w:trPr>
        <w:tc>
          <w:tcPr>
            <w:tcW w:w="980" w:type="dxa"/>
            <w:vAlign w:val="bottom"/>
          </w:tcPr>
          <w:p>
            <w:pPr>
              <w:spacing w:after="0"/>
              <w:rPr>
                <w:sz w:val="15"/>
                <w:szCs w:val="15"/>
                <w:color w:val="auto"/>
              </w:rPr>
            </w:pPr>
          </w:p>
        </w:tc>
        <w:tc>
          <w:tcPr>
            <w:tcW w:w="3020" w:type="dxa"/>
            <w:vAlign w:val="bottom"/>
            <w:tcBorders>
              <w:top w:val="single" w:sz="8" w:color="0000FF"/>
              <w:bottom w:val="single" w:sz="8" w:color="0000FF"/>
            </w:tcBorders>
            <w:gridSpan w:val="27"/>
          </w:tcPr>
          <w:p>
            <w:pPr>
              <w:spacing w:after="0" w:line="182" w:lineRule="exact"/>
              <w:rPr>
                <w:sz w:val="20"/>
                <w:szCs w:val="20"/>
                <w:color w:val="auto"/>
              </w:rPr>
            </w:pPr>
            <w:r>
              <w:rPr>
                <w:rFonts w:ascii="Arial" w:cs="Arial" w:eastAsia="Arial" w:hAnsi="Arial"/>
                <w:sz w:val="18"/>
                <w:szCs w:val="18"/>
                <w:color w:val="0000FF"/>
                <w:w w:val="99"/>
              </w:rPr>
              <w:t>Pursuant to Rules 13a-14(a) and 15d-</w:t>
            </w:r>
          </w:p>
        </w:tc>
        <w:tc>
          <w:tcPr>
            <w:tcW w:w="20" w:type="dxa"/>
            <w:vAlign w:val="bottom"/>
            <w:tcBorders>
              <w:top w:val="single" w:sz="8" w:color="0000FF"/>
              <w:bottom w:val="single" w:sz="8" w:color="0000EE"/>
            </w:tcBorders>
          </w:tcPr>
          <w:p>
            <w:pPr>
              <w:spacing w:after="0"/>
              <w:rPr>
                <w:sz w:val="15"/>
                <w:szCs w:val="15"/>
                <w:color w:val="auto"/>
              </w:rPr>
            </w:pPr>
          </w:p>
        </w:tc>
        <w:tc>
          <w:tcPr>
            <w:tcW w:w="240" w:type="dxa"/>
            <w:vAlign w:val="bottom"/>
            <w:tcBorders>
              <w:top w:val="single" w:sz="8" w:color="0000FF"/>
            </w:tcBorders>
            <w:gridSpan w:val="9"/>
          </w:tcPr>
          <w:p>
            <w:pPr>
              <w:spacing w:after="0"/>
              <w:rPr>
                <w:sz w:val="15"/>
                <w:szCs w:val="15"/>
                <w:color w:val="auto"/>
              </w:rPr>
            </w:pP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040" w:type="dxa"/>
            <w:vAlign w:val="bottom"/>
            <w:gridSpan w:val="28"/>
          </w:tcPr>
          <w:p>
            <w:pPr>
              <w:spacing w:after="0" w:line="182" w:lineRule="exact"/>
              <w:rPr>
                <w:sz w:val="20"/>
                <w:szCs w:val="20"/>
                <w:color w:val="auto"/>
              </w:rPr>
            </w:pPr>
            <w:r>
              <w:rPr>
                <w:rFonts w:ascii="Arial" w:cs="Arial" w:eastAsia="Arial" w:hAnsi="Arial"/>
                <w:sz w:val="18"/>
                <w:szCs w:val="18"/>
                <w:color w:val="0000FF"/>
              </w:rPr>
              <w:t>14(a) under the Securities Exchange</w:t>
            </w:r>
          </w:p>
        </w:tc>
        <w:tc>
          <w:tcPr>
            <w:tcW w:w="240" w:type="dxa"/>
            <w:vAlign w:val="bottom"/>
            <w:gridSpan w:val="9"/>
          </w:tcPr>
          <w:p>
            <w:pPr>
              <w:spacing w:after="0" w:line="182" w:lineRule="exact"/>
              <w:rPr>
                <w:sz w:val="20"/>
                <w:szCs w:val="20"/>
                <w:color w:val="auto"/>
              </w:rPr>
            </w:pPr>
            <w:r>
              <w:rPr>
                <w:rFonts w:ascii="Arial" w:cs="Arial" w:eastAsia="Arial" w:hAnsi="Arial"/>
                <w:sz w:val="18"/>
                <w:szCs w:val="18"/>
                <w:color w:val="0000FF"/>
                <w:w w:val="84"/>
              </w:rPr>
              <w:t>Act</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280" w:type="dxa"/>
            <w:vAlign w:val="bottom"/>
            <w:tcBorders>
              <w:top w:val="single" w:sz="8" w:color="0000FF"/>
              <w:bottom w:val="single" w:sz="8" w:color="0000FF"/>
            </w:tcBorders>
            <w:gridSpan w:val="37"/>
          </w:tcPr>
          <w:p>
            <w:pPr>
              <w:spacing w:after="0" w:line="182" w:lineRule="exact"/>
              <w:rPr>
                <w:sz w:val="20"/>
                <w:szCs w:val="20"/>
                <w:color w:val="auto"/>
              </w:rPr>
            </w:pPr>
            <w:r>
              <w:rPr>
                <w:rFonts w:ascii="Arial" w:cs="Arial" w:eastAsia="Arial" w:hAnsi="Arial"/>
                <w:sz w:val="18"/>
                <w:szCs w:val="18"/>
                <w:color w:val="0000FF"/>
              </w:rPr>
              <w:t>of 1934, as Adopted Pursuant to Section</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182"/>
        </w:trPr>
        <w:tc>
          <w:tcPr>
            <w:tcW w:w="980" w:type="dxa"/>
            <w:vAlign w:val="bottom"/>
          </w:tcPr>
          <w:p>
            <w:pPr>
              <w:spacing w:after="0"/>
              <w:rPr>
                <w:sz w:val="15"/>
                <w:szCs w:val="15"/>
                <w:color w:val="auto"/>
              </w:rPr>
            </w:pPr>
          </w:p>
        </w:tc>
        <w:tc>
          <w:tcPr>
            <w:tcW w:w="3280" w:type="dxa"/>
            <w:vAlign w:val="bottom"/>
            <w:gridSpan w:val="37"/>
          </w:tcPr>
          <w:p>
            <w:pPr>
              <w:spacing w:after="0" w:line="182" w:lineRule="exact"/>
              <w:rPr>
                <w:sz w:val="20"/>
                <w:szCs w:val="20"/>
                <w:color w:val="auto"/>
              </w:rPr>
            </w:pPr>
            <w:r>
              <w:rPr>
                <w:rFonts w:ascii="Arial" w:cs="Arial" w:eastAsia="Arial" w:hAnsi="Arial"/>
                <w:sz w:val="18"/>
                <w:szCs w:val="18"/>
                <w:color w:val="0000FF"/>
              </w:rPr>
              <w:t>302 of the Sarbanes-Oxley Act of 2002</w:t>
            </w:r>
          </w:p>
        </w:tc>
        <w:tc>
          <w:tcPr>
            <w:tcW w:w="10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60" w:type="dxa"/>
            <w:vAlign w:val="bottom"/>
          </w:tcPr>
          <w:p>
            <w:pPr>
              <w:spacing w:after="0"/>
              <w:rPr>
                <w:sz w:val="15"/>
                <w:szCs w:val="15"/>
                <w:color w:val="auto"/>
              </w:rPr>
            </w:pPr>
          </w:p>
        </w:tc>
      </w:tr>
      <w:tr>
        <w:trPr>
          <w:trHeight w:val="443"/>
        </w:trPr>
        <w:tc>
          <w:tcPr>
            <w:tcW w:w="98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20" w:type="dxa"/>
            <w:vAlign w:val="bottom"/>
          </w:tcPr>
          <w:p>
            <w:pPr>
              <w:jc w:val="right"/>
              <w:ind w:right="830"/>
              <w:spacing w:after="0"/>
              <w:rPr>
                <w:sz w:val="20"/>
                <w:szCs w:val="20"/>
                <w:color w:val="auto"/>
              </w:rPr>
            </w:pPr>
            <w:r>
              <w:rPr>
                <w:rFonts w:ascii="Arial" w:cs="Arial" w:eastAsia="Arial" w:hAnsi="Arial"/>
                <w:sz w:val="18"/>
                <w:szCs w:val="18"/>
                <w:color w:val="auto"/>
              </w:rPr>
              <w:t>129</w:t>
            </w:r>
          </w:p>
        </w:tc>
        <w:tc>
          <w:tcPr>
            <w:tcW w:w="8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745"/>
        </w:trPr>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3240" w:type="dxa"/>
            <w:vAlign w:val="bottom"/>
            <w:gridSpan w:val="14"/>
          </w:tcPr>
          <w:p>
            <w:pPr>
              <w:spacing w:after="0"/>
              <w:rPr>
                <w:sz w:val="20"/>
                <w:szCs w:val="20"/>
                <w:color w:val="auto"/>
              </w:rPr>
            </w:pPr>
            <w:r>
              <w:rPr>
                <w:rFonts w:ascii="Arial" w:cs="Arial" w:eastAsia="Arial" w:hAnsi="Arial"/>
                <w:sz w:val="18"/>
                <w:szCs w:val="18"/>
                <w:color w:val="0000FF"/>
              </w:rPr>
              <w:t>Certification of Principal Executive</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40" w:type="dxa"/>
            <w:vAlign w:val="bottom"/>
          </w:tcPr>
          <w:p>
            <w:pPr>
              <w:spacing w:after="0"/>
              <w:rPr>
                <w:sz w:val="15"/>
                <w:szCs w:val="15"/>
                <w:color w:val="auto"/>
              </w:rPr>
            </w:pPr>
          </w:p>
        </w:tc>
        <w:tc>
          <w:tcPr>
            <w:tcW w:w="20" w:type="dxa"/>
            <w:vAlign w:val="bottom"/>
            <w:tcBorders>
              <w:bottom w:val="single" w:sz="8" w:color="0000EE"/>
            </w:tcBorders>
            <w:vMerge w:val="continue"/>
          </w:tcPr>
          <w:p>
            <w:pPr>
              <w:spacing w:after="0"/>
              <w:rPr>
                <w:sz w:val="15"/>
                <w:szCs w:val="15"/>
                <w:color w:val="auto"/>
              </w:rPr>
            </w:pPr>
          </w:p>
        </w:tc>
        <w:tc>
          <w:tcPr>
            <w:tcW w:w="300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9"/>
              </w:rPr>
              <w:t>Officer Pursuant to 18 U.S.C. Section</w:t>
            </w:r>
          </w:p>
        </w:tc>
        <w:tc>
          <w:tcPr>
            <w:tcW w:w="2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3020" w:type="dxa"/>
            <w:vAlign w:val="bottom"/>
            <w:gridSpan w:val="8"/>
          </w:tcPr>
          <w:p>
            <w:pPr>
              <w:spacing w:after="0" w:line="182" w:lineRule="exact"/>
              <w:rPr>
                <w:sz w:val="20"/>
                <w:szCs w:val="20"/>
                <w:color w:val="auto"/>
              </w:rPr>
            </w:pPr>
            <w:r>
              <w:rPr>
                <w:rFonts w:ascii="Arial" w:cs="Arial" w:eastAsia="Arial" w:hAnsi="Arial"/>
                <w:sz w:val="18"/>
                <w:szCs w:val="18"/>
                <w:color w:val="0000FF"/>
                <w:w w:val="98"/>
              </w:rPr>
              <w:t>1350, as Adopted Pursuant to Section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3060" w:type="dxa"/>
            <w:vAlign w:val="bottom"/>
            <w:tcBorders>
              <w:top w:val="single" w:sz="8" w:color="0000FF"/>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7"/>
              </w:rPr>
              <w:t>906 of the Sarbanes-Oxley Act of 2002</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3240" w:type="dxa"/>
            <w:vAlign w:val="bottom"/>
            <w:gridSpan w:val="14"/>
          </w:tcPr>
          <w:p>
            <w:pPr>
              <w:spacing w:after="0"/>
              <w:rPr>
                <w:sz w:val="20"/>
                <w:szCs w:val="20"/>
                <w:color w:val="auto"/>
              </w:rPr>
            </w:pPr>
            <w:r>
              <w:rPr>
                <w:rFonts w:ascii="Arial" w:cs="Arial" w:eastAsia="Arial" w:hAnsi="Arial"/>
                <w:sz w:val="18"/>
                <w:szCs w:val="18"/>
                <w:color w:val="0000FF"/>
                <w:w w:val="99"/>
              </w:rPr>
              <w:t>Certification of Principal Financial Officer</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2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Pursuant to 18 U.S.C. Section 1350, as</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80" w:type="dxa"/>
            <w:vAlign w:val="bottom"/>
            <w:tcBorders>
              <w:top w:val="single" w:sz="8" w:color="0000FF"/>
              <w:bottom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Adopted Pursuant to Section 906 of the</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24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8"/>
              </w:rPr>
              <w:t>Sarbanes-Oxley Act of 2002</w:t>
            </w:r>
          </w:p>
        </w:tc>
        <w:tc>
          <w:tcPr>
            <w:tcW w:w="20" w:type="dxa"/>
            <w:vAlign w:val="bottom"/>
            <w:tcBorders>
              <w:bottom w:val="single" w:sz="8" w:color="0000EE"/>
            </w:tcBorders>
          </w:tcPr>
          <w:p>
            <w:pPr>
              <w:spacing w:after="0"/>
              <w:rPr>
                <w:sz w:val="15"/>
                <w:szCs w:val="15"/>
                <w:color w:val="auto"/>
              </w:rPr>
            </w:pPr>
          </w:p>
        </w:tc>
        <w:tc>
          <w:tcPr>
            <w:tcW w:w="94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40" w:type="dxa"/>
            <w:vAlign w:val="bottom"/>
          </w:tcPr>
          <w:p>
            <w:pPr>
              <w:spacing w:after="0"/>
              <w:rPr>
                <w:sz w:val="20"/>
                <w:szCs w:val="20"/>
                <w:color w:val="auto"/>
              </w:rPr>
            </w:pPr>
            <w:r>
              <w:rPr>
                <w:rFonts w:ascii="Arial" w:cs="Arial" w:eastAsia="Arial" w:hAnsi="Arial"/>
                <w:sz w:val="18"/>
                <w:szCs w:val="18"/>
                <w:color w:val="auto"/>
              </w:rPr>
              <w:t>97.1</w:t>
            </w:r>
            <w:r>
              <w:rPr>
                <w:rFonts w:ascii="Arial" w:cs="Arial" w:eastAsia="Arial" w:hAnsi="Arial"/>
                <w:sz w:val="16"/>
                <w:szCs w:val="16"/>
                <w:color w:val="auto"/>
              </w:rPr>
              <w:t>†</w:t>
            </w:r>
          </w:p>
        </w:tc>
        <w:tc>
          <w:tcPr>
            <w:tcW w:w="3240" w:type="dxa"/>
            <w:vAlign w:val="bottom"/>
            <w:gridSpan w:val="14"/>
          </w:tcPr>
          <w:p>
            <w:pPr>
              <w:spacing w:after="0"/>
              <w:rPr>
                <w:sz w:val="20"/>
                <w:szCs w:val="20"/>
                <w:color w:val="auto"/>
              </w:rPr>
            </w:pPr>
            <w:r>
              <w:rPr>
                <w:rFonts w:ascii="Arial" w:cs="Arial" w:eastAsia="Arial" w:hAnsi="Arial"/>
                <w:sz w:val="18"/>
                <w:szCs w:val="18"/>
                <w:color w:val="0000FF"/>
              </w:rPr>
              <w:t>Policy for Recovery of Erroneously</w:t>
            </w:r>
          </w:p>
        </w:tc>
        <w:tc>
          <w:tcPr>
            <w:tcW w:w="0" w:type="dxa"/>
            <w:vAlign w:val="bottom"/>
          </w:tcPr>
          <w:p>
            <w:pPr>
              <w:spacing w:after="0"/>
              <w:rPr>
                <w:sz w:val="1"/>
                <w:szCs w:val="1"/>
                <w:color w:val="auto"/>
              </w:rPr>
            </w:pPr>
          </w:p>
        </w:tc>
      </w:tr>
      <w:tr>
        <w:trPr>
          <w:trHeight w:val="182"/>
        </w:trPr>
        <w:tc>
          <w:tcPr>
            <w:tcW w:w="94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190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7"/>
              </w:rPr>
              <w:t>Awarded Compensation</w:t>
            </w:r>
          </w:p>
        </w:tc>
        <w:tc>
          <w:tcPr>
            <w:tcW w:w="20" w:type="dxa"/>
            <w:vAlign w:val="bottom"/>
            <w:tcBorders>
              <w:top w:val="single" w:sz="8" w:color="0000FF"/>
              <w:bottom w:val="single" w:sz="8" w:color="0000EE"/>
            </w:tcBorders>
          </w:tcPr>
          <w:p>
            <w:pPr>
              <w:spacing w:after="0"/>
              <w:rPr>
                <w:sz w:val="15"/>
                <w:szCs w:val="15"/>
                <w:color w:val="auto"/>
              </w:rPr>
            </w:pPr>
          </w:p>
        </w:tc>
        <w:tc>
          <w:tcPr>
            <w:tcW w:w="880" w:type="dxa"/>
            <w:vAlign w:val="bottom"/>
            <w:tcBorders>
              <w:top w:val="single" w:sz="8" w:color="0000FF"/>
            </w:tcBorders>
            <w:gridSpan w:val="4"/>
          </w:tcPr>
          <w:p>
            <w:pPr>
              <w:spacing w:after="0"/>
              <w:rPr>
                <w:sz w:val="15"/>
                <w:szCs w:val="15"/>
                <w:color w:val="auto"/>
              </w:rPr>
            </w:pPr>
          </w:p>
        </w:tc>
        <w:tc>
          <w:tcPr>
            <w:tcW w:w="42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3240" w:type="dxa"/>
            <w:vAlign w:val="bottom"/>
            <w:gridSpan w:val="14"/>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324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p>
        </w:tc>
        <w:tc>
          <w:tcPr>
            <w:tcW w:w="3240" w:type="dxa"/>
            <w:vAlign w:val="bottom"/>
            <w:gridSpan w:val="14"/>
          </w:tcPr>
          <w:p>
            <w:pPr>
              <w:spacing w:after="0"/>
              <w:rPr>
                <w:sz w:val="20"/>
                <w:szCs w:val="20"/>
                <w:color w:val="auto"/>
              </w:rPr>
            </w:pPr>
            <w:r>
              <w:rPr>
                <w:rFonts w:ascii="Arial" w:cs="Arial" w:eastAsia="Arial" w:hAnsi="Arial"/>
                <w:sz w:val="18"/>
                <w:szCs w:val="18"/>
                <w:color w:val="auto"/>
              </w:rPr>
              <w:t>Schema Document</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324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p>
        </w:tc>
        <w:tc>
          <w:tcPr>
            <w:tcW w:w="3240" w:type="dxa"/>
            <w:vAlign w:val="bottom"/>
            <w:gridSpan w:val="14"/>
          </w:tcPr>
          <w:p>
            <w:pPr>
              <w:spacing w:after="0"/>
              <w:rPr>
                <w:sz w:val="20"/>
                <w:szCs w:val="20"/>
                <w:color w:val="auto"/>
              </w:rPr>
            </w:pPr>
            <w:r>
              <w:rPr>
                <w:rFonts w:ascii="Arial" w:cs="Arial" w:eastAsia="Arial" w:hAnsi="Arial"/>
                <w:sz w:val="18"/>
                <w:szCs w:val="18"/>
                <w:color w:val="auto"/>
              </w:rPr>
              <w:t>Calculation Linkbase Document</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324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p>
        </w:tc>
        <w:tc>
          <w:tcPr>
            <w:tcW w:w="3240" w:type="dxa"/>
            <w:vAlign w:val="bottom"/>
            <w:gridSpan w:val="14"/>
          </w:tcPr>
          <w:p>
            <w:pPr>
              <w:spacing w:after="0"/>
              <w:rPr>
                <w:sz w:val="20"/>
                <w:szCs w:val="20"/>
                <w:color w:val="auto"/>
              </w:rPr>
            </w:pPr>
            <w:r>
              <w:rPr>
                <w:rFonts w:ascii="Arial" w:cs="Arial" w:eastAsia="Arial" w:hAnsi="Arial"/>
                <w:sz w:val="18"/>
                <w:szCs w:val="18"/>
                <w:color w:val="auto"/>
              </w:rPr>
              <w:t>Definition Linkbase Document</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324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w:t>
            </w: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p>
        </w:tc>
        <w:tc>
          <w:tcPr>
            <w:tcW w:w="3240" w:type="dxa"/>
            <w:vAlign w:val="bottom"/>
            <w:gridSpan w:val="14"/>
          </w:tcPr>
          <w:p>
            <w:pPr>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r>
        <w:trPr>
          <w:trHeight w:val="314"/>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3240" w:type="dxa"/>
            <w:vAlign w:val="bottom"/>
            <w:gridSpan w:val="14"/>
          </w:tcPr>
          <w:p>
            <w:pPr>
              <w:spacing w:after="0"/>
              <w:rPr>
                <w:sz w:val="20"/>
                <w:szCs w:val="20"/>
                <w:color w:val="auto"/>
              </w:rPr>
            </w:pPr>
            <w:r>
              <w:rPr>
                <w:rFonts w:ascii="Arial" w:cs="Arial" w:eastAsia="Arial" w:hAnsi="Arial"/>
                <w:sz w:val="18"/>
                <w:szCs w:val="18"/>
                <w:color w:val="auto"/>
              </w:rPr>
              <w:t>Inline XBRL Taxonomy Extension</w:t>
            </w:r>
          </w:p>
        </w:tc>
        <w:tc>
          <w:tcPr>
            <w:tcW w:w="0" w:type="dxa"/>
            <w:vAlign w:val="bottom"/>
          </w:tcPr>
          <w:p>
            <w:pPr>
              <w:spacing w:after="0"/>
              <w:rPr>
                <w:sz w:val="1"/>
                <w:szCs w:val="1"/>
                <w:color w:val="auto"/>
              </w:rPr>
            </w:pPr>
          </w:p>
        </w:tc>
      </w:tr>
      <w:tr>
        <w:trPr>
          <w:trHeight w:val="239"/>
        </w:trPr>
        <w:tc>
          <w:tcPr>
            <w:tcW w:w="940" w:type="dxa"/>
            <w:vAlign w:val="bottom"/>
          </w:tcPr>
          <w:p>
            <w:pPr>
              <w:spacing w:after="0"/>
              <w:rPr>
                <w:sz w:val="20"/>
                <w:szCs w:val="20"/>
                <w:color w:val="auto"/>
              </w:rPr>
            </w:pPr>
          </w:p>
        </w:tc>
        <w:tc>
          <w:tcPr>
            <w:tcW w:w="3240" w:type="dxa"/>
            <w:vAlign w:val="bottom"/>
            <w:gridSpan w:val="14"/>
          </w:tcPr>
          <w:p>
            <w:pPr>
              <w:spacing w:after="0"/>
              <w:rPr>
                <w:sz w:val="20"/>
                <w:szCs w:val="20"/>
                <w:color w:val="auto"/>
              </w:rPr>
            </w:pPr>
            <w:r>
              <w:rPr>
                <w:rFonts w:ascii="Arial" w:cs="Arial" w:eastAsia="Arial" w:hAnsi="Arial"/>
                <w:sz w:val="18"/>
                <w:szCs w:val="18"/>
                <w:color w:val="auto"/>
              </w:rPr>
              <w:t>Presentation Linkbase Document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960" w:right="5440" w:hanging="939"/>
        <w:spacing w:after="0" w:line="247" w:lineRule="auto"/>
        <w:tabs>
          <w:tab w:leader="none" w:pos="9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 w:lineRule="exact"/>
        <w:rPr>
          <w:rFonts w:ascii="Arial" w:cs="Arial" w:eastAsia="Arial" w:hAnsi="Arial"/>
          <w:sz w:val="18"/>
          <w:szCs w:val="18"/>
          <w:color w:val="auto"/>
        </w:rPr>
      </w:pPr>
    </w:p>
    <w:p>
      <w:pPr>
        <w:ind w:left="140" w:hanging="132"/>
        <w:spacing w:after="0"/>
        <w:tabs>
          <w:tab w:leader="none" w:pos="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Certain portions of this exhibit (indicated by "[***]") have been omitted pursuant to Regulation S-K, Item (601)(b)(10).</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X</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9120" w:space="720"/>
            <w:col w:w="1000"/>
          </w:cols>
          <w:pgMar w:left="320" w:top="768" w:right="7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8836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8">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160" w:firstLine="761"/>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180" w:type="dxa"/>
            <w:vAlign w:val="bottom"/>
          </w:tcPr>
          <w:p>
            <w:pPr>
              <w:spacing w:after="0"/>
              <w:rPr>
                <w:sz w:val="20"/>
                <w:szCs w:val="20"/>
                <w:color w:val="auto"/>
              </w:rPr>
            </w:pPr>
          </w:p>
        </w:tc>
        <w:tc>
          <w:tcPr>
            <w:tcW w:w="3080" w:type="dxa"/>
            <w:vAlign w:val="bottom"/>
            <w:gridSpan w:val="2"/>
          </w:tcPr>
          <w:p>
            <w:pPr>
              <w:ind w:left="1460"/>
              <w:spacing w:after="0"/>
              <w:rPr>
                <w:sz w:val="20"/>
                <w:szCs w:val="20"/>
                <w:color w:val="auto"/>
              </w:rPr>
            </w:pPr>
            <w:r>
              <w:rPr>
                <w:rFonts w:ascii="Arial" w:cs="Arial" w:eastAsia="Arial" w:hAnsi="Arial"/>
                <w:sz w:val="18"/>
                <w:szCs w:val="18"/>
                <w:color w:val="auto"/>
              </w:rPr>
              <w:t>Vroom, Inc.</w:t>
            </w:r>
          </w:p>
        </w:tc>
        <w:tc>
          <w:tcPr>
            <w:tcW w:w="4960" w:type="dxa"/>
            <w:vAlign w:val="bottom"/>
          </w:tcPr>
          <w:p>
            <w:pPr>
              <w:spacing w:after="0"/>
              <w:rPr>
                <w:sz w:val="20"/>
                <w:szCs w:val="20"/>
                <w:color w:val="auto"/>
              </w:rPr>
            </w:pPr>
          </w:p>
        </w:tc>
      </w:tr>
      <w:tr>
        <w:trPr>
          <w:trHeight w:val="387"/>
        </w:trPr>
        <w:tc>
          <w:tcPr>
            <w:tcW w:w="3180" w:type="dxa"/>
            <w:vAlign w:val="bottom"/>
          </w:tcPr>
          <w:p>
            <w:pPr>
              <w:spacing w:after="0"/>
              <w:rPr>
                <w:sz w:val="20"/>
                <w:szCs w:val="20"/>
                <w:color w:val="auto"/>
              </w:rPr>
            </w:pPr>
            <w:r>
              <w:rPr>
                <w:rFonts w:ascii="Arial" w:cs="Arial" w:eastAsia="Arial" w:hAnsi="Arial"/>
                <w:sz w:val="18"/>
                <w:szCs w:val="18"/>
                <w:color w:val="auto"/>
              </w:rPr>
              <w:t>Date: March 13, 2024</w:t>
            </w:r>
          </w:p>
        </w:tc>
        <w:tc>
          <w:tcPr>
            <w:tcW w:w="3080" w:type="dxa"/>
            <w:vAlign w:val="bottom"/>
            <w:gridSpan w:val="2"/>
          </w:tcPr>
          <w:p>
            <w:pPr>
              <w:ind w:left="1440"/>
              <w:spacing w:after="0"/>
              <w:rPr>
                <w:sz w:val="20"/>
                <w:szCs w:val="20"/>
                <w:color w:val="auto"/>
              </w:rPr>
            </w:pPr>
            <w:r>
              <w:rPr>
                <w:rFonts w:ascii="Arial" w:cs="Arial" w:eastAsia="Arial" w:hAnsi="Arial"/>
                <w:sz w:val="18"/>
                <w:szCs w:val="18"/>
                <w:color w:val="auto"/>
              </w:rPr>
              <w:t>By:</w:t>
            </w:r>
          </w:p>
        </w:tc>
        <w:tc>
          <w:tcPr>
            <w:tcW w:w="4960" w:type="dxa"/>
            <w:vAlign w:val="bottom"/>
          </w:tcPr>
          <w:p>
            <w:pPr>
              <w:jc w:val="center"/>
              <w:ind w:right="1250"/>
              <w:spacing w:after="0"/>
              <w:rPr>
                <w:sz w:val="20"/>
                <w:szCs w:val="20"/>
                <w:color w:val="auto"/>
              </w:rPr>
            </w:pPr>
            <w:r>
              <w:rPr>
                <w:rFonts w:ascii="Arial" w:cs="Arial" w:eastAsia="Arial" w:hAnsi="Arial"/>
                <w:sz w:val="18"/>
                <w:szCs w:val="18"/>
                <w:color w:val="auto"/>
              </w:rPr>
              <w:t>/s/ Thomas H. Shortt</w:t>
            </w:r>
          </w:p>
        </w:tc>
      </w:tr>
      <w:tr>
        <w:trPr>
          <w:trHeight w:val="240"/>
        </w:trPr>
        <w:tc>
          <w:tcPr>
            <w:tcW w:w="3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4960" w:type="dxa"/>
            <w:vAlign w:val="bottom"/>
            <w:tcBorders>
              <w:top w:val="single" w:sz="8" w:color="auto"/>
            </w:tcBorders>
          </w:tcPr>
          <w:p>
            <w:pPr>
              <w:jc w:val="center"/>
              <w:ind w:right="1250"/>
              <w:spacing w:after="0"/>
              <w:rPr>
                <w:sz w:val="20"/>
                <w:szCs w:val="20"/>
                <w:color w:val="auto"/>
              </w:rPr>
            </w:pPr>
            <w:r>
              <w:rPr>
                <w:rFonts w:ascii="Arial" w:cs="Arial" w:eastAsia="Arial" w:hAnsi="Arial"/>
                <w:sz w:val="18"/>
                <w:szCs w:val="18"/>
                <w:color w:val="auto"/>
              </w:rPr>
              <w:t>Thomas H. Shortt</w:t>
            </w:r>
          </w:p>
        </w:tc>
      </w:tr>
      <w:tr>
        <w:trPr>
          <w:trHeight w:val="243"/>
        </w:trPr>
        <w:tc>
          <w:tcPr>
            <w:tcW w:w="3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960" w:type="dxa"/>
            <w:vAlign w:val="bottom"/>
          </w:tcPr>
          <w:p>
            <w:pPr>
              <w:jc w:val="center"/>
              <w:ind w:right="1250"/>
              <w:spacing w:after="0"/>
              <w:rPr>
                <w:sz w:val="20"/>
                <w:szCs w:val="20"/>
                <w:color w:val="auto"/>
              </w:rPr>
            </w:pPr>
            <w:r>
              <w:rPr>
                <w:rFonts w:ascii="Arial" w:cs="Arial" w:eastAsia="Arial" w:hAnsi="Arial"/>
                <w:sz w:val="18"/>
                <w:szCs w:val="18"/>
                <w:color w:val="auto"/>
                <w:w w:val="99"/>
              </w:rPr>
              <w:t>Chief Executive Officer</w:t>
            </w:r>
          </w:p>
        </w:tc>
      </w:tr>
      <w:tr>
        <w:trPr>
          <w:trHeight w:val="243"/>
        </w:trPr>
        <w:tc>
          <w:tcPr>
            <w:tcW w:w="3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960" w:type="dxa"/>
            <w:vAlign w:val="bottom"/>
          </w:tcPr>
          <w:p>
            <w:pPr>
              <w:jc w:val="center"/>
              <w:ind w:right="1290"/>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630"/>
        </w:trPr>
        <w:tc>
          <w:tcPr>
            <w:tcW w:w="3180" w:type="dxa"/>
            <w:vAlign w:val="bottom"/>
          </w:tcPr>
          <w:p>
            <w:pPr>
              <w:spacing w:after="0"/>
              <w:rPr>
                <w:sz w:val="20"/>
                <w:szCs w:val="20"/>
                <w:color w:val="auto"/>
              </w:rPr>
            </w:pPr>
            <w:r>
              <w:rPr>
                <w:rFonts w:ascii="Arial" w:cs="Arial" w:eastAsia="Arial" w:hAnsi="Arial"/>
                <w:sz w:val="18"/>
                <w:szCs w:val="18"/>
                <w:color w:val="auto"/>
              </w:rPr>
              <w:t>Date: March 13, 2024</w:t>
            </w:r>
          </w:p>
        </w:tc>
        <w:tc>
          <w:tcPr>
            <w:tcW w:w="3080" w:type="dxa"/>
            <w:vAlign w:val="bottom"/>
            <w:gridSpan w:val="2"/>
          </w:tcPr>
          <w:p>
            <w:pPr>
              <w:ind w:left="1440"/>
              <w:spacing w:after="0"/>
              <w:rPr>
                <w:sz w:val="20"/>
                <w:szCs w:val="20"/>
                <w:color w:val="auto"/>
              </w:rPr>
            </w:pPr>
            <w:r>
              <w:rPr>
                <w:rFonts w:ascii="Arial" w:cs="Arial" w:eastAsia="Arial" w:hAnsi="Arial"/>
                <w:sz w:val="18"/>
                <w:szCs w:val="18"/>
                <w:color w:val="auto"/>
              </w:rPr>
              <w:t>By:</w:t>
            </w:r>
          </w:p>
        </w:tc>
        <w:tc>
          <w:tcPr>
            <w:tcW w:w="4960" w:type="dxa"/>
            <w:vAlign w:val="bottom"/>
          </w:tcPr>
          <w:p>
            <w:pPr>
              <w:jc w:val="center"/>
              <w:ind w:right="1250"/>
              <w:spacing w:after="0"/>
              <w:rPr>
                <w:sz w:val="20"/>
                <w:szCs w:val="20"/>
                <w:color w:val="auto"/>
              </w:rPr>
            </w:pPr>
            <w:r>
              <w:rPr>
                <w:rFonts w:ascii="Arial" w:cs="Arial" w:eastAsia="Arial" w:hAnsi="Arial"/>
                <w:sz w:val="18"/>
                <w:szCs w:val="18"/>
                <w:color w:val="auto"/>
              </w:rPr>
              <w:t>/s/ Robert R. Krakowiak</w:t>
            </w:r>
          </w:p>
        </w:tc>
      </w:tr>
      <w:tr>
        <w:trPr>
          <w:trHeight w:val="240"/>
        </w:trPr>
        <w:tc>
          <w:tcPr>
            <w:tcW w:w="3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4960" w:type="dxa"/>
            <w:vAlign w:val="bottom"/>
            <w:tcBorders>
              <w:top w:val="single" w:sz="8" w:color="auto"/>
            </w:tcBorders>
          </w:tcPr>
          <w:p>
            <w:pPr>
              <w:jc w:val="center"/>
              <w:ind w:right="1250"/>
              <w:spacing w:after="0"/>
              <w:rPr>
                <w:sz w:val="20"/>
                <w:szCs w:val="20"/>
                <w:color w:val="auto"/>
              </w:rPr>
            </w:pPr>
            <w:r>
              <w:rPr>
                <w:rFonts w:ascii="Arial" w:cs="Arial" w:eastAsia="Arial" w:hAnsi="Arial"/>
                <w:sz w:val="18"/>
                <w:szCs w:val="18"/>
                <w:color w:val="auto"/>
              </w:rPr>
              <w:t>Robert R. Krakowiak</w:t>
            </w:r>
          </w:p>
        </w:tc>
      </w:tr>
      <w:tr>
        <w:trPr>
          <w:trHeight w:val="243"/>
        </w:trPr>
        <w:tc>
          <w:tcPr>
            <w:tcW w:w="3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960" w:type="dxa"/>
            <w:vAlign w:val="bottom"/>
          </w:tcPr>
          <w:p>
            <w:pPr>
              <w:jc w:val="center"/>
              <w:ind w:right="1250"/>
              <w:spacing w:after="0"/>
              <w:rPr>
                <w:sz w:val="20"/>
                <w:szCs w:val="20"/>
                <w:color w:val="auto"/>
              </w:rPr>
            </w:pPr>
            <w:r>
              <w:rPr>
                <w:rFonts w:ascii="Arial" w:cs="Arial" w:eastAsia="Arial" w:hAnsi="Arial"/>
                <w:sz w:val="18"/>
                <w:szCs w:val="18"/>
                <w:color w:val="auto"/>
              </w:rPr>
              <w:t>Chief Financial Officer</w:t>
            </w:r>
          </w:p>
        </w:tc>
      </w:tr>
      <w:tr>
        <w:trPr>
          <w:trHeight w:val="243"/>
        </w:trPr>
        <w:tc>
          <w:tcPr>
            <w:tcW w:w="3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960" w:type="dxa"/>
            <w:vAlign w:val="bottom"/>
          </w:tcPr>
          <w:p>
            <w:pPr>
              <w:jc w:val="center"/>
              <w:ind w:right="1230"/>
              <w:spacing w:after="0"/>
              <w:rPr>
                <w:sz w:val="20"/>
                <w:szCs w:val="20"/>
                <w:color w:val="auto"/>
              </w:rPr>
            </w:pPr>
            <w:r>
              <w:rPr>
                <w:rFonts w:ascii="Arial" w:cs="Arial" w:eastAsia="Arial" w:hAnsi="Arial"/>
                <w:sz w:val="18"/>
                <w:szCs w:val="18"/>
                <w:i w:val="1"/>
                <w:iCs w:val="1"/>
                <w:color w:val="auto"/>
                <w:w w:val="99"/>
              </w:rPr>
              <w:t>(principal financial officer)</w:t>
            </w:r>
          </w:p>
        </w:tc>
      </w:tr>
    </w:tbl>
    <w:p>
      <w:pPr>
        <w:spacing w:after="0" w:line="179" w:lineRule="exact"/>
        <w:rPr>
          <w:sz w:val="20"/>
          <w:szCs w:val="20"/>
          <w:color w:val="auto"/>
        </w:rPr>
      </w:pPr>
    </w:p>
    <w:p>
      <w:pPr>
        <w:ind w:right="240" w:firstLine="761"/>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ind w:left="1660"/>
        <w:spacing w:after="0"/>
        <w:tabs>
          <w:tab w:leader="none" w:pos="6580" w:val="left"/>
          <w:tab w:leader="none" w:pos="101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H. Shortt</w:t>
            </w:r>
          </w:p>
        </w:tc>
        <w:tc>
          <w:tcPr>
            <w:tcW w:w="5380" w:type="dxa"/>
            <w:vAlign w:val="bottom"/>
          </w:tcPr>
          <w:p>
            <w:pPr>
              <w:ind w:left="140"/>
              <w:spacing w:after="0"/>
              <w:rPr>
                <w:sz w:val="20"/>
                <w:szCs w:val="20"/>
                <w:color w:val="auto"/>
              </w:rPr>
            </w:pPr>
            <w:r>
              <w:rPr>
                <w:rFonts w:ascii="Arial" w:cs="Arial" w:eastAsia="Arial" w:hAnsi="Arial"/>
                <w:sz w:val="18"/>
                <w:szCs w:val="18"/>
                <w:color w:val="auto"/>
              </w:rPr>
              <w:t>Chief Executive Officer (Principal Executive Officer) and Director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13, 2024</w:t>
            </w:r>
          </w:p>
        </w:tc>
      </w:tr>
      <w:tr>
        <w:trPr>
          <w:trHeight w:val="232"/>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Thomas H. Shortt</w:t>
            </w:r>
          </w:p>
        </w:tc>
        <w:tc>
          <w:tcPr>
            <w:tcW w:w="53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36"/>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R. Krakowiak</w:t>
            </w:r>
          </w:p>
        </w:tc>
        <w:tc>
          <w:tcPr>
            <w:tcW w:w="5380" w:type="dxa"/>
            <w:vAlign w:val="bottom"/>
          </w:tcPr>
          <w:p>
            <w:pPr>
              <w:ind w:left="140"/>
              <w:spacing w:after="0"/>
              <w:rPr>
                <w:sz w:val="20"/>
                <w:szCs w:val="20"/>
                <w:color w:val="auto"/>
              </w:rPr>
            </w:pPr>
            <w:r>
              <w:rPr>
                <w:rFonts w:ascii="Arial" w:cs="Arial" w:eastAsia="Arial" w:hAnsi="Arial"/>
                <w:sz w:val="18"/>
                <w:szCs w:val="18"/>
                <w:color w:val="auto"/>
              </w:rPr>
              <w:t>Chief Financial Officer (Principal Financial Officer)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13, 2024</w:t>
            </w:r>
          </w:p>
        </w:tc>
      </w:tr>
      <w:tr>
        <w:trPr>
          <w:trHeight w:val="232"/>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Robert R. Krakowiak</w:t>
            </w:r>
          </w:p>
        </w:tc>
        <w:tc>
          <w:tcPr>
            <w:tcW w:w="53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49"/>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Agnieszka Zakowicz</w:t>
            </w:r>
          </w:p>
        </w:tc>
        <w:tc>
          <w:tcPr>
            <w:tcW w:w="5380" w:type="dxa"/>
            <w:vAlign w:val="bottom"/>
          </w:tcPr>
          <w:p>
            <w:pPr>
              <w:ind w:left="140"/>
              <w:spacing w:after="0"/>
              <w:rPr>
                <w:sz w:val="20"/>
                <w:szCs w:val="20"/>
                <w:color w:val="auto"/>
              </w:rPr>
            </w:pPr>
            <w:r>
              <w:rPr>
                <w:rFonts w:ascii="Arial" w:cs="Arial" w:eastAsia="Arial" w:hAnsi="Arial"/>
                <w:sz w:val="18"/>
                <w:szCs w:val="18"/>
                <w:color w:val="auto"/>
              </w:rPr>
              <w:t>Senior Vice President and Principal Accounting Officer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13, 2024</w:t>
            </w:r>
          </w:p>
        </w:tc>
      </w:tr>
      <w:tr>
        <w:trPr>
          <w:trHeight w:val="232"/>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Agnieszka Zakowicz</w:t>
            </w:r>
          </w:p>
        </w:tc>
        <w:tc>
          <w:tcPr>
            <w:tcW w:w="53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516"/>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Mylod, Jr.</w:t>
            </w:r>
          </w:p>
        </w:tc>
        <w:tc>
          <w:tcPr>
            <w:tcW w:w="53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13, 2024</w:t>
            </w:r>
          </w:p>
        </w:tc>
      </w:tr>
      <w:tr>
        <w:trPr>
          <w:trHeight w:val="232"/>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Robert J. Mylod, Jr.</w:t>
            </w:r>
          </w:p>
        </w:tc>
        <w:tc>
          <w:tcPr>
            <w:tcW w:w="53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49"/>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M. Crow</w:t>
            </w:r>
          </w:p>
        </w:tc>
        <w:tc>
          <w:tcPr>
            <w:tcW w:w="53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13, 2024</w:t>
            </w:r>
          </w:p>
        </w:tc>
      </w:tr>
      <w:tr>
        <w:trPr>
          <w:trHeight w:val="232"/>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Timothy M. Crow</w:t>
            </w:r>
          </w:p>
        </w:tc>
        <w:tc>
          <w:tcPr>
            <w:tcW w:w="53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49"/>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Farello</w:t>
            </w:r>
          </w:p>
        </w:tc>
        <w:tc>
          <w:tcPr>
            <w:tcW w:w="53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13, 2024</w:t>
            </w:r>
          </w:p>
        </w:tc>
      </w:tr>
      <w:tr>
        <w:trPr>
          <w:trHeight w:val="232"/>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Michael J. Farello</w:t>
            </w:r>
          </w:p>
        </w:tc>
        <w:tc>
          <w:tcPr>
            <w:tcW w:w="53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49"/>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W. Lang</w:t>
            </w:r>
          </w:p>
        </w:tc>
        <w:tc>
          <w:tcPr>
            <w:tcW w:w="53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13, 2024</w:t>
            </w:r>
          </w:p>
        </w:tc>
      </w:tr>
      <w:tr>
        <w:trPr>
          <w:trHeight w:val="232"/>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Laura W. Lang</w:t>
            </w:r>
          </w:p>
        </w:tc>
        <w:tc>
          <w:tcPr>
            <w:tcW w:w="53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49"/>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Laura G. O’Shaughnessy</w:t>
            </w:r>
          </w:p>
        </w:tc>
        <w:tc>
          <w:tcPr>
            <w:tcW w:w="53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13, 2024</w:t>
            </w:r>
          </w:p>
        </w:tc>
      </w:tr>
      <w:tr>
        <w:trPr>
          <w:trHeight w:val="232"/>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Laura G. O’Shaughnessy</w:t>
            </w:r>
          </w:p>
        </w:tc>
        <w:tc>
          <w:tcPr>
            <w:tcW w:w="53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49"/>
        </w:trPr>
        <w:tc>
          <w:tcPr>
            <w:tcW w:w="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Paula B. Pretlow</w:t>
            </w:r>
          </w:p>
        </w:tc>
        <w:tc>
          <w:tcPr>
            <w:tcW w:w="53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880" w:type="dxa"/>
            <w:vAlign w:val="bottom"/>
          </w:tcPr>
          <w:p>
            <w:pPr>
              <w:ind w:left="140"/>
              <w:spacing w:after="0"/>
              <w:rPr>
                <w:sz w:val="20"/>
                <w:szCs w:val="20"/>
                <w:color w:val="auto"/>
              </w:rPr>
            </w:pPr>
            <w:r>
              <w:rPr>
                <w:rFonts w:ascii="Arial" w:cs="Arial" w:eastAsia="Arial" w:hAnsi="Arial"/>
                <w:sz w:val="18"/>
                <w:szCs w:val="18"/>
                <w:color w:val="auto"/>
              </w:rPr>
              <w:t>March 13, 2024</w:t>
            </w:r>
          </w:p>
        </w:tc>
      </w:tr>
      <w:tr>
        <w:trPr>
          <w:trHeight w:val="232"/>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Paula B. Pretlow</w:t>
            </w:r>
          </w:p>
        </w:tc>
        <w:tc>
          <w:tcPr>
            <w:tcW w:w="53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628"/>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380" w:type="dxa"/>
            <w:vAlign w:val="bottom"/>
          </w:tcPr>
          <w:p>
            <w:pPr>
              <w:ind w:left="1500"/>
              <w:spacing w:after="0"/>
              <w:rPr>
                <w:sz w:val="20"/>
                <w:szCs w:val="20"/>
                <w:color w:val="auto"/>
              </w:rPr>
            </w:pPr>
            <w:r>
              <w:rPr>
                <w:rFonts w:ascii="Arial" w:cs="Arial" w:eastAsia="Arial" w:hAnsi="Arial"/>
                <w:sz w:val="18"/>
                <w:szCs w:val="18"/>
                <w:color w:val="auto"/>
              </w:rPr>
              <w:t>131</w:t>
            </w:r>
          </w:p>
        </w:tc>
        <w:tc>
          <w:tcPr>
            <w:tcW w:w="1880" w:type="dxa"/>
            <w:vAlign w:val="bottom"/>
          </w:tcPr>
          <w:p>
            <w:pPr>
              <w:spacing w:after="0"/>
              <w:rPr>
                <w:sz w:val="24"/>
                <w:szCs w:val="24"/>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8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22"/>
          <w:szCs w:val="22"/>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AMENDED AND RESTATED VROOM, INC.</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EXECUTIVE SEVERANCE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March 1, 2021</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on May 20, 2022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subsequently Amended and Restated on March 8, 2024</w:t>
      </w:r>
    </w:p>
    <w:p>
      <w:pPr>
        <w:spacing w:after="0" w:line="200" w:lineRule="exact"/>
        <w:rPr>
          <w:sz w:val="20"/>
          <w:szCs w:val="20"/>
          <w:color w:val="auto"/>
        </w:rPr>
      </w:pPr>
    </w:p>
    <w:p>
      <w:pPr>
        <w:spacing w:after="0" w:line="247" w:lineRule="exact"/>
        <w:rPr>
          <w:sz w:val="20"/>
          <w:szCs w:val="20"/>
          <w:color w:val="auto"/>
        </w:rPr>
      </w:pPr>
    </w:p>
    <w:p>
      <w:pPr>
        <w:ind w:left="1020" w:hanging="263"/>
        <w:spacing w:after="0"/>
        <w:tabs>
          <w:tab w:leader="none" w:pos="1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stablishment and</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urpose</w:t>
      </w:r>
    </w:p>
    <w:p>
      <w:pPr>
        <w:spacing w:after="0" w:line="20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The Vroom, Inc. Executive Severance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originally established by the Board of Directors of Vroom, Inc.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effective March 1, 2021, as amended and restated in its entirety effective May 20, 2022 and as hereby amended and restated in its entirety effective March 8, 2024 (the “</w:t>
      </w:r>
      <w:r>
        <w:rPr>
          <w:rFonts w:ascii="Times New Roman" w:cs="Times New Roman" w:eastAsia="Times New Roman" w:hAnsi="Times New Roman"/>
          <w:sz w:val="22"/>
          <w:szCs w:val="22"/>
          <w:b w:val="1"/>
          <w:bCs w:val="1"/>
          <w:i w:val="1"/>
          <w:iCs w:val="1"/>
          <w:color w:val="auto"/>
        </w:rPr>
        <w:t>A&amp;R Effective Date</w:t>
      </w:r>
      <w:r>
        <w:rPr>
          <w:rFonts w:ascii="Times New Roman" w:cs="Times New Roman" w:eastAsia="Times New Roman" w:hAnsi="Times New Roman"/>
          <w:sz w:val="22"/>
          <w:szCs w:val="22"/>
          <w:color w:val="auto"/>
        </w:rPr>
        <w:t>”). The purpose of this Plan is to promote the interests of Vroom,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its stockholders by retaining certain executive-level employees through the provision of severance protections to such employees in the event their employment is terminated under the circumstances described in this Plan.</w:t>
      </w:r>
    </w:p>
    <w:p>
      <w:pPr>
        <w:spacing w:after="0" w:line="175" w:lineRule="exact"/>
        <w:rPr>
          <w:sz w:val="20"/>
          <w:szCs w:val="20"/>
          <w:color w:val="auto"/>
        </w:rPr>
      </w:pPr>
    </w:p>
    <w:p>
      <w:pPr>
        <w:ind w:left="1020" w:hanging="263"/>
        <w:spacing w:after="0"/>
        <w:tabs>
          <w:tab w:leader="none" w:pos="102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efinitions and</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onstruction</w:t>
      </w:r>
    </w:p>
    <w:p>
      <w:pPr>
        <w:spacing w:after="0" w:line="205" w:lineRule="exact"/>
        <w:rPr>
          <w:sz w:val="20"/>
          <w:szCs w:val="20"/>
          <w:color w:val="auto"/>
        </w:rPr>
      </w:pPr>
    </w:p>
    <w:p>
      <w:pPr>
        <w:jc w:val="both"/>
        <w:ind w:firstLine="1498"/>
        <w:spacing w:after="0" w:line="261"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xml:space="preserve">. Whenever used in this Plan, capitalized terms shall have the same meaning as set forth herein or in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b w:val="1"/>
          <w:bCs w:val="1"/>
          <w:color w:val="auto"/>
        </w:rPr>
        <w:t>Construction</w:t>
      </w:r>
      <w:r>
        <w:rPr>
          <w:rFonts w:ascii="Times New Roman" w:cs="Times New Roman" w:eastAsia="Times New Roman" w:hAnsi="Times New Roman"/>
          <w:sz w:val="22"/>
          <w:szCs w:val="22"/>
          <w:color w:val="auto"/>
        </w:rPr>
        <w:t>. Captions and titles contained in this Plan are for convenience only and shall not affect the meaning or interpretation of any 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5" w:lineRule="exact"/>
        <w:rPr>
          <w:sz w:val="20"/>
          <w:szCs w:val="20"/>
          <w:color w:val="auto"/>
        </w:rPr>
      </w:pPr>
    </w:p>
    <w:p>
      <w:pPr>
        <w:ind w:left="1020" w:hanging="263"/>
        <w:spacing w:after="0"/>
        <w:tabs>
          <w:tab w:leader="none" w:pos="10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articipation</w:t>
      </w:r>
    </w:p>
    <w:p>
      <w:pPr>
        <w:spacing w:after="0" w:line="20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Executive-level employees of the Company Group who are designated by the Committee by name, title, position, function, salary band, any other category deemed appropriate by the Committee, or any combination of the foregoing from time to time as Participants in this Plan. A list of Participants is set forth on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hereto (as such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may from time to time be amended by the Committee or the Administrator). In addition, as a condition to participation in this Plan, each individual agrees to be bound by, the terms and conditions of this Plan.</w:t>
      </w:r>
    </w:p>
    <w:p>
      <w:pPr>
        <w:spacing w:after="0" w:line="176" w:lineRule="exact"/>
        <w:rPr>
          <w:sz w:val="20"/>
          <w:szCs w:val="20"/>
          <w:color w:val="auto"/>
        </w:rPr>
      </w:pPr>
    </w:p>
    <w:p>
      <w:pPr>
        <w:ind w:left="1020" w:hanging="263"/>
        <w:spacing w:after="0"/>
        <w:tabs>
          <w:tab w:leader="none" w:pos="10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 of</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mployment</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ithout</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ause or</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ood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eason</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the event of a Participant’s Separation from Service without Cause or for Good Reason (other than a Termination Upon a Change in Control), the Participant shall be entitled to receive the compensation and benefits described in this Section 4.</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621030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9" w:right="339" w:bottom="1440" w:gutter="0" w:footer="0" w:header="0"/>
        </w:sectPr>
      </w:pPr>
    </w:p>
    <w:bookmarkStart w:id="133" w:name="page134"/>
    <w:bookmarkEnd w:id="133"/>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0"/>
          <w:szCs w:val="20"/>
          <w:b w:val="1"/>
          <w:bCs w:val="1"/>
          <w:color w:val="auto"/>
        </w:rPr>
        <w:t>Accrued Obligations</w:t>
      </w:r>
      <w:r>
        <w:rPr>
          <w:rFonts w:ascii="Times New Roman" w:cs="Times New Roman" w:eastAsia="Times New Roman" w:hAnsi="Times New Roman"/>
          <w:sz w:val="20"/>
          <w:szCs w:val="20"/>
          <w:color w:val="auto"/>
        </w:rPr>
        <w:t>. The Participant shall be entitled to receive:</w:t>
      </w:r>
    </w:p>
    <w:p>
      <w:pPr>
        <w:spacing w:after="0" w:line="209" w:lineRule="exact"/>
        <w:rPr>
          <w:sz w:val="20"/>
          <w:szCs w:val="20"/>
          <w:color w:val="auto"/>
        </w:rPr>
      </w:pPr>
    </w:p>
    <w:p>
      <w:pPr>
        <w:ind w:left="2560" w:hanging="306"/>
        <w:spacing w:after="0"/>
        <w:tabs>
          <w:tab w:leader="none" w:pos="25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salary and commissions earned through the date of the Participant’s Separation from Service;</w:t>
      </w:r>
    </w:p>
    <w:p>
      <w:pPr>
        <w:spacing w:after="0" w:line="205"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within ten (10) business days of submission of proper expense reports of all expenses reasonably and necessarily incurred by the Participant in connection with the business of the Company Group and in accordance with Company Group policies prior to Participant’s Separation from Service.</w:t>
      </w:r>
    </w:p>
    <w:p>
      <w:pPr>
        <w:spacing w:after="0" w:line="168" w:lineRule="exact"/>
        <w:rPr>
          <w:sz w:val="20"/>
          <w:szCs w:val="20"/>
          <w:color w:val="auto"/>
        </w:rPr>
      </w:pPr>
    </w:p>
    <w:p>
      <w:pPr>
        <w:jc w:val="both"/>
        <w:ind w:firstLine="1498"/>
        <w:spacing w:after="0" w:line="237"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Provided that Participant executes the Release prior to the applicable Release Deadline and such Release then becomes effective and irrevocable in accordance with its terms, and subject to Participant’s compliance with the restrictive covenants set forth in Section 9 herein, and any Employee Inventions and Proprietary Information Agreement or other written agreement between an entity or entities in the Company Group and a Participant relating to the Company’s and/or Company Group’s property, intellectual or otherwise, the Participant shall be entitled to receive the following severance payments and benefits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2254"/>
        <w:spacing w:after="0" w:line="246" w:lineRule="auto"/>
        <w:tabs>
          <w:tab w:leader="none" w:pos="254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 Payment</w:t>
      </w:r>
      <w:r>
        <w:rPr>
          <w:rFonts w:ascii="Times New Roman" w:cs="Times New Roman" w:eastAsia="Times New Roman" w:hAnsi="Times New Roman"/>
          <w:sz w:val="22"/>
          <w:szCs w:val="22"/>
          <w:color w:val="auto"/>
        </w:rPr>
        <w:t>. The Company shall pay the Participant an amount equal to the Severance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Amount, payable in substantially equal installments in accordance with the Company’s regular payroll practices during the period beginning on such Separation from Service and ending at the end of the applicable Severance Period.</w:t>
      </w:r>
    </w:p>
    <w:p>
      <w:pPr>
        <w:spacing w:after="0" w:line="165" w:lineRule="exact"/>
        <w:rPr>
          <w:rFonts w:ascii="Times New Roman" w:cs="Times New Roman" w:eastAsia="Times New Roman" w:hAnsi="Times New Roman"/>
          <w:sz w:val="22"/>
          <w:szCs w:val="22"/>
          <w:color w:val="auto"/>
        </w:rPr>
      </w:pPr>
    </w:p>
    <w:p>
      <w:pPr>
        <w:jc w:val="both"/>
        <w:ind w:firstLine="2254"/>
        <w:spacing w:after="0" w:line="233" w:lineRule="auto"/>
        <w:tabs>
          <w:tab w:leader="none" w:pos="254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COBRA Premiums</w:t>
      </w:r>
      <w:r>
        <w:rPr>
          <w:rFonts w:ascii="Times New Roman" w:cs="Times New Roman" w:eastAsia="Times New Roman" w:hAnsi="Times New Roman"/>
          <w:sz w:val="22"/>
          <w:szCs w:val="22"/>
          <w:color w:val="auto"/>
        </w:rPr>
        <w:t>. Subject to the requirements of the Code, if the Participant properly elects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healthcare continuation coverage under the Company’s group health insurance plans pursuant to COBRA, to the extent that the Participant is eligible to do so, then the Company shall directly pay or, at its election, reimburse the Participant for COBRA premiums for the Participant and the Participant’s covered dependents (in an amount determined based on the same benefit levels as would have applied if the Participant’s employment had not been terminated based on the Participant’s elections in effect on the Separation from Service) for the COBRA Continuation Period.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COBRA Continuation Period (or the remaining portion thereof).</w:t>
      </w:r>
    </w:p>
    <w:p>
      <w:pPr>
        <w:spacing w:after="0" w:line="181" w:lineRule="exact"/>
        <w:rPr>
          <w:rFonts w:ascii="Times New Roman" w:cs="Times New Roman" w:eastAsia="Times New Roman" w:hAnsi="Times New Roman"/>
          <w:sz w:val="22"/>
          <w:szCs w:val="22"/>
          <w:color w:val="auto"/>
        </w:rPr>
      </w:pPr>
    </w:p>
    <w:p>
      <w:pPr>
        <w:ind w:firstLine="2254"/>
        <w:spacing w:after="0" w:line="261" w:lineRule="auto"/>
        <w:tabs>
          <w:tab w:leader="none" w:pos="2546"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Acceleration</w:t>
      </w:r>
      <w:r>
        <w:rPr>
          <w:rFonts w:ascii="Times New Roman" w:cs="Times New Roman" w:eastAsia="Times New Roman" w:hAnsi="Times New Roman"/>
          <w:sz w:val="22"/>
          <w:szCs w:val="22"/>
          <w:color w:val="auto"/>
        </w:rPr>
        <w:t>. Accelerated vesting of outstanding equity to the extent provided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agreement between Participant and the Company Group.</w:t>
      </w:r>
    </w:p>
    <w:p>
      <w:pPr>
        <w:spacing w:after="0" w:line="150"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pon a change in control</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the event of a Participant’s Termination Upon a Change in Control, the Participant shall be entitled to receive the compensation and benefits described in this Section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943610</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34" w:name="page135"/>
    <w:bookmarkEnd w:id="134"/>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0"/>
          <w:szCs w:val="20"/>
          <w:b w:val="1"/>
          <w:bCs w:val="1"/>
          <w:color w:val="auto"/>
        </w:rPr>
        <w:t>Accrued Obligations</w:t>
      </w:r>
      <w:r>
        <w:rPr>
          <w:rFonts w:ascii="Times New Roman" w:cs="Times New Roman" w:eastAsia="Times New Roman" w:hAnsi="Times New Roman"/>
          <w:sz w:val="20"/>
          <w:szCs w:val="20"/>
          <w:color w:val="auto"/>
        </w:rPr>
        <w:t>. The Participant shall be entitled to receive:</w:t>
      </w:r>
    </w:p>
    <w:p>
      <w:pPr>
        <w:spacing w:after="0" w:line="209" w:lineRule="exact"/>
        <w:rPr>
          <w:sz w:val="20"/>
          <w:szCs w:val="20"/>
          <w:color w:val="auto"/>
        </w:rPr>
      </w:pPr>
    </w:p>
    <w:p>
      <w:pPr>
        <w:ind w:left="2560" w:hanging="306"/>
        <w:spacing w:after="0"/>
        <w:tabs>
          <w:tab w:leader="none" w:pos="256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salary and commissions earned through the date of the Participant’s Separation from Service;</w:t>
      </w:r>
    </w:p>
    <w:p>
      <w:pPr>
        <w:spacing w:after="0" w:line="205"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within ten (10) business days of submission of proper expense reports of all expenses reasonably and necessarily incurred by the Participant in connection with the business of the Company Group and in accordance with Company Group policies prior to Participant’s Separation from Service.</w:t>
      </w:r>
    </w:p>
    <w:p>
      <w:pPr>
        <w:spacing w:after="0" w:line="168" w:lineRule="exact"/>
        <w:rPr>
          <w:sz w:val="20"/>
          <w:szCs w:val="20"/>
          <w:color w:val="auto"/>
        </w:rPr>
      </w:pPr>
    </w:p>
    <w:p>
      <w:pPr>
        <w:jc w:val="both"/>
        <w:ind w:firstLine="1498"/>
        <w:spacing w:after="0" w:line="237"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Provided that Participant executes the Release prior to the applicable Release Deadline and such Release then becomes effective and irrevocable in accordance with its terms, and subject to Participant’s compliance with the restrictive covenants set forth in Section 9 herein, and any Employee Inventions and Proprietary Information Agreement or other written agreement between an entity or entities in the Company Group and a Participant relating to the Company’s and/or Company Group’s property, intellectual or otherwise, the Participant shall be entitled to receive the following severance payments and benefits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2254"/>
        <w:spacing w:after="0" w:line="238" w:lineRule="auto"/>
        <w:tabs>
          <w:tab w:leader="none" w:pos="254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Severance Payment</w:t>
      </w:r>
      <w:r>
        <w:rPr>
          <w:rFonts w:ascii="Times New Roman" w:cs="Times New Roman" w:eastAsia="Times New Roman" w:hAnsi="Times New Roman"/>
          <w:sz w:val="22"/>
          <w:szCs w:val="22"/>
          <w:color w:val="auto"/>
        </w:rPr>
        <w:t>. On the first Payroll Date on or following the date the Release becomes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effective and irrevocable, and, in any event, within sixty (60) days after the date of the Participant’s Separation from Service, the Company shall pay to the Participant in a lump sum cash payment an amount equal to (i) in the case of any Participant other than the Company’s Chief Executive Officer the product of (x) the Participant’s Base Salary Rate multiplied by (y) the Participant’s CIC Severance Multiplier; and (ii) in the case of the Company’s Chief Executive Officer, the Severance Amount.</w:t>
      </w:r>
    </w:p>
    <w:p>
      <w:pPr>
        <w:spacing w:after="0" w:line="174" w:lineRule="exact"/>
        <w:rPr>
          <w:rFonts w:ascii="Times New Roman" w:cs="Times New Roman" w:eastAsia="Times New Roman" w:hAnsi="Times New Roman"/>
          <w:sz w:val="22"/>
          <w:szCs w:val="22"/>
          <w:color w:val="auto"/>
        </w:rPr>
      </w:pPr>
    </w:p>
    <w:p>
      <w:pPr>
        <w:jc w:val="both"/>
        <w:ind w:firstLine="2254"/>
        <w:spacing w:after="0" w:line="236" w:lineRule="auto"/>
        <w:tabs>
          <w:tab w:leader="none" w:pos="254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Prorated Bonus</w:t>
      </w:r>
      <w:r>
        <w:rPr>
          <w:rFonts w:ascii="Times New Roman" w:cs="Times New Roman" w:eastAsia="Times New Roman" w:hAnsi="Times New Roman"/>
          <w:sz w:val="22"/>
          <w:szCs w:val="22"/>
          <w:color w:val="auto"/>
        </w:rPr>
        <w:t>. In the case of any Particpant other than the Company’s Chief Executive Officer,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prorated annual bonus for the Company’s fiscal year in which the Participant’s Separation from Service occurs, calculated assuming achievement of any applicable company performance goals or objectives at the greater of actual or 100% and any applicable individual performance goals or objectives at 100%, but prorated based on the number of days the Participant was employed by the Company during such fiscal year, and shall be paid in a single lump-sum payment on the date on which annual bonuses are paid to the Company’s senior executives generally for such year, but in no event later than March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calendar year immediately following the calendar year in which such Separation from Service occurs.</w:t>
      </w:r>
    </w:p>
    <w:p>
      <w:pPr>
        <w:spacing w:after="0" w:line="173" w:lineRule="exact"/>
        <w:rPr>
          <w:rFonts w:ascii="Times New Roman" w:cs="Times New Roman" w:eastAsia="Times New Roman" w:hAnsi="Times New Roman"/>
          <w:sz w:val="22"/>
          <w:szCs w:val="22"/>
          <w:color w:val="auto"/>
        </w:rPr>
      </w:pPr>
    </w:p>
    <w:p>
      <w:pPr>
        <w:jc w:val="both"/>
        <w:ind w:firstLine="2254"/>
        <w:spacing w:after="0" w:line="234" w:lineRule="auto"/>
        <w:tabs>
          <w:tab w:leader="none" w:pos="254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COBRA Premiums</w:t>
      </w:r>
      <w:r>
        <w:rPr>
          <w:rFonts w:ascii="Times New Roman" w:cs="Times New Roman" w:eastAsia="Times New Roman" w:hAnsi="Times New Roman"/>
          <w:sz w:val="22"/>
          <w:szCs w:val="22"/>
          <w:color w:val="auto"/>
        </w:rPr>
        <w:t>. Subject to the requirements of the Code, if the Participant properly elects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healthcare continuation coverage under the Company’s group health insurance plans pursuant to COBRA, to the extent that the Participant is eligible to do so, then the Company shall directly pay or, at its election, reimburse the Participant for COBRA premiums for the Participant and the Participant’s covered dependents (in an amount determined based on the same benefit levels as would have applied if the Participant’s employment had not been terminated based on the Participant’s elections in effect on the Separation from Service) for the COBRA Continuation Period.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958215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35" w:name="page136"/>
    <w:bookmarkEnd w:id="135"/>
    <w:p>
      <w:pPr>
        <w:jc w:val="both"/>
        <w:spacing w:after="0" w:line="244" w:lineRule="auto"/>
        <w:rPr>
          <w:sz w:val="20"/>
          <w:szCs w:val="20"/>
          <w:color w:val="auto"/>
        </w:rPr>
      </w:pPr>
      <w:r>
        <w:rPr>
          <w:rFonts w:ascii="Times New Roman" w:cs="Times New Roman" w:eastAsia="Times New Roman" w:hAnsi="Times New Roman"/>
          <w:sz w:val="22"/>
          <w:szCs w:val="22"/>
          <w:color w:val="auto"/>
        </w:rPr>
        <w:t>the Public Health Service Act), then, in either case, an amount equal to each remaining Company reimbursement shall thereafter be paid to the Participant in substantially equal monthly installments over the COBRA Continuation Period (or the remaining portion thereof).</w:t>
      </w:r>
    </w:p>
    <w:p>
      <w:pPr>
        <w:spacing w:after="0" w:line="168" w:lineRule="exact"/>
        <w:rPr>
          <w:sz w:val="20"/>
          <w:szCs w:val="20"/>
          <w:color w:val="auto"/>
        </w:rPr>
      </w:pPr>
    </w:p>
    <w:p>
      <w:pPr>
        <w:jc w:val="both"/>
        <w:ind w:firstLine="2254"/>
        <w:spacing w:after="0" w:line="237" w:lineRule="auto"/>
        <w:tabs>
          <w:tab w:leader="none" w:pos="2546"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Equity Acceleration</w:t>
      </w:r>
      <w:r>
        <w:rPr>
          <w:rFonts w:ascii="Times New Roman" w:cs="Times New Roman" w:eastAsia="Times New Roman" w:hAnsi="Times New Roman"/>
          <w:sz w:val="22"/>
          <w:szCs w:val="22"/>
          <w:color w:val="auto"/>
        </w:rPr>
        <w:t>. Accelerated vesting of outstanding equity to the extent provided in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written agreement between Participant and the Company Group, and without limiting the foregoing, all outstanding equity awards held by a Participant on the date of a Separation from Service that constitutes a Termination Upon a Change in Control will immediately become fully vested and, as applicable, exercisable as of the date of such Termination Upon a Change in Control and, with respect to performance-vesting awards, such vesting shall be calculated assuming achievement of any applicable performance goals or objectives at the greater of actual performance or 100%.</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pon death or disability</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the event of a Participant’s Separation from Service due to death or Disability, the Participant shall be entitled to receive the compensation and benefits described in this Section 6.</w:t>
      </w:r>
    </w:p>
    <w:p>
      <w:pPr>
        <w:spacing w:after="0" w:line="153"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20"/>
          <w:szCs w:val="20"/>
          <w:b w:val="1"/>
          <w:bCs w:val="1"/>
          <w:color w:val="auto"/>
        </w:rPr>
        <w:t>Accrued Obligations</w:t>
      </w:r>
      <w:r>
        <w:rPr>
          <w:rFonts w:ascii="Times New Roman" w:cs="Times New Roman" w:eastAsia="Times New Roman" w:hAnsi="Times New Roman"/>
          <w:sz w:val="20"/>
          <w:szCs w:val="20"/>
          <w:color w:val="auto"/>
        </w:rPr>
        <w:t>. The Participant shall be entitled to receive:</w:t>
      </w:r>
    </w:p>
    <w:p>
      <w:pPr>
        <w:spacing w:after="0" w:line="209" w:lineRule="exact"/>
        <w:rPr>
          <w:sz w:val="20"/>
          <w:szCs w:val="20"/>
          <w:color w:val="auto"/>
        </w:rPr>
      </w:pPr>
    </w:p>
    <w:p>
      <w:pPr>
        <w:ind w:left="2560" w:hanging="306"/>
        <w:spacing w:after="0"/>
        <w:tabs>
          <w:tab w:leader="none" w:pos="25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salary and commissions earned through the date of the Participant’s Separation from Service;</w:t>
      </w:r>
    </w:p>
    <w:p>
      <w:pPr>
        <w:spacing w:after="0" w:line="205"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reimbursement within ten (10) business days of submission of proper expense reports of all expenses reasonably and necessarily incurred by the Participant in connection with the business of the Company Group and in accordance with Company Group policies prior to Participant’s Separation from Service.</w:t>
      </w:r>
    </w:p>
    <w:p>
      <w:pPr>
        <w:spacing w:after="0" w:line="168" w:lineRule="exact"/>
        <w:rPr>
          <w:sz w:val="20"/>
          <w:szCs w:val="20"/>
          <w:color w:val="auto"/>
        </w:rPr>
      </w:pPr>
    </w:p>
    <w:p>
      <w:pPr>
        <w:jc w:val="both"/>
        <w:ind w:firstLine="1498"/>
        <w:spacing w:after="0" w:line="233"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b w:val="1"/>
          <w:bCs w:val="1"/>
          <w:color w:val="auto"/>
        </w:rPr>
        <w:t>COBRA Premiums</w:t>
      </w:r>
      <w:r>
        <w:rPr>
          <w:rFonts w:ascii="Times New Roman" w:cs="Times New Roman" w:eastAsia="Times New Roman" w:hAnsi="Times New Roman"/>
          <w:sz w:val="22"/>
          <w:szCs w:val="22"/>
          <w:color w:val="auto"/>
        </w:rPr>
        <w:t>. Subject to the requirements of the Code, if the Participant properly elects healthcare continuation coverage under the Company’s group health insurance plans pursuant to COBRA, to the extent that the Participant is eligible to do so, then the Company shall directly pay or, at its election, reimburse the Participant for COBRA premiums for the Participant and the Participant’s covered dependents (in an amount determined based on the same benefit levels as would have applied if the Participant’s employment had not been terminated based on the Participant’s elections in effect on the Separation from Service) for the COBRA Continuation Period. Notwithstanding the foregoing, (i) if any plan pursuant to which such benefits are provided is not, or ceases prior to the expiration of the period of continuation coverage to be, exempt from the application of Code Section 409A under Treasury Regulation Section 1.409A-1(a)(5), or (ii) the Company is otherwise unable to continue to cover the Participant under its group health plans without penalty under applicable law (including without limitation, Section 2716 of the Public Health Service Act), then, in either case, an amount equal to each remaining Company reimbursement shall thereafter be paid to the Participant in substantially equal monthly installments over the COBRA Continuation Period (or the remaining portion thereof).</w:t>
      </w:r>
    </w:p>
    <w:p>
      <w:pPr>
        <w:spacing w:after="0" w:line="181"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b w:val="1"/>
          <w:bCs w:val="1"/>
          <w:color w:val="auto"/>
        </w:rPr>
        <w:t>Equity Acceleration</w:t>
      </w:r>
      <w:r>
        <w:rPr>
          <w:rFonts w:ascii="Times New Roman" w:cs="Times New Roman" w:eastAsia="Times New Roman" w:hAnsi="Times New Roman"/>
          <w:sz w:val="22"/>
          <w:szCs w:val="22"/>
          <w:color w:val="auto"/>
        </w:rPr>
        <w:t>. All outstanding Equity Awards that vest based solely on the passage of time that are held by Participant on the date of Participant’s Separation from Service shall immediately become fully vested and, as applicable,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951865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136" w:name="page137"/>
    <w:bookmarkEnd w:id="136"/>
    <w:p>
      <w:pPr>
        <w:ind w:left="1020" w:hanging="263"/>
        <w:spacing w:after="0"/>
        <w:tabs>
          <w:tab w:leader="none" w:pos="10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F</w:t>
      </w:r>
      <w:r>
        <w:rPr>
          <w:rFonts w:ascii="Times New Roman" w:cs="Times New Roman" w:eastAsia="Times New Roman" w:hAnsi="Times New Roman"/>
          <w:sz w:val="14"/>
          <w:szCs w:val="14"/>
          <w:b w:val="1"/>
          <w:bCs w:val="1"/>
          <w:color w:val="auto"/>
        </w:rPr>
        <w:t>ederal</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xcise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22"/>
          <w:szCs w:val="22"/>
          <w:b w:val="1"/>
          <w:bCs w:val="1"/>
          <w:color w:val="auto"/>
        </w:rPr>
        <w:t xml:space="preserve"> U</w:t>
      </w:r>
      <w:r>
        <w:rPr>
          <w:rFonts w:ascii="Times New Roman" w:cs="Times New Roman" w:eastAsia="Times New Roman" w:hAnsi="Times New Roman"/>
          <w:sz w:val="14"/>
          <w:szCs w:val="14"/>
          <w:b w:val="1"/>
          <w:bCs w:val="1"/>
          <w:color w:val="auto"/>
        </w:rPr>
        <w:t>nder</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b w:val="1"/>
          <w:bCs w:val="1"/>
          <w:color w:val="auto"/>
        </w:rPr>
        <w:t xml:space="preserve"> 4999 </w:t>
      </w:r>
      <w:r>
        <w:rPr>
          <w:rFonts w:ascii="Times New Roman" w:cs="Times New Roman" w:eastAsia="Times New Roman" w:hAnsi="Times New Roman"/>
          <w:sz w:val="14"/>
          <w:szCs w:val="14"/>
          <w:b w:val="1"/>
          <w:bCs w:val="1"/>
          <w:color w:val="auto"/>
        </w:rPr>
        <w:t>of the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ode</w:t>
      </w:r>
    </w:p>
    <w:p>
      <w:pPr>
        <w:spacing w:after="0" w:line="205" w:lineRule="exact"/>
        <w:rPr>
          <w:sz w:val="20"/>
          <w:szCs w:val="20"/>
          <w:color w:val="auto"/>
        </w:rPr>
      </w:pPr>
    </w:p>
    <w:p>
      <w:pPr>
        <w:jc w:val="both"/>
        <w:ind w:firstLine="1498"/>
        <w:spacing w:after="0" w:line="237"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b w:val="1"/>
          <w:bCs w:val="1"/>
          <w:color w:val="auto"/>
        </w:rPr>
        <w:t>Excess Parachute Payment</w:t>
      </w:r>
      <w:r>
        <w:rPr>
          <w:rFonts w:ascii="Times New Roman" w:cs="Times New Roman" w:eastAsia="Times New Roman" w:hAnsi="Times New Roman"/>
          <w:sz w:val="22"/>
          <w:szCs w:val="22"/>
          <w:color w:val="auto"/>
        </w:rPr>
        <w:t xml:space="preserve">. In the event that any payment or benefit received or to be received by the Participant pursuant to this Plan or otherwise (collectively,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Payments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would subject the Participant to any excise tax pursuant to Section 4999 of the Code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due to the characterization of such Payments as an excess parachute payment under Section 280G of the Code, then, notwithstanding the other provisions of this Plan, the amount of such Payments will not exceed the amount which produces the greatest after-tax benefit to the Participant. For purposes of this Section 7.1, if Payments must be reduced, then such reductions shall come first from the cash severance otherwise payable to the Participant.</w:t>
      </w:r>
    </w:p>
    <w:p>
      <w:pPr>
        <w:spacing w:after="0" w:line="171" w:lineRule="exact"/>
        <w:rPr>
          <w:sz w:val="20"/>
          <w:szCs w:val="20"/>
          <w:color w:val="auto"/>
        </w:rPr>
      </w:pPr>
    </w:p>
    <w:p>
      <w:pPr>
        <w:jc w:val="both"/>
        <w:ind w:firstLine="1498"/>
        <w:spacing w:after="0" w:line="233"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b w:val="1"/>
          <w:bCs w:val="1"/>
          <w:color w:val="auto"/>
        </w:rPr>
        <w:t>Determination by Accounting Firm</w:t>
      </w:r>
      <w:r>
        <w:rPr>
          <w:rFonts w:ascii="Times New Roman" w:cs="Times New Roman" w:eastAsia="Times New Roman" w:hAnsi="Times New Roman"/>
          <w:sz w:val="22"/>
          <w:szCs w:val="22"/>
          <w:color w:val="auto"/>
        </w:rPr>
        <w:t xml:space="preserve">. Upon the occurrence of any event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Event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that would give rise to any Payments pursuant to this Plan, the Company shall promptly request a determination in writing to be made within thirty (30) days of the date of the Event by a nationally recognized independent public accounting firm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Accounting Firm</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selected by the Company of the amount and type of such Payments which would produce the greatest after-tax benefit to the Participant. For the purposes of such determination, the Accounting Firm may rely on reasonable, good faith interpretations concerning the application of Sections 280G and 4999 of the Code. The Company and the Participant shall furnish to the Accounting Firm such information and documents as the Accounting Firm may reasonably request in order to make their required determination. The Company shall bear all fees and expenses the Accounting Firm may reasonably charge in connection with their services contemplated by this Section. In the event that the report of the Accounting Firm is not received within thirty (30) days following the Participant’s Termination Upon Change in Control, the Company shall pay to the Participant the cash severance benefits required by Section 5.2 above (subject to any reduction necessary to produce the greatest after-tax benefit to the Participant) within ten (10) days of the later of the date of the Accounting Firm’s report of their determination or the payment date determined in accordance with Section 5.2 above.</w:t>
      </w:r>
    </w:p>
    <w:p>
      <w:pPr>
        <w:spacing w:after="0" w:line="180" w:lineRule="exact"/>
        <w:rPr>
          <w:sz w:val="20"/>
          <w:szCs w:val="20"/>
          <w:color w:val="auto"/>
        </w:rPr>
      </w:pPr>
    </w:p>
    <w:p>
      <w:pPr>
        <w:jc w:val="both"/>
        <w:ind w:firstLine="757"/>
        <w:spacing w:after="0" w:line="233" w:lineRule="auto"/>
        <w:tabs>
          <w:tab w:leader="none" w:pos="101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ntire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22"/>
          <w:szCs w:val="22"/>
          <w:b w:val="1"/>
          <w:bCs w:val="1"/>
          <w:color w:val="auto"/>
        </w:rPr>
        <w:t>; R</w:t>
      </w:r>
      <w:r>
        <w:rPr>
          <w:rFonts w:ascii="Times New Roman" w:cs="Times New Roman" w:eastAsia="Times New Roman" w:hAnsi="Times New Roman"/>
          <w:sz w:val="14"/>
          <w:szCs w:val="14"/>
          <w:b w:val="1"/>
          <w:bCs w:val="1"/>
          <w:color w:val="auto"/>
        </w:rPr>
        <w:t>elation to</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22"/>
          <w:szCs w:val="22"/>
          <w:color w:val="auto"/>
        </w:rPr>
        <w:t>. Except as otherwise set forth herein (including, for the avoidance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doubt, Sections 4.2(c) and 5.2(d)) or otherwise agreed to in writing between the Company Group and a Participant (including for the avoidance of doubt any Employee Inventions and Proprietary Information Agreement or other written agreement between an entity or entities in the Company Group and a Participant relating to the Company’s and/or Company Group’s property, intellectual or otherwise, which, notwithstanding this Agreement, shall continue in effect to the full extent provided thereby, provided that to extent of any conflict between any such agreement and this Plan, this Plan shall control), (a) this Plan contains the entire understanding of the parties relating to the subject matter hereof and supersedes any prior agreement, arrangement and understanding between any Participant and the Company Group, with respect to the subject matter hereof and (b) participating in this Plan and accepting the Severance Benefits hereunder, the Participant acknowledges and agrees that any prior agreement, arrangement and understanding between any Participant, on the one hand, and the Company Group, on the other hand, with respect to the subject matter hereof is hereby revoked and ineffective with respect to the Participant (including with respect to any severance arrangement contained in an effective employment agreement, employment letter agreement and/or change of control addendum by and between the Participant and the Company Group), except as otherwise agreed herein, including, for the avoidance of doubt, Sections 4.2(c) and 5.2(d).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957580</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37" w:name="page138"/>
    <w:bookmarkEnd w:id="137"/>
    <w:p>
      <w:pPr>
        <w:ind w:left="1020" w:hanging="263"/>
        <w:spacing w:after="0"/>
        <w:tabs>
          <w:tab w:leader="none" w:pos="10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onfidential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14"/>
          <w:szCs w:val="14"/>
          <w:b w:val="1"/>
          <w:bCs w:val="1"/>
          <w:color w:val="auto"/>
        </w:rPr>
        <w:t>non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competition and</w:t>
      </w:r>
      <w:r>
        <w:rPr>
          <w:rFonts w:ascii="Times New Roman" w:cs="Times New Roman" w:eastAsia="Times New Roman" w:hAnsi="Times New Roman"/>
          <w:sz w:val="22"/>
          <w:szCs w:val="22"/>
          <w:b w:val="1"/>
          <w:bCs w:val="1"/>
          <w:color w:val="auto"/>
        </w:rPr>
        <w:t xml:space="preserve">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14"/>
          <w:szCs w:val="14"/>
          <w:b w:val="1"/>
          <w:bCs w:val="1"/>
          <w:color w:val="auto"/>
        </w:rPr>
        <w:t>solicitation</w:t>
      </w:r>
    </w:p>
    <w:p>
      <w:pPr>
        <w:spacing w:after="0" w:line="209"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9.1 The Participant shall hold in a fiduciary capacity for the benefit of the Company Group all secret or confidential information, knowledge or data relating to the Company Group, which shall have been obtained by the Participant in connection with the Participant’s employment by the Company Group and which shall not be or become public knowledge (other than by acts by the Participant or representatives of the Participant in violation of this Plan). After termination of the Participant’s employment with the Company Group, the Participant shall not, without the prior written consent of the Company Group or as may otherwise be required by law or legal process, communicate or divulge any such information, knowledge or data, to anyone other than the Company Group and those designated by it; provided, however, that if the Participant receives actual notice that the Participant is or may be required by law or legal process to communicate or divulge any such information, knowledge or data, the Participant shall promptly so notify the Company Group.</w:t>
      </w:r>
    </w:p>
    <w:p>
      <w:pPr>
        <w:spacing w:after="0" w:line="180" w:lineRule="exact"/>
        <w:rPr>
          <w:sz w:val="20"/>
          <w:szCs w:val="20"/>
          <w:color w:val="auto"/>
        </w:rPr>
      </w:pPr>
    </w:p>
    <w:p>
      <w:pPr>
        <w:jc w:val="both"/>
        <w:ind w:firstLine="1498"/>
        <w:spacing w:after="0" w:line="257" w:lineRule="auto"/>
        <w:rPr>
          <w:sz w:val="20"/>
          <w:szCs w:val="20"/>
          <w:color w:val="auto"/>
        </w:rPr>
      </w:pPr>
      <w:r>
        <w:rPr>
          <w:rFonts w:ascii="Times New Roman" w:cs="Times New Roman" w:eastAsia="Times New Roman" w:hAnsi="Times New Roman"/>
          <w:sz w:val="20"/>
          <w:szCs w:val="20"/>
          <w:color w:val="auto"/>
        </w:rPr>
        <w:t>9.2 While employed by the Company Group and during the Restricted Period following a Separation from Service, the Participant shall not, at any time, directly or indirectly engage in, have any interest in (including, without limitation, through the investment of capital or lending of money or property), or manage, operate or otherwise render any services to, any person or entity (whether on his own or in association with others, as a principal, director, officer, employee, agent, representative, partner, member, security holder, consultant, advisor, independent contractor, owner, investor, participant or in any other capacity) that engages in (either directly or through any subsidiary or affiliate thereof) the business of buying, selling, reconditioning, pricing or financing motor vehicles (including, for the avoidance of doubt, direct or indirect sub-prime automotive lending to consumers) in an online and/or ecommerce setting or any other business which competes with a business constituting at least 5% of the Company Group’s revenues as of the Participant’s Separation from Service, or that manages, operates or otherwise renders any services in connection with, such business (whether on his own or in association with others, as a principal, director, officer, employee, agent, representative, partner, member, security holder, consultant, advisor, independent contractor, owner, investor, participant or in any other capacity) (“</w:t>
      </w:r>
      <w:r>
        <w:rPr>
          <w:rFonts w:ascii="Times New Roman" w:cs="Times New Roman" w:eastAsia="Times New Roman" w:hAnsi="Times New Roman"/>
          <w:sz w:val="20"/>
          <w:szCs w:val="20"/>
          <w:b w:val="1"/>
          <w:bCs w:val="1"/>
          <w:i w:val="1"/>
          <w:iCs w:val="1"/>
          <w:color w:val="auto"/>
        </w:rPr>
        <w:t>Competing Business</w:t>
      </w:r>
      <w:r>
        <w:rPr>
          <w:rFonts w:ascii="Times New Roman" w:cs="Times New Roman" w:eastAsia="Times New Roman" w:hAnsi="Times New Roman"/>
          <w:sz w:val="20"/>
          <w:szCs w:val="20"/>
          <w:color w:val="auto"/>
        </w:rPr>
        <w:t>”). Notwithstanding the foregoing, the Participant shall be permitted to acquire a passive stock or equity interest in such a person or entity; provided that such stock or other equity interest acquired is less than five percent (5%) of the outstanding interest in such person or entity.</w:t>
      </w:r>
    </w:p>
    <w:p>
      <w:pPr>
        <w:spacing w:after="0" w:line="200" w:lineRule="exact"/>
        <w:rPr>
          <w:sz w:val="20"/>
          <w:szCs w:val="20"/>
          <w:color w:val="auto"/>
        </w:rPr>
      </w:pPr>
    </w:p>
    <w:p>
      <w:pPr>
        <w:spacing w:after="0" w:line="212"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9.3 While employed by the Company Group and during the Restricted Period following a Separation from Service, the Participant shall not directly or indirectly solicit, induce, or encourage any employee or consultant of any member of the Company Group to terminate their employment or other relationship with the Company Group or to cease to render services to any member of the Company Group and the Participant shall not initiate discussion with any such person for any such purpose or authorize or knowingly cooperate with the taking of any such actions by any other individual or entity. During Participant’s employment with the Company and during the Restricted Period following a Separation from Service, the Participant shall not solicit, induce, or encourage any customer, client, vendor, or other party doing business with any member of the Company Group to terminate its relationship therewith or transfer its business from any member of the Company Group and the Participant shall not initiate discussion with any such person for any such purpose or authorize or knowingly cooperate with the taking of any such actions by any other individual 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955675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38" w:name="page139"/>
    <w:bookmarkEnd w:id="138"/>
    <w:p>
      <w:pPr>
        <w:jc w:val="both"/>
        <w:ind w:firstLine="1498"/>
        <w:spacing w:after="0" w:line="235" w:lineRule="auto"/>
        <w:rPr>
          <w:sz w:val="20"/>
          <w:szCs w:val="20"/>
          <w:color w:val="auto"/>
        </w:rPr>
      </w:pPr>
      <w:r>
        <w:rPr>
          <w:rFonts w:ascii="Times New Roman" w:cs="Times New Roman" w:eastAsia="Times New Roman" w:hAnsi="Times New Roman"/>
          <w:sz w:val="22"/>
          <w:szCs w:val="22"/>
          <w:color w:val="auto"/>
        </w:rPr>
        <w:t>9.4 In recognition of the fact that irreparable injury will result to the Company Group in the event of a breach by the Participant or Participant’s obligations under Sections 9.1, 9.2 and 9.3 hereof, that monetary damages for such breach would not be readily calculable, and that the Company Group would not have an adequate remedy at law therefor, the Participant acknowledges, consents and agrees that in the event of such breach, or the threat thereof, the Company Group shall be entitled, in addition to any other legal remedies and damages available, to specific performance thereof and to temporary and permanent injunctive relief (without the necessity of posting a bond) to restrain the violation or threatened violation of such obligations by the Participant.</w:t>
      </w:r>
    </w:p>
    <w:p>
      <w:pPr>
        <w:spacing w:after="0" w:line="181"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9.5 Notwithstanding the foregoing, to the extent any Participant is subject to the Attorneys’ Rules of Professional Conduct of any state or other jurisdiction, nothing in this Section 9 shall be interpreted to restrict such a Participant from engaging in the authorized practice of law, provided that such engagement does not also require Participate to serve in whole or in part in a business, non-legal role with a Competing Business.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14"/>
          <w:szCs w:val="14"/>
          <w:b w:val="1"/>
          <w:bCs w:val="1"/>
          <w:color w:val="auto"/>
        </w:rPr>
        <w:t>administration</w:t>
      </w:r>
    </w:p>
    <w:p>
      <w:pPr>
        <w:spacing w:after="0" w:line="199"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10.1 This Plan is administered by the Company (the “</w:t>
      </w:r>
      <w:r>
        <w:rPr>
          <w:rFonts w:ascii="Times New Roman" w:cs="Times New Roman" w:eastAsia="Times New Roman" w:hAnsi="Times New Roman"/>
          <w:sz w:val="22"/>
          <w:szCs w:val="22"/>
          <w:b w:val="1"/>
          <w:bCs w:val="1"/>
          <w:i w:val="1"/>
          <w:iCs w:val="1"/>
          <w:color w:val="auto"/>
        </w:rPr>
        <w:t>Administrator</w:t>
      </w:r>
      <w:r>
        <w:rPr>
          <w:rFonts w:ascii="Times New Roman" w:cs="Times New Roman" w:eastAsia="Times New Roman" w:hAnsi="Times New Roman"/>
          <w:sz w:val="22"/>
          <w:szCs w:val="22"/>
          <w:color w:val="auto"/>
        </w:rPr>
        <w:t>”). The Administrator, from time to time, may also appoint such individuals to act as the Administrator’s representatives as the Administrator considers necessary or desirable for the effective administration of the Plan.</w:t>
      </w:r>
    </w:p>
    <w:p>
      <w:pPr>
        <w:spacing w:after="0" w:line="172"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22"/>
          <w:szCs w:val="22"/>
          <w:color w:val="auto"/>
        </w:rPr>
        <w:t>10.2 The Administrator, from time to time, may adopt such rules and regulations as may be necessary or desirable for the proper and efficient administration of the Plan and as are consistent with the terms of the Plan.</w:t>
      </w:r>
    </w:p>
    <w:p>
      <w:pPr>
        <w:spacing w:after="0" w:line="157" w:lineRule="exact"/>
        <w:rPr>
          <w:sz w:val="20"/>
          <w:szCs w:val="20"/>
          <w:color w:val="auto"/>
        </w:rPr>
      </w:pPr>
    </w:p>
    <w:p>
      <w:pPr>
        <w:jc w:val="both"/>
        <w:ind w:firstLine="1498"/>
        <w:spacing w:after="0" w:line="235" w:lineRule="auto"/>
        <w:rPr>
          <w:sz w:val="20"/>
          <w:szCs w:val="20"/>
          <w:color w:val="auto"/>
        </w:rPr>
      </w:pPr>
      <w:r>
        <w:rPr>
          <w:rFonts w:ascii="Times New Roman" w:cs="Times New Roman" w:eastAsia="Times New Roman" w:hAnsi="Times New Roman"/>
          <w:sz w:val="22"/>
          <w:szCs w:val="22"/>
          <w:color w:val="auto"/>
        </w:rPr>
        <w:t>10.3 In administering the Plan, the Administrator (and its delegate) shall have the sole and absolute discretionary authority to construe and interpret the provisions of the Plan (and any related or underlying documents or policies), to interpret applicable law, and make factual determinations thereunder, including the authority to determine the eligibility of employees and the amount of benefits payable under the Plan. Any interpretation of this Plan and any decision on any matter within the discretion of the Administrator made by the Administrator in good faith is binding on all persons. If challenged in a legal proceeding, the Administrator’s interpretations and determinations will be reviewed under the most deferential abuse of discretion standard of review.</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10.4  The Administrator keeps records of this Plan and is responsible for the administration of this Plan.</w:t>
      </w:r>
    </w:p>
    <w:p>
      <w:pPr>
        <w:spacing w:after="0" w:line="205" w:lineRule="exact"/>
        <w:rPr>
          <w:sz w:val="20"/>
          <w:szCs w:val="20"/>
          <w:color w:val="auto"/>
        </w:rPr>
      </w:pPr>
    </w:p>
    <w:p>
      <w:pPr>
        <w:jc w:val="both"/>
        <w:ind w:firstLine="1498"/>
        <w:spacing w:after="0" w:line="239" w:lineRule="auto"/>
        <w:rPr>
          <w:sz w:val="20"/>
          <w:szCs w:val="20"/>
          <w:color w:val="auto"/>
        </w:rPr>
      </w:pPr>
      <w:r>
        <w:rPr>
          <w:rFonts w:ascii="Times New Roman" w:cs="Times New Roman" w:eastAsia="Times New Roman" w:hAnsi="Times New Roman"/>
          <w:sz w:val="22"/>
          <w:szCs w:val="22"/>
          <w:color w:val="auto"/>
        </w:rPr>
        <w:t>10.5 If, due to errors in drafting, any Plan provision does not accurately reflect its intended meaning, as demonstrated by consistent interpretations or other evidence of intent, or as determined by the Administrator in its sole and absolute discretion, the provision shall be considered ambiguous and shall be interpreted by the Administrator in a fashion consistent with its intent, as determined in the sole and absolute discretion of the Administrator.</w:t>
      </w:r>
    </w:p>
    <w:p>
      <w:pPr>
        <w:spacing w:after="0" w:line="179" w:lineRule="exact"/>
        <w:rPr>
          <w:sz w:val="20"/>
          <w:szCs w:val="20"/>
          <w:color w:val="auto"/>
        </w:rPr>
      </w:pPr>
    </w:p>
    <w:p>
      <w:pPr>
        <w:jc w:val="both"/>
        <w:ind w:right="20" w:firstLine="1498"/>
        <w:spacing w:after="0" w:line="258" w:lineRule="auto"/>
        <w:rPr>
          <w:sz w:val="20"/>
          <w:szCs w:val="20"/>
          <w:color w:val="auto"/>
        </w:rPr>
      </w:pPr>
      <w:r>
        <w:rPr>
          <w:rFonts w:ascii="Times New Roman" w:cs="Times New Roman" w:eastAsia="Times New Roman" w:hAnsi="Times New Roman"/>
          <w:sz w:val="22"/>
          <w:szCs w:val="22"/>
          <w:color w:val="auto"/>
        </w:rPr>
        <w:t>10.6 This Section may not be invoked by any Employee, Participant or other person to require this Plan to be interpreted in a manner inconsistent with its interpretation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943610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139" w:name="page140"/>
    <w:bookmarkEnd w:id="139"/>
    <w:p>
      <w:pPr>
        <w:ind w:left="1500"/>
        <w:spacing w:after="0"/>
        <w:rPr>
          <w:sz w:val="20"/>
          <w:szCs w:val="20"/>
          <w:color w:val="auto"/>
        </w:rPr>
      </w:pPr>
      <w:r>
        <w:rPr>
          <w:rFonts w:ascii="Times New Roman" w:cs="Times New Roman" w:eastAsia="Times New Roman" w:hAnsi="Times New Roman"/>
          <w:sz w:val="22"/>
          <w:szCs w:val="22"/>
          <w:color w:val="auto"/>
        </w:rPr>
        <w:t>10.7  The Administrator will apply uniform rules to all similarly situated Participants.</w:t>
      </w:r>
    </w:p>
    <w:p>
      <w:pPr>
        <w:spacing w:after="0" w:line="20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10.8  The Company will pay all costs of administration, except as provided with respect to disputes below.</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laims for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14"/>
          <w:szCs w:val="14"/>
          <w:b w:val="1"/>
          <w:bCs w:val="1"/>
          <w:color w:val="auto"/>
        </w:rPr>
        <w:t>enefits</w:t>
      </w:r>
    </w:p>
    <w:p>
      <w:pPr>
        <w:spacing w:after="0" w:line="205"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b w:val="1"/>
          <w:bCs w:val="1"/>
          <w:color w:val="auto"/>
        </w:rPr>
        <w:t>ERISA Plan</w:t>
      </w:r>
      <w:r>
        <w:rPr>
          <w:rFonts w:ascii="Times New Roman" w:cs="Times New Roman" w:eastAsia="Times New Roman" w:hAnsi="Times New Roman"/>
          <w:sz w:val="22"/>
          <w:szCs w:val="22"/>
          <w:color w:val="auto"/>
        </w:rPr>
        <w:t>. This Plan is intended to be (a) an employee welfare plan as defined in Section 3(1) of Employee Retirement Income Security Act of 1974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ERISA</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and (b) a “top-hat” plan maintained for the benefit of a select group of management or highly compensated employees of the Company Group. This document is intended to constitute both the Plan document and the Plan’s Summary Plan Description.</w:t>
      </w:r>
    </w:p>
    <w:p>
      <w:pPr>
        <w:spacing w:after="0" w:line="173" w:lineRule="exact"/>
        <w:rPr>
          <w:sz w:val="20"/>
          <w:szCs w:val="20"/>
          <w:color w:val="auto"/>
        </w:rPr>
      </w:pPr>
    </w:p>
    <w:p>
      <w:pPr>
        <w:jc w:val="both"/>
        <w:ind w:firstLine="1498"/>
        <w:spacing w:after="0" w:line="237"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b w:val="1"/>
          <w:bCs w:val="1"/>
          <w:color w:val="auto"/>
        </w:rPr>
        <w:t>Application for Benefits</w:t>
      </w:r>
      <w:r>
        <w:rPr>
          <w:rFonts w:ascii="Times New Roman" w:cs="Times New Roman" w:eastAsia="Times New Roman" w:hAnsi="Times New Roman"/>
          <w:sz w:val="22"/>
          <w:szCs w:val="22"/>
          <w:color w:val="auto"/>
        </w:rPr>
        <w:t>. All applications for payments and/or benefits under the Plan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Benefits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shall be submitted to the Company’s Benefits department personnel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Claims Administrator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with a copy to the Company’s General Counsel. Applications for Benefits must be in writing on forms acceptable to the Claims Administrator and must be signed by the Participant or beneficiary. The Claims Administrator reserves the right to require the Participant or beneficiary to furnish such other proof of the Participant’s expenses, including without limitation, receipts, canceled checks, bills, and invoices as may be required by the Claims Administrator.</w:t>
      </w:r>
    </w:p>
    <w:p>
      <w:pPr>
        <w:spacing w:after="0" w:line="17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20"/>
          <w:szCs w:val="20"/>
          <w:b w:val="1"/>
          <w:bCs w:val="1"/>
          <w:color w:val="auto"/>
        </w:rPr>
        <w:t>Appeal of Denial of Claim</w:t>
      </w:r>
      <w:r>
        <w:rPr>
          <w:rFonts w:ascii="Times New Roman" w:cs="Times New Roman" w:eastAsia="Times New Roman" w:hAnsi="Times New Roman"/>
          <w:sz w:val="20"/>
          <w:szCs w:val="20"/>
          <w:color w:val="auto"/>
        </w:rPr>
        <w:t>.</w:t>
      </w:r>
    </w:p>
    <w:p>
      <w:pPr>
        <w:spacing w:after="0" w:line="209" w:lineRule="exact"/>
        <w:rPr>
          <w:sz w:val="20"/>
          <w:szCs w:val="20"/>
          <w:color w:val="auto"/>
        </w:rPr>
      </w:pPr>
    </w:p>
    <w:p>
      <w:pPr>
        <w:jc w:val="both"/>
        <w:ind w:firstLine="2254"/>
        <w:spacing w:after="0" w:line="244" w:lineRule="auto"/>
        <w:tabs>
          <w:tab w:leader="none" w:pos="254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claimant’s claim for Benefits is denied, the Claims Administrator shall provide notice to the claimant in writing of the denial within ninety (90) days after its submission. The notice shall be written in a manner calculated to be understood by the claimant and shall include:</w:t>
      </w:r>
    </w:p>
    <w:p>
      <w:pPr>
        <w:spacing w:after="0" w:line="172"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205"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references to the Plan provisions on which the denial is based;</w:t>
      </w:r>
    </w:p>
    <w:p>
      <w:pPr>
        <w:spacing w:after="0" w:line="205"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applicant to</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perfect the claim and an explanation of why such material or information is necessary; and</w:t>
      </w:r>
    </w:p>
    <w:p>
      <w:pPr>
        <w:spacing w:after="0" w:line="181"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explanation of the Plan’s claims review procedures and a statement of claimant’s</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 to bring a civil action under ERISA Section 502(a) following an adverse benefit determination.</w:t>
      </w:r>
    </w:p>
    <w:p>
      <w:pPr>
        <w:spacing w:after="0" w:line="181" w:lineRule="exact"/>
        <w:rPr>
          <w:rFonts w:ascii="Times New Roman" w:cs="Times New Roman" w:eastAsia="Times New Roman" w:hAnsi="Times New Roman"/>
          <w:sz w:val="22"/>
          <w:szCs w:val="22"/>
          <w:color w:val="auto"/>
        </w:rPr>
      </w:pPr>
    </w:p>
    <w:p>
      <w:pPr>
        <w:jc w:val="both"/>
        <w:ind w:firstLine="2254"/>
        <w:spacing w:after="0" w:line="244" w:lineRule="auto"/>
        <w:tabs>
          <w:tab w:leader="none" w:pos="254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special circumstances require an extension of time for processing the initial claim, a written notice of the extension and the reason therefor shall be furnished to the claimant before the end of the initial ninety (90) day period. In no event shall such extension exceed ninety (90)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140" w:name="page141"/>
    <w:bookmarkEnd w:id="140"/>
    <w:p>
      <w:pPr>
        <w:jc w:val="both"/>
        <w:ind w:firstLine="2254"/>
        <w:spacing w:after="0" w:line="244" w:lineRule="auto"/>
        <w:tabs>
          <w:tab w:leader="none" w:pos="254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claim for Benefits is denied, the claimant, at the claimant’s sole expense, may appeal the denial to the Committee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Appeals Administrator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within sixty (60) days of the receipt of written notice of the denial. In pursuing such appeal the applicant or his duly authorized representative:</w:t>
      </w:r>
    </w:p>
    <w:p>
      <w:pPr>
        <w:spacing w:after="0" w:line="172"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request in writing that the Appeals Administrator review the denial;</w:t>
      </w:r>
    </w:p>
    <w:p>
      <w:pPr>
        <w:spacing w:after="0" w:line="205"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review pertinent documents; and</w:t>
      </w:r>
    </w:p>
    <w:p>
      <w:pPr>
        <w:spacing w:after="0" w:line="205"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may submit issues and comments in writing.</w:t>
      </w:r>
    </w:p>
    <w:p>
      <w:pPr>
        <w:spacing w:after="0" w:line="205" w:lineRule="exact"/>
        <w:rPr>
          <w:rFonts w:ascii="Times New Roman" w:cs="Times New Roman" w:eastAsia="Times New Roman" w:hAnsi="Times New Roman"/>
          <w:sz w:val="22"/>
          <w:szCs w:val="22"/>
          <w:color w:val="auto"/>
        </w:rPr>
      </w:pPr>
    </w:p>
    <w:p>
      <w:pPr>
        <w:jc w:val="both"/>
        <w:ind w:firstLine="2254"/>
        <w:spacing w:after="0" w:line="236" w:lineRule="auto"/>
        <w:tabs>
          <w:tab w:leader="none" w:pos="2546"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decision on review shall be made within sixty (60) days of receipt of the request for review, unless special circumstances require an extension of time for processing, in which case a decision shall be rendered as soon as possible, but not later than one hundred twenty (120) days after receipt of the request for review. If such an extension of time is required, written notice of the extension shall be furnished to the claimant before the end of the original sixty (60) day period. The decision on review shall be made in writing, shall be written in a manner calculated to be understood by the claimant, and, if the decision on review is a denial of the claim for Benefits, shall include:</w:t>
      </w:r>
    </w:p>
    <w:p>
      <w:pPr>
        <w:spacing w:after="0" w:line="179"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specific reason or reasons for the denial;</w:t>
      </w:r>
    </w:p>
    <w:p>
      <w:pPr>
        <w:spacing w:after="0" w:line="205"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Specific references to the Plan provisions on which the denial is based;</w:t>
      </w:r>
    </w:p>
    <w:p>
      <w:pPr>
        <w:spacing w:after="0" w:line="205"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of any additional material or information necessary for the applicant to</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perfect the claim and an explanation of why such material or information is necessary; and</w:t>
      </w:r>
    </w:p>
    <w:p>
      <w:pPr>
        <w:spacing w:after="0" w:line="181" w:lineRule="exact"/>
        <w:rPr>
          <w:rFonts w:ascii="Times New Roman" w:cs="Times New Roman" w:eastAsia="Times New Roman" w:hAnsi="Times New Roman"/>
          <w:sz w:val="22"/>
          <w:szCs w:val="22"/>
          <w:color w:val="auto"/>
        </w:rPr>
      </w:pPr>
    </w:p>
    <w:p>
      <w:pPr>
        <w:ind w:left="3580" w:hanging="577"/>
        <w:spacing w:after="0"/>
        <w:tabs>
          <w:tab w:leader="none" w:pos="358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explanation of the Plan’s claims review procedures and a statement of claimant’s</w:t>
      </w:r>
    </w:p>
    <w:p>
      <w:pPr>
        <w:spacing w:after="0" w:line="1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 to bring a civil action under ERISA Section 502(a) following an adverse benefit determination.</w:t>
      </w:r>
    </w:p>
    <w:p>
      <w:pPr>
        <w:spacing w:after="0" w:line="177"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b w:val="1"/>
          <w:bCs w:val="1"/>
          <w:color w:val="auto"/>
        </w:rPr>
        <w:t>Disputes Subject to Arbitration</w:t>
      </w:r>
      <w:r>
        <w:rPr>
          <w:rFonts w:ascii="Times New Roman" w:cs="Times New Roman" w:eastAsia="Times New Roman" w:hAnsi="Times New Roman"/>
          <w:sz w:val="22"/>
          <w:szCs w:val="22"/>
          <w:color w:val="auto"/>
        </w:rPr>
        <w:t>. Subject to Section 18 herein, any claim, dispute or controversy arising out of this Plan, the interpretation, validity or enforceability of this Plan or the alleged breach thereof shall be submitted by the parties to binding arbitration by the American Arbitration Association (“</w:t>
      </w:r>
      <w:r>
        <w:rPr>
          <w:rFonts w:ascii="Times New Roman" w:cs="Times New Roman" w:eastAsia="Times New Roman" w:hAnsi="Times New Roman"/>
          <w:sz w:val="22"/>
          <w:szCs w:val="22"/>
          <w:b w:val="1"/>
          <w:bCs w:val="1"/>
          <w:i w:val="1"/>
          <w:iCs w:val="1"/>
          <w:color w:val="auto"/>
        </w:rPr>
        <w:t>AAA</w:t>
      </w:r>
      <w:r>
        <w:rPr>
          <w:rFonts w:ascii="Times New Roman" w:cs="Times New Roman" w:eastAsia="Times New Roman" w:hAnsi="Times New Roman"/>
          <w:sz w:val="22"/>
          <w:szCs w:val="22"/>
          <w:color w:val="auto"/>
        </w:rPr>
        <w:t>”) or as otherwise required by ERISA; provided, however, that (a) the arbitrator shall have no authority to make any ruling or judgment that would confer any rights with respect to trade secrets, confidential and proprietary information or other intellectual property; and (b) this arbitration provision shall not preclude the parties from seeking legal and equitable relief from any court having jurisdiction with respect to any disputes or claims relating to or arising out of the misuse or misappropriation of intellectual property. Such arbitration shall be conducted in accordance with the then-existing AAA Employment Arbitration Rules and Mediation Procedures. The rules can be found at https://www.adr.org/employment, or a copy will be provided upon request. Judgment may be entered on the award of the arbitrator in any court having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958215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141" w:name="page142"/>
    <w:bookmarkEnd w:id="141"/>
    <w:p>
      <w:pPr>
        <w:ind w:firstLine="2254"/>
        <w:spacing w:after="0" w:line="261" w:lineRule="auto"/>
        <w:tabs>
          <w:tab w:leader="none" w:pos="254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Site of Arbitration</w:t>
      </w:r>
      <w:r>
        <w:rPr>
          <w:rFonts w:ascii="Times New Roman" w:cs="Times New Roman" w:eastAsia="Times New Roman" w:hAnsi="Times New Roman"/>
          <w:sz w:val="22"/>
          <w:szCs w:val="22"/>
          <w:color w:val="auto"/>
        </w:rPr>
        <w:t>. The site of the arbitration proceeding shall be in New York City, New York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other site mutually agreed to by the Company and the Participant.</w:t>
      </w:r>
    </w:p>
    <w:p>
      <w:pPr>
        <w:spacing w:after="0" w:line="150" w:lineRule="exact"/>
        <w:rPr>
          <w:rFonts w:ascii="Times New Roman" w:cs="Times New Roman" w:eastAsia="Times New Roman" w:hAnsi="Times New Roman"/>
          <w:sz w:val="22"/>
          <w:szCs w:val="22"/>
          <w:color w:val="auto"/>
        </w:rPr>
      </w:pPr>
    </w:p>
    <w:p>
      <w:pPr>
        <w:jc w:val="both"/>
        <w:ind w:firstLine="2254"/>
        <w:spacing w:after="0" w:line="238" w:lineRule="auto"/>
        <w:tabs>
          <w:tab w:leader="none" w:pos="254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Costs and Expenses Borne by Company</w:t>
      </w:r>
      <w:r>
        <w:rPr>
          <w:rFonts w:ascii="Times New Roman" w:cs="Times New Roman" w:eastAsia="Times New Roman" w:hAnsi="Times New Roman"/>
          <w:sz w:val="22"/>
          <w:szCs w:val="22"/>
          <w:color w:val="auto"/>
        </w:rPr>
        <w:t>. All costs and expenses of arbitration, including but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limited to reasonable attorneys’ fees and other costs reasonably incurred by the Participant in connection with an arbitration in accordance with this Section 11, shall be paid by the Company. Notwithstanding the foregoing, if the Participant initiates the arbitration, and the arbitrator finds that the Participant’s claims were totally without merit or frivolous, then the Participant shall be responsible for the Participant’s own attorneys’ fees and costs.</w:t>
      </w:r>
    </w:p>
    <w:p>
      <w:pPr>
        <w:spacing w:after="0" w:line="179" w:lineRule="exact"/>
        <w:rPr>
          <w:sz w:val="20"/>
          <w:szCs w:val="20"/>
          <w:color w:val="auto"/>
        </w:rPr>
      </w:pPr>
    </w:p>
    <w:p>
      <w:pPr>
        <w:jc w:val="both"/>
        <w:ind w:firstLine="1498"/>
        <w:spacing w:after="0" w:line="236" w:lineRule="auto"/>
        <w:rPr>
          <w:sz w:val="20"/>
          <w:szCs w:val="20"/>
          <w:color w:val="auto"/>
        </w:rPr>
      </w:pPr>
      <w:r>
        <w:rPr>
          <w:rFonts w:ascii="Times New Roman" w:cs="Times New Roman" w:eastAsia="Times New Roman" w:hAnsi="Times New Roman"/>
          <w:sz w:val="22"/>
          <w:szCs w:val="22"/>
          <w:color w:val="auto"/>
        </w:rPr>
        <w:t>11.5 If any judicial proceeding is undertaken to appeal or arbitrate the denial of a claim or bring any other action under ERISA other than a breach of fiduciary duty claim, the evidence presented may be strictly limited to the evidence timely presented to the Administrator. In addition, any such judicial proceeding must be filed no later than two years from the date of the final adverse benefit determination of an applicant’s appeal of the denial of his or her claim for benefits. Notwithstanding the foregoing, if the applicable, analogous state statute of limitations has run or will run before the aforementioned two-year period, the state’s statute of limitations shall be controlling.</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C</w:t>
      </w:r>
      <w:r>
        <w:rPr>
          <w:rFonts w:ascii="Times New Roman" w:cs="Times New Roman" w:eastAsia="Times New Roman" w:hAnsi="Times New Roman"/>
          <w:sz w:val="14"/>
          <w:szCs w:val="14"/>
          <w:b w:val="1"/>
          <w:bCs w:val="1"/>
          <w:color w:val="auto"/>
        </w:rPr>
        <w:t>ontract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w:t>
      </w:r>
      <w:r>
        <w:rPr>
          <w:rFonts w:ascii="Times New Roman" w:cs="Times New Roman" w:eastAsia="Times New Roman" w:hAnsi="Times New Roman"/>
          <w:sz w:val="14"/>
          <w:szCs w:val="14"/>
          <w:b w:val="1"/>
          <w:bCs w:val="1"/>
          <w:color w:val="auto"/>
        </w:rPr>
        <w:t>mployment</w:t>
      </w:r>
    </w:p>
    <w:p>
      <w:pPr>
        <w:spacing w:after="0" w:line="2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Neither the establishment of the Plan, nor any amendment thereto, nor the payment of any benefits shall be construed as giving any person the right to be retained by the Company, a Successor or any other member of the Company Group. Except as otherwise established in an employment agreement between the Company Group and a Participant, the employment relationship between the Participant and the Company is an “at-will” relationship. Accordingly, either the Participant or the Company may terminate the relationship at any time, with or without Cause, and with or without notice except as otherwise provided by Section</w:t>
      </w:r>
    </w:p>
    <w:p>
      <w:pPr>
        <w:spacing w:after="0" w:line="1" w:lineRule="exact"/>
        <w:rPr>
          <w:sz w:val="20"/>
          <w:szCs w:val="20"/>
          <w:color w:val="auto"/>
        </w:rPr>
      </w:pPr>
    </w:p>
    <w:p>
      <w:pPr>
        <w:jc w:val="both"/>
        <w:ind w:firstLine="8"/>
        <w:spacing w:after="0" w:line="235" w:lineRule="auto"/>
        <w:tabs>
          <w:tab w:leader="none" w:pos="38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nothing in this Plan shall in any manner obligate any Successor or other member of the Company Group to offer employment to any Participant or to continue the employment of any Participant whom it does hire for any specific duration of time.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uccessors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ssigns</w:t>
      </w:r>
    </w:p>
    <w:p>
      <w:pPr>
        <w:spacing w:after="0" w:line="205" w:lineRule="exact"/>
        <w:rPr>
          <w:sz w:val="20"/>
          <w:szCs w:val="20"/>
          <w:color w:val="auto"/>
        </w:rPr>
      </w:pPr>
    </w:p>
    <w:p>
      <w:pPr>
        <w:jc w:val="both"/>
        <w:ind w:firstLine="1498"/>
        <w:spacing w:after="0" w:line="238"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b w:val="1"/>
          <w:bCs w:val="1"/>
          <w:color w:val="auto"/>
        </w:rPr>
        <w:t>Successors of the Company</w:t>
      </w:r>
      <w:r>
        <w:rPr>
          <w:rFonts w:ascii="Times New Roman" w:cs="Times New Roman" w:eastAsia="Times New Roman" w:hAnsi="Times New Roman"/>
          <w:sz w:val="22"/>
          <w:szCs w:val="22"/>
          <w:color w:val="auto"/>
        </w:rPr>
        <w:t>. The Company shall require any Successor, expressly, absolutely and unconditionally to assume and agree to perform this Plan in the same manner and to the same extent that the Company would be required to perform it if no such succession or assignment had taken place. Failure of the Company to obtain such agreement shall be a material breach of this Plan and shall entitle the Participant to resign for Good Reason and to receive the benefits provided under this Plan in the event of Termination Upon a Change in Control.</w:t>
      </w:r>
    </w:p>
    <w:p>
      <w:pPr>
        <w:spacing w:after="0" w:line="175"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2"/>
          <w:szCs w:val="22"/>
          <w:color w:val="auto"/>
        </w:rPr>
        <w:t xml:space="preserve">13.2 </w:t>
      </w:r>
      <w:r>
        <w:rPr>
          <w:rFonts w:ascii="Times New Roman" w:cs="Times New Roman" w:eastAsia="Times New Roman" w:hAnsi="Times New Roman"/>
          <w:sz w:val="22"/>
          <w:szCs w:val="22"/>
          <w:b w:val="1"/>
          <w:bCs w:val="1"/>
          <w:color w:val="auto"/>
        </w:rPr>
        <w:t>Acknowledgment by Company</w:t>
      </w:r>
      <w:r>
        <w:rPr>
          <w:rFonts w:ascii="Times New Roman" w:cs="Times New Roman" w:eastAsia="Times New Roman" w:hAnsi="Times New Roman"/>
          <w:sz w:val="22"/>
          <w:szCs w:val="22"/>
          <w:color w:val="auto"/>
        </w:rPr>
        <w:t>. If, after a Change in Control, the Company fails to reasonably confirm that it has performed the obligation described in Section 13.1 within thirty (30) days after written notice from the Participant, such failure shall be a material breach of this Plan and shall entitle the Participant to resign for Good Reason and to receive the benefits provided under this Plan in the event of Termination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957580</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42" w:name="page143"/>
    <w:bookmarkEnd w:id="142"/>
    <w:p>
      <w:pPr>
        <w:jc w:val="both"/>
        <w:ind w:firstLine="1498"/>
        <w:spacing w:after="0" w:line="237" w:lineRule="auto"/>
        <w:rPr>
          <w:sz w:val="20"/>
          <w:szCs w:val="20"/>
          <w:color w:val="auto"/>
        </w:rPr>
      </w:pPr>
      <w:r>
        <w:rPr>
          <w:rFonts w:ascii="Times New Roman" w:cs="Times New Roman" w:eastAsia="Times New Roman" w:hAnsi="Times New Roman"/>
          <w:sz w:val="22"/>
          <w:szCs w:val="22"/>
          <w:color w:val="auto"/>
        </w:rPr>
        <w:t xml:space="preserve">13.3 </w:t>
      </w:r>
      <w:r>
        <w:rPr>
          <w:rFonts w:ascii="Times New Roman" w:cs="Times New Roman" w:eastAsia="Times New Roman" w:hAnsi="Times New Roman"/>
          <w:sz w:val="22"/>
          <w:szCs w:val="22"/>
          <w:b w:val="1"/>
          <w:bCs w:val="1"/>
          <w:color w:val="auto"/>
        </w:rPr>
        <w:t>Heirs and Representatives of Participant</w:t>
      </w:r>
      <w:r>
        <w:rPr>
          <w:rFonts w:ascii="Times New Roman" w:cs="Times New Roman" w:eastAsia="Times New Roman" w:hAnsi="Times New Roman"/>
          <w:sz w:val="22"/>
          <w:szCs w:val="22"/>
          <w:color w:val="auto"/>
        </w:rPr>
        <w:t>. This Plan shall inure to the benefit of and be enforceable by the Participant’s personal or legal representatives, executors, administrators, successors, heirs, distributees, devises, legatees or other beneficiaries. If the Participant should die while any amount would still be payable to the Participant hereunder (other than amounts which, by their terms, terminate upon the death of the Participant) if the Participant had continued to live, then all such amounts, unless otherwise provided herein, shall be paid in accordance with the terms of this Plan to the executors, personal representatives or administrators of the Participant’s estate.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b w:val="1"/>
          <w:bCs w:val="1"/>
          <w:color w:val="auto"/>
        </w:rPr>
        <w:t>N</w:t>
      </w:r>
      <w:r>
        <w:rPr>
          <w:rFonts w:ascii="Times New Roman" w:cs="Times New Roman" w:eastAsia="Times New Roman" w:hAnsi="Times New Roman"/>
          <w:sz w:val="14"/>
          <w:szCs w:val="14"/>
          <w:b w:val="1"/>
          <w:bCs w:val="1"/>
          <w:color w:val="auto"/>
        </w:rPr>
        <w:t>otices</w:t>
      </w:r>
    </w:p>
    <w:p>
      <w:pPr>
        <w:spacing w:after="0" w:line="205"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14.1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For purposes of this Plan, notices and all other communications shall be in writing and shall be deemed to have been duly given when personally delivered or when mailed by United States certified mail, return receipt requested, or by overnight courier, postage prepaid, as follows:</w:t>
      </w:r>
    </w:p>
    <w:p>
      <w:pPr>
        <w:spacing w:after="0" w:line="17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(a) if to the Company:</w:t>
      </w:r>
    </w:p>
    <w:p>
      <w:pPr>
        <w:spacing w:after="0" w:line="20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Vroom, Inc.</w:t>
      </w:r>
    </w:p>
    <w:p>
      <w:pPr>
        <w:spacing w:after="0" w:line="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Attn: Legal</w:t>
      </w:r>
    </w:p>
    <w:p>
      <w:pPr>
        <w:ind w:left="2160"/>
        <w:spacing w:after="0" w:line="230" w:lineRule="auto"/>
        <w:rPr>
          <w:sz w:val="20"/>
          <w:szCs w:val="20"/>
          <w:color w:val="auto"/>
        </w:rPr>
      </w:pPr>
      <w:r>
        <w:rPr>
          <w:rFonts w:ascii="Times New Roman" w:cs="Times New Roman" w:eastAsia="Times New Roman" w:hAnsi="Times New Roman"/>
          <w:sz w:val="22"/>
          <w:szCs w:val="22"/>
          <w:color w:val="auto"/>
        </w:rPr>
        <w:t>3600 W. Sam Houston Parkway S.</w:t>
      </w:r>
    </w:p>
    <w:p>
      <w:pPr>
        <w:ind w:left="2160"/>
        <w:spacing w:after="0" w:line="230" w:lineRule="auto"/>
        <w:rPr>
          <w:sz w:val="20"/>
          <w:szCs w:val="20"/>
          <w:color w:val="auto"/>
        </w:rPr>
      </w:pPr>
      <w:r>
        <w:rPr>
          <w:rFonts w:ascii="Times New Roman" w:cs="Times New Roman" w:eastAsia="Times New Roman" w:hAnsi="Times New Roman"/>
          <w:sz w:val="22"/>
          <w:szCs w:val="22"/>
          <w:color w:val="auto"/>
        </w:rPr>
        <w:t>Floor 4</w:t>
      </w:r>
    </w:p>
    <w:p>
      <w:pPr>
        <w:spacing w:after="0" w:line="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Houston, TX 77042</w:t>
      </w:r>
    </w:p>
    <w:p>
      <w:pPr>
        <w:spacing w:after="0" w:line="208"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Attention: Chief Legal Officer</w:t>
      </w:r>
    </w:p>
    <w:p>
      <w:pPr>
        <w:spacing w:after="0" w:line="232" w:lineRule="exact"/>
        <w:rPr>
          <w:sz w:val="20"/>
          <w:szCs w:val="20"/>
          <w:color w:val="auto"/>
        </w:rPr>
      </w:pPr>
    </w:p>
    <w:p>
      <w:pPr>
        <w:ind w:right="1180" w:firstLine="2254"/>
        <w:spacing w:after="0" w:line="476" w:lineRule="auto"/>
        <w:tabs>
          <w:tab w:leader="none" w:pos="254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Participant, at the home address which the Company has its personnel records. Either party may provide the other with notices of change of address, which shall be effective upon receipt.</w:t>
      </w:r>
    </w:p>
    <w:p>
      <w:pPr>
        <w:spacing w:after="0" w:line="1" w:lineRule="exact"/>
        <w:rPr>
          <w:sz w:val="20"/>
          <w:szCs w:val="20"/>
          <w:color w:val="auto"/>
        </w:rPr>
      </w:pPr>
    </w:p>
    <w:p>
      <w:pPr>
        <w:jc w:val="both"/>
        <w:ind w:firstLine="1498"/>
        <w:spacing w:after="0" w:line="238" w:lineRule="auto"/>
        <w:rPr>
          <w:sz w:val="20"/>
          <w:szCs w:val="20"/>
          <w:color w:val="auto"/>
        </w:rPr>
      </w:pPr>
      <w:r>
        <w:rPr>
          <w:rFonts w:ascii="Times New Roman" w:cs="Times New Roman" w:eastAsia="Times New Roman" w:hAnsi="Times New Roman"/>
          <w:sz w:val="22"/>
          <w:szCs w:val="22"/>
          <w:color w:val="auto"/>
        </w:rPr>
        <w:t xml:space="preserve">14.2 </w:t>
      </w:r>
      <w:r>
        <w:rPr>
          <w:rFonts w:ascii="Times New Roman" w:cs="Times New Roman" w:eastAsia="Times New Roman" w:hAnsi="Times New Roman"/>
          <w:sz w:val="22"/>
          <w:szCs w:val="22"/>
          <w:b w:val="1"/>
          <w:bCs w:val="1"/>
          <w:color w:val="auto"/>
        </w:rPr>
        <w:t>Notice of Termination</w:t>
      </w:r>
      <w:r>
        <w:rPr>
          <w:rFonts w:ascii="Times New Roman" w:cs="Times New Roman" w:eastAsia="Times New Roman" w:hAnsi="Times New Roman"/>
          <w:sz w:val="22"/>
          <w:szCs w:val="22"/>
          <w:color w:val="auto"/>
        </w:rPr>
        <w:t>. Any termination by the Company of the Participant’s employment during the Change in Control Period or any resignation by the Participant during the Change in Control Period shall be communicated by a notice of termination or resignation to the other party hereto given in accordance with Section 14.1. Such notice shall indicate the specific termination provision in this Plan relied upon, shall set forth in reasonable detail the facts and circumstances claimed to provide a basis for termination under the provision so indicated, and shall specify the termination date.</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ermination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mendment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lan</w:t>
      </w:r>
    </w:p>
    <w:p>
      <w:pPr>
        <w:spacing w:after="0" w:line="20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The Plan may be terminated or amended by the Board or the Committee, in its sole discretion;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Participant listed on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who is terminated or resigns from employment with the Company shall be deemed to be automatically removed from </w:t>
      </w:r>
      <w:r>
        <w:rPr>
          <w:rFonts w:ascii="Times New Roman" w:cs="Times New Roman" w:eastAsia="Times New Roman" w:hAnsi="Times New Roman"/>
          <w:sz w:val="22"/>
          <w:szCs w:val="22"/>
          <w:u w:val="single" w:color="auto"/>
          <w:color w:val="auto"/>
        </w:rPr>
        <w:t>Appendix B</w:t>
      </w:r>
      <w:r>
        <w:rPr>
          <w:rFonts w:ascii="Times New Roman" w:cs="Times New Roman" w:eastAsia="Times New Roman" w:hAnsi="Times New Roman"/>
          <w:sz w:val="22"/>
          <w:szCs w:val="22"/>
          <w:color w:val="auto"/>
        </w:rPr>
        <w:t xml:space="preserve"> upon the effectiveness of such termination or resignation, as applicable, and without further action of the Board or the Committee;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that, notwithstanding the foregoing, during a Change in Control Period, the Plan may not be terminated or amended until the date all payments and benefits eligible to be received hereunder shall have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43" w:name="page144"/>
    <w:bookmarkEnd w:id="143"/>
    <w:p>
      <w:pPr>
        <w:ind w:left="760"/>
        <w:spacing w:after="0"/>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409A</w:t>
      </w:r>
    </w:p>
    <w:p>
      <w:pPr>
        <w:spacing w:after="0" w:line="205"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b w:val="1"/>
          <w:bCs w:val="1"/>
          <w:color w:val="auto"/>
        </w:rPr>
        <w:t>General</w:t>
      </w:r>
      <w:r>
        <w:rPr>
          <w:rFonts w:ascii="Times New Roman" w:cs="Times New Roman" w:eastAsia="Times New Roman" w:hAnsi="Times New Roman"/>
          <w:sz w:val="22"/>
          <w:szCs w:val="22"/>
          <w:color w:val="auto"/>
        </w:rPr>
        <w:t xml:space="preserve">. The payments and benefits under the Plan are intended to comply with or be exempt from Section 409A and, accordingly, to the maximum extent permitted, the Plan shall be interpreted to be in compliance with or exempt from Section 409A. If the Company determines that any particular provision of the Plan would cause a Participant to incur any tax or interest under Section 409A, the Company shall take commercially reasonable efforts to reform such provision to the minimum extent reasonably appropriate to comply with or be exempt from Section 409A,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modifications shall not increase the cost or liability to the Company. To the extent that any provision of the Plan is modified in order to comply with or be exempt from Section 409A, such modification shall be made in good faith and shall, to the maximum extent reasonably possible, maintain the original intent and economic benefit to the Participants and the Company of the applicable provision without resulting in the imposition of a tax under Section 409A.</w:t>
      </w:r>
    </w:p>
    <w:p>
      <w:pPr>
        <w:spacing w:after="0" w:line="180" w:lineRule="exact"/>
        <w:rPr>
          <w:sz w:val="20"/>
          <w:szCs w:val="20"/>
          <w:color w:val="auto"/>
        </w:rPr>
      </w:pPr>
    </w:p>
    <w:p>
      <w:pPr>
        <w:jc w:val="both"/>
        <w:ind w:firstLine="1498"/>
        <w:spacing w:after="0" w:line="234"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Notwithstanding anything to the contrary in the Plan, if the Company determines at the time of a Participant’s Separation from Service that the Participant is a “specified employee” for purposes of Section 409A, then, to the extent delayed commencement of any portion of the benefits to which a Participant is entitled under the Plan is required to avoid a prohibited distribution under Section 409A(a)(2)(B)(i) of the Code, such portion of the Participant’s benefits shall not be provided to the Participant before the earlier of (i) the expiration of the six-month period measured from the date of the Participant’s Separation from Service with the Company or (ii) the date of the Participant’s death. On the first business day following the expiration of the applicable Section 409A period, all payments deferred pursuant to the preceding sentence shall be paid in a lump sum to the Participant (or the Participant’s estate or beneficiaries), and any remaining payments due to the Participant under the Plan shall be paid as otherwise provided herein.</w:t>
      </w:r>
    </w:p>
    <w:p>
      <w:pPr>
        <w:spacing w:after="0" w:line="180"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2"/>
          <w:szCs w:val="22"/>
          <w:color w:val="auto"/>
        </w:rPr>
        <w:t xml:space="preserve">16.3 </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Notwithstanding anything to the contrary in the Plan, any compensation or benefit payable under the Plan that constitutes “nonqualified deferred compensation” under Section 409A and is designated under the Plan as payable upon a Participant’s termination of employment with the Company shall be payable only upon the Participant’s Separation from Service with the Company.</w:t>
      </w:r>
    </w:p>
    <w:p>
      <w:pPr>
        <w:spacing w:after="0" w:line="175" w:lineRule="exact"/>
        <w:rPr>
          <w:sz w:val="20"/>
          <w:szCs w:val="20"/>
          <w:color w:val="auto"/>
        </w:rPr>
      </w:pPr>
    </w:p>
    <w:p>
      <w:pPr>
        <w:jc w:val="both"/>
        <w:ind w:firstLine="1498"/>
        <w:spacing w:after="0" w:line="238" w:lineRule="auto"/>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22"/>
          <w:szCs w:val="22"/>
          <w:b w:val="1"/>
          <w:bCs w:val="1"/>
          <w:color w:val="auto"/>
        </w:rPr>
        <w:t>Expense Reimbursements</w:t>
      </w:r>
      <w:r>
        <w:rPr>
          <w:rFonts w:ascii="Times New Roman" w:cs="Times New Roman" w:eastAsia="Times New Roman" w:hAnsi="Times New Roman"/>
          <w:sz w:val="22"/>
          <w:szCs w:val="22"/>
          <w:color w:val="auto"/>
        </w:rPr>
        <w:t>. To the extent that any reimbursements payable under the Plan are subject to Section 409A, any such reimbursements shall be paid to the Participant no later than December 31 of the year following the year in which the expense was incurred. The amount of expenses reimbursed in one year shall not affect the amount eligible for reimbursement in any subsequent year, and a Participant’s right to reimbursement under the Plan will not be subject to liquidation or exchange for another benefit.</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w:t>
      </w:r>
      <w:r>
        <w:rPr>
          <w:rFonts w:ascii="Times New Roman" w:cs="Times New Roman" w:eastAsia="Times New Roman" w:hAnsi="Times New Roman"/>
          <w:sz w:val="14"/>
          <w:szCs w:val="14"/>
          <w:b w:val="1"/>
          <w:bCs w:val="1"/>
          <w:color w:val="auto"/>
        </w:rPr>
        <w:t>rovisions</w:t>
      </w:r>
    </w:p>
    <w:p>
      <w:pPr>
        <w:spacing w:after="0" w:line="205" w:lineRule="exact"/>
        <w:rPr>
          <w:sz w:val="20"/>
          <w:szCs w:val="20"/>
          <w:color w:val="auto"/>
        </w:rPr>
      </w:pPr>
    </w:p>
    <w:p>
      <w:pPr>
        <w:jc w:val="both"/>
        <w:ind w:firstLine="1498"/>
        <w:spacing w:after="0" w:line="238"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Notwithstanding anything herein to the contrary, a Participant shall not be entitled to receive any payments or benefits, other than the “Accrued Obligations” described above, pursuant to Sections 4.2, 5.2 or Sections 6.2 or 6.3 hereof (and such Participant shall forfeit all rights to such payments) unless such Participant has executed and delivered to the Company a Release prior to the applicable Release Deadline and such Release remains in full force and effect, has not been timely revoked and is no longer subject to revocation, and a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957580</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44" w:name="page145"/>
    <w:bookmarkEnd w:id="144"/>
    <w:p>
      <w:pPr>
        <w:jc w:val="both"/>
        <w:spacing w:after="0" w:line="234" w:lineRule="auto"/>
        <w:rPr>
          <w:sz w:val="20"/>
          <w:szCs w:val="20"/>
          <w:color w:val="auto"/>
        </w:rPr>
      </w:pPr>
      <w:r>
        <w:rPr>
          <w:rFonts w:ascii="Times New Roman" w:cs="Times New Roman" w:eastAsia="Times New Roman" w:hAnsi="Times New Roman"/>
          <w:sz w:val="22"/>
          <w:szCs w:val="22"/>
          <w:color w:val="auto"/>
        </w:rPr>
        <w:t>shall be entitled to receive such payments and benefits only so long as such Participant has not breached any of the provisions of the Release or the restrictive covenants set forth in Section 9 herein in accordance with the terms thereof. If the Release is executed and delivered and no longer subject to revocation, then any cash payments due to a Participant shall be paid (subject to Section 16) in accordance with the applicable provisions of this Plan. The first such cash payment shall include payment of all amounts that otherwise would have been due prior to the Release Effective Date under the terms of this Plan applied as though such payments commenced immediately upon the date of such Participant’s Separation from Service, and any payments scheduled to be made after the Release Effective Date shall continue as provided herein. Notwithstanding the foregoing, if the period in which the Release may be executed prior to the Release Deadline begins in one calendar year and ends in another calendar year and all or any portion of such payments constitute non-exempt deferred compensation for purposes of Section 409A, then none of such payments shall begin until such second calendar year.</w:t>
      </w:r>
    </w:p>
    <w:p>
      <w:pPr>
        <w:spacing w:after="0" w:line="172" w:lineRule="exact"/>
        <w:rPr>
          <w:sz w:val="20"/>
          <w:szCs w:val="20"/>
          <w:color w:val="auto"/>
        </w:rPr>
      </w:pPr>
    </w:p>
    <w:p>
      <w:pPr>
        <w:jc w:val="both"/>
        <w:ind w:firstLine="1498"/>
        <w:spacing w:after="0" w:line="236"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b w:val="1"/>
          <w:bCs w:val="1"/>
          <w:color w:val="auto"/>
        </w:rPr>
        <w:t>Unfunded Obligation</w:t>
      </w:r>
      <w:r>
        <w:rPr>
          <w:rFonts w:ascii="Times New Roman" w:cs="Times New Roman" w:eastAsia="Times New Roman" w:hAnsi="Times New Roman"/>
          <w:sz w:val="22"/>
          <w:szCs w:val="22"/>
          <w:color w:val="auto"/>
        </w:rPr>
        <w:t>. Any amounts payable to Participants pursuant to the Plan are unfunded obligations. The Company shall not be required to segregate any monies from its general funds, or to create any trusts, or establish any special accounts with respect to such obligations. The Company shall retain at all times beneficial ownership of any investments, including trust investments, which the Company may make to fulfill its payment obligations hereunder. Any investments or the creation or maintenance of any trust or any Participant account shall not create or constitute a trust or fiduciary relationship between the Board or the Company and a Participant, or otherwise create any vested or beneficial interest in any Participant or the Participant’s creditors in any assets of the Company.</w:t>
      </w:r>
    </w:p>
    <w:p>
      <w:pPr>
        <w:spacing w:after="0" w:line="173" w:lineRule="exact"/>
        <w:rPr>
          <w:sz w:val="20"/>
          <w:szCs w:val="20"/>
          <w:color w:val="auto"/>
        </w:rPr>
      </w:pPr>
    </w:p>
    <w:p>
      <w:pPr>
        <w:jc w:val="both"/>
        <w:ind w:firstLine="1498"/>
        <w:spacing w:after="0" w:line="263" w:lineRule="auto"/>
        <w:rPr>
          <w:sz w:val="20"/>
          <w:szCs w:val="20"/>
          <w:color w:val="auto"/>
        </w:rPr>
      </w:pPr>
      <w:r>
        <w:rPr>
          <w:rFonts w:ascii="Times New Roman" w:cs="Times New Roman" w:eastAsia="Times New Roman" w:hAnsi="Times New Roman"/>
          <w:sz w:val="20"/>
          <w:szCs w:val="20"/>
          <w:color w:val="auto"/>
        </w:rPr>
        <w:t xml:space="preserve">17.3 </w:t>
      </w:r>
      <w:r>
        <w:rPr>
          <w:rFonts w:ascii="Times New Roman" w:cs="Times New Roman" w:eastAsia="Times New Roman" w:hAnsi="Times New Roman"/>
          <w:sz w:val="20"/>
          <w:szCs w:val="20"/>
          <w:b w:val="1"/>
          <w:bCs w:val="1"/>
          <w:color w:val="auto"/>
        </w:rPr>
        <w:t>No Duty to Mitigate; Obligations of Company</w:t>
      </w:r>
      <w:r>
        <w:rPr>
          <w:rFonts w:ascii="Times New Roman" w:cs="Times New Roman" w:eastAsia="Times New Roman" w:hAnsi="Times New Roman"/>
          <w:sz w:val="20"/>
          <w:szCs w:val="20"/>
          <w:color w:val="auto"/>
        </w:rPr>
        <w:t>. A Participant shall not be required to mitigate the amount of any payment or benefit contemplated by this Plan by seeking employment with a new employer or otherwise, nor shall any such payment or benefit (except for benefits to the extent described in Section 7.2) be reduced by any compensation or benefits that the Participant may receive from employment by another employer. Except as otherwise provided by this Plan, the obligations of the Company to make payments to the Participant and to make the arrangements provided for herein are absolute and unconditional and may not be reduced by any circumstances, including without limitation any set-off, counterclaim, recoupment, defense or other right which the Company may have against the Participant or any third party at any time.</w:t>
      </w:r>
    </w:p>
    <w:p>
      <w:pPr>
        <w:spacing w:after="0" w:line="151"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17.4 </w:t>
      </w:r>
      <w:r>
        <w:rPr>
          <w:rFonts w:ascii="Times New Roman" w:cs="Times New Roman" w:eastAsia="Times New Roman" w:hAnsi="Times New Roman"/>
          <w:sz w:val="22"/>
          <w:szCs w:val="22"/>
          <w:b w:val="1"/>
          <w:bCs w:val="1"/>
          <w:color w:val="auto"/>
        </w:rPr>
        <w:t>No Representations</w:t>
      </w:r>
      <w:r>
        <w:rPr>
          <w:rFonts w:ascii="Times New Roman" w:cs="Times New Roman" w:eastAsia="Times New Roman" w:hAnsi="Times New Roman"/>
          <w:sz w:val="22"/>
          <w:szCs w:val="22"/>
          <w:color w:val="auto"/>
        </w:rPr>
        <w:t>. The Participant acknowledges that in becoming a Participant in the Plan, the Participant is not relying and has not relied on any promise, representation or statement made by or on behalf of the Company which is not set forth in this Plan.</w:t>
      </w:r>
    </w:p>
    <w:p>
      <w:pPr>
        <w:spacing w:after="0" w:line="166"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17.5 </w:t>
      </w:r>
      <w:r>
        <w:rPr>
          <w:rFonts w:ascii="Times New Roman" w:cs="Times New Roman" w:eastAsia="Times New Roman" w:hAnsi="Times New Roman"/>
          <w:sz w:val="22"/>
          <w:szCs w:val="22"/>
          <w:b w:val="1"/>
          <w:bCs w:val="1"/>
          <w:color w:val="auto"/>
        </w:rPr>
        <w:t>Waiver</w:t>
      </w:r>
      <w:r>
        <w:rPr>
          <w:rFonts w:ascii="Times New Roman" w:cs="Times New Roman" w:eastAsia="Times New Roman" w:hAnsi="Times New Roman"/>
          <w:sz w:val="22"/>
          <w:szCs w:val="22"/>
          <w:color w:val="auto"/>
        </w:rPr>
        <w:t>. No waiver by the Participant or the Company of any breach of, or of any lack of compliance with, any condition or provision of this Plan by the other party shall be considered a waiver of any other condition or provision or of the same condition or provision at another time.</w:t>
      </w:r>
    </w:p>
    <w:p>
      <w:pPr>
        <w:spacing w:after="0" w:line="166"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17.6 </w:t>
      </w:r>
      <w:r>
        <w:rPr>
          <w:rFonts w:ascii="Times New Roman" w:cs="Times New Roman" w:eastAsia="Times New Roman" w:hAnsi="Times New Roman"/>
          <w:sz w:val="22"/>
          <w:szCs w:val="22"/>
          <w:b w:val="1"/>
          <w:bCs w:val="1"/>
          <w:color w:val="auto"/>
        </w:rPr>
        <w:t>Choice of Law</w:t>
      </w:r>
      <w:r>
        <w:rPr>
          <w:rFonts w:ascii="Times New Roman" w:cs="Times New Roman" w:eastAsia="Times New Roman" w:hAnsi="Times New Roman"/>
          <w:sz w:val="22"/>
          <w:szCs w:val="22"/>
          <w:color w:val="auto"/>
        </w:rPr>
        <w:t>. The Plan is a welfare plan subject to ERISA and it shall be interpreted, administered, and enforced in accordance with that law. To the extent that state law is applicable the internal laws of the state of Delaware without regard to any conflict of laws provisions shall be controlling in all matters relating to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951865</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145" w:name="page146"/>
    <w:bookmarkEnd w:id="145"/>
    <w:p>
      <w:pPr>
        <w:jc w:val="both"/>
        <w:ind w:firstLine="1498"/>
        <w:spacing w:after="0" w:line="261" w:lineRule="auto"/>
        <w:rPr>
          <w:sz w:val="20"/>
          <w:szCs w:val="20"/>
          <w:color w:val="auto"/>
        </w:rPr>
      </w:pPr>
      <w:r>
        <w:rPr>
          <w:rFonts w:ascii="Times New Roman" w:cs="Times New Roman" w:eastAsia="Times New Roman" w:hAnsi="Times New Roman"/>
          <w:sz w:val="22"/>
          <w:szCs w:val="22"/>
          <w:color w:val="auto"/>
        </w:rPr>
        <w:t xml:space="preserve">17.7 </w:t>
      </w:r>
      <w:r>
        <w:rPr>
          <w:rFonts w:ascii="Times New Roman" w:cs="Times New Roman" w:eastAsia="Times New Roman" w:hAnsi="Times New Roman"/>
          <w:sz w:val="22"/>
          <w:szCs w:val="22"/>
          <w:b w:val="1"/>
          <w:bCs w:val="1"/>
          <w:color w:val="auto"/>
        </w:rPr>
        <w:t>Validity</w:t>
      </w:r>
      <w:r>
        <w:rPr>
          <w:rFonts w:ascii="Times New Roman" w:cs="Times New Roman" w:eastAsia="Times New Roman" w:hAnsi="Times New Roman"/>
          <w:sz w:val="22"/>
          <w:szCs w:val="22"/>
          <w:color w:val="auto"/>
        </w:rPr>
        <w:t>. The invalidity or unenforceability of any provision of this Plan shall not affect the validity or enforceability of any other provision of this Plan, which shall remain in full force and effect.</w:t>
      </w:r>
    </w:p>
    <w:p>
      <w:pPr>
        <w:spacing w:after="0" w:line="151" w:lineRule="exact"/>
        <w:rPr>
          <w:sz w:val="20"/>
          <w:szCs w:val="20"/>
          <w:color w:val="auto"/>
        </w:rPr>
      </w:pPr>
    </w:p>
    <w:p>
      <w:pPr>
        <w:jc w:val="both"/>
        <w:ind w:firstLine="1498"/>
        <w:spacing w:after="0" w:line="238" w:lineRule="auto"/>
        <w:rPr>
          <w:sz w:val="20"/>
          <w:szCs w:val="20"/>
          <w:color w:val="auto"/>
        </w:rPr>
      </w:pPr>
      <w:r>
        <w:rPr>
          <w:rFonts w:ascii="Times New Roman" w:cs="Times New Roman" w:eastAsia="Times New Roman" w:hAnsi="Times New Roman"/>
          <w:sz w:val="22"/>
          <w:szCs w:val="22"/>
          <w:color w:val="auto"/>
        </w:rPr>
        <w:t xml:space="preserve">17.8 </w:t>
      </w:r>
      <w:r>
        <w:rPr>
          <w:rFonts w:ascii="Times New Roman" w:cs="Times New Roman" w:eastAsia="Times New Roman" w:hAnsi="Times New Roman"/>
          <w:sz w:val="22"/>
          <w:szCs w:val="22"/>
          <w:b w:val="1"/>
          <w:bCs w:val="1"/>
          <w:color w:val="auto"/>
        </w:rPr>
        <w:t>Benefits Not Assignable</w:t>
      </w:r>
      <w:r>
        <w:rPr>
          <w:rFonts w:ascii="Times New Roman" w:cs="Times New Roman" w:eastAsia="Times New Roman" w:hAnsi="Times New Roman"/>
          <w:sz w:val="22"/>
          <w:szCs w:val="22"/>
          <w:color w:val="auto"/>
        </w:rPr>
        <w:t>. Except as otherwise provided herein or by law, no right or interest of any Participant under the Plan shall be assignable or transferable, in whole or in part, either directly or by operation of law or otherwise, including, without limitation, by execution, levy, garnishment, attachment, pledge or in any other manner, and no attempted transfer or assignment thereof shall be effective. No right or interest of any Participant under the Plan shall be liable for, or subject to, any obligation or liability of such Participant.</w:t>
      </w:r>
    </w:p>
    <w:p>
      <w:pPr>
        <w:spacing w:after="0" w:line="175"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2"/>
          <w:szCs w:val="22"/>
          <w:color w:val="auto"/>
        </w:rPr>
        <w:t xml:space="preserve">17.9 </w:t>
      </w:r>
      <w:r>
        <w:rPr>
          <w:rFonts w:ascii="Times New Roman" w:cs="Times New Roman" w:eastAsia="Times New Roman" w:hAnsi="Times New Roman"/>
          <w:sz w:val="22"/>
          <w:szCs w:val="22"/>
          <w:b w:val="1"/>
          <w:bCs w:val="1"/>
          <w:color w:val="auto"/>
        </w:rPr>
        <w:t>Tax Withholding</w:t>
      </w:r>
      <w:r>
        <w:rPr>
          <w:rFonts w:ascii="Times New Roman" w:cs="Times New Roman" w:eastAsia="Times New Roman" w:hAnsi="Times New Roman"/>
          <w:sz w:val="22"/>
          <w:szCs w:val="22"/>
          <w:color w:val="auto"/>
        </w:rPr>
        <w:t>. All payments made pursuant to this Plan will be subject to withholding of applicable income and employment taxes. However, whether cash severance amounts are eligible compensation under the Company’s benefit plans will be determined by the terms of such plans.</w:t>
      </w:r>
    </w:p>
    <w:p>
      <w:pPr>
        <w:spacing w:after="0" w:line="166" w:lineRule="exact"/>
        <w:rPr>
          <w:sz w:val="20"/>
          <w:szCs w:val="20"/>
          <w:color w:val="auto"/>
        </w:rPr>
      </w:pPr>
    </w:p>
    <w:p>
      <w:pPr>
        <w:jc w:val="both"/>
        <w:ind w:firstLine="1498"/>
        <w:spacing w:after="0" w:line="238" w:lineRule="auto"/>
        <w:rPr>
          <w:sz w:val="20"/>
          <w:szCs w:val="20"/>
          <w:color w:val="auto"/>
        </w:rPr>
      </w:pPr>
      <w:r>
        <w:rPr>
          <w:rFonts w:ascii="Times New Roman" w:cs="Times New Roman" w:eastAsia="Times New Roman" w:hAnsi="Times New Roman"/>
          <w:sz w:val="22"/>
          <w:szCs w:val="22"/>
          <w:color w:val="auto"/>
        </w:rPr>
        <w:t xml:space="preserve">17.10 </w:t>
      </w:r>
      <w:r>
        <w:rPr>
          <w:rFonts w:ascii="Times New Roman" w:cs="Times New Roman" w:eastAsia="Times New Roman" w:hAnsi="Times New Roman"/>
          <w:sz w:val="22"/>
          <w:szCs w:val="22"/>
          <w:b w:val="1"/>
          <w:bCs w:val="1"/>
          <w:color w:val="auto"/>
        </w:rPr>
        <w:t>Information to be Furnished by Participants</w:t>
      </w:r>
      <w:r>
        <w:rPr>
          <w:rFonts w:ascii="Times New Roman" w:cs="Times New Roman" w:eastAsia="Times New Roman" w:hAnsi="Times New Roman"/>
          <w:sz w:val="22"/>
          <w:szCs w:val="22"/>
          <w:color w:val="auto"/>
        </w:rPr>
        <w:t>. Each Participant must furnish to the Company such documents, evidence, data or other information as the Company considers necessary or desirable for the purpose of administering this Plan. Benefits under this Plan for each Participant are provided on the condition that Participant furnishes full, true and complete data, evidence or other information, and that Participant will promptly sign any document related to the Plan, requested by the Company.</w:t>
      </w:r>
    </w:p>
    <w:p>
      <w:pPr>
        <w:spacing w:after="0" w:line="175" w:lineRule="exact"/>
        <w:rPr>
          <w:sz w:val="20"/>
          <w:szCs w:val="20"/>
          <w:color w:val="auto"/>
        </w:rPr>
      </w:pPr>
    </w:p>
    <w:p>
      <w:pPr>
        <w:jc w:val="both"/>
        <w:ind w:firstLine="1498"/>
        <w:spacing w:after="0"/>
        <w:rPr>
          <w:sz w:val="20"/>
          <w:szCs w:val="20"/>
          <w:color w:val="auto"/>
        </w:rPr>
      </w:pPr>
      <w:r>
        <w:rPr>
          <w:rFonts w:ascii="Times New Roman" w:cs="Times New Roman" w:eastAsia="Times New Roman" w:hAnsi="Times New Roman"/>
          <w:sz w:val="22"/>
          <w:szCs w:val="22"/>
          <w:color w:val="auto"/>
        </w:rPr>
        <w:t xml:space="preserve">17.11 </w:t>
      </w:r>
      <w:r>
        <w:rPr>
          <w:rFonts w:ascii="Times New Roman" w:cs="Times New Roman" w:eastAsia="Times New Roman" w:hAnsi="Times New Roman"/>
          <w:sz w:val="22"/>
          <w:szCs w:val="22"/>
          <w:b w:val="1"/>
          <w:bCs w:val="1"/>
          <w:color w:val="auto"/>
        </w:rPr>
        <w:t>Consultation with Legal and Financial Advisors</w:t>
      </w:r>
      <w:r>
        <w:rPr>
          <w:rFonts w:ascii="Times New Roman" w:cs="Times New Roman" w:eastAsia="Times New Roman" w:hAnsi="Times New Roman"/>
          <w:sz w:val="22"/>
          <w:szCs w:val="22"/>
          <w:color w:val="auto"/>
        </w:rPr>
        <w:t>. The Participant acknowledges that this Plan confers significant legal rights, and may also involve the waiver of rights under other agreements; that the Company has encouraged the Participant to consult with the Participant’s personal legal and financial advisors; and that the Participant has had adequate time to consult with the Participant’s advisors.</w:t>
      </w:r>
    </w:p>
    <w:p>
      <w:pPr>
        <w:spacing w:after="0" w:line="175" w:lineRule="exact"/>
        <w:rPr>
          <w:sz w:val="20"/>
          <w:szCs w:val="20"/>
          <w:color w:val="auto"/>
        </w:rPr>
      </w:pPr>
    </w:p>
    <w:p>
      <w:pPr>
        <w:jc w:val="both"/>
        <w:ind w:firstLine="1498"/>
        <w:spacing w:after="0" w:line="237" w:lineRule="auto"/>
        <w:rPr>
          <w:sz w:val="20"/>
          <w:szCs w:val="20"/>
          <w:color w:val="auto"/>
        </w:rPr>
      </w:pPr>
      <w:r>
        <w:rPr>
          <w:rFonts w:ascii="Times New Roman" w:cs="Times New Roman" w:eastAsia="Times New Roman" w:hAnsi="Times New Roman"/>
          <w:sz w:val="22"/>
          <w:szCs w:val="22"/>
          <w:color w:val="auto"/>
        </w:rPr>
        <w:t xml:space="preserve">17.12 </w:t>
      </w:r>
      <w:r>
        <w:rPr>
          <w:rFonts w:ascii="Times New Roman" w:cs="Times New Roman" w:eastAsia="Times New Roman" w:hAnsi="Times New Roman"/>
          <w:sz w:val="22"/>
          <w:szCs w:val="22"/>
          <w:b w:val="1"/>
          <w:bCs w:val="1"/>
          <w:color w:val="auto"/>
        </w:rPr>
        <w:t>Severability; Blue Pencil</w:t>
      </w:r>
      <w:r>
        <w:rPr>
          <w:rFonts w:ascii="Times New Roman" w:cs="Times New Roman" w:eastAsia="Times New Roman" w:hAnsi="Times New Roman"/>
          <w:sz w:val="22"/>
          <w:szCs w:val="22"/>
          <w:color w:val="auto"/>
        </w:rPr>
        <w:t>. The invalidity or unenforceability of any provision of this Plan shall not affect the validity or enforceability of any other provision of this Plan, and each other provision of this Plan shall be severable and enforceable to the extent permitted by applicable law. In the event that any provision of this Plan shall be held invalid, illegal or unenforceable (whether in whole or in part) for any reason, such provision shall be deemed modified to the extent of such invalidity, illegality or unenforceability, and the remaining valid, legal and enforceable provisions (and part of such provision, as the case may be) shall not be affected thereby.</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b w:val="1"/>
          <w:bCs w:val="1"/>
          <w:color w:val="auto"/>
        </w:rPr>
        <w:t>Y</w:t>
      </w:r>
      <w:r>
        <w:rPr>
          <w:rFonts w:ascii="Times New Roman" w:cs="Times New Roman" w:eastAsia="Times New Roman" w:hAnsi="Times New Roman"/>
          <w:sz w:val="14"/>
          <w:szCs w:val="14"/>
          <w:b w:val="1"/>
          <w:bCs w:val="1"/>
          <w:color w:val="auto"/>
        </w:rPr>
        <w:t>our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ights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4"/>
          <w:szCs w:val="14"/>
          <w:b w:val="1"/>
          <w:bCs w:val="1"/>
          <w:color w:val="auto"/>
        </w:rPr>
        <w:t>nder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ERISA</w:t>
      </w:r>
    </w:p>
    <w:p>
      <w:pPr>
        <w:spacing w:after="0" w:line="20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18.1  You are entitled to certain rights and protections under ERISA. ERISA provides that all Participants will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 entitled to:</w:t>
      </w:r>
    </w:p>
    <w:p>
      <w:pPr>
        <w:spacing w:after="0" w:line="181" w:lineRule="exact"/>
        <w:rPr>
          <w:sz w:val="20"/>
          <w:szCs w:val="20"/>
          <w:color w:val="auto"/>
        </w:rPr>
      </w:pPr>
    </w:p>
    <w:p>
      <w:pPr>
        <w:jc w:val="both"/>
        <w:ind w:firstLine="2254"/>
        <w:spacing w:after="0" w:line="244" w:lineRule="auto"/>
        <w:tabs>
          <w:tab w:leader="none" w:pos="254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examine, without charge, at the Administrator’s office, and at other specified locations, all documents governing this Plan and a copy of the latest annual report (Form 5500 Series) filed with the U.S. Department of Labor and available at the Public Disclosure Room of the Employee Benefits Security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953135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46" w:name="page147"/>
    <w:bookmarkEnd w:id="146"/>
    <w:p>
      <w:pPr>
        <w:jc w:val="both"/>
        <w:ind w:firstLine="2254"/>
        <w:spacing w:after="0" w:line="244" w:lineRule="auto"/>
        <w:tabs>
          <w:tab w:leader="none" w:pos="254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written request to the Administrator, who may make a reasonable charge for the copies, obtain copies of all documents governing this Plan, including copies of the latest annual report (Form 5500 Series) and updated summary plan description; and</w:t>
      </w:r>
    </w:p>
    <w:p>
      <w:pPr>
        <w:spacing w:after="0" w:line="172"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 a summary of the Plan’s annual financial report.</w:t>
      </w:r>
    </w:p>
    <w:p>
      <w:pPr>
        <w:spacing w:after="0" w:line="205" w:lineRule="exact"/>
        <w:rPr>
          <w:sz w:val="20"/>
          <w:szCs w:val="20"/>
          <w:color w:val="auto"/>
        </w:rPr>
      </w:pPr>
    </w:p>
    <w:p>
      <w:pPr>
        <w:jc w:val="both"/>
        <w:ind w:firstLine="1498"/>
        <w:spacing w:after="0" w:line="237" w:lineRule="auto"/>
        <w:rPr>
          <w:sz w:val="20"/>
          <w:szCs w:val="20"/>
          <w:color w:val="auto"/>
        </w:rPr>
      </w:pPr>
      <w:r>
        <w:rPr>
          <w:rFonts w:ascii="Times New Roman" w:cs="Times New Roman" w:eastAsia="Times New Roman" w:hAnsi="Times New Roman"/>
          <w:sz w:val="22"/>
          <w:szCs w:val="22"/>
          <w:color w:val="auto"/>
        </w:rPr>
        <w:t>18.2 In addition to creating rights for you under this Plan, ERISA imposes duties upon the people who are responsible for the operation of this Plan. The people who operate this Plan, called “fiduciaries” of this Plan, have a duty to do so prudently and in the interest of you and other Participants and beneficiaries. No one, including the Company or any other person, may fire you or otherwise discriminate against you in any way to prevent you from obtaining a welfare benefit or exercising your rights under ERISA.</w:t>
      </w:r>
    </w:p>
    <w:p>
      <w:pPr>
        <w:spacing w:after="0" w:line="180" w:lineRule="exact"/>
        <w:rPr>
          <w:sz w:val="20"/>
          <w:szCs w:val="20"/>
          <w:color w:val="auto"/>
        </w:rPr>
      </w:pPr>
    </w:p>
    <w:p>
      <w:pPr>
        <w:jc w:val="both"/>
        <w:ind w:firstLine="1498"/>
        <w:spacing w:after="0" w:line="258" w:lineRule="auto"/>
        <w:rPr>
          <w:sz w:val="20"/>
          <w:szCs w:val="20"/>
          <w:color w:val="auto"/>
        </w:rPr>
      </w:pPr>
      <w:r>
        <w:rPr>
          <w:rFonts w:ascii="Times New Roman" w:cs="Times New Roman" w:eastAsia="Times New Roman" w:hAnsi="Times New Roman"/>
          <w:sz w:val="22"/>
          <w:szCs w:val="22"/>
          <w:color w:val="auto"/>
        </w:rPr>
        <w:t>18.3 If your claim for a benefit is denied in whole or in part, you have a right to know why this was done, to obtain copies of documents relating to the decision without charge, and to appeal any denial, all within certain time schedules.</w:t>
      </w:r>
    </w:p>
    <w:p>
      <w:pPr>
        <w:spacing w:after="0" w:line="157" w:lineRule="exact"/>
        <w:rPr>
          <w:sz w:val="20"/>
          <w:szCs w:val="20"/>
          <w:color w:val="auto"/>
        </w:rPr>
      </w:pPr>
    </w:p>
    <w:p>
      <w:pPr>
        <w:jc w:val="both"/>
        <w:ind w:firstLine="1498"/>
        <w:spacing w:after="0" w:line="236" w:lineRule="auto"/>
        <w:rPr>
          <w:sz w:val="20"/>
          <w:szCs w:val="20"/>
          <w:color w:val="auto"/>
        </w:rPr>
      </w:pPr>
      <w:r>
        <w:rPr>
          <w:rFonts w:ascii="Times New Roman" w:cs="Times New Roman" w:eastAsia="Times New Roman" w:hAnsi="Times New Roman"/>
          <w:sz w:val="22"/>
          <w:szCs w:val="22"/>
          <w:color w:val="auto"/>
        </w:rPr>
        <w:t>18.4 Under ERISA, there are steps you can take to enforce the above rights. For instance, if you request a copy of Plan documents and do not receive them within 30 days, you may file suit in a federal court. In such a case, the court may require the Administrator to provide the materials and the Company to pay you up to $110 a day until you receive the materials, unless the materials were not sent because of reasons beyond the control of the Administrator. If you have a claim for benefits hereunder which is denied or ignored, in whole or in part, you may file suit in a state or federal court. In addition, if you disagree with the Administrator’s decision, you may file suit in Federal court.</w:t>
      </w:r>
    </w:p>
    <w:p>
      <w:pPr>
        <w:spacing w:after="0" w:line="179" w:lineRule="exact"/>
        <w:rPr>
          <w:sz w:val="20"/>
          <w:szCs w:val="20"/>
          <w:color w:val="auto"/>
        </w:rPr>
      </w:pPr>
    </w:p>
    <w:p>
      <w:pPr>
        <w:jc w:val="both"/>
        <w:ind w:firstLine="1498"/>
        <w:spacing w:after="0" w:line="237" w:lineRule="auto"/>
        <w:rPr>
          <w:sz w:val="20"/>
          <w:szCs w:val="20"/>
          <w:color w:val="auto"/>
        </w:rPr>
      </w:pPr>
      <w:r>
        <w:rPr>
          <w:rFonts w:ascii="Times New Roman" w:cs="Times New Roman" w:eastAsia="Times New Roman" w:hAnsi="Times New Roman"/>
          <w:sz w:val="22"/>
          <w:szCs w:val="22"/>
          <w:color w:val="auto"/>
        </w:rPr>
        <w:t>18.5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80" w:lineRule="exact"/>
        <w:rPr>
          <w:sz w:val="20"/>
          <w:szCs w:val="20"/>
          <w:color w:val="auto"/>
        </w:rPr>
      </w:pPr>
    </w:p>
    <w:p>
      <w:pPr>
        <w:jc w:val="both"/>
        <w:ind w:firstLine="1498"/>
        <w:spacing w:after="0" w:line="235" w:lineRule="auto"/>
        <w:rPr>
          <w:sz w:val="20"/>
          <w:szCs w:val="20"/>
          <w:color w:val="auto"/>
        </w:rPr>
      </w:pPr>
      <w:r>
        <w:rPr>
          <w:rFonts w:ascii="Times New Roman" w:cs="Times New Roman" w:eastAsia="Times New Roman" w:hAnsi="Times New Roman"/>
          <w:sz w:val="22"/>
          <w:szCs w:val="22"/>
          <w:color w:val="auto"/>
        </w:rPr>
        <w:t>18.6 If you have questions about this Plan, you should contact the Administrator. If you have any questions about this statement or about your rights under ERISA, or if you need assistance in obtaining documents from the Administrator, you should contact the nearest office of the Employee Benefits Security Administration, U.S. Department of Labor, listed in the telephone directory or the Division of Technical Assistance and Inquiries, Employee Benefits Security Administration, U.S. Department of Labor, 200 Constitution Avenue, N.W., Washington, D.C. 20210. You also may obtain certain publications about your rights and responsibilities under ERISA by calling the publications hotline of the Employee Benefits Security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1095375</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147" w:name="page148"/>
    <w:bookmarkEnd w:id="147"/>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Other Important Facts</w:t>
      </w:r>
    </w:p>
    <w:p>
      <w:pPr>
        <w:sectPr>
          <w:pgSz w:w="11900" w:h="16838" w:orient="portrait"/>
          <w:cols w:equalWidth="0" w:num="1">
            <w:col w:w="10500"/>
          </w:cols>
          <w:pgMar w:left="760" w:top="1160" w:right="6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PLAN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Vroom, Inc. Executive Severance Plan</w:t>
      </w:r>
    </w:p>
    <w:p>
      <w:pPr>
        <w:spacing w:after="0" w:line="200" w:lineRule="exact"/>
        <w:rPr>
          <w:sz w:val="20"/>
          <w:szCs w:val="20"/>
          <w:color w:val="auto"/>
        </w:rPr>
      </w:pPr>
    </w:p>
    <w:p>
      <w:pPr>
        <w:sectPr>
          <w:pgSz w:w="11900" w:h="16838" w:orient="portrait"/>
          <w:cols w:equalWidth="0" w:num="2">
            <w:col w:w="1440" w:space="720"/>
            <w:col w:w="8340"/>
          </w:cols>
          <w:pgMar w:left="760" w:top="1160" w:right="639" w:bottom="1440" w:gutter="0" w:footer="0" w:header="0"/>
          <w:type w:val="continuous"/>
        </w:sectPr>
      </w:pPr>
    </w:p>
    <w:p>
      <w:pPr>
        <w:spacing w:after="0" w:line="294"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20"/>
          <w:szCs w:val="20"/>
          <w:b w:val="1"/>
          <w:bCs w:val="1"/>
          <w:color w:val="auto"/>
        </w:rPr>
        <w:t>SPONSOR:</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Vroom, Inc.</w:t>
      </w:r>
    </w:p>
    <w:p>
      <w:pPr>
        <w:spacing w:after="0" w:line="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Attn: Legal</w:t>
      </w:r>
    </w:p>
    <w:p>
      <w:pPr>
        <w:spacing w:after="0"/>
        <w:rPr>
          <w:sz w:val="20"/>
          <w:szCs w:val="20"/>
          <w:color w:val="auto"/>
        </w:rPr>
      </w:pPr>
      <w:r>
        <w:rPr>
          <w:rFonts w:ascii="Times New Roman" w:cs="Times New Roman" w:eastAsia="Times New Roman" w:hAnsi="Times New Roman"/>
          <w:sz w:val="20"/>
          <w:szCs w:val="20"/>
          <w:color w:val="auto"/>
        </w:rPr>
        <w:t>3600 W. Sam Houston Parkway 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Floor 4</w:t>
      </w:r>
    </w:p>
    <w:p>
      <w:pPr>
        <w:spacing w:after="0"/>
        <w:rPr>
          <w:sz w:val="20"/>
          <w:szCs w:val="20"/>
          <w:color w:val="auto"/>
        </w:rPr>
      </w:pPr>
      <w:r>
        <w:rPr>
          <w:rFonts w:ascii="Times New Roman" w:cs="Times New Roman" w:eastAsia="Times New Roman" w:hAnsi="Times New Roman"/>
          <w:sz w:val="22"/>
          <w:szCs w:val="22"/>
          <w:color w:val="auto"/>
        </w:rPr>
        <w:t>Houston, TX 77042</w:t>
      </w:r>
    </w:p>
    <w:p>
      <w:pPr>
        <w:spacing w:after="0" w:line="194" w:lineRule="exact"/>
        <w:rPr>
          <w:sz w:val="20"/>
          <w:szCs w:val="20"/>
          <w:color w:val="auto"/>
        </w:rPr>
      </w:pPr>
    </w:p>
    <w:p>
      <w:pPr>
        <w:sectPr>
          <w:pgSz w:w="11900" w:h="16838" w:orient="portrait"/>
          <w:cols w:equalWidth="0" w:num="2">
            <w:col w:w="1400" w:space="320"/>
            <w:col w:w="8780"/>
          </w:cols>
          <w:pgMar w:left="760" w:top="1160" w:right="639" w:bottom="1440" w:gutter="0" w:footer="0" w:header="0"/>
          <w:type w:val="continuous"/>
        </w:sectPr>
      </w:pPr>
    </w:p>
    <w:tbl>
      <w:tblPr>
        <w:tblLayout w:type="fixed"/>
        <w:tblInd w:w="0" w:type="dxa"/>
        <w:tblCellMar>
          <w:top w:w="0" w:type="dxa"/>
          <w:left w:w="0" w:type="dxa"/>
          <w:bottom w:w="0" w:type="dxa"/>
          <w:right w:w="0" w:type="dxa"/>
        </w:tblCellMar>
      </w:tblPr>
      <w:tr>
        <w:trPr>
          <w:trHeight w:val="253"/>
        </w:trPr>
        <w:tc>
          <w:tcPr>
            <w:tcW w:w="2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EMPLOYER</w:t>
            </w:r>
          </w:p>
        </w:tc>
        <w:tc>
          <w:tcPr>
            <w:tcW w:w="1180" w:type="dxa"/>
            <w:vAlign w:val="bottom"/>
          </w:tcPr>
          <w:p>
            <w:pPr>
              <w:spacing w:after="0"/>
              <w:rPr>
                <w:sz w:val="22"/>
                <w:szCs w:val="22"/>
                <w:color w:val="auto"/>
              </w:rPr>
            </w:pPr>
          </w:p>
        </w:tc>
      </w:tr>
      <w:tr>
        <w:trPr>
          <w:trHeight w:val="243"/>
        </w:trPr>
        <w:tc>
          <w:tcPr>
            <w:tcW w:w="2000" w:type="dxa"/>
            <w:vAlign w:val="bottom"/>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IDENTIFICATION</w:t>
            </w:r>
          </w:p>
        </w:tc>
        <w:tc>
          <w:tcPr>
            <w:tcW w:w="1180" w:type="dxa"/>
            <w:vAlign w:val="bottom"/>
          </w:tcPr>
          <w:p>
            <w:pPr>
              <w:spacing w:after="0"/>
              <w:rPr>
                <w:sz w:val="21"/>
                <w:szCs w:val="21"/>
                <w:color w:val="auto"/>
              </w:rPr>
            </w:pPr>
          </w:p>
        </w:tc>
      </w:tr>
      <w:tr>
        <w:trPr>
          <w:trHeight w:val="286"/>
        </w:trPr>
        <w:tc>
          <w:tcPr>
            <w:tcW w:w="20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NUMBER (EIN):</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90-1112566</w:t>
            </w:r>
          </w:p>
        </w:tc>
      </w:tr>
    </w:tbl>
    <w:p>
      <w:pPr>
        <w:spacing w:after="0" w:line="199"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PLAN NUMBER:</w:t>
      </w:r>
      <w:r>
        <w:rPr>
          <w:sz w:val="20"/>
          <w:szCs w:val="20"/>
          <w:color w:val="auto"/>
        </w:rPr>
        <w:tab/>
      </w:r>
      <w:r>
        <w:rPr>
          <w:rFonts w:ascii="Times New Roman" w:cs="Times New Roman" w:eastAsia="Times New Roman" w:hAnsi="Times New Roman"/>
          <w:sz w:val="20"/>
          <w:szCs w:val="20"/>
          <w:color w:val="auto"/>
        </w:rPr>
        <w:t>502</w:t>
      </w:r>
    </w:p>
    <w:p>
      <w:pPr>
        <w:spacing w:after="0" w:line="232"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TYPE OF PLAN:</w:t>
      </w:r>
      <w:r>
        <w:rPr>
          <w:sz w:val="20"/>
          <w:szCs w:val="20"/>
          <w:color w:val="auto"/>
        </w:rPr>
        <w:tab/>
      </w:r>
      <w:r>
        <w:rPr>
          <w:rFonts w:ascii="Times New Roman" w:cs="Times New Roman" w:eastAsia="Times New Roman" w:hAnsi="Times New Roman"/>
          <w:sz w:val="20"/>
          <w:szCs w:val="20"/>
          <w:color w:val="auto"/>
        </w:rPr>
        <w:t>Employee Welfare Severance Benefit Plan</w:t>
      </w:r>
    </w:p>
    <w:p>
      <w:pPr>
        <w:spacing w:after="0" w:line="232" w:lineRule="exact"/>
        <w:rPr>
          <w:sz w:val="20"/>
          <w:szCs w:val="20"/>
          <w:color w:val="auto"/>
        </w:rPr>
      </w:pPr>
    </w:p>
    <w:p>
      <w:pPr>
        <w:jc w:val="both"/>
        <w:ind w:left="2040" w:hanging="2994"/>
        <w:spacing w:after="0" w:line="245" w:lineRule="auto"/>
        <w:tabs>
          <w:tab w:leader="none" w:pos="2020" w:val="left"/>
        </w:tabs>
        <w:rPr>
          <w:sz w:val="20"/>
          <w:szCs w:val="20"/>
          <w:color w:val="auto"/>
        </w:rPr>
      </w:pPr>
      <w:r>
        <w:rPr>
          <w:rFonts w:ascii="Times New Roman" w:cs="Times New Roman" w:eastAsia="Times New Roman" w:hAnsi="Times New Roman"/>
          <w:sz w:val="22"/>
          <w:szCs w:val="22"/>
          <w:b w:val="1"/>
          <w:bCs w:val="1"/>
          <w:color w:val="auto"/>
        </w:rPr>
        <w:t>PLAN YEAR:</w:t>
      </w:r>
      <w:r>
        <w:rPr>
          <w:sz w:val="20"/>
          <w:szCs w:val="20"/>
          <w:color w:val="auto"/>
        </w:rPr>
        <w:tab/>
      </w:r>
      <w:r>
        <w:rPr>
          <w:rFonts w:ascii="Times New Roman" w:cs="Times New Roman" w:eastAsia="Times New Roman" w:hAnsi="Times New Roman"/>
          <w:sz w:val="22"/>
          <w:szCs w:val="22"/>
          <w:color w:val="auto"/>
        </w:rPr>
        <w:t>The Plan Year (if any) shall begin on each January 1 and end on each December 31. However, the first Plan Year for this Plan shall begin on March 1, 2021 and end on December 31, 2021.</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TYPE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ADMINISTRATION: </w:t>
      </w:r>
      <w:r>
        <w:rPr>
          <w:rFonts w:ascii="Times New Roman" w:cs="Times New Roman" w:eastAsia="Times New Roman" w:hAnsi="Times New Roman"/>
          <w:sz w:val="22"/>
          <w:szCs w:val="22"/>
          <w:color w:val="auto"/>
        </w:rPr>
        <w:t>Self-Administered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w:t>
      </w:r>
    </w:p>
    <w:p>
      <w:pPr>
        <w:spacing w:after="0" w:line="7"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22"/>
          <w:szCs w:val="22"/>
          <w:b w:val="1"/>
          <w:bCs w:val="1"/>
          <w:color w:val="auto"/>
        </w:rPr>
        <w:t>ADMINISTRATOR:</w:t>
      </w:r>
      <w:r>
        <w:rPr>
          <w:sz w:val="20"/>
          <w:szCs w:val="20"/>
          <w:color w:val="auto"/>
        </w:rPr>
        <w:tab/>
      </w:r>
      <w:r>
        <w:rPr>
          <w:rFonts w:ascii="Times New Roman" w:cs="Times New Roman" w:eastAsia="Times New Roman" w:hAnsi="Times New Roman"/>
          <w:sz w:val="20"/>
          <w:szCs w:val="20"/>
          <w:color w:val="auto"/>
        </w:rPr>
        <w:t>Vroom, Inc.</w:t>
      </w:r>
    </w:p>
    <w:p>
      <w:pPr>
        <w:ind w:left="3320"/>
        <w:spacing w:after="0" w:line="230" w:lineRule="auto"/>
        <w:rPr>
          <w:sz w:val="20"/>
          <w:szCs w:val="20"/>
          <w:color w:val="auto"/>
        </w:rPr>
      </w:pPr>
      <w:r>
        <w:rPr>
          <w:rFonts w:ascii="Times New Roman" w:cs="Times New Roman" w:eastAsia="Times New Roman" w:hAnsi="Times New Roman"/>
          <w:sz w:val="22"/>
          <w:szCs w:val="22"/>
          <w:color w:val="auto"/>
        </w:rPr>
        <w:t>Attn: Legal</w:t>
      </w:r>
    </w:p>
    <w:p>
      <w:pPr>
        <w:ind w:left="1720"/>
        <w:spacing w:after="0" w:line="230" w:lineRule="auto"/>
        <w:rPr>
          <w:sz w:val="20"/>
          <w:szCs w:val="20"/>
          <w:color w:val="auto"/>
        </w:rPr>
      </w:pPr>
      <w:r>
        <w:rPr>
          <w:rFonts w:ascii="Times New Roman" w:cs="Times New Roman" w:eastAsia="Times New Roman" w:hAnsi="Times New Roman"/>
          <w:sz w:val="22"/>
          <w:szCs w:val="22"/>
          <w:color w:val="auto"/>
        </w:rPr>
        <w:t>3600 W. Sam Houston Parkway S.</w:t>
      </w:r>
    </w:p>
    <w:p>
      <w:pPr>
        <w:ind w:left="1720"/>
        <w:spacing w:after="0" w:line="230" w:lineRule="auto"/>
        <w:rPr>
          <w:sz w:val="20"/>
          <w:szCs w:val="20"/>
          <w:color w:val="auto"/>
        </w:rPr>
      </w:pPr>
      <w:r>
        <w:rPr>
          <w:rFonts w:ascii="Times New Roman" w:cs="Times New Roman" w:eastAsia="Times New Roman" w:hAnsi="Times New Roman"/>
          <w:sz w:val="22"/>
          <w:szCs w:val="22"/>
          <w:color w:val="auto"/>
        </w:rPr>
        <w:t>Floor 4</w:t>
      </w:r>
    </w:p>
    <w:p>
      <w:pPr>
        <w:ind w:left="1720"/>
        <w:spacing w:after="0" w:line="231" w:lineRule="auto"/>
        <w:rPr>
          <w:sz w:val="20"/>
          <w:szCs w:val="20"/>
          <w:color w:val="auto"/>
        </w:rPr>
      </w:pPr>
      <w:r>
        <w:rPr>
          <w:rFonts w:ascii="Times New Roman" w:cs="Times New Roman" w:eastAsia="Times New Roman" w:hAnsi="Times New Roman"/>
          <w:sz w:val="22"/>
          <w:szCs w:val="22"/>
          <w:color w:val="auto"/>
        </w:rPr>
        <w:t>Houston, TX 77042</w:t>
      </w:r>
    </w:p>
    <w:p>
      <w:pPr>
        <w:ind w:left="1720"/>
        <w:spacing w:after="0"/>
        <w:rPr>
          <w:sz w:val="20"/>
          <w:szCs w:val="20"/>
          <w:color w:val="auto"/>
        </w:rPr>
      </w:pPr>
      <w:r>
        <w:rPr>
          <w:rFonts w:ascii="Times New Roman" w:cs="Times New Roman" w:eastAsia="Times New Roman" w:hAnsi="Times New Roman"/>
          <w:sz w:val="22"/>
          <w:szCs w:val="22"/>
          <w:color w:val="auto"/>
        </w:rPr>
        <w:t>855-524-1300</w:t>
      </w:r>
    </w:p>
    <w:p>
      <w:pPr>
        <w:spacing w:after="0" w:line="204" w:lineRule="exact"/>
        <w:rPr>
          <w:sz w:val="20"/>
          <w:szCs w:val="20"/>
          <w:color w:val="auto"/>
        </w:rPr>
      </w:pPr>
    </w:p>
    <w:p>
      <w:pPr>
        <w:ind w:left="320"/>
        <w:spacing w:after="0"/>
        <w:tabs>
          <w:tab w:leader="none" w:pos="2460" w:val="left"/>
        </w:tabs>
        <w:rPr>
          <w:sz w:val="20"/>
          <w:szCs w:val="20"/>
          <w:color w:val="auto"/>
        </w:rPr>
      </w:pPr>
      <w:r>
        <w:rPr>
          <w:rFonts w:ascii="Times New Roman" w:cs="Times New Roman" w:eastAsia="Times New Roman" w:hAnsi="Times New Roman"/>
          <w:sz w:val="22"/>
          <w:szCs w:val="22"/>
          <w:b w:val="1"/>
          <w:bCs w:val="1"/>
          <w:color w:val="auto"/>
        </w:rPr>
        <w:t>LEGAL PROCESS:</w:t>
      </w:r>
      <w:r>
        <w:rPr>
          <w:sz w:val="20"/>
          <w:szCs w:val="20"/>
          <w:color w:val="auto"/>
        </w:rPr>
        <w:tab/>
      </w:r>
      <w:r>
        <w:rPr>
          <w:rFonts w:ascii="Times New Roman" w:cs="Times New Roman" w:eastAsia="Times New Roman" w:hAnsi="Times New Roman"/>
          <w:sz w:val="20"/>
          <w:szCs w:val="20"/>
          <w:color w:val="auto"/>
        </w:rPr>
        <w:t>Legal process with respect to the Plan may be served upon the Plan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1576070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60" w:top="1160" w:right="639" w:bottom="1440" w:gutter="0" w:footer="0" w:header="0"/>
          <w:type w:val="continuous"/>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Definitions</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Whenever used in this Plan, the following terms shall have the meanings set forth below:</w:t>
      </w:r>
    </w:p>
    <w:p>
      <w:pPr>
        <w:spacing w:after="0" w:line="226" w:lineRule="exact"/>
        <w:rPr>
          <w:sz w:val="20"/>
          <w:szCs w:val="20"/>
          <w:color w:val="auto"/>
        </w:rPr>
      </w:pPr>
    </w:p>
    <w:p>
      <w:pPr>
        <w:jc w:val="both"/>
        <w:ind w:firstLine="757"/>
        <w:spacing w:after="0" w:line="246" w:lineRule="auto"/>
        <w:tabs>
          <w:tab w:leader="none" w:pos="10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Base Salary Rate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Participant’s annual base salary rate in effect immediately prior to the Participant’s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Separation from Service; provided, that a Participant’s Base Salary Rate shall not give effect to any reduction in base salary that would be Good Reason hereunder.</w:t>
      </w:r>
    </w:p>
    <w:p>
      <w:pPr>
        <w:spacing w:after="0" w:line="165" w:lineRule="exact"/>
        <w:rPr>
          <w:rFonts w:ascii="Times New Roman" w:cs="Times New Roman" w:eastAsia="Times New Roman" w:hAnsi="Times New Roman"/>
          <w:sz w:val="22"/>
          <w:szCs w:val="22"/>
          <w:color w:val="auto"/>
        </w:rPr>
      </w:pPr>
    </w:p>
    <w:p>
      <w:pPr>
        <w:jc w:val="both"/>
        <w:ind w:firstLine="757"/>
        <w:spacing w:after="0" w:line="234" w:lineRule="auto"/>
        <w:tabs>
          <w:tab w:leader="none" w:pos="10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occurrence of any of the following: (1) the Participant’s willful failure to substantially perform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Participant’s duties to the Company (other than any such failure resulting from the Participant’s incapacity due to physical or mental illness or any such actual or anticipated failure after Participant’s issuance of a notice of termination for Good Reason), after a written demand for performance is delivered to the Participant by the Board or the Chief Executive Officer of the Company, which demand specifically identifies the manner in which the Board or the Chief Executive Officer of the Company believes that the Participant has not performed Participant’s duties; (2) the Participant’s commission of an act of fraud or material dishonesty resulting in reputational, economic or financial injury to the Company; (3) the Participant’s commission of, including any entry by the Participant of a guilty or no contest plea to, a felony or other crime involving moral turpitude; (4) a material breach by the Participant of Participant’s fiduciary duty to the Company which results in reputational, economic, or other injury to the Company; or (5) the Participant’s material breach of the Participant’s obligation under a written agreement between the Company and the Participant.</w:t>
      </w:r>
    </w:p>
    <w:p>
      <w:pPr>
        <w:spacing w:after="0" w:line="172" w:lineRule="exact"/>
        <w:rPr>
          <w:rFonts w:ascii="Times New Roman" w:cs="Times New Roman" w:eastAsia="Times New Roman" w:hAnsi="Times New Roman"/>
          <w:sz w:val="22"/>
          <w:szCs w:val="22"/>
          <w:color w:val="auto"/>
        </w:rPr>
      </w:pPr>
    </w:p>
    <w:p>
      <w:pPr>
        <w:ind w:right="20" w:firstLine="757"/>
        <w:spacing w:after="0" w:line="263" w:lineRule="auto"/>
        <w:tabs>
          <w:tab w:leader="none" w:pos="1072"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has the meaning given in the Company’s 2020 Incentive Award Plan, as may be amended from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time to time.</w:t>
      </w:r>
    </w:p>
    <w:p>
      <w:pPr>
        <w:spacing w:after="0" w:line="146" w:lineRule="exact"/>
        <w:rPr>
          <w:rFonts w:ascii="Times New Roman" w:cs="Times New Roman" w:eastAsia="Times New Roman" w:hAnsi="Times New Roman"/>
          <w:sz w:val="22"/>
          <w:szCs w:val="22"/>
          <w:color w:val="auto"/>
        </w:rPr>
      </w:pPr>
    </w:p>
    <w:p>
      <w:pPr>
        <w:ind w:firstLine="757"/>
        <w:spacing w:after="0" w:line="263" w:lineRule="auto"/>
        <w:tabs>
          <w:tab w:leader="none" w:pos="10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Change in Control Period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period beginning on the date that is three (3) months prior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consummation of the Change in Control and ending on the twelve (12)-month anniversary of such Change in Control.</w:t>
      </w:r>
    </w:p>
    <w:p>
      <w:pPr>
        <w:spacing w:after="0" w:line="146" w:lineRule="exact"/>
        <w:rPr>
          <w:rFonts w:ascii="Times New Roman" w:cs="Times New Roman" w:eastAsia="Times New Roman" w:hAnsi="Times New Roman"/>
          <w:sz w:val="22"/>
          <w:szCs w:val="22"/>
          <w:color w:val="auto"/>
        </w:rPr>
      </w:pPr>
    </w:p>
    <w:p>
      <w:pPr>
        <w:ind w:firstLine="757"/>
        <w:spacing w:after="0" w:line="263" w:lineRule="auto"/>
        <w:tabs>
          <w:tab w:leader="none" w:pos="10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CIC Severance Multiplier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with respect to any Participant other than the Company’s Chief Executive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Officer, one and a half (1.5).</w:t>
      </w:r>
    </w:p>
    <w:p>
      <w:pPr>
        <w:spacing w:after="0" w:line="146" w:lineRule="exact"/>
        <w:rPr>
          <w:rFonts w:ascii="Times New Roman" w:cs="Times New Roman" w:eastAsia="Times New Roman" w:hAnsi="Times New Roman"/>
          <w:sz w:val="22"/>
          <w:szCs w:val="22"/>
          <w:color w:val="auto"/>
        </w:rPr>
      </w:pPr>
    </w:p>
    <w:p>
      <w:pPr>
        <w:ind w:firstLine="757"/>
        <w:spacing w:after="0" w:line="263" w:lineRule="auto"/>
        <w:tabs>
          <w:tab w:leader="none" w:pos="101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COBRA Continuation Period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with respect to any Participant, commence upon such Participant’s termination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employment and end after the lapse of:</w:t>
      </w:r>
    </w:p>
    <w:p>
      <w:pPr>
        <w:spacing w:after="0" w:line="152"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Participant is the Company’s Chief Executive Officer, eighteen (18) months; and</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Participant other than the Company’s Chief Executive Officer, twelve (12) months.</w:t>
      </w:r>
    </w:p>
    <w:p>
      <w:pPr>
        <w:spacing w:after="0" w:line="199" w:lineRule="exact"/>
        <w:rPr>
          <w:rFonts w:ascii="Times New Roman" w:cs="Times New Roman" w:eastAsia="Times New Roman" w:hAnsi="Times New Roman"/>
          <w:sz w:val="22"/>
          <w:szCs w:val="22"/>
          <w:color w:val="auto"/>
        </w:rPr>
      </w:pPr>
    </w:p>
    <w:p>
      <w:pPr>
        <w:ind w:firstLine="757"/>
        <w:spacing w:after="0" w:line="314"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the Internal Revenue Code of 1986, as amended, or any successor thereto and any applicable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regulations (including proposed or temporary regulations) and other Internal Revenue Service guidance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910590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149" w:name="page150"/>
    <w:bookmarkEnd w:id="149"/>
    <w:p>
      <w:pPr>
        <w:ind w:left="1020" w:hanging="263"/>
        <w:spacing w:after="0"/>
        <w:tabs>
          <w:tab w:leader="none" w:pos="102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Compensation Committee of the Board.</w:t>
      </w:r>
    </w:p>
    <w:p>
      <w:pPr>
        <w:spacing w:after="0" w:line="205" w:lineRule="exact"/>
        <w:rPr>
          <w:rFonts w:ascii="Times New Roman" w:cs="Times New Roman" w:eastAsia="Times New Roman" w:hAnsi="Times New Roman"/>
          <w:sz w:val="22"/>
          <w:szCs w:val="22"/>
          <w:color w:val="auto"/>
        </w:rPr>
      </w:pPr>
    </w:p>
    <w:p>
      <w:pPr>
        <w:ind w:right="20" w:firstLine="757"/>
        <w:spacing w:after="0" w:line="263" w:lineRule="auto"/>
        <w:tabs>
          <w:tab w:leader="none" w:pos="101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Vroom, Inc., and, following a Change in Control, a Successor that agrees to assume all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terms and provisions of this Plan or a Successor which otherwise becomes bound by operation of law to this Plan.</w:t>
      </w:r>
    </w:p>
    <w:p>
      <w:pPr>
        <w:spacing w:after="0" w:line="146" w:lineRule="exact"/>
        <w:rPr>
          <w:rFonts w:ascii="Times New Roman" w:cs="Times New Roman" w:eastAsia="Times New Roman" w:hAnsi="Times New Roman"/>
          <w:sz w:val="22"/>
          <w:szCs w:val="22"/>
          <w:color w:val="auto"/>
        </w:rPr>
      </w:pPr>
    </w:p>
    <w:p>
      <w:pPr>
        <w:ind w:firstLine="757"/>
        <w:spacing w:after="0" w:line="263" w:lineRule="auto"/>
        <w:tabs>
          <w:tab w:leader="none" w:pos="101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group consisting of the Company and each present or future parent and subsidiary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corporation or other business entity thereof.</w:t>
      </w:r>
    </w:p>
    <w:p>
      <w:pPr>
        <w:spacing w:after="0" w:line="146" w:lineRule="exact"/>
        <w:rPr>
          <w:rFonts w:ascii="Times New Roman" w:cs="Times New Roman" w:eastAsia="Times New Roman" w:hAnsi="Times New Roman"/>
          <w:sz w:val="22"/>
          <w:szCs w:val="22"/>
          <w:color w:val="auto"/>
        </w:rPr>
      </w:pPr>
    </w:p>
    <w:p>
      <w:pPr>
        <w:ind w:firstLine="757"/>
        <w:spacing w:after="0" w:line="263" w:lineRule="auto"/>
        <w:tabs>
          <w:tab w:leader="none" w:pos="101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that the Participant has become entitled to receive benefits under an applicable Company long-term disability plan or, if no such plan covers the Participant, as determined in the reasonable discretion of the Board.</w:t>
      </w:r>
    </w:p>
    <w:p>
      <w:pPr>
        <w:spacing w:after="0" w:line="146" w:lineRule="exact"/>
        <w:rPr>
          <w:rFonts w:ascii="Times New Roman" w:cs="Times New Roman" w:eastAsia="Times New Roman" w:hAnsi="Times New Roman"/>
          <w:sz w:val="22"/>
          <w:szCs w:val="22"/>
          <w:color w:val="auto"/>
        </w:rPr>
      </w:pPr>
    </w:p>
    <w:p>
      <w:pPr>
        <w:ind w:firstLine="757"/>
        <w:spacing w:after="0" w:line="263" w:lineRule="auto"/>
        <w:tabs>
          <w:tab w:leader="none" w:pos="101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Equity Award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any Option, Stock Appreciation Rights, Restricted Stock, Restricted Stock Units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stock-based compensation award.</w:t>
      </w:r>
    </w:p>
    <w:p>
      <w:pPr>
        <w:spacing w:after="0" w:line="14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(m)</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the occurrence of any of the following conditions without the Participant’s informed written consent unless the Company fully corrects the circumstances constituting Good Reason (provided such circumstances are capable of correction):</w:t>
      </w:r>
    </w:p>
    <w:p>
      <w:pPr>
        <w:spacing w:after="0" w:line="172" w:lineRule="exact"/>
        <w:rPr>
          <w:sz w:val="20"/>
          <w:szCs w:val="20"/>
          <w:color w:val="auto"/>
        </w:rPr>
      </w:pPr>
    </w:p>
    <w:p>
      <w:pPr>
        <w:jc w:val="both"/>
        <w:ind w:firstLine="1505"/>
        <w:spacing w:after="0" w:line="280" w:lineRule="auto"/>
        <w:tabs>
          <w:tab w:leader="none" w:pos="2037"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the Participant’s position (including status, offices, titles and reporting requirements), authority, duties or responsibilities, excluding for this purpose any isolated, insubstantial or inadvertent actions not taken in bad faith and which are remedied by the Company promptly after receipt of notice thereof given by the Participant; or</w:t>
      </w:r>
    </w:p>
    <w:p>
      <w:pPr>
        <w:spacing w:after="0" w:line="13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material reduction in Participant’s base salary, as the same may be increased from time to</w:t>
      </w:r>
    </w:p>
    <w:p>
      <w:pPr>
        <w:spacing w:after="0" w:line="3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time; or</w:t>
      </w:r>
    </w:p>
    <w:p>
      <w:pPr>
        <w:spacing w:after="0" w:line="181" w:lineRule="exact"/>
        <w:rPr>
          <w:rFonts w:ascii="Times New Roman" w:cs="Times New Roman" w:eastAsia="Times New Roman" w:hAnsi="Times New Roman"/>
          <w:sz w:val="20"/>
          <w:szCs w:val="20"/>
          <w:color w:val="auto"/>
        </w:rPr>
      </w:pPr>
    </w:p>
    <w:p>
      <w:pPr>
        <w:ind w:firstLine="1505"/>
        <w:spacing w:after="0" w:line="258" w:lineRule="auto"/>
        <w:tabs>
          <w:tab w:leader="none" w:pos="2037"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change in the geographic location of the Participant’s principal location as of the date hereof, which shall, in any event, include only a relocation of more than twenty-five (25) miles from such principal location; or</w:t>
      </w:r>
    </w:p>
    <w:p>
      <w:pPr>
        <w:spacing w:after="0" w:line="15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breach of this Plan by the Company Group with respect to the Participant.</w:t>
      </w:r>
    </w:p>
    <w:p>
      <w:pPr>
        <w:spacing w:after="0" w:line="2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the foregoing, the Participant will not be deemed to have resigned for Good Reason unless (1) the Participant provides the Company with written notice setting forth in reasonable detail the facts and circumstances claimed by the Participant to constitute Good Reason within sixty (60) days after the date of the occurrence of any event that the Participant knows or should reasonably have known to constitute Good Reason, (2) the Company fails to cure such acts or omissions within thirty (30) days following its receipt of such notice, and (3) the effective date of the Participant’s termination for Good Reason occurs no later than sixty (60) days after the expiration of the Company’s cure period.</w:t>
      </w:r>
    </w:p>
    <w:p>
      <w:pPr>
        <w:spacing w:after="0" w:line="187" w:lineRule="exact"/>
        <w:rPr>
          <w:sz w:val="20"/>
          <w:szCs w:val="20"/>
          <w:color w:val="auto"/>
        </w:rPr>
      </w:pPr>
    </w:p>
    <w:p>
      <w:pPr>
        <w:jc w:val="both"/>
        <w:ind w:firstLine="757"/>
        <w:spacing w:after="0" w:line="246"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any option to purchase shares of the capital stock of the Company or of any other member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Group granted to a Participant by the Company or any other Company Group member, whether granted before or after a Change in Control.</w:t>
      </w:r>
    </w:p>
    <w:p>
      <w:pPr>
        <w:spacing w:after="0" w:line="165"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each individual who listed on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8" w:right="339" w:bottom="1440" w:gutter="0" w:footer="0" w:header="0"/>
        </w:sectPr>
      </w:pPr>
    </w:p>
    <w:bookmarkStart w:id="150" w:name="page151"/>
    <w:bookmarkEnd w:id="150"/>
    <w:p>
      <w:pPr>
        <w:ind w:left="263" w:hanging="263"/>
        <w:spacing w:after="0"/>
        <w:tabs>
          <w:tab w:leader="none" w:pos="26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Payroll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last day of a payroll period.</w:t>
      </w:r>
    </w:p>
    <w:p>
      <w:pPr>
        <w:spacing w:after="0" w:line="205" w:lineRule="exact"/>
        <w:rPr>
          <w:rFonts w:ascii="Times New Roman" w:cs="Times New Roman" w:eastAsia="Times New Roman" w:hAnsi="Times New Roman"/>
          <w:sz w:val="22"/>
          <w:szCs w:val="22"/>
          <w:color w:val="auto"/>
        </w:rPr>
      </w:pPr>
    </w:p>
    <w:p>
      <w:pPr>
        <w:ind w:left="-757" w:right="20" w:firstLine="757"/>
        <w:spacing w:after="0" w:line="263" w:lineRule="auto"/>
        <w:tabs>
          <w:tab w:leader="none" w:pos="26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 general release of claims in favor of the Company, the Company Group, its/their affiliates,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its/their respective officers, directors, employees, and agents in a form provided by the Company.</w:t>
      </w:r>
    </w:p>
    <w:p>
      <w:pPr>
        <w:spacing w:after="0" w:line="146" w:lineRule="exact"/>
        <w:rPr>
          <w:rFonts w:ascii="Times New Roman" w:cs="Times New Roman" w:eastAsia="Times New Roman" w:hAnsi="Times New Roman"/>
          <w:sz w:val="22"/>
          <w:szCs w:val="22"/>
          <w:color w:val="auto"/>
        </w:rPr>
      </w:pPr>
    </w:p>
    <w:p>
      <w:pPr>
        <w:jc w:val="both"/>
        <w:ind w:left="-757" w:firstLine="757"/>
        <w:spacing w:after="0" w:line="273" w:lineRule="auto"/>
        <w:tabs>
          <w:tab w:leader="none" w:pos="26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Release Deadline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means, with respect to a Participant who is age forty (40) or older on the date of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Participant’s Separation from Service, the date which is forty five (45) days following the Participant’s Separation from Service. With respect to a Participant who is younger than age forty (40) on the date of such Participant’s Separation from Service, the “Release Deadline” shall be the date which is twenty one (21) days following the Participant’s Separation from Service.</w:t>
      </w:r>
    </w:p>
    <w:p>
      <w:pPr>
        <w:spacing w:after="0" w:line="140" w:lineRule="exact"/>
        <w:rPr>
          <w:rFonts w:ascii="Times New Roman" w:cs="Times New Roman" w:eastAsia="Times New Roman" w:hAnsi="Times New Roman"/>
          <w:sz w:val="20"/>
          <w:szCs w:val="20"/>
          <w:color w:val="auto"/>
        </w:rPr>
      </w:pPr>
    </w:p>
    <w:p>
      <w:pPr>
        <w:ind w:left="-757" w:firstLine="757"/>
        <w:spacing w:after="0" w:line="263" w:lineRule="auto"/>
        <w:tabs>
          <w:tab w:leader="none" w:pos="26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Restricted Period</w:t>
      </w:r>
      <w:r>
        <w:rPr>
          <w:rFonts w:ascii="Times New Roman" w:cs="Times New Roman" w:eastAsia="Times New Roman" w:hAnsi="Times New Roman"/>
          <w:sz w:val="22"/>
          <w:szCs w:val="22"/>
          <w:color w:val="auto"/>
        </w:rPr>
        <w:t>” shall, with respect to any Participant, commence on such Participant’s termination of employment and end after the lapse of:</w:t>
      </w:r>
    </w:p>
    <w:p>
      <w:pPr>
        <w:spacing w:after="0" w:line="152"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Participant is the Company’s Chief Executive Officer, eighteen (18) months: and</w:t>
      </w:r>
    </w:p>
    <w:p>
      <w:pPr>
        <w:spacing w:after="0" w:line="205" w:lineRule="exact"/>
        <w:rPr>
          <w:rFonts w:ascii="Times New Roman" w:cs="Times New Roman" w:eastAsia="Times New Roman" w:hAnsi="Times New Roman"/>
          <w:sz w:val="22"/>
          <w:szCs w:val="22"/>
          <w:color w:val="auto"/>
        </w:rPr>
      </w:pPr>
    </w:p>
    <w:p>
      <w:pPr>
        <w:ind w:left="1283" w:hanging="535"/>
        <w:spacing w:after="0"/>
        <w:tabs>
          <w:tab w:leader="none" w:pos="1283"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Participant other than the Company’s Chief Executive Officer, twelve (12) months.</w:t>
      </w:r>
    </w:p>
    <w:p>
      <w:pPr>
        <w:spacing w:after="0" w:line="199" w:lineRule="exact"/>
        <w:rPr>
          <w:rFonts w:ascii="Times New Roman" w:cs="Times New Roman" w:eastAsia="Times New Roman" w:hAnsi="Times New Roman"/>
          <w:sz w:val="22"/>
          <w:szCs w:val="22"/>
          <w:color w:val="auto"/>
        </w:rPr>
      </w:pPr>
    </w:p>
    <w:p>
      <w:pPr>
        <w:jc w:val="both"/>
        <w:ind w:left="-757" w:firstLine="757"/>
        <w:spacing w:after="0" w:line="241" w:lineRule="auto"/>
        <w:tabs>
          <w:tab w:leader="none" w:pos="26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any compensatory award of shares of the capital stock of the Company or of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member of the Company Group granted to a Participant by the Company or any other Company Group member or acquired upon the exercise of an Option, whether such shares are granted or acquired before or after a Change in Control, including any shares issued in exchange for any such shares by a Successor or any other member of the Company Group.</w:t>
      </w:r>
    </w:p>
    <w:p>
      <w:pPr>
        <w:spacing w:after="0" w:line="170" w:lineRule="exact"/>
        <w:rPr>
          <w:rFonts w:ascii="Times New Roman" w:cs="Times New Roman" w:eastAsia="Times New Roman" w:hAnsi="Times New Roman"/>
          <w:sz w:val="22"/>
          <w:szCs w:val="22"/>
          <w:color w:val="auto"/>
        </w:rPr>
      </w:pPr>
    </w:p>
    <w:p>
      <w:pPr>
        <w:jc w:val="both"/>
        <w:ind w:left="-757" w:firstLine="757"/>
        <w:spacing w:after="0" w:line="238" w:lineRule="auto"/>
        <w:tabs>
          <w:tab w:leader="none" w:pos="262"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Restricted Stock Units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 any compensatory award of rights to receive shares of the capital stock or cash in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 measured by the value of shares of the capital stock of the Company or of any other member of the Company Group at one or more specified future times or upon the satisfaction of one or more specified conditions granted to a Participant by the Company or any other Company Group member, whether such awards are granted before or after a Change in Control, including any such awards granted in exchange for such awards by a Successor or any other member of the Company Group.</w:t>
      </w:r>
    </w:p>
    <w:p>
      <w:pPr>
        <w:spacing w:after="0" w:line="174" w:lineRule="exact"/>
        <w:rPr>
          <w:rFonts w:ascii="Times New Roman" w:cs="Times New Roman" w:eastAsia="Times New Roman" w:hAnsi="Times New Roman"/>
          <w:sz w:val="22"/>
          <w:szCs w:val="22"/>
          <w:color w:val="auto"/>
        </w:rPr>
      </w:pPr>
    </w:p>
    <w:p>
      <w:pPr>
        <w:ind w:left="263" w:hanging="263"/>
        <w:spacing w:after="0"/>
        <w:tabs>
          <w:tab w:leader="none" w:pos="26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Section 409A of the Code.</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(w)</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 “separation from service” as defined in Section 409A.</w:t>
      </w:r>
    </w:p>
    <w:p>
      <w:pPr>
        <w:spacing w:after="0" w:line="205" w:lineRule="exact"/>
        <w:rPr>
          <w:sz w:val="20"/>
          <w:szCs w:val="20"/>
          <w:color w:val="auto"/>
        </w:rPr>
      </w:pPr>
    </w:p>
    <w:p>
      <w:pPr>
        <w:ind w:left="783" w:hanging="499"/>
        <w:spacing w:after="0"/>
        <w:tabs>
          <w:tab w:leader="none" w:pos="78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Severance Amount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with respect to any Participant, mean:</w:t>
      </w:r>
    </w:p>
    <w:p>
      <w:pPr>
        <w:spacing w:after="0" w:line="211" w:lineRule="exact"/>
        <w:rPr>
          <w:rFonts w:ascii="Times New Roman" w:cs="Times New Roman" w:eastAsia="Times New Roman" w:hAnsi="Times New Roman"/>
          <w:sz w:val="22"/>
          <w:szCs w:val="22"/>
          <w:color w:val="auto"/>
        </w:rPr>
      </w:pPr>
    </w:p>
    <w:p>
      <w:pPr>
        <w:ind w:left="-757" w:right="460" w:firstLine="1505"/>
        <w:spacing w:after="0" w:line="244" w:lineRule="auto"/>
        <w:tabs>
          <w:tab w:leader="none" w:pos="128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Participant is the Company’s Chief Executive Officer, the product of (A) the sum of (i) the Participant’s Base Salary Rate and (ii) target annual bonus in effect as of the A&amp;R Effective Date (i.e. 150% of Participant’s annual base salary), multiplied by (B) one and a half (1.5);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953135</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158" w:right="339" w:bottom="1440" w:gutter="0" w:footer="0" w:header="0"/>
        </w:sectPr>
      </w:pPr>
    </w:p>
    <w:bookmarkStart w:id="151" w:name="page152"/>
    <w:bookmarkEnd w:id="151"/>
    <w:p>
      <w:pPr>
        <w:ind w:left="2040" w:hanging="535"/>
        <w:spacing w:after="0"/>
        <w:tabs>
          <w:tab w:leader="none" w:pos="2040" w:val="left"/>
        </w:tabs>
        <w:numPr>
          <w:ilvl w:val="2"/>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Participant other than the Company’s Chief Executive Officer, an aggregate amount equal to twelve</w:t>
      </w:r>
    </w:p>
    <w:p>
      <w:pPr>
        <w:spacing w:after="0" w:line="36" w:lineRule="exact"/>
        <w:rPr>
          <w:rFonts w:ascii="Times New Roman" w:cs="Times New Roman" w:eastAsia="Times New Roman" w:hAnsi="Times New Roman"/>
          <w:sz w:val="20"/>
          <w:szCs w:val="20"/>
          <w:color w:val="auto"/>
        </w:rPr>
      </w:pPr>
    </w:p>
    <w:p>
      <w:pPr>
        <w:ind w:left="420" w:hanging="412"/>
        <w:spacing w:after="0"/>
        <w:tabs>
          <w:tab w:leader="none" w:pos="42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of such Participant’s Base Salary Rate.</w:t>
      </w:r>
    </w:p>
    <w:p>
      <w:pPr>
        <w:spacing w:after="0" w:line="175" w:lineRule="exact"/>
        <w:rPr>
          <w:rFonts w:ascii="Times New Roman" w:cs="Times New Roman" w:eastAsia="Times New Roman" w:hAnsi="Times New Roman"/>
          <w:sz w:val="22"/>
          <w:szCs w:val="22"/>
          <w:color w:val="auto"/>
        </w:rPr>
      </w:pPr>
    </w:p>
    <w:p>
      <w:pPr>
        <w:ind w:right="100" w:firstLine="757"/>
        <w:spacing w:after="0" w:line="263" w:lineRule="auto"/>
        <w:tabs>
          <w:tab w:leader="none" w:pos="101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Severance Period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with respect to any Participant, commence upon the date of such Participant’s termination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employment and end after the lapse of four (4) months.</w:t>
      </w:r>
    </w:p>
    <w:p>
      <w:pPr>
        <w:spacing w:after="0" w:line="14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Specified Employee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 specified employee of the Company Group as defined in Section 409A.</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(aa)</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Stock Appreciation Right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any award consisting of the right to receive payment, for each share of the capital stock of the Company or of any other member of the Company Group subject to such award, of an amount equal to the excess, if any, of the fair market value of such share on the date of exercise of the award over the exercise price for such share granted to a Participant by the Company or any other Company Group member, whether such awards are granted before or after a Change in Control, including any such awards granted in exchange for such awards by a Successor or any other member of the Company Group.</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(bb)</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Successor</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any successor in interest to substantially all of the business and/or assets of the Company.</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(cc)</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Termination Upon a Change in Control</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the occurrence of any of the following events:</w:t>
      </w:r>
    </w:p>
    <w:p>
      <w:pPr>
        <w:spacing w:after="0" w:line="211" w:lineRule="exact"/>
        <w:rPr>
          <w:sz w:val="20"/>
          <w:szCs w:val="20"/>
          <w:color w:val="auto"/>
        </w:rPr>
      </w:pPr>
    </w:p>
    <w:p>
      <w:pPr>
        <w:ind w:firstLine="1595"/>
        <w:spacing w:after="0" w:line="258" w:lineRule="auto"/>
        <w:tabs>
          <w:tab w:leader="none" w:pos="203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by the Company Group of the Participant’s employment for any reason other than Cause during the Change in Control Period; or</w:t>
      </w:r>
    </w:p>
    <w:p>
      <w:pPr>
        <w:spacing w:after="0" w:line="157" w:lineRule="exact"/>
        <w:rPr>
          <w:rFonts w:ascii="Times New Roman" w:cs="Times New Roman" w:eastAsia="Times New Roman" w:hAnsi="Times New Roman"/>
          <w:sz w:val="22"/>
          <w:szCs w:val="22"/>
          <w:color w:val="auto"/>
        </w:rPr>
      </w:pPr>
    </w:p>
    <w:p>
      <w:pPr>
        <w:jc w:val="both"/>
        <w:ind w:firstLine="1595"/>
        <w:spacing w:after="0" w:line="244" w:lineRule="auto"/>
        <w:tabs>
          <w:tab w:leader="none" w:pos="2037"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resignation for Good Reason from employment with the Company Group during the Change in Control Period, provided that such resignation occurs within sixty (60) days following the occurrence of the condition constituting Good Reason;</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Termination Upon a Change in Control shall not include any termination of the Participant’s employment which is (i) for Cause, (ii) a result of the Participant’s death or Disability, or (iii) a result of the Participant’s voluntary termination of employment other than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1090295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152" w:name="page153"/>
    <w:bookmarkEnd w:id="152"/>
    <w:p>
      <w:pPr>
        <w:spacing w:after="0" w:line="200" w:lineRule="exact"/>
        <w:rPr>
          <w:sz w:val="20"/>
          <w:szCs w:val="20"/>
          <w:color w:val="auto"/>
        </w:rPr>
      </w:pPr>
    </w:p>
    <w:p>
      <w:pPr>
        <w:spacing w:after="0" w:line="2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u w:val="single" w:color="auto"/>
          <w:color w:val="auto"/>
        </w:rPr>
        <w:t>APPENDIX B</w:t>
      </w:r>
    </w:p>
    <w:p>
      <w:pPr>
        <w:spacing w:after="0" w:line="25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u w:val="single" w:color="auto"/>
          <w:color w:val="auto"/>
        </w:rPr>
        <w:t>Participants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Tom Shortt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Cesar Aponte</w:t>
      </w:r>
    </w:p>
    <w:p>
      <w:pPr>
        <w:spacing w:after="0" w:line="230" w:lineRule="auto"/>
        <w:rPr>
          <w:sz w:val="20"/>
          <w:szCs w:val="20"/>
          <w:color w:val="auto"/>
        </w:rPr>
      </w:pPr>
      <w:r>
        <w:rPr>
          <w:rFonts w:ascii="Times New Roman" w:cs="Times New Roman" w:eastAsia="Times New Roman" w:hAnsi="Times New Roman"/>
          <w:sz w:val="22"/>
          <w:szCs w:val="22"/>
          <w:color w:val="auto"/>
        </w:rPr>
        <w:t>Robert R. Krakowiak</w:t>
      </w:r>
    </w:p>
    <w:p>
      <w:pPr>
        <w:spacing w:after="0" w:line="230" w:lineRule="auto"/>
        <w:rPr>
          <w:sz w:val="20"/>
          <w:szCs w:val="20"/>
          <w:color w:val="auto"/>
        </w:rPr>
      </w:pPr>
      <w:r>
        <w:rPr>
          <w:rFonts w:ascii="Times New Roman" w:cs="Times New Roman" w:eastAsia="Times New Roman" w:hAnsi="Times New Roman"/>
          <w:sz w:val="22"/>
          <w:szCs w:val="22"/>
          <w:color w:val="auto"/>
        </w:rPr>
        <w:t>Patricia Moran</w:t>
      </w:r>
    </w:p>
    <w:p>
      <w:pPr>
        <w:spacing w:after="0" w:line="230" w:lineRule="auto"/>
        <w:rPr>
          <w:sz w:val="20"/>
          <w:szCs w:val="20"/>
          <w:color w:val="auto"/>
        </w:rPr>
      </w:pPr>
      <w:r>
        <w:rPr>
          <w:rFonts w:ascii="Times New Roman" w:cs="Times New Roman" w:eastAsia="Times New Roman" w:hAnsi="Times New Roman"/>
          <w:sz w:val="22"/>
          <w:szCs w:val="22"/>
          <w:color w:val="auto"/>
        </w:rPr>
        <w:t>C. Denise Stott</w:t>
      </w:r>
    </w:p>
    <w:p>
      <w:pPr>
        <w:spacing w:after="0" w:line="231" w:lineRule="auto"/>
        <w:rPr>
          <w:sz w:val="20"/>
          <w:szCs w:val="20"/>
          <w:color w:val="auto"/>
        </w:rPr>
      </w:pPr>
      <w:r>
        <w:rPr>
          <w:rFonts w:ascii="Times New Roman" w:cs="Times New Roman" w:eastAsia="Times New Roman" w:hAnsi="Times New Roman"/>
          <w:sz w:val="22"/>
          <w:szCs w:val="22"/>
          <w:color w:val="auto"/>
        </w:rPr>
        <w:t>Amy Gieffers</w:t>
      </w:r>
    </w:p>
    <w:p>
      <w:pPr>
        <w:spacing w:after="0" w:line="230" w:lineRule="auto"/>
        <w:rPr>
          <w:sz w:val="20"/>
          <w:szCs w:val="20"/>
          <w:color w:val="auto"/>
        </w:rPr>
      </w:pPr>
      <w:r>
        <w:rPr>
          <w:rFonts w:ascii="Times New Roman" w:cs="Times New Roman" w:eastAsia="Times New Roman" w:hAnsi="Times New Roman"/>
          <w:sz w:val="22"/>
          <w:szCs w:val="22"/>
          <w:color w:val="auto"/>
        </w:rPr>
        <w:t>Agnieszka Zakowicz</w:t>
      </w:r>
    </w:p>
    <w:p>
      <w:pPr>
        <w:spacing w:after="0"/>
        <w:rPr>
          <w:sz w:val="20"/>
          <w:szCs w:val="20"/>
          <w:color w:val="auto"/>
        </w:rPr>
      </w:pPr>
      <w:r>
        <w:rPr>
          <w:rFonts w:ascii="Times New Roman" w:cs="Times New Roman" w:eastAsia="Times New Roman" w:hAnsi="Times New Roman"/>
          <w:sz w:val="22"/>
          <w:szCs w:val="22"/>
          <w:color w:val="auto"/>
        </w:rPr>
        <w:t>Jonathan Sandison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53" w:name="page154"/>
    <w:bookmarkEnd w:id="153"/>
    <w:p>
      <w:pPr>
        <w:ind w:left="10200"/>
        <w:spacing w:after="0"/>
        <w:rPr>
          <w:sz w:val="20"/>
          <w:szCs w:val="20"/>
          <w:color w:val="auto"/>
        </w:rPr>
      </w:pPr>
      <w:r>
        <w:rPr>
          <w:rFonts w:ascii="Arial" w:cs="Arial" w:eastAsia="Arial" w:hAnsi="Arial"/>
          <w:sz w:val="17"/>
          <w:szCs w:val="17"/>
          <w:color w:val="auto"/>
        </w:rPr>
        <w:t>Exhibit 10.18</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INVENTORY FINANCING AND SECURITY AGREEMENT</w:t>
      </w:r>
    </w:p>
    <w:p>
      <w:pPr>
        <w:spacing w:after="0" w:line="382" w:lineRule="exact"/>
        <w:rPr>
          <w:sz w:val="20"/>
          <w:szCs w:val="20"/>
          <w:color w:val="auto"/>
        </w:rPr>
      </w:pPr>
    </w:p>
    <w:p>
      <w:pPr>
        <w:ind w:left="4180" w:hanging="209"/>
        <w:spacing w:after="0"/>
        <w:tabs>
          <w:tab w:leader="none" w:pos="41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THE PARTIES TO THIS AGREEMENT</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Second Amendment to Amended and Restated Inventory Financing and Security Agreement (“Amendment”) is effective as of January 19, 2024 (the “Amendment Effective Date”), and is made by and among the following parties:</w:t>
      </w:r>
    </w:p>
    <w:p>
      <w:pPr>
        <w:spacing w:after="0" w:line="139" w:lineRule="exact"/>
        <w:rPr>
          <w:sz w:val="20"/>
          <w:szCs w:val="20"/>
          <w:color w:val="auto"/>
        </w:rPr>
      </w:pPr>
    </w:p>
    <w:p>
      <w:pPr>
        <w:ind w:left="580" w:right="20" w:hanging="558"/>
        <w:spacing w:after="0" w:line="271"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Ally Bank (Ally Capital in Hawaii, Mississippi, Montana and New Jersey) </w:t>
      </w:r>
      <w:r>
        <w:rPr>
          <w:rFonts w:ascii="Arial" w:cs="Arial" w:eastAsia="Arial" w:hAnsi="Arial"/>
          <w:sz w:val="18"/>
          <w:szCs w:val="18"/>
          <w:color w:val="auto"/>
        </w:rPr>
        <w:t>(together with its successors and assigns, “Bank”), a</w:t>
      </w:r>
      <w:r>
        <w:rPr>
          <w:rFonts w:ascii="Arial" w:cs="Arial" w:eastAsia="Arial" w:hAnsi="Arial"/>
          <w:sz w:val="18"/>
          <w:szCs w:val="18"/>
          <w:b w:val="1"/>
          <w:bCs w:val="1"/>
          <w:color w:val="auto"/>
        </w:rPr>
        <w:t xml:space="preserve"> </w:t>
      </w:r>
      <w:r>
        <w:rPr>
          <w:rFonts w:ascii="Arial" w:cs="Arial" w:eastAsia="Arial" w:hAnsi="Arial"/>
          <w:sz w:val="18"/>
          <w:szCs w:val="18"/>
          <w:color w:val="auto"/>
        </w:rPr>
        <w:t>Utah state-chartered bank with a local business office currently located at 5851 Legacy Circle, Suite 200, Plano, Texas 75024; and</w:t>
      </w:r>
    </w:p>
    <w:p>
      <w:pPr>
        <w:spacing w:after="0" w:line="179" w:lineRule="exact"/>
        <w:rPr>
          <w:rFonts w:ascii="Arial" w:cs="Arial" w:eastAsia="Arial" w:hAnsi="Arial"/>
          <w:sz w:val="18"/>
          <w:szCs w:val="18"/>
          <w:color w:val="auto"/>
        </w:rPr>
      </w:pPr>
    </w:p>
    <w:p>
      <w:pPr>
        <w:jc w:val="both"/>
        <w:ind w:left="580" w:hanging="558"/>
        <w:spacing w:after="0" w:line="252"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Ally Financial Inc.</w:t>
      </w:r>
      <w:r>
        <w:rPr>
          <w:rFonts w:ascii="Arial" w:cs="Arial" w:eastAsia="Arial" w:hAnsi="Arial"/>
          <w:sz w:val="18"/>
          <w:szCs w:val="18"/>
          <w:color w:val="auto"/>
        </w:rPr>
        <w:t>, a Delaware corporation (together with its successors and assigns, “Ally”) with a local business office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at 5851 Legacy Circle, Suite 200, Plano, Texas 75024 (together with Bank, the “Ally Parties” and Bank and Ally each being, an “Ally Party”);</w:t>
      </w:r>
    </w:p>
    <w:p>
      <w:pPr>
        <w:spacing w:after="0" w:line="157" w:lineRule="exact"/>
        <w:rPr>
          <w:rFonts w:ascii="Arial" w:cs="Arial" w:eastAsia="Arial" w:hAnsi="Arial"/>
          <w:sz w:val="18"/>
          <w:szCs w:val="18"/>
          <w:color w:val="auto"/>
        </w:rPr>
      </w:pPr>
    </w:p>
    <w:p>
      <w:pPr>
        <w:jc w:val="both"/>
        <w:ind w:left="580" w:hanging="558"/>
        <w:spacing w:after="0" w:line="252"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Vroom Automotive, LLC</w:t>
      </w:r>
      <w:r>
        <w:rPr>
          <w:rFonts w:ascii="Arial" w:cs="Arial" w:eastAsia="Arial" w:hAnsi="Arial"/>
          <w:sz w:val="18"/>
          <w:szCs w:val="18"/>
          <w:color w:val="auto"/>
        </w:rPr>
        <w:t>, a Texas limited liability company, formerly known as Left Gate Property Holding, LLC, doing business as</w:t>
      </w:r>
      <w:r>
        <w:rPr>
          <w:rFonts w:ascii="Arial" w:cs="Arial" w:eastAsia="Arial" w:hAnsi="Arial"/>
          <w:sz w:val="18"/>
          <w:szCs w:val="18"/>
          <w:b w:val="1"/>
          <w:bCs w:val="1"/>
          <w:color w:val="auto"/>
        </w:rPr>
        <w:t xml:space="preserve"> </w:t>
      </w:r>
      <w:r>
        <w:rPr>
          <w:rFonts w:ascii="Arial" w:cs="Arial" w:eastAsia="Arial" w:hAnsi="Arial"/>
          <w:sz w:val="18"/>
          <w:szCs w:val="18"/>
          <w:color w:val="auto"/>
        </w:rPr>
        <w:t>Texas Direct Auto and Vroom, with its principal executive office currently located at 12053 Southwest Freeway, Stafford, Texas 77477 (“Dealership”); and</w:t>
      </w:r>
    </w:p>
    <w:p>
      <w:pPr>
        <w:spacing w:after="0" w:line="197" w:lineRule="exact"/>
        <w:rPr>
          <w:rFonts w:ascii="Arial" w:cs="Arial" w:eastAsia="Arial" w:hAnsi="Arial"/>
          <w:sz w:val="18"/>
          <w:szCs w:val="18"/>
          <w:color w:val="auto"/>
        </w:rPr>
      </w:pPr>
    </w:p>
    <w:p>
      <w:pPr>
        <w:ind w:left="580" w:right="20" w:hanging="558"/>
        <w:spacing w:after="0" w:line="271" w:lineRule="auto"/>
        <w:tabs>
          <w:tab w:leader="none" w:pos="58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Vroom, Inc.</w:t>
      </w:r>
      <w:r>
        <w:rPr>
          <w:rFonts w:ascii="Arial" w:cs="Arial" w:eastAsia="Arial" w:hAnsi="Arial"/>
          <w:sz w:val="18"/>
          <w:szCs w:val="18"/>
          <w:color w:val="auto"/>
        </w:rPr>
        <w:t>, a Delaware corporation, with its principal executive office currently located at 3600 W. Sam Houston Pkwy S, Floor 4,</w:t>
      </w:r>
      <w:r>
        <w:rPr>
          <w:rFonts w:ascii="Arial" w:cs="Arial" w:eastAsia="Arial" w:hAnsi="Arial"/>
          <w:sz w:val="18"/>
          <w:szCs w:val="18"/>
          <w:b w:val="1"/>
          <w:bCs w:val="1"/>
          <w:color w:val="auto"/>
        </w:rPr>
        <w:t xml:space="preserve"> </w:t>
      </w:r>
      <w:r>
        <w:rPr>
          <w:rFonts w:ascii="Arial" w:cs="Arial" w:eastAsia="Arial" w:hAnsi="Arial"/>
          <w:sz w:val="18"/>
          <w:szCs w:val="18"/>
          <w:color w:val="auto"/>
        </w:rPr>
        <w:t>Houston, Texas 77042 (“Vroom”).</w:t>
      </w:r>
    </w:p>
    <w:p>
      <w:pPr>
        <w:spacing w:after="0" w:line="180" w:lineRule="exact"/>
        <w:rPr>
          <w:sz w:val="20"/>
          <w:szCs w:val="20"/>
          <w:color w:val="auto"/>
        </w:rPr>
      </w:pPr>
    </w:p>
    <w:p>
      <w:pPr>
        <w:ind w:left="5120" w:hanging="258"/>
        <w:spacing w:after="0"/>
        <w:tabs>
          <w:tab w:leader="none" w:pos="512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THE RECITALS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essential facts relied on by Bank, Ally, Dealership and Vroom as true and complete, and giving rise to this Amendment, are as follows:</w:t>
      </w:r>
    </w:p>
    <w:p>
      <w:pPr>
        <w:spacing w:after="0" w:line="198" w:lineRule="exact"/>
        <w:rPr>
          <w:sz w:val="20"/>
          <w:szCs w:val="20"/>
          <w:color w:val="auto"/>
        </w:rPr>
      </w:pPr>
    </w:p>
    <w:p>
      <w:pPr>
        <w:jc w:val="both"/>
        <w:ind w:left="580" w:hanging="558"/>
        <w:spacing w:after="0" w:line="252" w:lineRule="auto"/>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Ally Parties, Dealership and Vroom are parties to an Amended and Restated Inventory Financing and Security Agreement, effective as of November 4, 2022, as amended by the First Amendment to Amended and Restated Inventory Financing and Security Agreement, effective as of August 1, 2023 (as amended, the “IFSA”).</w:t>
      </w:r>
    </w:p>
    <w:p>
      <w:pPr>
        <w:spacing w:after="0" w:line="197" w:lineRule="exact"/>
        <w:rPr>
          <w:rFonts w:ascii="Arial" w:cs="Arial" w:eastAsia="Arial" w:hAnsi="Arial"/>
          <w:sz w:val="18"/>
          <w:szCs w:val="18"/>
          <w:color w:val="auto"/>
        </w:rPr>
      </w:pPr>
    </w:p>
    <w:p>
      <w:pPr>
        <w:ind w:left="580" w:hanging="558"/>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Dealership is winding down its ecommerce retail business and will cease its acquisition of Vehicles.</w:t>
      </w:r>
    </w:p>
    <w:p>
      <w:pPr>
        <w:spacing w:after="0" w:line="237" w:lineRule="exact"/>
        <w:rPr>
          <w:rFonts w:ascii="Arial" w:cs="Arial" w:eastAsia="Arial" w:hAnsi="Arial"/>
          <w:sz w:val="18"/>
          <w:szCs w:val="18"/>
          <w:color w:val="auto"/>
        </w:rPr>
      </w:pPr>
    </w:p>
    <w:p>
      <w:pPr>
        <w:ind w:left="580" w:hanging="558"/>
        <w:spacing w:after="0"/>
        <w:tabs>
          <w:tab w:leader="none" w:pos="5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parties to this Amendment desire to amend the IFSA as outlined in this Amendment.</w:t>
      </w:r>
    </w:p>
    <w:p>
      <w:pPr>
        <w:spacing w:after="0" w:line="238" w:lineRule="exact"/>
        <w:rPr>
          <w:sz w:val="20"/>
          <w:szCs w:val="20"/>
          <w:color w:val="auto"/>
        </w:rPr>
      </w:pPr>
    </w:p>
    <w:p>
      <w:pPr>
        <w:ind w:left="5000" w:hanging="299"/>
        <w:spacing w:after="0"/>
        <w:tabs>
          <w:tab w:leader="none" w:pos="500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THE AGREEMENT</w:t>
      </w:r>
    </w:p>
    <w:p>
      <w:pPr>
        <w:spacing w:after="0" w:line="19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consideration of the premises and the mutual promises in this Amendment, which are acknowledged to be sufficient, Bank, Ally, Dealership and Vroom agree to the following:</w:t>
      </w:r>
    </w:p>
    <w:p>
      <w:pPr>
        <w:spacing w:after="0" w:line="139" w:lineRule="exact"/>
        <w:rPr>
          <w:sz w:val="20"/>
          <w:szCs w:val="20"/>
          <w:color w:val="auto"/>
        </w:rPr>
      </w:pPr>
    </w:p>
    <w:p>
      <w:pPr>
        <w:ind w:left="580" w:hanging="558"/>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Capitalized terms used but not defined herein have the meanings given to them in the IFSA.</w:t>
      </w:r>
    </w:p>
    <w:p>
      <w:pPr>
        <w:spacing w:after="0" w:line="237" w:lineRule="exact"/>
        <w:rPr>
          <w:rFonts w:ascii="Arial" w:cs="Arial" w:eastAsia="Arial" w:hAnsi="Arial"/>
          <w:sz w:val="18"/>
          <w:szCs w:val="18"/>
          <w:color w:val="auto"/>
        </w:rPr>
      </w:pPr>
    </w:p>
    <w:p>
      <w:pPr>
        <w:ind w:left="580" w:hanging="558"/>
        <w:spacing w:after="0"/>
        <w:tabs>
          <w:tab w:leader="none" w:pos="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Effective as of Amendment Effective Date, Section III.A.2 of the IFSA is amended and restated in its entirety as follows:</w:t>
      </w:r>
    </w:p>
    <w:p>
      <w:pPr>
        <w:spacing w:after="0" w:line="237" w:lineRule="exact"/>
        <w:rPr>
          <w:rFonts w:ascii="Arial" w:cs="Arial" w:eastAsia="Arial" w:hAnsi="Arial"/>
          <w:sz w:val="18"/>
          <w:szCs w:val="18"/>
          <w:color w:val="auto"/>
        </w:rPr>
      </w:pPr>
    </w:p>
    <w:p>
      <w:pPr>
        <w:jc w:val="both"/>
        <w:ind w:left="1500" w:hanging="743"/>
        <w:spacing w:after="0" w:line="246" w:lineRule="auto"/>
        <w:tabs>
          <w:tab w:leader="none" w:pos="1500"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Credit Line</w:t>
      </w:r>
      <w:r>
        <w:rPr>
          <w:rFonts w:ascii="Arial" w:cs="Arial" w:eastAsia="Arial" w:hAnsi="Arial"/>
          <w:sz w:val="18"/>
          <w:szCs w:val="18"/>
          <w:color w:val="auto"/>
        </w:rPr>
        <w:t>. The Ally Parties have no obligation to make advances under the Credit Line, which is suspended and will be administered on a liquidating basis; provided, however, the Ally Parties will make additional advances under the Credit Line at the applicable Advance Rate in place prior to the Amendment Effective Date for any vehicle for which documentation reasonably satisfactory to the Ally Parties is provided by the Dealership</w:t>
      </w:r>
    </w:p>
    <w:p>
      <w:pPr>
        <w:spacing w:after="0" w:line="200" w:lineRule="exact"/>
        <w:rPr>
          <w:sz w:val="20"/>
          <w:szCs w:val="20"/>
          <w:color w:val="auto"/>
        </w:rPr>
      </w:pPr>
    </w:p>
    <w:p>
      <w:pPr>
        <w:spacing w:after="0" w:line="205" w:lineRule="exact"/>
        <w:rPr>
          <w:sz w:val="20"/>
          <w:szCs w:val="20"/>
          <w:color w:val="auto"/>
        </w:rPr>
      </w:pPr>
    </w:p>
    <w:p>
      <w:pPr>
        <w:spacing w:after="0"/>
        <w:tabs>
          <w:tab w:leader="none" w:pos="2220" w:val="left"/>
        </w:tabs>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econd</w:t>
      </w:r>
      <w:r>
        <w:rPr>
          <w:rFonts w:ascii="Arial" w:cs="Arial" w:eastAsia="Arial" w:hAnsi="Arial"/>
          <w:sz w:val="14"/>
          <w:szCs w:val="14"/>
          <w:color w:val="auto"/>
        </w:rPr>
        <w:t xml:space="preserve"> A</w:t>
      </w:r>
      <w:r>
        <w:rPr>
          <w:rFonts w:ascii="Arial" w:cs="Arial" w:eastAsia="Arial" w:hAnsi="Arial"/>
          <w:sz w:val="9"/>
          <w:szCs w:val="9"/>
          <w:color w:val="auto"/>
        </w:rPr>
        <w:t>mendment to</w:t>
      </w:r>
      <w:r>
        <w:rPr>
          <w:rFonts w:ascii="Arial" w:cs="Arial" w:eastAsia="Arial" w:hAnsi="Arial"/>
          <w:sz w:val="14"/>
          <w:szCs w:val="14"/>
          <w:color w:val="auto"/>
        </w:rPr>
        <w:t xml:space="preserve"> A&amp;R IFSA</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color w:val="auto"/>
        </w:rPr>
        <w:t>Exhibit 10.18</w:t>
      </w:r>
    </w:p>
    <w:p>
      <w:pPr>
        <w:spacing w:after="0" w:line="200" w:lineRule="exact"/>
        <w:rPr>
          <w:sz w:val="20"/>
          <w:szCs w:val="20"/>
          <w:color w:val="auto"/>
        </w:rPr>
      </w:pPr>
    </w:p>
    <w:p>
      <w:pPr>
        <w:spacing w:after="0" w:line="240" w:lineRule="exact"/>
        <w:rPr>
          <w:sz w:val="20"/>
          <w:szCs w:val="20"/>
          <w:color w:val="auto"/>
        </w:rPr>
      </w:pPr>
    </w:p>
    <w:p>
      <w:pPr>
        <w:jc w:val="both"/>
        <w:ind w:left="1500"/>
        <w:spacing w:after="0" w:line="252" w:lineRule="auto"/>
        <w:rPr>
          <w:sz w:val="20"/>
          <w:szCs w:val="20"/>
          <w:color w:val="auto"/>
        </w:rPr>
      </w:pPr>
      <w:r>
        <w:rPr>
          <w:rFonts w:ascii="Arial" w:cs="Arial" w:eastAsia="Arial" w:hAnsi="Arial"/>
          <w:sz w:val="18"/>
          <w:szCs w:val="18"/>
          <w:color w:val="auto"/>
        </w:rPr>
        <w:t>substantiating that the Dealership acquired or made an offer to acquire the vehicle from a retail consumer prior to 5 pm CT January 26, 2024. After the Amendment Effective Date, Dealership will not purchase any vehicles via an auction without the prior written consent of the Ally Parties.</w:t>
      </w:r>
    </w:p>
    <w:p>
      <w:pPr>
        <w:spacing w:after="0" w:line="197" w:lineRule="exact"/>
        <w:rPr>
          <w:sz w:val="20"/>
          <w:szCs w:val="20"/>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Effective as of Amendment Effective Date, Section III.A.8 of the IFSA is amended and restated in its entirety as follows:</w:t>
      </w:r>
    </w:p>
    <w:p>
      <w:pPr>
        <w:spacing w:after="0" w:line="211" w:lineRule="exact"/>
        <w:rPr>
          <w:rFonts w:ascii="Arial" w:cs="Arial" w:eastAsia="Arial" w:hAnsi="Arial"/>
          <w:sz w:val="18"/>
          <w:szCs w:val="18"/>
          <w:color w:val="auto"/>
        </w:rPr>
      </w:pPr>
    </w:p>
    <w:p>
      <w:pPr>
        <w:ind w:left="1200" w:hanging="390"/>
        <w:spacing w:after="0"/>
        <w:tabs>
          <w:tab w:leader="none" w:pos="1200"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[Reserved]</w:t>
      </w:r>
    </w:p>
    <w:p>
      <w:pPr>
        <w:spacing w:after="0" w:line="237" w:lineRule="exact"/>
        <w:rPr>
          <w:rFonts w:ascii="Arial" w:cs="Arial" w:eastAsia="Arial" w:hAnsi="Arial"/>
          <w:sz w:val="18"/>
          <w:szCs w:val="18"/>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Effective as of Amendment Effective Date, Section III.A.9 of the IFSA is amended and restated in its entirety as follows:</w:t>
      </w:r>
    </w:p>
    <w:p>
      <w:pPr>
        <w:spacing w:after="0" w:line="211" w:lineRule="exact"/>
        <w:rPr>
          <w:rFonts w:ascii="Arial" w:cs="Arial" w:eastAsia="Arial" w:hAnsi="Arial"/>
          <w:sz w:val="18"/>
          <w:szCs w:val="18"/>
          <w:color w:val="auto"/>
        </w:rPr>
      </w:pPr>
    </w:p>
    <w:p>
      <w:pPr>
        <w:ind w:left="1200" w:hanging="390"/>
        <w:spacing w:after="0"/>
        <w:tabs>
          <w:tab w:leader="none" w:pos="12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[Reserved]</w:t>
      </w:r>
    </w:p>
    <w:p>
      <w:pPr>
        <w:spacing w:after="0" w:line="237" w:lineRule="exact"/>
        <w:rPr>
          <w:rFonts w:ascii="Arial" w:cs="Arial" w:eastAsia="Arial" w:hAnsi="Arial"/>
          <w:sz w:val="18"/>
          <w:szCs w:val="18"/>
          <w:color w:val="auto"/>
        </w:rPr>
      </w:pPr>
    </w:p>
    <w:p>
      <w:pPr>
        <w:ind w:left="600" w:hanging="592"/>
        <w:spacing w:after="0"/>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Effective as of Amendment Effective Date, Section III.C.2(a) of the IFSA is amended and restated in its entirety as follows:</w:t>
      </w:r>
    </w:p>
    <w:p>
      <w:pPr>
        <w:spacing w:after="0" w:line="238" w:lineRule="exact"/>
        <w:rPr>
          <w:sz w:val="20"/>
          <w:szCs w:val="20"/>
          <w:color w:val="auto"/>
        </w:rPr>
      </w:pPr>
    </w:p>
    <w:p>
      <w:pPr>
        <w:jc w:val="both"/>
        <w:ind w:left="1500" w:hanging="758"/>
        <w:spacing w:after="0" w:line="237" w:lineRule="auto"/>
        <w:tabs>
          <w:tab w:leader="none" w:pos="15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each Inventory Financed Vehicle that is sold: (i) to a consumer retail purchaser in the ordinary course of business, the Dealership will pay the Ally Parties the principal amount of the advance or loan by the Ally Parties within five (5) business days after the date such Vehicle is sold (which shall not be later than the sale contract date), leased, consigned, gifted, exchanged, transferred, otherwise disposed of, registered, placed into service, or no longer in possession of the Dealership, or if it is otherwise lost, stolen, confiscated, missing, or not received, or if it is damaged or destroyed; (ii) via SmartAuction, the Dealership authorizes the Ally Parties to immediately apply all SmartAuction sale proceeds received via SmartAuction for such Inventory Financed Vehicle to the principal amount of the advance or loan by the Ally Parties on such Inventory Financed Vehicle immediately upon receipt and the Dealership will pay any remaining floorplan principal owed to the Ally Parties on the same date that the Ally Parties apply such SmartAuction sale proceeds; and (iii) via an auction, to a wholesaler, or to or through any other party other than as outlined in clauses (i) and (ii) above, within two (2) business days after the date such Vehicle is sold (which shall not be later than the sale contract date) (the periods outlined in this Section III.C.2(a) being, the “Release Period”). Provided the Dealership is current on all payment obligations owed to the Ally Parties, each business day, the Ally Parties will provide any net surplus owed to Dealership after application of all proceeds received by the Ally Parties (e.g., via SmartAuction, from third party auctions, or from the Dealership) or owed by the Ally Parties to the Dealership to all amounts then owed and due by the Dealership to the Ally Parties.</w:t>
      </w:r>
    </w:p>
    <w:p>
      <w:pPr>
        <w:spacing w:after="0" w:line="183" w:lineRule="exact"/>
        <w:rPr>
          <w:rFonts w:ascii="Arial" w:cs="Arial" w:eastAsia="Arial" w:hAnsi="Arial"/>
          <w:sz w:val="18"/>
          <w:szCs w:val="18"/>
          <w:color w:val="auto"/>
        </w:rPr>
      </w:pPr>
    </w:p>
    <w:p>
      <w:pPr>
        <w:ind w:left="600" w:hanging="592"/>
        <w:spacing w:after="0" w:line="271" w:lineRule="auto"/>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Effective as of Amendment Effective Date, the IFSA is amended to renumber Section III.D.7 to III.D.7(a) and to add the following III.D.7(b)</w:t>
      </w:r>
    </w:p>
    <w:p>
      <w:pPr>
        <w:spacing w:after="0" w:line="179" w:lineRule="exact"/>
        <w:rPr>
          <w:rFonts w:ascii="Arial" w:cs="Arial" w:eastAsia="Arial" w:hAnsi="Arial"/>
          <w:sz w:val="18"/>
          <w:szCs w:val="18"/>
          <w:color w:val="auto"/>
        </w:rPr>
      </w:pPr>
    </w:p>
    <w:p>
      <w:pPr>
        <w:ind w:left="1500" w:hanging="690"/>
        <w:spacing w:after="0" w:line="239" w:lineRule="auto"/>
        <w:tabs>
          <w:tab w:leader="none" w:pos="1204" w:val="left"/>
        </w:tabs>
        <w:numPr>
          <w:ilvl w:val="2"/>
          <w:numId w:val="69"/>
        </w:numPr>
        <w:rPr>
          <w:rFonts w:ascii="Arial" w:cs="Arial" w:eastAsia="Arial" w:hAnsi="Arial"/>
          <w:sz w:val="18"/>
          <w:szCs w:val="18"/>
          <w:color w:val="auto"/>
        </w:rPr>
      </w:pPr>
      <w:r>
        <w:rPr>
          <w:rFonts w:ascii="Arial" w:cs="Arial" w:eastAsia="Arial" w:hAnsi="Arial"/>
          <w:sz w:val="18"/>
          <w:szCs w:val="18"/>
          <w:u w:val="single" w:color="auto"/>
          <w:color w:val="auto"/>
        </w:rPr>
        <w:t>Assignment of Accounts Due or to Become Due from Vehicle Sellers and Liquidators</w:t>
      </w:r>
      <w:r>
        <w:rPr>
          <w:rFonts w:ascii="Arial" w:cs="Arial" w:eastAsia="Arial" w:hAnsi="Arial"/>
          <w:sz w:val="18"/>
          <w:szCs w:val="18"/>
          <w:color w:val="auto"/>
        </w:rPr>
        <w:t>. Effective after January 22, 2024, with or without default, Dealership hereby authorizes and empowers each of Bank and Ally to demand, collect and receive all proceeds of any kind from all Vehicle Sellers and other parties who at such time or after such date possess any of the Dealership’s Vehicles in order to sell or dispose of them, including, but not limited to all Manheim auctions (“Vehicle Sellers and Liquidators”), and give such parties binding receipts for, all sums due and/or to become due and, in Dealership’s name or otherwise, to prosecute suits therefor. Effective after January 22, 2024, with or without a default, each of the Ally Parties may, at any time notify such Vehicle Sellers and Liquidators to make payment directly to the Ally Parties of amounts in which the Ally Parties have a security interest. Dealership unconditionally and irrevocably authorizes and instructs each of its Vehicle Sellers and Liquidators to make payment directly to the Ally Parties as instructed</w:t>
      </w:r>
    </w:p>
    <w:p>
      <w:pPr>
        <w:spacing w:after="0" w:line="200" w:lineRule="exact"/>
        <w:rPr>
          <w:sz w:val="20"/>
          <w:szCs w:val="20"/>
          <w:color w:val="auto"/>
        </w:rPr>
      </w:pPr>
    </w:p>
    <w:p>
      <w:pPr>
        <w:spacing w:after="0" w:line="210" w:lineRule="exact"/>
        <w:rPr>
          <w:sz w:val="20"/>
          <w:szCs w:val="20"/>
          <w:color w:val="auto"/>
        </w:rPr>
      </w:pPr>
    </w:p>
    <w:p>
      <w:pPr>
        <w:spacing w:after="0"/>
        <w:tabs>
          <w:tab w:leader="none" w:pos="2220" w:val="left"/>
        </w:tabs>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econd</w:t>
      </w:r>
      <w:r>
        <w:rPr>
          <w:rFonts w:ascii="Arial" w:cs="Arial" w:eastAsia="Arial" w:hAnsi="Arial"/>
          <w:sz w:val="14"/>
          <w:szCs w:val="14"/>
          <w:color w:val="auto"/>
        </w:rPr>
        <w:t xml:space="preserve"> A</w:t>
      </w:r>
      <w:r>
        <w:rPr>
          <w:rFonts w:ascii="Arial" w:cs="Arial" w:eastAsia="Arial" w:hAnsi="Arial"/>
          <w:sz w:val="9"/>
          <w:szCs w:val="9"/>
          <w:color w:val="auto"/>
        </w:rPr>
        <w:t>mendment to</w:t>
      </w:r>
      <w:r>
        <w:rPr>
          <w:rFonts w:ascii="Arial" w:cs="Arial" w:eastAsia="Arial" w:hAnsi="Arial"/>
          <w:sz w:val="14"/>
          <w:szCs w:val="14"/>
          <w:color w:val="auto"/>
        </w:rPr>
        <w:t xml:space="preserve"> A&amp;R IFSA</w:t>
      </w:r>
      <w:r>
        <w:rPr>
          <w:sz w:val="20"/>
          <w:szCs w:val="20"/>
          <w:color w:val="auto"/>
        </w:rPr>
        <w:tab/>
      </w: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color w:val="auto"/>
        </w:rPr>
        <w:t>Exhibit 10.18</w:t>
      </w:r>
    </w:p>
    <w:p>
      <w:pPr>
        <w:spacing w:after="0" w:line="200" w:lineRule="exact"/>
        <w:rPr>
          <w:sz w:val="20"/>
          <w:szCs w:val="20"/>
          <w:color w:val="auto"/>
        </w:rPr>
      </w:pPr>
    </w:p>
    <w:p>
      <w:pPr>
        <w:spacing w:after="0" w:line="240" w:lineRule="exact"/>
        <w:rPr>
          <w:sz w:val="20"/>
          <w:szCs w:val="20"/>
          <w:color w:val="auto"/>
        </w:rPr>
      </w:pPr>
    </w:p>
    <w:p>
      <w:pPr>
        <w:jc w:val="both"/>
        <w:ind w:left="1500"/>
        <w:spacing w:after="0" w:line="239" w:lineRule="auto"/>
        <w:rPr>
          <w:sz w:val="20"/>
          <w:szCs w:val="20"/>
          <w:color w:val="auto"/>
        </w:rPr>
      </w:pPr>
      <w:r>
        <w:rPr>
          <w:rFonts w:ascii="Arial" w:cs="Arial" w:eastAsia="Arial" w:hAnsi="Arial"/>
          <w:sz w:val="18"/>
          <w:szCs w:val="18"/>
          <w:color w:val="auto"/>
        </w:rPr>
        <w:t>and authorizes such Vehicle Sellers and Liquidators to rely on a copy of this Agreement as evidence of the authorization and instruction. The Ally Parties will account to Dealership for all sums received pursuant to this assignment and applied in the manner described in Subsection III.C.7. above. This assignment is irrevocable without the prior written consent of each of the Ally Parties and is provided as additional security for and not as payment of obligations now or hereafter arising to the Ally Parties. Dealership hereby appoints each Bank and Ally as its agent and attorney-in-fact for the sole purpose of executing or endorsing, on Dealership’s behalf, any document, check or other instrument necessary to cause payment of sums assigned hereunder, or to perfect Bank’s and/or Ally’s security interest in the aforesaid accounts and payment intangibles. In the event of any inconsistency between this Subsection and III.D.7(a) as to any Vehicle Seller and Liquidator, the provisions of this Subsection shall prevail.</w:t>
      </w:r>
    </w:p>
    <w:p>
      <w:pPr>
        <w:spacing w:after="0" w:line="208" w:lineRule="exact"/>
        <w:rPr>
          <w:sz w:val="20"/>
          <w:szCs w:val="20"/>
          <w:color w:val="auto"/>
        </w:rPr>
      </w:pPr>
    </w:p>
    <w:p>
      <w:pPr>
        <w:ind w:left="600" w:hanging="592"/>
        <w:spacing w:after="0"/>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Effective as of Amendment Effective Date, Section III.G.2 of the IFSA is amended to add the following subsections III.G.2(g) and (h):</w:t>
      </w:r>
    </w:p>
    <w:p>
      <w:pPr>
        <w:spacing w:after="0" w:line="237" w:lineRule="exact"/>
        <w:rPr>
          <w:rFonts w:ascii="Arial" w:cs="Arial" w:eastAsia="Arial" w:hAnsi="Arial"/>
          <w:sz w:val="18"/>
          <w:szCs w:val="18"/>
          <w:color w:val="auto"/>
        </w:rPr>
      </w:pPr>
    </w:p>
    <w:p>
      <w:pPr>
        <w:ind w:left="1500" w:hanging="690"/>
        <w:spacing w:after="0" w:line="252" w:lineRule="auto"/>
        <w:tabs>
          <w:tab w:leader="none" w:pos="1204"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 all vehicles sold by Dealership, reports of all vehicles sold, the name and location of the auction through which they were sold (if applicable), and the net sale price of such vehicle, not later than 3:00 p.m. prevailing Central Time (“CT”) each business day for all prior days’ sales.</w:t>
      </w:r>
    </w:p>
    <w:p>
      <w:pPr>
        <w:spacing w:after="0" w:line="197" w:lineRule="exact"/>
        <w:rPr>
          <w:rFonts w:ascii="Arial" w:cs="Arial" w:eastAsia="Arial" w:hAnsi="Arial"/>
          <w:sz w:val="18"/>
          <w:szCs w:val="18"/>
          <w:color w:val="auto"/>
        </w:rPr>
      </w:pPr>
    </w:p>
    <w:p>
      <w:pPr>
        <w:ind w:left="1500" w:right="40" w:hanging="690"/>
        <w:spacing w:after="0" w:line="271" w:lineRule="auto"/>
        <w:tabs>
          <w:tab w:leader="none" w:pos="1204" w:val="left"/>
        </w:tabs>
        <w:numPr>
          <w:ilvl w:val="1"/>
          <w:numId w:val="70"/>
        </w:numPr>
        <w:rPr>
          <w:rFonts w:ascii="Arial" w:cs="Arial" w:eastAsia="Arial" w:hAnsi="Arial"/>
          <w:sz w:val="18"/>
          <w:szCs w:val="18"/>
          <w:color w:val="auto"/>
        </w:rPr>
      </w:pPr>
      <w:r>
        <w:rPr>
          <w:rFonts w:ascii="Arial" w:cs="Arial" w:eastAsia="Arial" w:hAnsi="Arial"/>
          <w:sz w:val="18"/>
          <w:szCs w:val="18"/>
          <w:color w:val="auto"/>
        </w:rPr>
        <w:t>A projected schedule of the liquidation of the Dealership’s vehicles, no later than 5:00 pm CT on January 22, 2024 and updated each following Wednesday no later than 5:00 pm CT.</w:t>
      </w:r>
    </w:p>
    <w:p>
      <w:pPr>
        <w:spacing w:after="0" w:line="179" w:lineRule="exact"/>
        <w:rPr>
          <w:rFonts w:ascii="Arial" w:cs="Arial" w:eastAsia="Arial" w:hAnsi="Arial"/>
          <w:sz w:val="18"/>
          <w:szCs w:val="18"/>
          <w:color w:val="auto"/>
        </w:rPr>
      </w:pPr>
    </w:p>
    <w:p>
      <w:pPr>
        <w:ind w:left="600" w:hanging="592"/>
        <w:spacing w:after="0"/>
        <w:tabs>
          <w:tab w:leader="none" w:pos="6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Effective as of Amendment Effective Date, Section III.G.3 of the IFSA is amended and restated in its entirety as follows:</w:t>
      </w:r>
    </w:p>
    <w:p>
      <w:pPr>
        <w:spacing w:after="0" w:line="238" w:lineRule="exact"/>
        <w:rPr>
          <w:sz w:val="20"/>
          <w:szCs w:val="20"/>
          <w:color w:val="auto"/>
        </w:rPr>
      </w:pPr>
    </w:p>
    <w:p>
      <w:pPr>
        <w:ind w:left="1200" w:hanging="390"/>
        <w:spacing w:after="0"/>
        <w:tabs>
          <w:tab w:leader="none" w:pos="1200" w:val="left"/>
        </w:tabs>
        <w:numPr>
          <w:ilvl w:val="4"/>
          <w:numId w:val="71"/>
        </w:numPr>
        <w:rPr>
          <w:rFonts w:ascii="Arial" w:cs="Arial" w:eastAsia="Arial" w:hAnsi="Arial"/>
          <w:sz w:val="18"/>
          <w:szCs w:val="18"/>
          <w:color w:val="auto"/>
        </w:rPr>
      </w:pPr>
      <w:r>
        <w:rPr>
          <w:rFonts w:ascii="Arial" w:cs="Arial" w:eastAsia="Arial" w:hAnsi="Arial"/>
          <w:sz w:val="18"/>
          <w:szCs w:val="18"/>
          <w:color w:val="auto"/>
        </w:rPr>
        <w:t>[Reserved]</w:t>
      </w:r>
    </w:p>
    <w:p>
      <w:pPr>
        <w:spacing w:after="0" w:line="237" w:lineRule="exact"/>
        <w:rPr>
          <w:rFonts w:ascii="Arial" w:cs="Arial" w:eastAsia="Arial" w:hAnsi="Arial"/>
          <w:sz w:val="18"/>
          <w:szCs w:val="18"/>
          <w:color w:val="auto"/>
        </w:rPr>
      </w:pPr>
    </w:p>
    <w:p>
      <w:pPr>
        <w:ind w:left="580" w:hanging="558"/>
        <w:spacing w:after="0"/>
        <w:tabs>
          <w:tab w:leader="none" w:pos="5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Effective as of Amendment Effective Date, Section III.G.4 of the IFSA is deleted and replaced with the following:</w:t>
      </w:r>
    </w:p>
    <w:p>
      <w:pPr>
        <w:spacing w:after="0" w:line="237" w:lineRule="exact"/>
        <w:rPr>
          <w:rFonts w:ascii="Arial" w:cs="Arial" w:eastAsia="Arial" w:hAnsi="Arial"/>
          <w:sz w:val="18"/>
          <w:szCs w:val="18"/>
          <w:color w:val="auto"/>
        </w:rPr>
      </w:pPr>
    </w:p>
    <w:p>
      <w:pPr>
        <w:ind w:left="1140" w:hanging="541"/>
        <w:spacing w:after="0" w:line="246" w:lineRule="auto"/>
        <w:tabs>
          <w:tab w:leader="none" w:pos="1008" w:val="left"/>
        </w:tabs>
        <w:numPr>
          <w:ilvl w:val="3"/>
          <w:numId w:val="72"/>
        </w:numPr>
        <w:rPr>
          <w:rFonts w:ascii="Arial" w:cs="Arial" w:eastAsia="Arial" w:hAnsi="Arial"/>
          <w:sz w:val="18"/>
          <w:szCs w:val="18"/>
          <w:color w:val="auto"/>
        </w:rPr>
      </w:pPr>
      <w:r>
        <w:rPr>
          <w:rFonts w:ascii="Arial" w:cs="Arial" w:eastAsia="Arial" w:hAnsi="Arial"/>
          <w:sz w:val="18"/>
          <w:szCs w:val="18"/>
          <w:color w:val="auto"/>
        </w:rPr>
        <w:t>Dealership and Vroom will comply in all material respects with all of Dealership’s obligations under the Fourth Amended and Restated Credit Balance Agreement (and any amendments or modifications to such agreement) (as amended, the “CBA”), including, but not limited to, maintaining a Minimum Required Balance (as defined in the CBA) in the amount of 40.00% of the Wholesale Outstandings.</w:t>
      </w:r>
    </w:p>
    <w:p>
      <w:pPr>
        <w:spacing w:after="0" w:line="203" w:lineRule="exact"/>
        <w:rPr>
          <w:rFonts w:ascii="Arial" w:cs="Arial" w:eastAsia="Arial" w:hAnsi="Arial"/>
          <w:sz w:val="18"/>
          <w:szCs w:val="18"/>
          <w:color w:val="auto"/>
        </w:rPr>
      </w:pPr>
    </w:p>
    <w:p>
      <w:pPr>
        <w:ind w:left="580" w:right="20" w:hanging="558"/>
        <w:spacing w:after="0" w:line="271" w:lineRule="auto"/>
        <w:tabs>
          <w:tab w:leader="none" w:pos="5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parties hereby agree that no actions taken in accordance with, or as contemplated by, this Amendment, constitute a violation of Section III.E.6 of the IFSA.</w:t>
      </w:r>
    </w:p>
    <w:p>
      <w:pPr>
        <w:spacing w:after="0" w:line="139" w:lineRule="exact"/>
        <w:rPr>
          <w:rFonts w:ascii="Arial" w:cs="Arial" w:eastAsia="Arial" w:hAnsi="Arial"/>
          <w:sz w:val="18"/>
          <w:szCs w:val="18"/>
          <w:color w:val="auto"/>
        </w:rPr>
      </w:pPr>
    </w:p>
    <w:p>
      <w:pPr>
        <w:jc w:val="both"/>
        <w:ind w:left="580" w:hanging="558"/>
        <w:spacing w:after="0" w:line="252" w:lineRule="auto"/>
        <w:tabs>
          <w:tab w:leader="none" w:pos="5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Except as provided above, the IFSA and all other agreements between each of the Ally Parties and Dealership and Vroom remain in full force and effect as written. In the event of a conflict between the terms of the IFSA and this Amendment, the terms of this Amendment prevail. The parties hereto ratify all terms of the IFSA as amended by the Amendment.</w:t>
      </w:r>
    </w:p>
    <w:p>
      <w:pPr>
        <w:spacing w:after="0" w:line="197" w:lineRule="exact"/>
        <w:rPr>
          <w:rFonts w:ascii="Arial" w:cs="Arial" w:eastAsia="Arial" w:hAnsi="Arial"/>
          <w:sz w:val="18"/>
          <w:szCs w:val="18"/>
          <w:color w:val="auto"/>
        </w:rPr>
      </w:pPr>
    </w:p>
    <w:p>
      <w:pPr>
        <w:ind w:left="580" w:hanging="558"/>
        <w:spacing w:after="0" w:line="271" w:lineRule="auto"/>
        <w:tabs>
          <w:tab w:leader="none" w:pos="5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any provision of this Amendment is held to be invalid or unenforceable by a court of competent jurisdiction, all other provisions remain valid and enforceable.</w:t>
      </w:r>
    </w:p>
    <w:p>
      <w:pPr>
        <w:spacing w:after="0" w:line="179" w:lineRule="exact"/>
        <w:rPr>
          <w:rFonts w:ascii="Arial" w:cs="Arial" w:eastAsia="Arial" w:hAnsi="Arial"/>
          <w:sz w:val="18"/>
          <w:szCs w:val="18"/>
          <w:color w:val="auto"/>
        </w:rPr>
      </w:pPr>
    </w:p>
    <w:p>
      <w:pPr>
        <w:ind w:left="580" w:hanging="572"/>
        <w:spacing w:after="0"/>
        <w:tabs>
          <w:tab w:leader="none" w:pos="5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Amendment:</w:t>
      </w:r>
    </w:p>
    <w:p>
      <w:pPr>
        <w:spacing w:after="0" w:line="23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color w:val="auto"/>
        </w:rPr>
        <w:t>May be modified only by a writing signed by all parties.</w:t>
      </w:r>
    </w:p>
    <w:p>
      <w:pPr>
        <w:spacing w:after="0" w:line="200" w:lineRule="exact"/>
        <w:rPr>
          <w:sz w:val="20"/>
          <w:szCs w:val="20"/>
          <w:color w:val="auto"/>
        </w:rPr>
      </w:pPr>
    </w:p>
    <w:p>
      <w:pPr>
        <w:spacing w:after="0" w:line="240" w:lineRule="exact"/>
        <w:rPr>
          <w:sz w:val="20"/>
          <w:szCs w:val="20"/>
          <w:color w:val="auto"/>
        </w:rPr>
      </w:pPr>
    </w:p>
    <w:p>
      <w:pPr>
        <w:spacing w:after="0"/>
        <w:tabs>
          <w:tab w:leader="none" w:pos="2220" w:val="left"/>
        </w:tabs>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econd</w:t>
      </w:r>
      <w:r>
        <w:rPr>
          <w:rFonts w:ascii="Arial" w:cs="Arial" w:eastAsia="Arial" w:hAnsi="Arial"/>
          <w:sz w:val="14"/>
          <w:szCs w:val="14"/>
          <w:color w:val="auto"/>
        </w:rPr>
        <w:t xml:space="preserve"> A</w:t>
      </w:r>
      <w:r>
        <w:rPr>
          <w:rFonts w:ascii="Arial" w:cs="Arial" w:eastAsia="Arial" w:hAnsi="Arial"/>
          <w:sz w:val="9"/>
          <w:szCs w:val="9"/>
          <w:color w:val="auto"/>
        </w:rPr>
        <w:t>mendment to</w:t>
      </w:r>
      <w:r>
        <w:rPr>
          <w:rFonts w:ascii="Arial" w:cs="Arial" w:eastAsia="Arial" w:hAnsi="Arial"/>
          <w:sz w:val="14"/>
          <w:szCs w:val="14"/>
          <w:color w:val="auto"/>
        </w:rPr>
        <w:t xml:space="preserve"> A&amp;R IFSA</w:t>
      </w:r>
      <w:r>
        <w:rPr>
          <w:sz w:val="20"/>
          <w:szCs w:val="20"/>
          <w:color w:val="auto"/>
        </w:rPr>
        <w:tab/>
      </w: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1140" w:hanging="563"/>
        <w:spacing w:after="0" w:line="252"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May be signed in counterparts, each of which is deemed an original, and all of which taken together constitute one and the same agreement. The signatures of the parties, exchanged via fax or e-mail, shall constitute and be deemed original signatures for all purposes.</w:t>
      </w:r>
    </w:p>
    <w:p>
      <w:pPr>
        <w:spacing w:after="0" w:line="197" w:lineRule="exact"/>
        <w:rPr>
          <w:rFonts w:ascii="Arial" w:cs="Arial" w:eastAsia="Arial" w:hAnsi="Arial"/>
          <w:sz w:val="18"/>
          <w:szCs w:val="18"/>
          <w:color w:val="auto"/>
        </w:rPr>
      </w:pPr>
    </w:p>
    <w:p>
      <w:pPr>
        <w:ind w:left="1140" w:hanging="563"/>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Binds and inures to the benefit of the parties and their respective successors and assigns.</w:t>
      </w:r>
    </w:p>
    <w:p>
      <w:pPr>
        <w:spacing w:after="0" w:line="237" w:lineRule="exact"/>
        <w:rPr>
          <w:rFonts w:ascii="Arial" w:cs="Arial" w:eastAsia="Arial" w:hAnsi="Arial"/>
          <w:sz w:val="18"/>
          <w:szCs w:val="18"/>
          <w:color w:val="auto"/>
        </w:rPr>
      </w:pPr>
    </w:p>
    <w:p>
      <w:pPr>
        <w:ind w:left="1140" w:hanging="563"/>
        <w:spacing w:after="0" w:line="271"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Does not constitute a waiver of any existing or past default by Dealership under the terms of any of its agreements with the Ally Parties, including, but not limited to the IFSA.</w:t>
      </w:r>
    </w:p>
    <w:p>
      <w:pPr>
        <w:spacing w:after="0" w:line="179" w:lineRule="exact"/>
        <w:rPr>
          <w:rFonts w:ascii="Arial" w:cs="Arial" w:eastAsia="Arial" w:hAnsi="Arial"/>
          <w:sz w:val="18"/>
          <w:szCs w:val="18"/>
          <w:color w:val="auto"/>
        </w:rPr>
      </w:pPr>
    </w:p>
    <w:p>
      <w:pPr>
        <w:ind w:left="1140" w:hanging="563"/>
        <w:spacing w:after="0"/>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Constitutes the entire agreement of the parties with respect to its subject matter.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40" w:type="dxa"/>
            <w:vAlign w:val="bottom"/>
            <w:gridSpan w:val="7"/>
          </w:tcPr>
          <w:p>
            <w:pPr>
              <w:spacing w:after="0"/>
              <w:rPr>
                <w:sz w:val="20"/>
                <w:szCs w:val="20"/>
                <w:color w:val="auto"/>
              </w:rPr>
            </w:pPr>
            <w:r>
              <w:rPr>
                <w:rFonts w:ascii="Arial" w:cs="Arial" w:eastAsia="Arial" w:hAnsi="Arial"/>
                <w:sz w:val="18"/>
                <w:szCs w:val="18"/>
                <w:color w:val="auto"/>
              </w:rPr>
              <w:t>Agreed to as of the Amendment Effective Date.</w:t>
            </w:r>
          </w:p>
        </w:tc>
        <w:tc>
          <w:tcPr>
            <w:tcW w:w="1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66"/>
        </w:trPr>
        <w:tc>
          <w:tcPr>
            <w:tcW w:w="4740" w:type="dxa"/>
            <w:vAlign w:val="bottom"/>
            <w:gridSpan w:val="7"/>
          </w:tcPr>
          <w:p>
            <w:pPr>
              <w:ind w:left="100"/>
              <w:spacing w:after="0"/>
              <w:rPr>
                <w:sz w:val="20"/>
                <w:szCs w:val="20"/>
                <w:color w:val="auto"/>
              </w:rPr>
            </w:pPr>
            <w:r>
              <w:rPr>
                <w:rFonts w:ascii="Arial" w:cs="Arial" w:eastAsia="Arial" w:hAnsi="Arial"/>
                <w:sz w:val="18"/>
                <w:szCs w:val="18"/>
                <w:b w:val="1"/>
                <w:bCs w:val="1"/>
                <w:color w:val="auto"/>
              </w:rPr>
              <w:t>Ally Bank</w:t>
            </w:r>
          </w:p>
        </w:tc>
        <w:tc>
          <w:tcPr>
            <w:tcW w:w="3180" w:type="dxa"/>
            <w:vAlign w:val="bottom"/>
            <w:gridSpan w:val="3"/>
          </w:tcPr>
          <w:p>
            <w:pPr>
              <w:ind w:left="980"/>
              <w:spacing w:after="0"/>
              <w:rPr>
                <w:sz w:val="20"/>
                <w:szCs w:val="20"/>
                <w:color w:val="auto"/>
              </w:rPr>
            </w:pPr>
            <w:r>
              <w:rPr>
                <w:rFonts w:ascii="Arial" w:cs="Arial" w:eastAsia="Arial" w:hAnsi="Arial"/>
                <w:sz w:val="18"/>
                <w:szCs w:val="18"/>
                <w:b w:val="1"/>
                <w:bCs w:val="1"/>
                <w:color w:val="auto"/>
              </w:rPr>
              <w:t>Vroom Automotive, LLC</w:t>
            </w:r>
          </w:p>
        </w:tc>
      </w:tr>
      <w:tr>
        <w:trPr>
          <w:trHeight w:val="352"/>
        </w:trPr>
        <w:tc>
          <w:tcPr>
            <w:tcW w:w="4740" w:type="dxa"/>
            <w:vAlign w:val="bottom"/>
            <w:gridSpan w:val="7"/>
          </w:tcPr>
          <w:p>
            <w:pPr>
              <w:ind w:left="100"/>
              <w:spacing w:after="0"/>
              <w:rPr>
                <w:sz w:val="20"/>
                <w:szCs w:val="20"/>
                <w:color w:val="auto"/>
              </w:rPr>
            </w:pPr>
            <w:r>
              <w:rPr>
                <w:rFonts w:ascii="Arial" w:cs="Arial" w:eastAsia="Arial" w:hAnsi="Arial"/>
                <w:sz w:val="18"/>
                <w:szCs w:val="18"/>
                <w:color w:val="auto"/>
              </w:rPr>
              <w:t>By: /s/ Cindy Balint</w:t>
            </w:r>
          </w:p>
        </w:tc>
        <w:tc>
          <w:tcPr>
            <w:tcW w:w="3180" w:type="dxa"/>
            <w:vAlign w:val="bottom"/>
            <w:gridSpan w:val="3"/>
          </w:tcPr>
          <w:p>
            <w:pPr>
              <w:ind w:left="980"/>
              <w:spacing w:after="0"/>
              <w:rPr>
                <w:sz w:val="20"/>
                <w:szCs w:val="20"/>
                <w:color w:val="auto"/>
              </w:rPr>
            </w:pPr>
            <w:r>
              <w:rPr>
                <w:rFonts w:ascii="Arial" w:cs="Arial" w:eastAsia="Arial" w:hAnsi="Arial"/>
                <w:sz w:val="18"/>
                <w:szCs w:val="18"/>
                <w:color w:val="auto"/>
              </w:rPr>
              <w:t>By:</w:t>
            </w: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85"/>
        </w:trPr>
        <w:tc>
          <w:tcPr>
            <w:tcW w:w="4740" w:type="dxa"/>
            <w:vAlign w:val="bottom"/>
            <w:gridSpan w:val="7"/>
          </w:tcPr>
          <w:p>
            <w:pPr>
              <w:ind w:left="100"/>
              <w:spacing w:after="0"/>
              <w:rPr>
                <w:sz w:val="20"/>
                <w:szCs w:val="20"/>
                <w:color w:val="auto"/>
              </w:rPr>
            </w:pPr>
            <w:r>
              <w:rPr>
                <w:rFonts w:ascii="Arial" w:cs="Arial" w:eastAsia="Arial" w:hAnsi="Arial"/>
                <w:sz w:val="18"/>
                <w:szCs w:val="18"/>
                <w:color w:val="auto"/>
              </w:rPr>
              <w:t>Name: Cindy Balint</w:t>
            </w:r>
          </w:p>
        </w:tc>
        <w:tc>
          <w:tcPr>
            <w:tcW w:w="3180" w:type="dxa"/>
            <w:vAlign w:val="bottom"/>
            <w:gridSpan w:val="3"/>
          </w:tcPr>
          <w:p>
            <w:pPr>
              <w:ind w:left="980"/>
              <w:spacing w:after="0"/>
              <w:rPr>
                <w:sz w:val="20"/>
                <w:szCs w:val="20"/>
                <w:color w:val="auto"/>
              </w:rPr>
            </w:pPr>
            <w:r>
              <w:rPr>
                <w:rFonts w:ascii="Arial" w:cs="Arial" w:eastAsia="Arial" w:hAnsi="Arial"/>
                <w:sz w:val="18"/>
                <w:szCs w:val="18"/>
                <w:color w:val="auto"/>
                <w:w w:val="98"/>
              </w:rPr>
              <w:t>Title: Chief Financial Officer</w:t>
            </w:r>
          </w:p>
        </w:tc>
      </w:tr>
      <w:tr>
        <w:trPr>
          <w:trHeight w:val="20"/>
        </w:trPr>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385"/>
        </w:trPr>
        <w:tc>
          <w:tcPr>
            <w:tcW w:w="4740" w:type="dxa"/>
            <w:vAlign w:val="bottom"/>
            <w:gridSpan w:val="7"/>
          </w:tcPr>
          <w:p>
            <w:pPr>
              <w:ind w:left="100"/>
              <w:spacing w:after="0"/>
              <w:rPr>
                <w:sz w:val="20"/>
                <w:szCs w:val="20"/>
                <w:color w:val="auto"/>
              </w:rPr>
            </w:pPr>
            <w:r>
              <w:rPr>
                <w:rFonts w:ascii="Arial" w:cs="Arial" w:eastAsia="Arial" w:hAnsi="Arial"/>
                <w:sz w:val="18"/>
                <w:szCs w:val="18"/>
                <w:color w:val="auto"/>
              </w:rPr>
              <w:t>Title: Authorized Representative</w:t>
            </w:r>
          </w:p>
        </w:tc>
        <w:tc>
          <w:tcPr>
            <w:tcW w:w="3180" w:type="dxa"/>
            <w:vAlign w:val="bottom"/>
            <w:gridSpan w:val="3"/>
          </w:tcPr>
          <w:p>
            <w:pPr>
              <w:ind w:left="980"/>
              <w:spacing w:after="0"/>
              <w:rPr>
                <w:sz w:val="20"/>
                <w:szCs w:val="20"/>
                <w:color w:val="auto"/>
              </w:rPr>
            </w:pPr>
            <w:r>
              <w:rPr>
                <w:rFonts w:ascii="Arial" w:cs="Arial" w:eastAsia="Arial" w:hAnsi="Arial"/>
                <w:sz w:val="18"/>
                <w:szCs w:val="18"/>
                <w:color w:val="auto"/>
              </w:rPr>
              <w:t>Date: 1/19/2024</w:t>
            </w:r>
          </w:p>
        </w:tc>
      </w:tr>
      <w:tr>
        <w:trPr>
          <w:trHeight w:val="20"/>
        </w:trPr>
        <w:tc>
          <w:tcPr>
            <w:tcW w:w="54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385"/>
        </w:trPr>
        <w:tc>
          <w:tcPr>
            <w:tcW w:w="4740" w:type="dxa"/>
            <w:vAlign w:val="bottom"/>
            <w:gridSpan w:val="7"/>
          </w:tcPr>
          <w:p>
            <w:pPr>
              <w:ind w:left="100"/>
              <w:spacing w:after="0"/>
              <w:rPr>
                <w:sz w:val="20"/>
                <w:szCs w:val="20"/>
                <w:color w:val="auto"/>
              </w:rPr>
            </w:pPr>
            <w:r>
              <w:rPr>
                <w:rFonts w:ascii="Arial" w:cs="Arial" w:eastAsia="Arial" w:hAnsi="Arial"/>
                <w:sz w:val="18"/>
                <w:szCs w:val="18"/>
                <w:color w:val="auto"/>
              </w:rPr>
              <w:t>Date: 1/19/2024</w:t>
            </w:r>
          </w:p>
        </w:tc>
        <w:tc>
          <w:tcPr>
            <w:tcW w:w="1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180" w:type="dxa"/>
            <w:vAlign w:val="bottom"/>
            <w:gridSpan w:val="8"/>
          </w:tcPr>
          <w:p>
            <w:pPr>
              <w:ind w:left="100"/>
              <w:spacing w:after="0"/>
              <w:rPr>
                <w:sz w:val="20"/>
                <w:szCs w:val="20"/>
                <w:color w:val="auto"/>
              </w:rPr>
            </w:pPr>
            <w:r>
              <w:rPr>
                <w:rFonts w:ascii="Arial" w:cs="Arial" w:eastAsia="Arial" w:hAnsi="Arial"/>
                <w:sz w:val="18"/>
                <w:szCs w:val="18"/>
                <w:b w:val="1"/>
                <w:bCs w:val="1"/>
                <w:color w:val="auto"/>
              </w:rPr>
              <w:t>Ally Financial Inc.</w:t>
            </w:r>
          </w:p>
        </w:tc>
        <w:tc>
          <w:tcPr>
            <w:tcW w:w="7060" w:type="dxa"/>
            <w:vAlign w:val="bottom"/>
            <w:gridSpan w:val="6"/>
          </w:tcPr>
          <w:p>
            <w:pPr>
              <w:ind w:left="1540"/>
              <w:spacing w:after="0"/>
              <w:rPr>
                <w:sz w:val="20"/>
                <w:szCs w:val="20"/>
                <w:color w:val="auto"/>
              </w:rPr>
            </w:pPr>
            <w:r>
              <w:rPr>
                <w:rFonts w:ascii="Arial" w:cs="Arial" w:eastAsia="Arial" w:hAnsi="Arial"/>
                <w:sz w:val="18"/>
                <w:szCs w:val="18"/>
                <w:b w:val="1"/>
                <w:bCs w:val="1"/>
                <w:color w:val="auto"/>
              </w:rPr>
              <w:t>Vroom, Inc.</w:t>
            </w:r>
          </w:p>
        </w:tc>
      </w:tr>
      <w:tr>
        <w:trPr>
          <w:trHeight w:val="352"/>
        </w:trPr>
        <w:tc>
          <w:tcPr>
            <w:tcW w:w="4180" w:type="dxa"/>
            <w:vAlign w:val="bottom"/>
            <w:gridSpan w:val="8"/>
          </w:tcPr>
          <w:p>
            <w:pPr>
              <w:ind w:left="100"/>
              <w:spacing w:after="0"/>
              <w:rPr>
                <w:sz w:val="20"/>
                <w:szCs w:val="20"/>
                <w:color w:val="auto"/>
              </w:rPr>
            </w:pPr>
            <w:r>
              <w:rPr>
                <w:rFonts w:ascii="Arial" w:cs="Arial" w:eastAsia="Arial" w:hAnsi="Arial"/>
                <w:sz w:val="18"/>
                <w:szCs w:val="18"/>
                <w:color w:val="auto"/>
              </w:rPr>
              <w:t>By: /s/ Cindy Balint</w:t>
            </w:r>
          </w:p>
        </w:tc>
        <w:tc>
          <w:tcPr>
            <w:tcW w:w="7060" w:type="dxa"/>
            <w:vAlign w:val="bottom"/>
            <w:gridSpan w:val="6"/>
          </w:tcPr>
          <w:p>
            <w:pPr>
              <w:ind w:left="1540"/>
              <w:spacing w:after="0"/>
              <w:rPr>
                <w:sz w:val="20"/>
                <w:szCs w:val="20"/>
                <w:color w:val="auto"/>
              </w:rPr>
            </w:pPr>
            <w:r>
              <w:rPr>
                <w:rFonts w:ascii="Arial" w:cs="Arial" w:eastAsia="Arial" w:hAnsi="Arial"/>
                <w:sz w:val="18"/>
                <w:szCs w:val="18"/>
                <w:color w:val="auto"/>
              </w:rPr>
              <w:t>By: /s/ Robert R. Krakowiak</w:t>
            </w:r>
          </w:p>
        </w:tc>
      </w:tr>
      <w:tr>
        <w:trPr>
          <w:trHeight w:val="20"/>
        </w:trPr>
        <w:tc>
          <w:tcPr>
            <w:tcW w:w="36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385"/>
        </w:trPr>
        <w:tc>
          <w:tcPr>
            <w:tcW w:w="4180" w:type="dxa"/>
            <w:vAlign w:val="bottom"/>
            <w:gridSpan w:val="8"/>
          </w:tcPr>
          <w:p>
            <w:pPr>
              <w:ind w:left="100"/>
              <w:spacing w:after="0"/>
              <w:rPr>
                <w:sz w:val="20"/>
                <w:szCs w:val="20"/>
                <w:color w:val="auto"/>
              </w:rPr>
            </w:pPr>
            <w:r>
              <w:rPr>
                <w:rFonts w:ascii="Arial" w:cs="Arial" w:eastAsia="Arial" w:hAnsi="Arial"/>
                <w:sz w:val="18"/>
                <w:szCs w:val="18"/>
                <w:color w:val="auto"/>
              </w:rPr>
              <w:t>Name: Cindy Balint</w:t>
            </w:r>
          </w:p>
        </w:tc>
        <w:tc>
          <w:tcPr>
            <w:tcW w:w="7060" w:type="dxa"/>
            <w:vAlign w:val="bottom"/>
            <w:gridSpan w:val="6"/>
          </w:tcPr>
          <w:p>
            <w:pPr>
              <w:ind w:left="1540"/>
              <w:spacing w:after="0"/>
              <w:rPr>
                <w:sz w:val="20"/>
                <w:szCs w:val="20"/>
                <w:color w:val="auto"/>
              </w:rPr>
            </w:pPr>
            <w:r>
              <w:rPr>
                <w:rFonts w:ascii="Arial" w:cs="Arial" w:eastAsia="Arial" w:hAnsi="Arial"/>
                <w:sz w:val="18"/>
                <w:szCs w:val="18"/>
                <w:color w:val="auto"/>
              </w:rPr>
              <w:t>Name: Robert R. Krakowiak</w:t>
            </w: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320" w:type="dxa"/>
            <w:vAlign w:val="bottom"/>
            <w:tcBorders>
              <w:left w:val="single" w:sz="8" w:color="auto"/>
            </w:tcBorders>
          </w:tcPr>
          <w:p>
            <w:pPr>
              <w:spacing w:after="0" w:line="20" w:lineRule="exact"/>
              <w:rPr>
                <w:sz w:val="1"/>
                <w:szCs w:val="1"/>
                <w:color w:val="auto"/>
              </w:rPr>
            </w:pPr>
          </w:p>
        </w:tc>
      </w:tr>
      <w:tr>
        <w:trPr>
          <w:trHeight w:val="385"/>
        </w:trPr>
        <w:tc>
          <w:tcPr>
            <w:tcW w:w="4180" w:type="dxa"/>
            <w:vAlign w:val="bottom"/>
            <w:gridSpan w:val="8"/>
          </w:tcPr>
          <w:p>
            <w:pPr>
              <w:ind w:left="100"/>
              <w:spacing w:after="0"/>
              <w:rPr>
                <w:sz w:val="20"/>
                <w:szCs w:val="20"/>
                <w:color w:val="auto"/>
              </w:rPr>
            </w:pPr>
            <w:r>
              <w:rPr>
                <w:rFonts w:ascii="Arial" w:cs="Arial" w:eastAsia="Arial" w:hAnsi="Arial"/>
                <w:sz w:val="18"/>
                <w:szCs w:val="18"/>
                <w:color w:val="auto"/>
              </w:rPr>
              <w:t>Title: Authorized Representative</w:t>
            </w:r>
          </w:p>
        </w:tc>
        <w:tc>
          <w:tcPr>
            <w:tcW w:w="7060" w:type="dxa"/>
            <w:vAlign w:val="bottom"/>
            <w:gridSpan w:val="6"/>
          </w:tcPr>
          <w:p>
            <w:pPr>
              <w:ind w:left="1540"/>
              <w:spacing w:after="0"/>
              <w:rPr>
                <w:sz w:val="20"/>
                <w:szCs w:val="20"/>
                <w:color w:val="auto"/>
              </w:rPr>
            </w:pPr>
            <w:r>
              <w:rPr>
                <w:rFonts w:ascii="Arial" w:cs="Arial" w:eastAsia="Arial" w:hAnsi="Arial"/>
                <w:sz w:val="18"/>
                <w:szCs w:val="18"/>
                <w:color w:val="auto"/>
              </w:rPr>
              <w:t>Title: Chief Financial Officer</w:t>
            </w:r>
          </w:p>
        </w:tc>
      </w:tr>
      <w:tr>
        <w:trPr>
          <w:trHeight w:val="20"/>
        </w:trPr>
        <w:tc>
          <w:tcPr>
            <w:tcW w:w="540" w:type="dxa"/>
            <w:vAlign w:val="bottom"/>
            <w:tcBorders>
              <w:right w:val="single" w:sz="8" w:color="auto"/>
            </w:tcBorders>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385"/>
        </w:trPr>
        <w:tc>
          <w:tcPr>
            <w:tcW w:w="4180" w:type="dxa"/>
            <w:vAlign w:val="bottom"/>
            <w:gridSpan w:val="8"/>
          </w:tcPr>
          <w:p>
            <w:pPr>
              <w:ind w:left="100"/>
              <w:spacing w:after="0"/>
              <w:rPr>
                <w:sz w:val="20"/>
                <w:szCs w:val="20"/>
                <w:color w:val="auto"/>
              </w:rPr>
            </w:pPr>
            <w:r>
              <w:rPr>
                <w:rFonts w:ascii="Arial" w:cs="Arial" w:eastAsia="Arial" w:hAnsi="Arial"/>
                <w:sz w:val="18"/>
                <w:szCs w:val="18"/>
                <w:color w:val="auto"/>
              </w:rPr>
              <w:t>Date: 1/19/2024</w:t>
            </w:r>
          </w:p>
        </w:tc>
        <w:tc>
          <w:tcPr>
            <w:tcW w:w="7060" w:type="dxa"/>
            <w:vAlign w:val="bottom"/>
            <w:gridSpan w:val="6"/>
          </w:tcPr>
          <w:p>
            <w:pPr>
              <w:ind w:left="1540"/>
              <w:spacing w:after="0"/>
              <w:rPr>
                <w:sz w:val="20"/>
                <w:szCs w:val="20"/>
                <w:color w:val="auto"/>
              </w:rPr>
            </w:pPr>
            <w:r>
              <w:rPr>
                <w:rFonts w:ascii="Arial" w:cs="Arial" w:eastAsia="Arial" w:hAnsi="Arial"/>
                <w:sz w:val="18"/>
                <w:szCs w:val="18"/>
                <w:color w:val="auto"/>
              </w:rPr>
              <w:t>Date: 1/19/2024</w:t>
            </w:r>
          </w:p>
        </w:tc>
      </w:tr>
      <w:tr>
        <w:trPr>
          <w:trHeight w:val="20"/>
        </w:trPr>
        <w:tc>
          <w:tcPr>
            <w:tcW w:w="540" w:type="dxa"/>
            <w:vAlign w:val="bottom"/>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901"/>
        </w:trPr>
        <w:tc>
          <w:tcPr>
            <w:tcW w:w="4180" w:type="dxa"/>
            <w:vAlign w:val="bottom"/>
            <w:gridSpan w:val="8"/>
          </w:tcPr>
          <w:p>
            <w:pPr>
              <w:spacing w:after="0"/>
              <w:rPr>
                <w:sz w:val="20"/>
                <w:szCs w:val="20"/>
                <w:color w:val="auto"/>
              </w:rPr>
            </w:pPr>
            <w:r>
              <w:rPr>
                <w:rFonts w:ascii="Arial" w:cs="Arial" w:eastAsia="Arial" w:hAnsi="Arial"/>
                <w:sz w:val="14"/>
                <w:szCs w:val="14"/>
                <w:color w:val="auto"/>
              </w:rPr>
              <w:t>S</w:t>
            </w:r>
            <w:r>
              <w:rPr>
                <w:rFonts w:ascii="Arial" w:cs="Arial" w:eastAsia="Arial" w:hAnsi="Arial"/>
                <w:sz w:val="9"/>
                <w:szCs w:val="9"/>
                <w:color w:val="auto"/>
              </w:rPr>
              <w:t>econd</w:t>
            </w:r>
            <w:r>
              <w:rPr>
                <w:rFonts w:ascii="Arial" w:cs="Arial" w:eastAsia="Arial" w:hAnsi="Arial"/>
                <w:sz w:val="14"/>
                <w:szCs w:val="14"/>
                <w:color w:val="auto"/>
              </w:rPr>
              <w:t xml:space="preserve"> A</w:t>
            </w:r>
            <w:r>
              <w:rPr>
                <w:rFonts w:ascii="Arial" w:cs="Arial" w:eastAsia="Arial" w:hAnsi="Arial"/>
                <w:sz w:val="9"/>
                <w:szCs w:val="9"/>
                <w:color w:val="auto"/>
              </w:rPr>
              <w:t>mendment to</w:t>
            </w:r>
            <w:r>
              <w:rPr>
                <w:rFonts w:ascii="Arial" w:cs="Arial" w:eastAsia="Arial" w:hAnsi="Arial"/>
                <w:sz w:val="14"/>
                <w:szCs w:val="14"/>
                <w:color w:val="auto"/>
              </w:rPr>
              <w:t xml:space="preserve"> A&amp;R IFSA    </w:t>
            </w:r>
            <w:r>
              <w:rPr>
                <w:rFonts w:ascii="Arial" w:cs="Arial" w:eastAsia="Arial" w:hAnsi="Arial"/>
                <w:sz w:val="17"/>
                <w:szCs w:val="17"/>
                <w:color w:val="auto"/>
              </w:rPr>
              <w:t>4</w:t>
            </w:r>
          </w:p>
        </w:tc>
        <w:tc>
          <w:tcPr>
            <w:tcW w:w="1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745"/>
        </w:trPr>
        <w:tc>
          <w:tcPr>
            <w:tcW w:w="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7" w:name="page158"/>
    <w:bookmarkEnd w:id="157"/>
    <w:p>
      <w:pPr>
        <w:ind w:left="10000"/>
        <w:spacing w:after="0"/>
        <w:rPr>
          <w:sz w:val="20"/>
          <w:szCs w:val="20"/>
          <w:color w:val="auto"/>
        </w:rPr>
      </w:pPr>
      <w:r>
        <w:rPr>
          <w:rFonts w:ascii="Arial" w:cs="Arial" w:eastAsia="Arial" w:hAnsi="Arial"/>
          <w:sz w:val="20"/>
          <w:szCs w:val="20"/>
          <w:color w:val="auto"/>
        </w:rPr>
        <w:t>Exhibit 10.19</w:t>
      </w: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AGREEMENT OF TERMINATION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jc w:val="center"/>
        <w:ind w:right="40"/>
        <w:spacing w:after="0" w:line="234" w:lineRule="auto"/>
        <w:rPr>
          <w:sz w:val="20"/>
          <w:szCs w:val="20"/>
          <w:color w:val="auto"/>
        </w:rPr>
      </w:pPr>
      <w:r>
        <w:rPr>
          <w:rFonts w:ascii="Arial" w:cs="Arial" w:eastAsia="Arial" w:hAnsi="Arial"/>
          <w:sz w:val="18"/>
          <w:szCs w:val="18"/>
          <w:b w:val="1"/>
          <w:bCs w:val="1"/>
          <w:color w:val="auto"/>
        </w:rPr>
        <w:t>AMENDED AND RESTATED INVENTORY FINANCING AND SECURITY AGREEMENT</w:t>
      </w:r>
    </w:p>
    <w:p>
      <w:pPr>
        <w:jc w:val="center"/>
        <w:spacing w:after="0"/>
        <w:rPr>
          <w:sz w:val="20"/>
          <w:szCs w:val="20"/>
          <w:color w:val="auto"/>
        </w:rPr>
      </w:pPr>
      <w:r>
        <w:rPr>
          <w:rFonts w:ascii="Arial" w:cs="Arial" w:eastAsia="Arial" w:hAnsi="Arial"/>
          <w:sz w:val="18"/>
          <w:szCs w:val="18"/>
          <w:b w:val="1"/>
          <w:bCs w:val="1"/>
          <w:color w:val="auto"/>
        </w:rPr>
        <w:t>AND CREDIT BALANCE AGREEMENT</w:t>
      </w:r>
    </w:p>
    <w:p>
      <w:pPr>
        <w:spacing w:after="0" w:line="382" w:lineRule="exact"/>
        <w:rPr>
          <w:sz w:val="20"/>
          <w:szCs w:val="20"/>
          <w:color w:val="auto"/>
        </w:rPr>
      </w:pPr>
    </w:p>
    <w:p>
      <w:pPr>
        <w:ind w:left="4180" w:hanging="209"/>
        <w:spacing w:after="0"/>
        <w:tabs>
          <w:tab w:leader="none" w:pos="418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THE PARTIES TO THIS AGREEMENT</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This Agreement of Termination of Amended and Restated Inventory Financing and Security Agreement and Credit Balance Agreement (“Termination Agreement”) is effective as of March 12, 2024 (the “Effective Date”), and is made by and among the following parties:</w:t>
      </w:r>
    </w:p>
    <w:p>
      <w:pPr>
        <w:spacing w:after="0" w:line="139" w:lineRule="exact"/>
        <w:rPr>
          <w:sz w:val="20"/>
          <w:szCs w:val="20"/>
          <w:color w:val="auto"/>
        </w:rPr>
      </w:pPr>
    </w:p>
    <w:p>
      <w:pPr>
        <w:ind w:left="580" w:right="20" w:hanging="558"/>
        <w:spacing w:after="0" w:line="271"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Ally Bank (Ally Capital in Hawaii, Mississippi, Montana and New Jersey) </w:t>
      </w:r>
      <w:r>
        <w:rPr>
          <w:rFonts w:ascii="Arial" w:cs="Arial" w:eastAsia="Arial" w:hAnsi="Arial"/>
          <w:sz w:val="18"/>
          <w:szCs w:val="18"/>
          <w:color w:val="auto"/>
        </w:rPr>
        <w:t>(together with its successors and assigns, “Bank”), a</w:t>
      </w:r>
      <w:r>
        <w:rPr>
          <w:rFonts w:ascii="Arial" w:cs="Arial" w:eastAsia="Arial" w:hAnsi="Arial"/>
          <w:sz w:val="18"/>
          <w:szCs w:val="18"/>
          <w:b w:val="1"/>
          <w:bCs w:val="1"/>
          <w:color w:val="auto"/>
        </w:rPr>
        <w:t xml:space="preserve"> </w:t>
      </w:r>
      <w:r>
        <w:rPr>
          <w:rFonts w:ascii="Arial" w:cs="Arial" w:eastAsia="Arial" w:hAnsi="Arial"/>
          <w:sz w:val="18"/>
          <w:szCs w:val="18"/>
          <w:color w:val="auto"/>
        </w:rPr>
        <w:t>Utah state-chartered bank with a local business office currently located at 5851 Legacy Circle, Suite 200, Plano, Texas 75024;</w:t>
      </w:r>
    </w:p>
    <w:p>
      <w:pPr>
        <w:spacing w:after="0" w:line="179" w:lineRule="exact"/>
        <w:rPr>
          <w:rFonts w:ascii="Arial" w:cs="Arial" w:eastAsia="Arial" w:hAnsi="Arial"/>
          <w:sz w:val="18"/>
          <w:szCs w:val="18"/>
          <w:color w:val="auto"/>
        </w:rPr>
      </w:pPr>
    </w:p>
    <w:p>
      <w:pPr>
        <w:jc w:val="both"/>
        <w:ind w:left="580" w:hanging="558"/>
        <w:spacing w:after="0" w:line="252"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Ally Financial Inc.</w:t>
      </w:r>
      <w:r>
        <w:rPr>
          <w:rFonts w:ascii="Arial" w:cs="Arial" w:eastAsia="Arial" w:hAnsi="Arial"/>
          <w:sz w:val="18"/>
          <w:szCs w:val="18"/>
          <w:color w:val="auto"/>
        </w:rPr>
        <w:t>, a Delaware corporation (together with its successors and assigns, “Ally”) with a local business office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located at 5851 Legacy Circle, Suite 200, Plano, Texas 75024 (together with Bank, the “Ally Parties” and Bank and Ally each being, an “Ally Party”);</w:t>
      </w:r>
    </w:p>
    <w:p>
      <w:pPr>
        <w:spacing w:after="0" w:line="157" w:lineRule="exact"/>
        <w:rPr>
          <w:rFonts w:ascii="Arial" w:cs="Arial" w:eastAsia="Arial" w:hAnsi="Arial"/>
          <w:sz w:val="18"/>
          <w:szCs w:val="18"/>
          <w:color w:val="auto"/>
        </w:rPr>
      </w:pPr>
    </w:p>
    <w:p>
      <w:pPr>
        <w:jc w:val="both"/>
        <w:ind w:left="580" w:hanging="558"/>
        <w:spacing w:after="0" w:line="252"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Vroom Automotive, LLC</w:t>
      </w:r>
      <w:r>
        <w:rPr>
          <w:rFonts w:ascii="Arial" w:cs="Arial" w:eastAsia="Arial" w:hAnsi="Arial"/>
          <w:sz w:val="18"/>
          <w:szCs w:val="18"/>
          <w:color w:val="auto"/>
        </w:rPr>
        <w:t>, a Texas limited liability company, formerly known as Left Gate Property Holding, LLC, doing business as</w:t>
      </w:r>
      <w:r>
        <w:rPr>
          <w:rFonts w:ascii="Arial" w:cs="Arial" w:eastAsia="Arial" w:hAnsi="Arial"/>
          <w:sz w:val="18"/>
          <w:szCs w:val="18"/>
          <w:b w:val="1"/>
          <w:bCs w:val="1"/>
          <w:color w:val="auto"/>
        </w:rPr>
        <w:t xml:space="preserve"> </w:t>
      </w:r>
      <w:r>
        <w:rPr>
          <w:rFonts w:ascii="Arial" w:cs="Arial" w:eastAsia="Arial" w:hAnsi="Arial"/>
          <w:sz w:val="18"/>
          <w:szCs w:val="18"/>
          <w:color w:val="auto"/>
        </w:rPr>
        <w:t>Texas Direct Auto and Vroom, with its principal executive office currently located at 12053 Southwest Freeway, Stafford, Texas 77477 (“Dealership”); and</w:t>
      </w:r>
    </w:p>
    <w:p>
      <w:pPr>
        <w:spacing w:after="0" w:line="197" w:lineRule="exact"/>
        <w:rPr>
          <w:rFonts w:ascii="Arial" w:cs="Arial" w:eastAsia="Arial" w:hAnsi="Arial"/>
          <w:sz w:val="18"/>
          <w:szCs w:val="18"/>
          <w:color w:val="auto"/>
        </w:rPr>
      </w:pPr>
    </w:p>
    <w:p>
      <w:pPr>
        <w:ind w:left="580" w:right="20" w:hanging="558"/>
        <w:spacing w:after="0" w:line="271" w:lineRule="auto"/>
        <w:tabs>
          <w:tab w:leader="none" w:pos="5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Vroom, Inc.</w:t>
      </w:r>
      <w:r>
        <w:rPr>
          <w:rFonts w:ascii="Arial" w:cs="Arial" w:eastAsia="Arial" w:hAnsi="Arial"/>
          <w:sz w:val="18"/>
          <w:szCs w:val="18"/>
          <w:color w:val="auto"/>
        </w:rPr>
        <w:t>, a Delaware corporation, with its principal executive office currently located at 3600 W. Sam Houston Pkwy S, Floor 4,</w:t>
      </w:r>
      <w:r>
        <w:rPr>
          <w:rFonts w:ascii="Arial" w:cs="Arial" w:eastAsia="Arial" w:hAnsi="Arial"/>
          <w:sz w:val="18"/>
          <w:szCs w:val="18"/>
          <w:b w:val="1"/>
          <w:bCs w:val="1"/>
          <w:color w:val="auto"/>
        </w:rPr>
        <w:t xml:space="preserve"> </w:t>
      </w:r>
      <w:r>
        <w:rPr>
          <w:rFonts w:ascii="Arial" w:cs="Arial" w:eastAsia="Arial" w:hAnsi="Arial"/>
          <w:sz w:val="18"/>
          <w:szCs w:val="18"/>
          <w:color w:val="auto"/>
        </w:rPr>
        <w:t>Houston, Texas 77042 (“Vroom”).</w:t>
      </w:r>
    </w:p>
    <w:p>
      <w:pPr>
        <w:spacing w:after="0" w:line="180" w:lineRule="exact"/>
        <w:rPr>
          <w:sz w:val="20"/>
          <w:szCs w:val="20"/>
          <w:color w:val="auto"/>
        </w:rPr>
      </w:pPr>
    </w:p>
    <w:p>
      <w:pPr>
        <w:ind w:left="5120" w:hanging="258"/>
        <w:spacing w:after="0"/>
        <w:tabs>
          <w:tab w:leader="none" w:pos="512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THE RECITALS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essential facts relied on by Bank, Ally, Dealership and Vroom as true and complete, and giving rise to this Termination Agreement, are as follows:</w:t>
      </w:r>
    </w:p>
    <w:p>
      <w:pPr>
        <w:spacing w:after="0" w:line="139" w:lineRule="exact"/>
        <w:rPr>
          <w:sz w:val="20"/>
          <w:szCs w:val="20"/>
          <w:color w:val="auto"/>
        </w:rPr>
      </w:pPr>
    </w:p>
    <w:p>
      <w:pPr>
        <w:jc w:val="both"/>
        <w:ind w:left="580" w:hanging="558"/>
        <w:spacing w:after="0" w:line="243"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Ally Parties, Dealership and Vroom are parties to an Amended and Restated Inventory Financing and Security Agreement, effective as of November 4, 2022, as amended by the First Amendment to Amended and Restated Inventory Financing and Security Agreement, effective as of August 1, 2023, and the Second Amendment to Amended and Restated Inventory Financing and Security Agreement, effective as of January 19, 2024 (as amended, the “IFSA”). Capitalized terms used and not defined herein have the meaning ascribed to them in the IFSA.</w:t>
      </w:r>
    </w:p>
    <w:p>
      <w:pPr>
        <w:spacing w:after="0" w:line="206" w:lineRule="exact"/>
        <w:rPr>
          <w:rFonts w:ascii="Arial" w:cs="Arial" w:eastAsia="Arial" w:hAnsi="Arial"/>
          <w:sz w:val="18"/>
          <w:szCs w:val="18"/>
          <w:color w:val="auto"/>
        </w:rPr>
      </w:pPr>
    </w:p>
    <w:p>
      <w:pPr>
        <w:ind w:left="580" w:hanging="558"/>
        <w:spacing w:after="0" w:line="271" w:lineRule="auto"/>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Ally Bank and Dealership are parties to a Fourth Amended and Restated Credit Balance Agreement, effective as of January 19, 2024 (the “CBA” and, together with the IFSA, the “Finance Agreements”).</w:t>
      </w:r>
    </w:p>
    <w:p>
      <w:pPr>
        <w:spacing w:after="0" w:line="179" w:lineRule="exact"/>
        <w:rPr>
          <w:rFonts w:ascii="Arial" w:cs="Arial" w:eastAsia="Arial" w:hAnsi="Arial"/>
          <w:sz w:val="18"/>
          <w:szCs w:val="18"/>
          <w:color w:val="auto"/>
        </w:rPr>
      </w:pPr>
    </w:p>
    <w:p>
      <w:pPr>
        <w:ind w:left="580" w:hanging="558"/>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Dealership is winding down its ecommerce retail business and has ceased acquisition of Vehicles.</w:t>
      </w:r>
    </w:p>
    <w:p>
      <w:pPr>
        <w:spacing w:after="0" w:line="237" w:lineRule="exact"/>
        <w:rPr>
          <w:rFonts w:ascii="Arial" w:cs="Arial" w:eastAsia="Arial" w:hAnsi="Arial"/>
          <w:sz w:val="18"/>
          <w:szCs w:val="18"/>
          <w:color w:val="auto"/>
        </w:rPr>
      </w:pPr>
    </w:p>
    <w:p>
      <w:pPr>
        <w:ind w:left="580" w:hanging="558"/>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Dealership has paid all amounts due and owing to the Ally Parties under the IFSA and the Credit Line has been terminated.</w:t>
      </w:r>
    </w:p>
    <w:p>
      <w:pPr>
        <w:spacing w:after="0" w:line="237" w:lineRule="exact"/>
        <w:rPr>
          <w:rFonts w:ascii="Arial" w:cs="Arial" w:eastAsia="Arial" w:hAnsi="Arial"/>
          <w:sz w:val="18"/>
          <w:szCs w:val="18"/>
          <w:color w:val="auto"/>
        </w:rPr>
      </w:pPr>
    </w:p>
    <w:p>
      <w:pPr>
        <w:ind w:left="580" w:hanging="558"/>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funds received by Bank under the CBA have been applied or returned to Dealership.</w:t>
      </w:r>
    </w:p>
    <w:p>
      <w:pPr>
        <w:spacing w:after="0" w:line="237" w:lineRule="exact"/>
        <w:rPr>
          <w:rFonts w:ascii="Arial" w:cs="Arial" w:eastAsia="Arial" w:hAnsi="Arial"/>
          <w:sz w:val="18"/>
          <w:szCs w:val="18"/>
          <w:color w:val="auto"/>
        </w:rPr>
      </w:pPr>
    </w:p>
    <w:p>
      <w:pPr>
        <w:ind w:left="580" w:hanging="558"/>
        <w:spacing w:after="0"/>
        <w:tabs>
          <w:tab w:leader="none" w:pos="5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parties to this Termination Agreement desire to confirm the termination of the Finance Agreements.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tabs>
          <w:tab w:leader="none" w:pos="2860" w:val="left"/>
        </w:tabs>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greement of</w:t>
      </w:r>
      <w:r>
        <w:rPr>
          <w:rFonts w:ascii="Arial" w:cs="Arial" w:eastAsia="Arial" w:hAnsi="Arial"/>
          <w:sz w:val="14"/>
          <w:szCs w:val="14"/>
          <w:color w:val="auto"/>
        </w:rPr>
        <w:t xml:space="preserve"> T</w:t>
      </w:r>
      <w:r>
        <w:rPr>
          <w:rFonts w:ascii="Arial" w:cs="Arial" w:eastAsia="Arial" w:hAnsi="Arial"/>
          <w:sz w:val="9"/>
          <w:szCs w:val="9"/>
          <w:color w:val="auto"/>
        </w:rPr>
        <w:t>ermination of</w:t>
      </w:r>
      <w:r>
        <w:rPr>
          <w:rFonts w:ascii="Arial" w:cs="Arial" w:eastAsia="Arial" w:hAnsi="Arial"/>
          <w:sz w:val="14"/>
          <w:szCs w:val="14"/>
          <w:color w:val="auto"/>
        </w:rPr>
        <w:t xml:space="preserve"> IFSA </w:t>
      </w:r>
      <w:r>
        <w:rPr>
          <w:rFonts w:ascii="Arial" w:cs="Arial" w:eastAsia="Arial" w:hAnsi="Arial"/>
          <w:sz w:val="9"/>
          <w:szCs w:val="9"/>
          <w:color w:val="auto"/>
        </w:rPr>
        <w:t>and</w:t>
      </w:r>
      <w:r>
        <w:rPr>
          <w:rFonts w:ascii="Arial" w:cs="Arial" w:eastAsia="Arial" w:hAnsi="Arial"/>
          <w:sz w:val="14"/>
          <w:szCs w:val="14"/>
          <w:color w:val="auto"/>
        </w:rPr>
        <w:t xml:space="preserve"> CBA</w:t>
      </w:r>
      <w:r>
        <w:rPr>
          <w:sz w:val="20"/>
          <w:szCs w:val="20"/>
          <w:color w:val="auto"/>
        </w:rPr>
        <w:tab/>
      </w: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8" w:name="page159"/>
    <w:bookmarkEnd w:id="158"/>
    <w:p>
      <w:pPr>
        <w:jc w:val="right"/>
        <w:spacing w:after="0"/>
        <w:rPr>
          <w:sz w:val="20"/>
          <w:szCs w:val="20"/>
          <w:color w:val="auto"/>
        </w:rPr>
      </w:pPr>
      <w:r>
        <w:rPr>
          <w:rFonts w:ascii="Arial" w:cs="Arial" w:eastAsia="Arial" w:hAnsi="Arial"/>
          <w:sz w:val="22"/>
          <w:szCs w:val="22"/>
          <w:color w:val="auto"/>
        </w:rPr>
        <w:t>Exhibit 10.19</w:t>
      </w:r>
    </w:p>
    <w:p>
      <w:pPr>
        <w:spacing w:after="0" w:line="200" w:lineRule="exact"/>
        <w:rPr>
          <w:sz w:val="20"/>
          <w:szCs w:val="20"/>
          <w:color w:val="auto"/>
        </w:rPr>
      </w:pPr>
    </w:p>
    <w:p>
      <w:pPr>
        <w:spacing w:after="0" w:line="202" w:lineRule="exact"/>
        <w:rPr>
          <w:sz w:val="20"/>
          <w:szCs w:val="20"/>
          <w:color w:val="auto"/>
        </w:rPr>
      </w:pPr>
    </w:p>
    <w:p>
      <w:pPr>
        <w:ind w:left="5000" w:hanging="299"/>
        <w:spacing w:after="0"/>
        <w:tabs>
          <w:tab w:leader="none" w:pos="5000" w:val="left"/>
        </w:tabs>
        <w:numPr>
          <w:ilvl w:val="2"/>
          <w:numId w:val="79"/>
        </w:numPr>
        <w:rPr>
          <w:rFonts w:ascii="Arial" w:cs="Arial" w:eastAsia="Arial" w:hAnsi="Arial"/>
          <w:sz w:val="18"/>
          <w:szCs w:val="18"/>
          <w:color w:val="auto"/>
        </w:rPr>
      </w:pPr>
      <w:r>
        <w:rPr>
          <w:rFonts w:ascii="Arial" w:cs="Arial" w:eastAsia="Arial" w:hAnsi="Arial"/>
          <w:sz w:val="18"/>
          <w:szCs w:val="18"/>
          <w:u w:val="single" w:color="auto"/>
          <w:color w:val="auto"/>
        </w:rPr>
        <w:t>THE AGREEMENT</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Bank, Ally, Dealership and Vroom hereby acknowledge and agree as follows:</w:t>
      </w:r>
    </w:p>
    <w:p>
      <w:pPr>
        <w:spacing w:after="0" w:line="197" w:lineRule="exact"/>
        <w:rPr>
          <w:rFonts w:ascii="Arial" w:cs="Arial" w:eastAsia="Arial" w:hAnsi="Arial"/>
          <w:sz w:val="18"/>
          <w:szCs w:val="18"/>
          <w:color w:val="auto"/>
        </w:rPr>
      </w:pPr>
    </w:p>
    <w:p>
      <w:pPr>
        <w:ind w:left="580" w:hanging="558"/>
        <w:spacing w:after="0" w:line="271"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Effective as of the date hereof, each of the IFSA and the CBA are terminated with no further liability or obligation thereunder by or on the part of the Ally Parties, Dealership or Vroom.</w:t>
      </w:r>
    </w:p>
    <w:p>
      <w:pPr>
        <w:spacing w:after="0" w:line="139" w:lineRule="exact"/>
        <w:rPr>
          <w:rFonts w:ascii="Arial" w:cs="Arial" w:eastAsia="Arial" w:hAnsi="Arial"/>
          <w:sz w:val="18"/>
          <w:szCs w:val="18"/>
          <w:color w:val="auto"/>
        </w:rPr>
      </w:pPr>
    </w:p>
    <w:p>
      <w:pPr>
        <w:jc w:val="both"/>
        <w:ind w:left="580" w:hanging="558"/>
        <w:spacing w:after="0" w:line="243"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Ally Parties acknowledge and agree that, as of the Effective Date, the Security Interest granted to the Ally Parties under the IFSA is terminated and the Ally Parties no longer have a Security Interest or any other lien, claim or incumbrance on the Collateral or any other property, assets or securities of Vroom or Dealership. Within 10 business days of the Effective Date, the Ally Parties will make all filings with the appropriate state offices to terminate all current UCC financing statements filed by the Ally Parties naming Dealership and/or Vroom as debtor.</w:t>
      </w:r>
    </w:p>
    <w:p>
      <w:pPr>
        <w:spacing w:after="0" w:line="165" w:lineRule="exact"/>
        <w:rPr>
          <w:rFonts w:ascii="Arial" w:cs="Arial" w:eastAsia="Arial" w:hAnsi="Arial"/>
          <w:sz w:val="18"/>
          <w:szCs w:val="18"/>
          <w:color w:val="auto"/>
        </w:rPr>
      </w:pPr>
    </w:p>
    <w:p>
      <w:pPr>
        <w:jc w:val="both"/>
        <w:ind w:left="580" w:hanging="558"/>
        <w:spacing w:after="0" w:line="252"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Termination Agreement does not include and shall have no effect on the Ally Master Retail-Lease Agreement dated April 3, 2020, as amended to date (the “MLRA”), which is being terminated contemporaneous herewith pursuant to the terms of that certain letter agreement, dated March 12, 2024, between Dealership and the Ally Parties.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Termination Agreement:</w:t>
      </w:r>
    </w:p>
    <w:p>
      <w:pPr>
        <w:spacing w:after="0" w:line="237" w:lineRule="exact"/>
        <w:rPr>
          <w:rFonts w:ascii="Arial" w:cs="Arial" w:eastAsia="Arial" w:hAnsi="Arial"/>
          <w:sz w:val="18"/>
          <w:szCs w:val="18"/>
          <w:color w:val="auto"/>
        </w:rPr>
      </w:pPr>
    </w:p>
    <w:p>
      <w:pPr>
        <w:ind w:left="1140" w:hanging="563"/>
        <w:spacing w:after="0"/>
        <w:tabs>
          <w:tab w:leader="none" w:pos="1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May be modified only by a writing signed by all parties.</w:t>
      </w:r>
    </w:p>
    <w:p>
      <w:pPr>
        <w:spacing w:after="0" w:line="237" w:lineRule="exact"/>
        <w:rPr>
          <w:rFonts w:ascii="Arial" w:cs="Arial" w:eastAsia="Arial" w:hAnsi="Arial"/>
          <w:sz w:val="18"/>
          <w:szCs w:val="18"/>
          <w:color w:val="auto"/>
        </w:rPr>
      </w:pPr>
    </w:p>
    <w:p>
      <w:pPr>
        <w:jc w:val="both"/>
        <w:ind w:left="1140" w:hanging="563"/>
        <w:spacing w:after="0" w:line="252" w:lineRule="auto"/>
        <w:tabs>
          <w:tab w:leader="none" w:pos="1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May be signed in counterparts, each of which is deemed an original, and all of which taken together constitute one and the same agreement. The signatures of the parties, exchanged via fax or e-mail, shall constitute and be deemed original signatures for all purposes.</w:t>
      </w:r>
    </w:p>
    <w:p>
      <w:pPr>
        <w:spacing w:after="0" w:line="197" w:lineRule="exact"/>
        <w:rPr>
          <w:rFonts w:ascii="Arial" w:cs="Arial" w:eastAsia="Arial" w:hAnsi="Arial"/>
          <w:sz w:val="18"/>
          <w:szCs w:val="18"/>
          <w:color w:val="auto"/>
        </w:rPr>
      </w:pPr>
    </w:p>
    <w:p>
      <w:pPr>
        <w:ind w:left="1140" w:hanging="563"/>
        <w:spacing w:after="0"/>
        <w:tabs>
          <w:tab w:leader="none" w:pos="1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Binds and inures to the benefit of the parties and their respective successors and assigns.</w:t>
      </w:r>
    </w:p>
    <w:p>
      <w:pPr>
        <w:spacing w:after="0" w:line="237" w:lineRule="exact"/>
        <w:rPr>
          <w:rFonts w:ascii="Arial" w:cs="Arial" w:eastAsia="Arial" w:hAnsi="Arial"/>
          <w:sz w:val="18"/>
          <w:szCs w:val="18"/>
          <w:color w:val="auto"/>
        </w:rPr>
      </w:pPr>
    </w:p>
    <w:p>
      <w:pPr>
        <w:ind w:left="1140" w:hanging="563"/>
        <w:spacing w:after="0"/>
        <w:tabs>
          <w:tab w:leader="none" w:pos="11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Constitutes the entire agreement of the parties with respect to its subject matter.</w:t>
      </w:r>
    </w:p>
    <w:p>
      <w:pPr>
        <w:spacing w:after="0" w:line="237" w:lineRule="exact"/>
        <w:rPr>
          <w:rFonts w:ascii="Arial" w:cs="Arial" w:eastAsia="Arial" w:hAnsi="Arial"/>
          <w:sz w:val="18"/>
          <w:szCs w:val="18"/>
          <w:color w:val="auto"/>
        </w:rPr>
      </w:pPr>
    </w:p>
    <w:p>
      <w:pPr>
        <w:ind w:left="580" w:hanging="558"/>
        <w:spacing w:after="0" w:line="271" w:lineRule="auto"/>
        <w:tabs>
          <w:tab w:leader="none" w:pos="5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JURY WAIVER. BANK, ALLY, DEALERSHIP AND VROOM WAIVE AND RENOUNCE THE RIGHT UNDER FEDERAL AND STATE LAW TO A TRIAL BY JURY FOR ANY CLAIM, SUIT OR LITIGATIONS RELATING TO THIS TERMINATION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Agreed to as of the Effective Date.</w:t>
      </w:r>
    </w:p>
    <w:p>
      <w:pPr>
        <w:spacing w:after="0" w:line="251" w:lineRule="exact"/>
        <w:rPr>
          <w:sz w:val="20"/>
          <w:szCs w:val="20"/>
          <w:color w:val="auto"/>
        </w:rPr>
      </w:pPr>
    </w:p>
    <w:tbl>
      <w:tblPr>
        <w:tblLayout w:type="fixed"/>
        <w:tblInd w:w="100" w:type="dxa"/>
        <w:tblCellMar>
          <w:top w:w="0" w:type="dxa"/>
          <w:left w:w="0" w:type="dxa"/>
          <w:bottom w:w="0" w:type="dxa"/>
          <w:right w:w="0" w:type="dxa"/>
        </w:tblCellMar>
      </w:tblPr>
      <w:tr>
        <w:trPr>
          <w:trHeight w:val="247"/>
        </w:trPr>
        <w:tc>
          <w:tcPr>
            <w:tcW w:w="4080" w:type="dxa"/>
            <w:vAlign w:val="bottom"/>
            <w:gridSpan w:val="6"/>
          </w:tcPr>
          <w:p>
            <w:pPr>
              <w:spacing w:after="0"/>
              <w:rPr>
                <w:sz w:val="20"/>
                <w:szCs w:val="20"/>
                <w:color w:val="auto"/>
              </w:rPr>
            </w:pPr>
            <w:r>
              <w:rPr>
                <w:rFonts w:ascii="Arial" w:cs="Arial" w:eastAsia="Arial" w:hAnsi="Arial"/>
                <w:sz w:val="18"/>
                <w:szCs w:val="18"/>
                <w:b w:val="1"/>
                <w:bCs w:val="1"/>
                <w:color w:val="auto"/>
              </w:rPr>
              <w:t>Ally Bank</w:t>
            </w:r>
          </w:p>
        </w:tc>
        <w:tc>
          <w:tcPr>
            <w:tcW w:w="3780" w:type="dxa"/>
            <w:vAlign w:val="bottom"/>
            <w:gridSpan w:val="6"/>
          </w:tcPr>
          <w:p>
            <w:pPr>
              <w:ind w:left="1540"/>
              <w:spacing w:after="0"/>
              <w:rPr>
                <w:sz w:val="20"/>
                <w:szCs w:val="20"/>
                <w:color w:val="auto"/>
              </w:rPr>
            </w:pPr>
            <w:r>
              <w:rPr>
                <w:rFonts w:ascii="Arial" w:cs="Arial" w:eastAsia="Arial" w:hAnsi="Arial"/>
                <w:sz w:val="18"/>
                <w:szCs w:val="18"/>
                <w:b w:val="1"/>
                <w:bCs w:val="1"/>
                <w:color w:val="auto"/>
              </w:rPr>
              <w:t>Vroom Automotive, LLC</w:t>
            </w:r>
          </w:p>
        </w:tc>
      </w:tr>
      <w:tr>
        <w:trPr>
          <w:trHeight w:val="352"/>
        </w:trPr>
        <w:tc>
          <w:tcPr>
            <w:tcW w:w="4080" w:type="dxa"/>
            <w:vAlign w:val="bottom"/>
            <w:gridSpan w:val="6"/>
          </w:tcPr>
          <w:p>
            <w:pPr>
              <w:spacing w:after="0"/>
              <w:rPr>
                <w:sz w:val="20"/>
                <w:szCs w:val="20"/>
                <w:color w:val="auto"/>
              </w:rPr>
            </w:pPr>
            <w:r>
              <w:rPr>
                <w:rFonts w:ascii="Arial" w:cs="Arial" w:eastAsia="Arial" w:hAnsi="Arial"/>
                <w:sz w:val="18"/>
                <w:szCs w:val="18"/>
                <w:color w:val="auto"/>
              </w:rPr>
              <w:t>By: /s/ Cindy Balint</w:t>
            </w:r>
          </w:p>
        </w:tc>
        <w:tc>
          <w:tcPr>
            <w:tcW w:w="3780" w:type="dxa"/>
            <w:vAlign w:val="bottom"/>
            <w:gridSpan w:val="6"/>
          </w:tcPr>
          <w:p>
            <w:pPr>
              <w:ind w:left="1540"/>
              <w:spacing w:after="0"/>
              <w:rPr>
                <w:sz w:val="20"/>
                <w:szCs w:val="20"/>
                <w:color w:val="auto"/>
              </w:rPr>
            </w:pPr>
            <w:r>
              <w:rPr>
                <w:rFonts w:ascii="Arial" w:cs="Arial" w:eastAsia="Arial" w:hAnsi="Arial"/>
                <w:sz w:val="18"/>
                <w:szCs w:val="18"/>
                <w:color w:val="auto"/>
              </w:rPr>
              <w:t>By: /s/ Robert R. Krakowiak</w:t>
            </w: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4080" w:type="dxa"/>
            <w:vAlign w:val="bottom"/>
            <w:gridSpan w:val="6"/>
          </w:tcPr>
          <w:p>
            <w:pPr>
              <w:spacing w:after="0"/>
              <w:rPr>
                <w:sz w:val="20"/>
                <w:szCs w:val="20"/>
                <w:color w:val="auto"/>
              </w:rPr>
            </w:pPr>
            <w:r>
              <w:rPr>
                <w:rFonts w:ascii="Arial" w:cs="Arial" w:eastAsia="Arial" w:hAnsi="Arial"/>
                <w:sz w:val="18"/>
                <w:szCs w:val="18"/>
                <w:color w:val="auto"/>
              </w:rPr>
              <w:t>Name: Cindy Balint</w:t>
            </w:r>
          </w:p>
        </w:tc>
        <w:tc>
          <w:tcPr>
            <w:tcW w:w="3780" w:type="dxa"/>
            <w:vAlign w:val="bottom"/>
            <w:gridSpan w:val="6"/>
          </w:tcPr>
          <w:p>
            <w:pPr>
              <w:ind w:left="1540"/>
              <w:spacing w:after="0"/>
              <w:rPr>
                <w:sz w:val="20"/>
                <w:szCs w:val="20"/>
                <w:color w:val="auto"/>
              </w:rPr>
            </w:pPr>
            <w:r>
              <w:rPr>
                <w:rFonts w:ascii="Arial" w:cs="Arial" w:eastAsia="Arial" w:hAnsi="Arial"/>
                <w:sz w:val="18"/>
                <w:szCs w:val="18"/>
                <w:color w:val="auto"/>
                <w:w w:val="99"/>
              </w:rPr>
              <w:t>Name: Robert R. Krakowiak</w:t>
            </w:r>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385"/>
        </w:trPr>
        <w:tc>
          <w:tcPr>
            <w:tcW w:w="4080" w:type="dxa"/>
            <w:vAlign w:val="bottom"/>
            <w:gridSpan w:val="6"/>
          </w:tcPr>
          <w:p>
            <w:pPr>
              <w:spacing w:after="0"/>
              <w:rPr>
                <w:sz w:val="20"/>
                <w:szCs w:val="20"/>
                <w:color w:val="auto"/>
              </w:rPr>
            </w:pPr>
            <w:r>
              <w:rPr>
                <w:rFonts w:ascii="Arial" w:cs="Arial" w:eastAsia="Arial" w:hAnsi="Arial"/>
                <w:sz w:val="18"/>
                <w:szCs w:val="18"/>
                <w:color w:val="auto"/>
              </w:rPr>
              <w:t>Title: Authorized Representative</w:t>
            </w:r>
          </w:p>
        </w:tc>
        <w:tc>
          <w:tcPr>
            <w:tcW w:w="3780" w:type="dxa"/>
            <w:vAlign w:val="bottom"/>
            <w:gridSpan w:val="6"/>
          </w:tcPr>
          <w:p>
            <w:pPr>
              <w:ind w:left="1540"/>
              <w:spacing w:after="0"/>
              <w:rPr>
                <w:sz w:val="20"/>
                <w:szCs w:val="20"/>
                <w:color w:val="auto"/>
              </w:rPr>
            </w:pPr>
            <w:r>
              <w:rPr>
                <w:rFonts w:ascii="Arial" w:cs="Arial" w:eastAsia="Arial" w:hAnsi="Arial"/>
                <w:sz w:val="18"/>
                <w:szCs w:val="18"/>
                <w:color w:val="auto"/>
              </w:rPr>
              <w:t>Title: Chief Financial Officer</w:t>
            </w:r>
          </w:p>
        </w:tc>
      </w:tr>
      <w:tr>
        <w:trPr>
          <w:trHeight w:val="20"/>
        </w:trPr>
        <w:tc>
          <w:tcPr>
            <w:tcW w:w="440" w:type="dxa"/>
            <w:vAlign w:val="bottom"/>
            <w:tcBorders>
              <w:right w:val="single" w:sz="8" w:color="auto"/>
            </w:tcBorders>
          </w:tcPr>
          <w:p>
            <w:pPr>
              <w:spacing w:after="0" w:line="20" w:lineRule="exact"/>
              <w:rPr>
                <w:sz w:val="1"/>
                <w:szCs w:val="1"/>
                <w:color w:val="auto"/>
              </w:rPr>
            </w:pPr>
          </w:p>
        </w:tc>
        <w:tc>
          <w:tcPr>
            <w:tcW w:w="1300" w:type="dxa"/>
            <w:vAlign w:val="bottom"/>
            <w:gridSpan w:val="3"/>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4080" w:type="dxa"/>
            <w:vAlign w:val="bottom"/>
            <w:gridSpan w:val="6"/>
          </w:tcPr>
          <w:p>
            <w:pPr>
              <w:spacing w:after="0"/>
              <w:rPr>
                <w:sz w:val="20"/>
                <w:szCs w:val="20"/>
                <w:color w:val="auto"/>
              </w:rPr>
            </w:pPr>
            <w:r>
              <w:rPr>
                <w:rFonts w:ascii="Arial" w:cs="Arial" w:eastAsia="Arial" w:hAnsi="Arial"/>
                <w:sz w:val="18"/>
                <w:szCs w:val="18"/>
                <w:color w:val="auto"/>
              </w:rPr>
              <w:t>Date: March 12, 2024</w:t>
            </w:r>
          </w:p>
        </w:tc>
        <w:tc>
          <w:tcPr>
            <w:tcW w:w="3780" w:type="dxa"/>
            <w:vAlign w:val="bottom"/>
            <w:gridSpan w:val="6"/>
          </w:tcPr>
          <w:p>
            <w:pPr>
              <w:ind w:left="1540"/>
              <w:spacing w:after="0"/>
              <w:rPr>
                <w:sz w:val="20"/>
                <w:szCs w:val="20"/>
                <w:color w:val="auto"/>
              </w:rPr>
            </w:pPr>
            <w:r>
              <w:rPr>
                <w:rFonts w:ascii="Arial" w:cs="Arial" w:eastAsia="Arial" w:hAnsi="Arial"/>
                <w:sz w:val="18"/>
                <w:szCs w:val="18"/>
                <w:color w:val="auto"/>
              </w:rPr>
              <w:t>Date: March 12, 2024</w:t>
            </w:r>
          </w:p>
        </w:tc>
      </w:tr>
      <w:tr>
        <w:trPr>
          <w:trHeight w:val="20"/>
        </w:trPr>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760" w:type="dxa"/>
            <w:vAlign w:val="bottom"/>
            <w:gridSpan w:val="7"/>
          </w:tcPr>
          <w:p>
            <w:pPr>
              <w:ind w:left="100"/>
              <w:spacing w:after="0"/>
              <w:rPr>
                <w:sz w:val="20"/>
                <w:szCs w:val="20"/>
                <w:color w:val="auto"/>
              </w:rPr>
            </w:pPr>
            <w:r>
              <w:rPr>
                <w:rFonts w:ascii="Arial" w:cs="Arial" w:eastAsia="Arial" w:hAnsi="Arial"/>
                <w:sz w:val="18"/>
                <w:szCs w:val="18"/>
                <w:b w:val="1"/>
                <w:bCs w:val="1"/>
                <w:color w:val="auto"/>
              </w:rPr>
              <w:t>Ally Financial Inc.</w:t>
            </w:r>
          </w:p>
        </w:tc>
        <w:tc>
          <w:tcPr>
            <w:tcW w:w="8480" w:type="dxa"/>
            <w:vAlign w:val="bottom"/>
            <w:gridSpan w:val="5"/>
          </w:tcPr>
          <w:p>
            <w:pPr>
              <w:ind w:left="2960"/>
              <w:spacing w:after="0"/>
              <w:rPr>
                <w:sz w:val="20"/>
                <w:szCs w:val="20"/>
                <w:color w:val="auto"/>
              </w:rPr>
            </w:pPr>
            <w:r>
              <w:rPr>
                <w:rFonts w:ascii="Arial" w:cs="Arial" w:eastAsia="Arial" w:hAnsi="Arial"/>
                <w:sz w:val="18"/>
                <w:szCs w:val="18"/>
                <w:b w:val="1"/>
                <w:bCs w:val="1"/>
                <w:color w:val="auto"/>
              </w:rPr>
              <w:t>Vroom, Inc.</w:t>
            </w:r>
          </w:p>
        </w:tc>
        <w:tc>
          <w:tcPr>
            <w:tcW w:w="0" w:type="dxa"/>
            <w:vAlign w:val="bottom"/>
          </w:tcPr>
          <w:p>
            <w:pPr>
              <w:spacing w:after="0"/>
              <w:rPr>
                <w:sz w:val="1"/>
                <w:szCs w:val="1"/>
                <w:color w:val="auto"/>
              </w:rPr>
            </w:pPr>
          </w:p>
        </w:tc>
      </w:tr>
      <w:tr>
        <w:trPr>
          <w:trHeight w:val="352"/>
        </w:trPr>
        <w:tc>
          <w:tcPr>
            <w:tcW w:w="2760" w:type="dxa"/>
            <w:vAlign w:val="bottom"/>
            <w:gridSpan w:val="7"/>
          </w:tcPr>
          <w:p>
            <w:pPr>
              <w:ind w:left="100"/>
              <w:spacing w:after="0"/>
              <w:rPr>
                <w:sz w:val="20"/>
                <w:szCs w:val="20"/>
                <w:color w:val="auto"/>
              </w:rPr>
            </w:pPr>
            <w:r>
              <w:rPr>
                <w:rFonts w:ascii="Arial" w:cs="Arial" w:eastAsia="Arial" w:hAnsi="Arial"/>
                <w:sz w:val="18"/>
                <w:szCs w:val="18"/>
                <w:color w:val="auto"/>
              </w:rPr>
              <w:t>By: /s/ Cindy Balint</w:t>
            </w:r>
          </w:p>
        </w:tc>
        <w:tc>
          <w:tcPr>
            <w:tcW w:w="8480" w:type="dxa"/>
            <w:vAlign w:val="bottom"/>
            <w:gridSpan w:val="5"/>
          </w:tcPr>
          <w:p>
            <w:pPr>
              <w:ind w:left="2960"/>
              <w:spacing w:after="0"/>
              <w:rPr>
                <w:sz w:val="20"/>
                <w:szCs w:val="20"/>
                <w:color w:val="auto"/>
              </w:rPr>
            </w:pPr>
            <w:r>
              <w:rPr>
                <w:rFonts w:ascii="Arial" w:cs="Arial" w:eastAsia="Arial" w:hAnsi="Arial"/>
                <w:sz w:val="18"/>
                <w:szCs w:val="18"/>
                <w:color w:val="auto"/>
              </w:rPr>
              <w:t>By: /s/ Robert R. Krakowiak</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760" w:type="dxa"/>
            <w:vAlign w:val="bottom"/>
            <w:gridSpan w:val="7"/>
          </w:tcPr>
          <w:p>
            <w:pPr>
              <w:ind w:left="100"/>
              <w:spacing w:after="0"/>
              <w:rPr>
                <w:sz w:val="20"/>
                <w:szCs w:val="20"/>
                <w:color w:val="auto"/>
              </w:rPr>
            </w:pPr>
            <w:r>
              <w:rPr>
                <w:rFonts w:ascii="Arial" w:cs="Arial" w:eastAsia="Arial" w:hAnsi="Arial"/>
                <w:sz w:val="18"/>
                <w:szCs w:val="18"/>
                <w:color w:val="auto"/>
              </w:rPr>
              <w:t>Name: Cindy Balint</w:t>
            </w:r>
          </w:p>
        </w:tc>
        <w:tc>
          <w:tcPr>
            <w:tcW w:w="8480" w:type="dxa"/>
            <w:vAlign w:val="bottom"/>
            <w:gridSpan w:val="5"/>
          </w:tcPr>
          <w:p>
            <w:pPr>
              <w:ind w:left="2960"/>
              <w:spacing w:after="0"/>
              <w:rPr>
                <w:sz w:val="20"/>
                <w:szCs w:val="20"/>
                <w:color w:val="auto"/>
              </w:rPr>
            </w:pPr>
            <w:r>
              <w:rPr>
                <w:rFonts w:ascii="Arial" w:cs="Arial" w:eastAsia="Arial" w:hAnsi="Arial"/>
                <w:sz w:val="18"/>
                <w:szCs w:val="18"/>
                <w:color w:val="auto"/>
              </w:rPr>
              <w:t>Name: Robert R. Krakowiak</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3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760" w:type="dxa"/>
            <w:vAlign w:val="bottom"/>
            <w:gridSpan w:val="7"/>
          </w:tcPr>
          <w:p>
            <w:pPr>
              <w:ind w:left="100"/>
              <w:spacing w:after="0"/>
              <w:rPr>
                <w:sz w:val="20"/>
                <w:szCs w:val="20"/>
                <w:color w:val="auto"/>
              </w:rPr>
            </w:pPr>
            <w:r>
              <w:rPr>
                <w:rFonts w:ascii="Arial" w:cs="Arial" w:eastAsia="Arial" w:hAnsi="Arial"/>
                <w:sz w:val="18"/>
                <w:szCs w:val="18"/>
                <w:color w:val="auto"/>
              </w:rPr>
              <w:t>Title: Authorized Representative</w:t>
            </w:r>
          </w:p>
        </w:tc>
        <w:tc>
          <w:tcPr>
            <w:tcW w:w="8480" w:type="dxa"/>
            <w:vAlign w:val="bottom"/>
            <w:gridSpan w:val="5"/>
          </w:tcPr>
          <w:p>
            <w:pPr>
              <w:ind w:left="2960"/>
              <w:spacing w:after="0"/>
              <w:rPr>
                <w:sz w:val="20"/>
                <w:szCs w:val="20"/>
                <w:color w:val="auto"/>
              </w:rPr>
            </w:pPr>
            <w:r>
              <w:rPr>
                <w:rFonts w:ascii="Arial" w:cs="Arial" w:eastAsia="Arial" w:hAnsi="Arial"/>
                <w:sz w:val="18"/>
                <w:szCs w:val="18"/>
                <w:color w:val="auto"/>
              </w:rPr>
              <w:t>Title: Chief Financial Officer</w:t>
            </w: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216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vMerge w:val="restart"/>
          </w:tcPr>
          <w:p>
            <w:pPr>
              <w:ind w:left="1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5"/>
        </w:trPr>
        <w:tc>
          <w:tcPr>
            <w:tcW w:w="2760" w:type="dxa"/>
            <w:vAlign w:val="bottom"/>
            <w:gridSpan w:val="7"/>
          </w:tcPr>
          <w:p>
            <w:pPr>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greement of</w:t>
            </w:r>
            <w:r>
              <w:rPr>
                <w:rFonts w:ascii="Arial" w:cs="Arial" w:eastAsia="Arial" w:hAnsi="Arial"/>
                <w:sz w:val="14"/>
                <w:szCs w:val="14"/>
                <w:color w:val="auto"/>
              </w:rPr>
              <w:t xml:space="preserve"> T</w:t>
            </w:r>
            <w:r>
              <w:rPr>
                <w:rFonts w:ascii="Arial" w:cs="Arial" w:eastAsia="Arial" w:hAnsi="Arial"/>
                <w:sz w:val="9"/>
                <w:szCs w:val="9"/>
                <w:color w:val="auto"/>
              </w:rPr>
              <w:t>ermination of</w:t>
            </w:r>
            <w:r>
              <w:rPr>
                <w:rFonts w:ascii="Arial" w:cs="Arial" w:eastAsia="Arial" w:hAnsi="Arial"/>
                <w:sz w:val="14"/>
                <w:szCs w:val="14"/>
                <w:color w:val="auto"/>
              </w:rPr>
              <w:t xml:space="preserve"> IFSA </w:t>
            </w:r>
            <w:r>
              <w:rPr>
                <w:rFonts w:ascii="Arial" w:cs="Arial" w:eastAsia="Arial" w:hAnsi="Arial"/>
                <w:sz w:val="9"/>
                <w:szCs w:val="9"/>
                <w:color w:val="auto"/>
              </w:rPr>
              <w:t>and</w:t>
            </w:r>
            <w:r>
              <w:rPr>
                <w:rFonts w:ascii="Arial" w:cs="Arial" w:eastAsia="Arial" w:hAnsi="Arial"/>
                <w:sz w:val="14"/>
                <w:szCs w:val="14"/>
                <w:color w:val="auto"/>
              </w:rPr>
              <w:t xml:space="preserve"> CBA</w:t>
            </w:r>
          </w:p>
        </w:tc>
        <w:tc>
          <w:tcPr>
            <w:tcW w:w="32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59" w:name="page160"/>
    <w:bookmarkEnd w:id="159"/>
    <w:p>
      <w:pPr>
        <w:ind w:left="10000"/>
        <w:spacing w:after="0"/>
        <w:rPr>
          <w:sz w:val="20"/>
          <w:szCs w:val="20"/>
          <w:color w:val="auto"/>
        </w:rPr>
      </w:pPr>
      <w:r>
        <w:rPr>
          <w:rFonts w:ascii="Arial" w:cs="Arial" w:eastAsia="Arial" w:hAnsi="Arial"/>
          <w:sz w:val="20"/>
          <w:szCs w:val="20"/>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gridSpan w:val="3"/>
          </w:tcPr>
          <w:p>
            <w:pPr>
              <w:ind w:left="100"/>
              <w:spacing w:after="0"/>
              <w:rPr>
                <w:sz w:val="20"/>
                <w:szCs w:val="20"/>
                <w:color w:val="auto"/>
              </w:rPr>
            </w:pPr>
            <w:r>
              <w:rPr>
                <w:rFonts w:ascii="Arial" w:cs="Arial" w:eastAsia="Arial" w:hAnsi="Arial"/>
                <w:sz w:val="18"/>
                <w:szCs w:val="18"/>
                <w:color w:val="auto"/>
              </w:rPr>
              <w:t>Date: March 12, 2024</w:t>
            </w:r>
          </w:p>
        </w:tc>
        <w:tc>
          <w:tcPr>
            <w:tcW w:w="8480" w:type="dxa"/>
            <w:vAlign w:val="bottom"/>
            <w:gridSpan w:val="3"/>
          </w:tcPr>
          <w:p>
            <w:pPr>
              <w:ind w:left="2960"/>
              <w:spacing w:after="0"/>
              <w:rPr>
                <w:sz w:val="20"/>
                <w:szCs w:val="20"/>
                <w:color w:val="auto"/>
              </w:rPr>
            </w:pPr>
            <w:r>
              <w:rPr>
                <w:rFonts w:ascii="Arial" w:cs="Arial" w:eastAsia="Arial" w:hAnsi="Arial"/>
                <w:sz w:val="18"/>
                <w:szCs w:val="18"/>
                <w:color w:val="auto"/>
              </w:rPr>
              <w:t>Date: March 12, 2024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0" w:type="dxa"/>
            <w:vAlign w:val="bottom"/>
            <w:vMerge w:val="restart"/>
          </w:tcPr>
          <w:p>
            <w:pPr>
              <w:jc w:val="right"/>
              <w:ind w:right="3090"/>
              <w:spacing w:after="0"/>
              <w:rPr>
                <w:sz w:val="20"/>
                <w:szCs w:val="20"/>
                <w:color w:val="auto"/>
              </w:rPr>
            </w:pPr>
            <w:r>
              <w:rPr>
                <w:rFonts w:ascii="Arial" w:cs="Arial" w:eastAsia="Arial" w:hAnsi="Arial"/>
                <w:sz w:val="18"/>
                <w:szCs w:val="18"/>
                <w:color w:val="auto"/>
              </w:rPr>
              <w:t>3</w:t>
            </w:r>
          </w:p>
        </w:tc>
        <w:tc>
          <w:tcPr>
            <w:tcW w:w="13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5"/>
        </w:trPr>
        <w:tc>
          <w:tcPr>
            <w:tcW w:w="2760" w:type="dxa"/>
            <w:vAlign w:val="bottom"/>
            <w:gridSpan w:val="3"/>
          </w:tcPr>
          <w:p>
            <w:pPr>
              <w:spacing w:after="0"/>
              <w:rPr>
                <w:sz w:val="20"/>
                <w:szCs w:val="20"/>
                <w:color w:val="auto"/>
              </w:rPr>
            </w:pPr>
            <w:r>
              <w:rPr>
                <w:rFonts w:ascii="Arial" w:cs="Arial" w:eastAsia="Arial" w:hAnsi="Arial"/>
                <w:sz w:val="14"/>
                <w:szCs w:val="14"/>
                <w:color w:val="auto"/>
              </w:rPr>
              <w:t>A</w:t>
            </w:r>
            <w:r>
              <w:rPr>
                <w:rFonts w:ascii="Arial" w:cs="Arial" w:eastAsia="Arial" w:hAnsi="Arial"/>
                <w:sz w:val="9"/>
                <w:szCs w:val="9"/>
                <w:color w:val="auto"/>
              </w:rPr>
              <w:t>greement of</w:t>
            </w:r>
            <w:r>
              <w:rPr>
                <w:rFonts w:ascii="Arial" w:cs="Arial" w:eastAsia="Arial" w:hAnsi="Arial"/>
                <w:sz w:val="14"/>
                <w:szCs w:val="14"/>
                <w:color w:val="auto"/>
              </w:rPr>
              <w:t xml:space="preserve"> T</w:t>
            </w:r>
            <w:r>
              <w:rPr>
                <w:rFonts w:ascii="Arial" w:cs="Arial" w:eastAsia="Arial" w:hAnsi="Arial"/>
                <w:sz w:val="9"/>
                <w:szCs w:val="9"/>
                <w:color w:val="auto"/>
              </w:rPr>
              <w:t>ermination of</w:t>
            </w:r>
            <w:r>
              <w:rPr>
                <w:rFonts w:ascii="Arial" w:cs="Arial" w:eastAsia="Arial" w:hAnsi="Arial"/>
                <w:sz w:val="14"/>
                <w:szCs w:val="14"/>
                <w:color w:val="auto"/>
              </w:rPr>
              <w:t xml:space="preserve"> IFSA </w:t>
            </w:r>
            <w:r>
              <w:rPr>
                <w:rFonts w:ascii="Arial" w:cs="Arial" w:eastAsia="Arial" w:hAnsi="Arial"/>
                <w:sz w:val="9"/>
                <w:szCs w:val="9"/>
                <w:color w:val="auto"/>
              </w:rPr>
              <w:t>and</w:t>
            </w:r>
            <w:r>
              <w:rPr>
                <w:rFonts w:ascii="Arial" w:cs="Arial" w:eastAsia="Arial" w:hAnsi="Arial"/>
                <w:sz w:val="14"/>
                <w:szCs w:val="14"/>
                <w:color w:val="auto"/>
              </w:rPr>
              <w:t xml:space="preserve"> CBA</w:t>
            </w:r>
          </w:p>
        </w:tc>
        <w:tc>
          <w:tcPr>
            <w:tcW w:w="340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5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color w:val="auto"/>
        </w:rPr>
        <w:t>EXHIBIT 10.25</w:t>
      </w:r>
      <w:r>
        <w:rPr>
          <w:sz w:val="1"/>
          <w:szCs w:val="1"/>
          <w:color w:val="auto"/>
        </w:rPr>
        <w:drawing>
          <wp:inline distT="0" distB="0" distL="0" distR="0">
            <wp:extent cx="1567180" cy="342265"/>
            <wp:effectExtent l="0" t="0" r="0"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3">
                      <a:extLst>
                        <a:ext uri="{28A0092B-C50C-407E-A947-70E740481C1C}"/>
                      </a:extLst>
                    </a:blip>
                    <a:srcRect/>
                    <a:stretch>
                      <a:fillRect/>
                    </a:stretch>
                  </pic:blipFill>
                  <pic:spPr bwMode="auto">
                    <a:xfrm>
                      <a:off x="0" y="0"/>
                      <a:ext cx="1567180" cy="34226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color w:val="auto"/>
        </w:rPr>
        <w:t>March 11,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Thomas Shortt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Delivered via email</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Amendment to Compensation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Thomas,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You are receiving this letter (“</w:t>
      </w:r>
      <w:r>
        <w:rPr>
          <w:rFonts w:ascii="Arial" w:cs="Arial" w:eastAsia="Arial" w:hAnsi="Arial"/>
          <w:sz w:val="20"/>
          <w:szCs w:val="20"/>
          <w:u w:val="single" w:color="auto"/>
          <w:color w:val="auto"/>
        </w:rPr>
        <w:t>Letter Agreement</w:t>
      </w:r>
      <w:r>
        <w:rPr>
          <w:rFonts w:ascii="Arial" w:cs="Arial" w:eastAsia="Arial" w:hAnsi="Arial"/>
          <w:sz w:val="20"/>
          <w:szCs w:val="20"/>
          <w:color w:val="auto"/>
        </w:rPr>
        <w:t>”) because the Compensation Committee of the Board of Directors of Vroom, Inc. (the “</w:t>
      </w:r>
      <w:r>
        <w:rPr>
          <w:rFonts w:ascii="Arial" w:cs="Arial" w:eastAsia="Arial" w:hAnsi="Arial"/>
          <w:sz w:val="20"/>
          <w:szCs w:val="20"/>
          <w:u w:val="single" w:color="auto"/>
          <w:color w:val="auto"/>
        </w:rPr>
        <w:t>Company</w:t>
      </w:r>
      <w:r>
        <w:rPr>
          <w:rFonts w:ascii="Arial" w:cs="Arial" w:eastAsia="Arial" w:hAnsi="Arial"/>
          <w:sz w:val="20"/>
          <w:szCs w:val="20"/>
          <w:color w:val="auto"/>
        </w:rPr>
        <w:t>”) has determined to modify the terms of your compensation package with the Company, including as relates to your outstanding restricted stock unit awards previously granted to you by the Company under the Company’s 2020 Incentive Award Plan (the “</w:t>
      </w:r>
      <w:r>
        <w:rPr>
          <w:rFonts w:ascii="Arial" w:cs="Arial" w:eastAsia="Arial" w:hAnsi="Arial"/>
          <w:sz w:val="20"/>
          <w:szCs w:val="20"/>
          <w:u w:val="single" w:color="auto"/>
          <w:color w:val="auto"/>
        </w:rPr>
        <w:t>Plan</w:t>
      </w:r>
      <w:r>
        <w:rPr>
          <w:rFonts w:ascii="Arial" w:cs="Arial" w:eastAsia="Arial" w:hAnsi="Arial"/>
          <w:sz w:val="20"/>
          <w:szCs w:val="20"/>
          <w:color w:val="auto"/>
        </w:rPr>
        <w:t xml:space="preserve">”) which are scheduled to vest in 2024, 2025 and 2026 and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RSUs</w:t>
      </w:r>
      <w:r>
        <w:rPr>
          <w:rFonts w:ascii="Arial" w:cs="Arial" w:eastAsia="Arial" w:hAnsi="Arial"/>
          <w:sz w:val="20"/>
          <w:szCs w:val="20"/>
          <w:color w:val="auto"/>
        </w:rPr>
        <w:t>”). This Letter Agreement serves as an amendment to the restricted stock unit award agreement(s) evidencing the RSUs (the “</w:t>
      </w:r>
      <w:r>
        <w:rPr>
          <w:rFonts w:ascii="Arial" w:cs="Arial" w:eastAsia="Arial" w:hAnsi="Arial"/>
          <w:sz w:val="20"/>
          <w:szCs w:val="20"/>
          <w:u w:val="single" w:color="auto"/>
          <w:color w:val="auto"/>
        </w:rPr>
        <w:t>RSU</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Agreements</w:t>
      </w:r>
      <w:r>
        <w:rPr>
          <w:rFonts w:ascii="Arial" w:cs="Arial" w:eastAsia="Arial" w:hAnsi="Arial"/>
          <w:sz w:val="20"/>
          <w:szCs w:val="20"/>
          <w:color w:val="auto"/>
        </w:rPr>
        <w:t>”) as well as a notice of certain changes to the Amended and Restated Vroom, Inc. Executive Severance Plan (as may be amended from time to time, the “</w:t>
      </w:r>
      <w:r>
        <w:rPr>
          <w:rFonts w:ascii="Arial" w:cs="Arial" w:eastAsia="Arial" w:hAnsi="Arial"/>
          <w:sz w:val="20"/>
          <w:szCs w:val="20"/>
          <w:u w:val="single" w:color="auto"/>
          <w:color w:val="auto"/>
        </w:rPr>
        <w:t>Severance Plan</w:t>
      </w:r>
      <w:r>
        <w:rPr>
          <w:rFonts w:ascii="Arial" w:cs="Arial" w:eastAsia="Arial" w:hAnsi="Arial"/>
          <w:sz w:val="20"/>
          <w:szCs w:val="20"/>
          <w:color w:val="auto"/>
        </w:rPr>
        <w:t>”) and the Company’s offer of a one-time cash retention bonus opportunity to you in consideration of your continued service to the Company, subject to the terms and conditions of this Letter Agreement.</w:t>
      </w:r>
    </w:p>
    <w:p>
      <w:pPr>
        <w:spacing w:after="0" w:line="177" w:lineRule="exact"/>
        <w:rPr>
          <w:sz w:val="20"/>
          <w:szCs w:val="20"/>
          <w:color w:val="auto"/>
        </w:rPr>
      </w:pPr>
    </w:p>
    <w:p>
      <w:pPr>
        <w:ind w:left="760" w:right="20" w:hanging="378"/>
        <w:spacing w:after="0" w:line="259" w:lineRule="auto"/>
        <w:tabs>
          <w:tab w:leader="none" w:pos="760" w:val="left"/>
        </w:tabs>
        <w:numPr>
          <w:ilvl w:val="0"/>
          <w:numId w:val="81"/>
        </w:numPr>
        <w:rPr>
          <w:rFonts w:ascii="Arial" w:cs="Arial" w:eastAsia="Arial" w:hAnsi="Arial"/>
          <w:sz w:val="20"/>
          <w:szCs w:val="20"/>
          <w:color w:val="auto"/>
        </w:rPr>
      </w:pPr>
      <w:r>
        <w:rPr>
          <w:rFonts w:ascii="Arial" w:cs="Arial" w:eastAsia="Arial" w:hAnsi="Arial"/>
          <w:sz w:val="20"/>
          <w:szCs w:val="20"/>
          <w:b w:val="1"/>
          <w:bCs w:val="1"/>
          <w:color w:val="auto"/>
        </w:rPr>
        <w:t>RSU Amendments</w:t>
      </w:r>
      <w:r>
        <w:rPr>
          <w:rFonts w:ascii="Arial" w:cs="Arial" w:eastAsia="Arial" w:hAnsi="Arial"/>
          <w:sz w:val="20"/>
          <w:szCs w:val="20"/>
          <w:color w:val="auto"/>
        </w:rPr>
        <w:t>. Subject to your execution of this Letter Agreement, effective as of March 8, 2024, the RSU</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are hereby amended as follows:</w:t>
      </w:r>
    </w:p>
    <w:p>
      <w:pPr>
        <w:spacing w:after="0" w:line="152" w:lineRule="exact"/>
        <w:rPr>
          <w:rFonts w:ascii="Arial" w:cs="Arial" w:eastAsia="Arial" w:hAnsi="Arial"/>
          <w:sz w:val="20"/>
          <w:szCs w:val="20"/>
          <w:color w:val="auto"/>
        </w:rPr>
      </w:pPr>
    </w:p>
    <w:p>
      <w:pPr>
        <w:jc w:val="both"/>
        <w:ind w:left="1500" w:hanging="369"/>
        <w:spacing w:after="0" w:line="233" w:lineRule="auto"/>
        <w:tabs>
          <w:tab w:leader="none" w:pos="1500" w:val="left"/>
        </w:tabs>
        <w:numPr>
          <w:ilvl w:val="1"/>
          <w:numId w:val="81"/>
        </w:numPr>
        <w:rPr>
          <w:rFonts w:ascii="Arial" w:cs="Arial" w:eastAsia="Arial" w:hAnsi="Arial"/>
          <w:sz w:val="20"/>
          <w:szCs w:val="20"/>
          <w:color w:val="auto"/>
        </w:rPr>
      </w:pPr>
      <w:r>
        <w:rPr>
          <w:rFonts w:ascii="Arial" w:cs="Arial" w:eastAsia="Arial" w:hAnsi="Arial"/>
          <w:sz w:val="20"/>
          <w:szCs w:val="20"/>
          <w:color w:val="auto"/>
        </w:rPr>
        <w:t>Fifty percent of the RSUs will vest in full on March 19, 2025 and fifty percent of the RSUs will vest in full on March 20, 2025 (the “</w:t>
      </w:r>
      <w:r>
        <w:rPr>
          <w:rFonts w:ascii="Arial" w:cs="Arial" w:eastAsia="Arial" w:hAnsi="Arial"/>
          <w:sz w:val="20"/>
          <w:szCs w:val="20"/>
          <w:u w:val="single" w:color="auto"/>
          <w:color w:val="auto"/>
        </w:rPr>
        <w:t>New Vesting Dates</w:t>
      </w:r>
      <w:r>
        <w:rPr>
          <w:rFonts w:ascii="Arial" w:cs="Arial" w:eastAsia="Arial" w:hAnsi="Arial"/>
          <w:sz w:val="20"/>
          <w:szCs w:val="20"/>
          <w:color w:val="auto"/>
        </w:rPr>
        <w:t>”), subject to your continued employment through such applicable dates. In consideration for your agreement to the New Vesting Dates, the Company hereby agrees to increase the number of RSUs which were originally scheduled to vest in 2024 by 25%, which additional RSUs will, for the avoidance of doubt, be subject to the terms of the RSU Agreements governing the RSUs which were originally scheduled to vest in 2024, as expressly amended herein.</w:t>
      </w:r>
    </w:p>
    <w:p>
      <w:pPr>
        <w:spacing w:after="0" w:line="170" w:lineRule="exact"/>
        <w:rPr>
          <w:rFonts w:ascii="Arial" w:cs="Arial" w:eastAsia="Arial" w:hAnsi="Arial"/>
          <w:sz w:val="20"/>
          <w:szCs w:val="20"/>
          <w:color w:val="auto"/>
        </w:rPr>
      </w:pPr>
    </w:p>
    <w:p>
      <w:pPr>
        <w:jc w:val="both"/>
        <w:ind w:left="1500" w:hanging="369"/>
        <w:spacing w:after="0" w:line="229" w:lineRule="auto"/>
        <w:tabs>
          <w:tab w:leader="none" w:pos="1500" w:val="left"/>
        </w:tabs>
        <w:numPr>
          <w:ilvl w:val="1"/>
          <w:numId w:val="81"/>
        </w:numPr>
        <w:rPr>
          <w:rFonts w:ascii="Arial" w:cs="Arial" w:eastAsia="Arial" w:hAnsi="Arial"/>
          <w:sz w:val="20"/>
          <w:szCs w:val="20"/>
          <w:color w:val="auto"/>
        </w:rPr>
      </w:pPr>
      <w:r>
        <w:rPr>
          <w:rFonts w:ascii="Arial" w:cs="Arial" w:eastAsia="Arial" w:hAnsi="Arial"/>
          <w:sz w:val="20"/>
          <w:szCs w:val="20"/>
          <w:color w:val="auto"/>
        </w:rPr>
        <w:t xml:space="preserve">In the event your employment with the Company and its subsidiaries terminates without Cause or for Good Reason (each as defined on </w:t>
      </w:r>
      <w:r>
        <w:rPr>
          <w:rFonts w:ascii="Arial" w:cs="Arial" w:eastAsia="Arial" w:hAnsi="Arial"/>
          <w:sz w:val="20"/>
          <w:szCs w:val="20"/>
          <w:i w:val="1"/>
          <w:iCs w:val="1"/>
          <w:color w:val="auto"/>
        </w:rPr>
        <w:t>Appendix I</w:t>
      </w:r>
      <w:r>
        <w:rPr>
          <w:rFonts w:ascii="Arial" w:cs="Arial" w:eastAsia="Arial" w:hAnsi="Arial"/>
          <w:sz w:val="20"/>
          <w:szCs w:val="20"/>
          <w:color w:val="auto"/>
        </w:rPr>
        <w:t xml:space="preserve"> hereto) prior to the New Vesting Dates, as applicable, and you are not asked by the Company to serve as a consultant to the Company, any unvested RSUs will accelerate and vest in full. In the event your employment with the Company and its subsidiaries terminates without Cause or for Good Reason prior to the New Vesting Dates, as applicable, and you are asked by the Company to commence service as a consultant, subject to the terms of a consulting agreement to be entered into by and between you and the Company, the Company agrees that any RSUs held by you as of the date of termination of your employment will remain outstanding and eligible to vest on the New Vesting Dates, subject to your continued service with the Company as a consultant; </w:t>
      </w:r>
      <w:r>
        <w:rPr>
          <w:rFonts w:ascii="Arial" w:cs="Arial" w:eastAsia="Arial" w:hAnsi="Arial"/>
          <w:sz w:val="20"/>
          <w:szCs w:val="20"/>
          <w:i w:val="1"/>
          <w:iCs w:val="1"/>
          <w:color w:val="auto"/>
        </w:rPr>
        <w:t>provided</w:t>
      </w:r>
      <w:r>
        <w:rPr>
          <w:rFonts w:ascii="Arial" w:cs="Arial" w:eastAsia="Arial" w:hAnsi="Arial"/>
          <w:sz w:val="20"/>
          <w:szCs w:val="20"/>
          <w:color w:val="auto"/>
        </w:rPr>
        <w:t>, that if your service with the Company is terminated during the consulting period by the Company without Cause your outstanding RSUs will accelerate and vest in full. Notwithstanding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61" w:name="page162"/>
    <w:bookmarkEnd w:id="161"/>
    <w:p>
      <w:pPr>
        <w:ind w:left="940"/>
        <w:spacing w:after="0"/>
        <w:rPr>
          <w:sz w:val="20"/>
          <w:szCs w:val="20"/>
          <w:color w:val="auto"/>
        </w:rPr>
      </w:pPr>
      <w:r>
        <w:rPr>
          <w:rFonts w:ascii="Arial" w:cs="Arial" w:eastAsia="Arial" w:hAnsi="Arial"/>
          <w:sz w:val="20"/>
          <w:szCs w:val="20"/>
          <w:color w:val="auto"/>
        </w:rPr>
        <w:t>STYLEREF "Letter - Date" \* MERGEFORMAT</w:t>
      </w:r>
    </w:p>
    <w:p>
      <w:pPr>
        <w:spacing w:after="0" w:line="200" w:lineRule="exact"/>
        <w:rPr>
          <w:sz w:val="20"/>
          <w:szCs w:val="20"/>
          <w:color w:val="auto"/>
        </w:rPr>
      </w:pPr>
    </w:p>
    <w:p>
      <w:pPr>
        <w:spacing w:after="0" w:line="217" w:lineRule="exact"/>
        <w:rPr>
          <w:sz w:val="20"/>
          <w:szCs w:val="20"/>
          <w:color w:val="auto"/>
        </w:rPr>
      </w:pPr>
    </w:p>
    <w:p>
      <w:pPr>
        <w:jc w:val="both"/>
        <w:ind w:left="1500"/>
        <w:spacing w:after="0" w:line="241" w:lineRule="auto"/>
        <w:rPr>
          <w:sz w:val="20"/>
          <w:szCs w:val="20"/>
          <w:color w:val="auto"/>
        </w:rPr>
      </w:pPr>
      <w:r>
        <w:rPr>
          <w:rFonts w:ascii="Arial" w:cs="Arial" w:eastAsia="Arial" w:hAnsi="Arial"/>
          <w:sz w:val="20"/>
          <w:szCs w:val="20"/>
          <w:color w:val="auto"/>
        </w:rPr>
        <w:t>the post-termination exercise period of any vested option to purchase Company common stock held by the Participant as of such Participant’s termination without Cause or for Good Reason shall be extended through the original expiration date of such option.</w:t>
      </w:r>
    </w:p>
    <w:p>
      <w:pPr>
        <w:spacing w:after="0" w:line="168" w:lineRule="exact"/>
        <w:rPr>
          <w:sz w:val="20"/>
          <w:szCs w:val="20"/>
          <w:color w:val="auto"/>
        </w:rPr>
      </w:pPr>
    </w:p>
    <w:p>
      <w:pPr>
        <w:jc w:val="both"/>
        <w:ind w:left="760" w:hanging="378"/>
        <w:spacing w:after="0" w:line="231" w:lineRule="auto"/>
        <w:tabs>
          <w:tab w:leader="none" w:pos="760" w:val="left"/>
        </w:tabs>
        <w:numPr>
          <w:ilvl w:val="0"/>
          <w:numId w:val="82"/>
        </w:numPr>
        <w:rPr>
          <w:rFonts w:ascii="Arial" w:cs="Arial" w:eastAsia="Arial" w:hAnsi="Arial"/>
          <w:sz w:val="20"/>
          <w:szCs w:val="20"/>
          <w:color w:val="auto"/>
        </w:rPr>
      </w:pPr>
      <w:r>
        <w:rPr>
          <w:rFonts w:ascii="Arial" w:cs="Arial" w:eastAsia="Arial" w:hAnsi="Arial"/>
          <w:sz w:val="20"/>
          <w:szCs w:val="20"/>
          <w:b w:val="1"/>
          <w:bCs w:val="1"/>
          <w:color w:val="auto"/>
        </w:rPr>
        <w:t>Retention Bonus</w:t>
      </w:r>
      <w:r>
        <w:rPr>
          <w:rFonts w:ascii="Arial" w:cs="Arial" w:eastAsia="Arial" w:hAnsi="Arial"/>
          <w:sz w:val="20"/>
          <w:szCs w:val="20"/>
          <w:color w:val="auto"/>
        </w:rPr>
        <w:t>: Subject to your execution of this Letter Agreement, you are eligible to receive a retention bonus in</w:t>
      </w:r>
      <w:r>
        <w:rPr>
          <w:rFonts w:ascii="Arial" w:cs="Arial" w:eastAsia="Arial" w:hAnsi="Arial"/>
          <w:sz w:val="20"/>
          <w:szCs w:val="20"/>
          <w:b w:val="1"/>
          <w:bCs w:val="1"/>
          <w:color w:val="auto"/>
        </w:rPr>
        <w:t xml:space="preserve"> </w:t>
      </w:r>
      <w:r>
        <w:rPr>
          <w:rFonts w:ascii="Arial" w:cs="Arial" w:eastAsia="Arial" w:hAnsi="Arial"/>
          <w:sz w:val="20"/>
          <w:szCs w:val="20"/>
          <w:color w:val="auto"/>
        </w:rPr>
        <w:t>an aggregate amount of $1,000,000 (the “</w:t>
      </w:r>
      <w:r>
        <w:rPr>
          <w:rFonts w:ascii="Arial" w:cs="Arial" w:eastAsia="Arial" w:hAnsi="Arial"/>
          <w:sz w:val="20"/>
          <w:szCs w:val="20"/>
          <w:u w:val="single" w:color="auto"/>
          <w:color w:val="auto"/>
        </w:rPr>
        <w:t>Retention Bonus</w:t>
      </w:r>
      <w:r>
        <w:rPr>
          <w:rFonts w:ascii="Arial" w:cs="Arial" w:eastAsia="Arial" w:hAnsi="Arial"/>
          <w:sz w:val="20"/>
          <w:szCs w:val="20"/>
          <w:color w:val="auto"/>
        </w:rPr>
        <w:t>”), which will be payable in five equal installments on or within ten days of each date of filing of the Company’s annual report on Form 10-K for fiscal year 2023, the quarterly reports on Form 10-Q for each of the first three fiscal quarters of fiscal year 2024, and the Company’s annual report on Form 10-K for fiscal year 2024 (each, a “</w:t>
      </w:r>
      <w:r>
        <w:rPr>
          <w:rFonts w:ascii="Arial" w:cs="Arial" w:eastAsia="Arial" w:hAnsi="Arial"/>
          <w:sz w:val="20"/>
          <w:szCs w:val="20"/>
          <w:u w:val="single" w:color="auto"/>
          <w:color w:val="auto"/>
        </w:rPr>
        <w:t>Periodic Report</w:t>
      </w:r>
      <w:r>
        <w:rPr>
          <w:rFonts w:ascii="Arial" w:cs="Arial" w:eastAsia="Arial" w:hAnsi="Arial"/>
          <w:sz w:val="20"/>
          <w:szCs w:val="20"/>
          <w:color w:val="auto"/>
        </w:rPr>
        <w:t xml:space="preserve">”). Payment of each installment of the Retention Bonus will be subject to your continued service with the Company on the applicable payment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if your employment with the Company and its subsidiaries is terminated without Cause or for Good Reason, you will receive the remaining unpaid amount of the Retention Bonus, which shall be payable within thirty (30) days of such date of termination.</w:t>
      </w:r>
    </w:p>
    <w:p>
      <w:pPr>
        <w:spacing w:after="0" w:line="170" w:lineRule="exact"/>
        <w:rPr>
          <w:rFonts w:ascii="Arial" w:cs="Arial" w:eastAsia="Arial" w:hAnsi="Arial"/>
          <w:sz w:val="20"/>
          <w:szCs w:val="20"/>
          <w:color w:val="auto"/>
        </w:rPr>
      </w:pPr>
    </w:p>
    <w:p>
      <w:pPr>
        <w:jc w:val="both"/>
        <w:ind w:left="760" w:hanging="378"/>
        <w:spacing w:after="0" w:line="246" w:lineRule="auto"/>
        <w:tabs>
          <w:tab w:leader="none" w:pos="760" w:val="left"/>
        </w:tabs>
        <w:numPr>
          <w:ilvl w:val="0"/>
          <w:numId w:val="82"/>
        </w:numPr>
        <w:rPr>
          <w:rFonts w:ascii="Arial" w:cs="Arial" w:eastAsia="Arial" w:hAnsi="Arial"/>
          <w:sz w:val="19"/>
          <w:szCs w:val="19"/>
          <w:color w:val="auto"/>
        </w:rPr>
      </w:pPr>
      <w:r>
        <w:rPr>
          <w:rFonts w:ascii="Arial" w:cs="Arial" w:eastAsia="Arial" w:hAnsi="Arial"/>
          <w:sz w:val="19"/>
          <w:szCs w:val="19"/>
          <w:b w:val="1"/>
          <w:bCs w:val="1"/>
          <w:color w:val="auto"/>
        </w:rPr>
        <w:t>Severance Plan</w:t>
      </w:r>
      <w:r>
        <w:rPr>
          <w:rFonts w:ascii="Arial" w:cs="Arial" w:eastAsia="Arial" w:hAnsi="Arial"/>
          <w:sz w:val="19"/>
          <w:szCs w:val="19"/>
          <w:color w:val="auto"/>
        </w:rPr>
        <w:t>. The Severance Plan has been amended by the Company to provide that in the event of your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Separation from Service without Cause or for Good Reason (other than a Termination Upon a Change in Control), the Severance Amount payable to you pursuant to Section 4.2(a) of the Severance Plan will be payable over a Severance Period of four months, subject to the terms and conditions of the Severance Plan, and notwithstanding anything to the contrary in your offer letter with the Company or otherwise. A copy of the amended Severance Plan is enclosed with this Letter Agreement as </w:t>
      </w:r>
      <w:r>
        <w:rPr>
          <w:rFonts w:ascii="Arial" w:cs="Arial" w:eastAsia="Arial" w:hAnsi="Arial"/>
          <w:sz w:val="19"/>
          <w:szCs w:val="19"/>
          <w:i w:val="1"/>
          <w:iCs w:val="1"/>
          <w:color w:val="auto"/>
        </w:rPr>
        <w:t>Appendix II</w:t>
      </w:r>
      <w:r>
        <w:rPr>
          <w:rFonts w:ascii="Arial" w:cs="Arial" w:eastAsia="Arial" w:hAnsi="Arial"/>
          <w:sz w:val="19"/>
          <w:szCs w:val="19"/>
          <w:color w:val="auto"/>
        </w:rPr>
        <w:t xml:space="preserve"> (with all capitalized terms used and not defined in this section as defined therein).</w:t>
      </w:r>
    </w:p>
    <w:p>
      <w:pPr>
        <w:spacing w:after="0" w:line="16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You acknowledge and agree that, in consideration for the benefits provided for in this Letter Agreement, you hereby waive any right to terminate your employment for Good Reason as a result of any action or event occurring prior to the date hereof, including without limitation, due to or in connection with the Company’s Value Maximization Plan. You and the Company hereby acknowledge that you do not waive your right to resign for Good Reason as a result of events that may occur following the date hereof.</w:t>
      </w:r>
    </w:p>
    <w:p>
      <w:pPr>
        <w:spacing w:after="0" w:line="17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You further acknowledge and agree that the Company or any applicable subsidiary thereof will be entitled to withhold from amounts to be paid to you hereunder any federal, state or local withholding or other taxes that the Company or such applicable subsidiary is required to withhold.</w:t>
      </w:r>
    </w:p>
    <w:p>
      <w:pPr>
        <w:spacing w:after="0" w:line="17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Neither this Letter Agreement, nor any modification thereof, nor the payment of any benefits shall be construed as giving you the right to be retained in the service or employ of the Company or any of its affiliates. The intent of the parties is that payments and benefits under this Agreement be exempt from, or comply with, Section 409A of the Internal Revenue Code of 1986, as amended, and the rules and regulations issued thereunder, and accordingly, to the maximum extent permitted, this Letter Agreement shall be interpreted and administered to be in accordance therewith.</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Except as explicitly amended by this Letter Agreement, the RSU Agreements shall continue in full force and effect in accordance with their terms. This Letter Agreement shall be interpreted, construed, and governed according to the laws of the State of Delaware, without reference to conflicts of law principles thereof. This Letter Agreement may be executed in two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851535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2" w:name="page163"/>
    <w:bookmarkEnd w:id="162"/>
    <w:p>
      <w:pPr>
        <w:ind w:left="940"/>
        <w:spacing w:after="0"/>
        <w:rPr>
          <w:sz w:val="20"/>
          <w:szCs w:val="20"/>
          <w:color w:val="auto"/>
        </w:rPr>
      </w:pPr>
      <w:r>
        <w:rPr>
          <w:rFonts w:ascii="Arial" w:cs="Arial" w:eastAsia="Arial" w:hAnsi="Arial"/>
          <w:sz w:val="20"/>
          <w:szCs w:val="20"/>
          <w:color w:val="auto"/>
        </w:rPr>
        <w:t>STYLEREF "Letter - Date" \* MERGEFORMAT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counterparts, each of which shall be deemed an original, but all of which together shall constitute one and the same instrument.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Should you have any questions, please reach out to Deni Stott at Deni.Stott@vroom.com.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C. Denise Stott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Chief People &amp; Culture Officer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I hereby acknowledge and agree to all of the terms and provisions of this Letter Agreement:</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gridSpan w:val="3"/>
          </w:tcPr>
          <w:p>
            <w:pPr>
              <w:spacing w:after="0"/>
              <w:rPr>
                <w:sz w:val="20"/>
                <w:szCs w:val="20"/>
                <w:color w:val="auto"/>
              </w:rPr>
            </w:pPr>
            <w:r>
              <w:rPr>
                <w:rFonts w:ascii="Arial" w:cs="Arial" w:eastAsia="Arial" w:hAnsi="Arial"/>
                <w:sz w:val="20"/>
                <w:szCs w:val="20"/>
                <w:color w:val="auto"/>
              </w:rPr>
              <w:t>/s/ Thomas Shortt__________________</w:t>
            </w:r>
          </w:p>
        </w:tc>
        <w:tc>
          <w:tcPr>
            <w:tcW w:w="7480" w:type="dxa"/>
            <w:vAlign w:val="bottom"/>
            <w:gridSpan w:val="3"/>
          </w:tcPr>
          <w:p>
            <w:pPr>
              <w:ind w:left="200"/>
              <w:spacing w:after="0"/>
              <w:rPr>
                <w:sz w:val="20"/>
                <w:szCs w:val="20"/>
                <w:color w:val="auto"/>
              </w:rPr>
            </w:pPr>
            <w:r>
              <w:rPr>
                <w:rFonts w:ascii="Arial" w:cs="Arial" w:eastAsia="Arial" w:hAnsi="Arial"/>
                <w:sz w:val="20"/>
                <w:szCs w:val="20"/>
                <w:color w:val="auto"/>
              </w:rPr>
              <w:t>March 13, 2024______</w:t>
            </w:r>
          </w:p>
        </w:tc>
      </w:tr>
      <w:tr>
        <w:trPr>
          <w:trHeight w:val="254"/>
        </w:trPr>
        <w:tc>
          <w:tcPr>
            <w:tcW w:w="22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Thomas Shortt</w:t>
            </w:r>
          </w:p>
        </w:tc>
        <w:tc>
          <w:tcPr>
            <w:tcW w:w="1340" w:type="dxa"/>
            <w:vAlign w:val="bottom"/>
            <w:tcBorders>
              <w:top w:val="single" w:sz="8" w:color="auto"/>
            </w:tcBorders>
          </w:tcPr>
          <w:p>
            <w:pPr>
              <w:ind w:left="880"/>
              <w:spacing w:after="0"/>
              <w:rPr>
                <w:sz w:val="20"/>
                <w:szCs w:val="20"/>
                <w:color w:val="auto"/>
              </w:rPr>
            </w:pPr>
            <w:r>
              <w:rPr>
                <w:rFonts w:ascii="Arial" w:cs="Arial" w:eastAsia="Arial" w:hAnsi="Arial"/>
                <w:sz w:val="20"/>
                <w:szCs w:val="20"/>
                <w:color w:val="auto"/>
              </w:rPr>
              <w:t>Date</w:t>
            </w: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5900" w:type="dxa"/>
            <w:vAlign w:val="bottom"/>
          </w:tcPr>
          <w:p>
            <w:pPr>
              <w:spacing w:after="0"/>
              <w:rPr>
                <w:sz w:val="22"/>
                <w:szCs w:val="22"/>
                <w:color w:val="auto"/>
              </w:rPr>
            </w:pPr>
          </w:p>
        </w:tc>
      </w:tr>
      <w:tr>
        <w:trPr>
          <w:trHeight w:val="2241"/>
        </w:trPr>
        <w:tc>
          <w:tcPr>
            <w:tcW w:w="22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3" w:name="page164"/>
    <w:bookmarkEnd w:id="163"/>
    <w:p>
      <w:pPr>
        <w:ind w:left="940"/>
        <w:spacing w:after="0"/>
        <w:rPr>
          <w:sz w:val="20"/>
          <w:szCs w:val="20"/>
          <w:color w:val="auto"/>
        </w:rPr>
      </w:pPr>
      <w:r>
        <w:rPr>
          <w:rFonts w:ascii="Arial" w:cs="Arial" w:eastAsia="Arial" w:hAnsi="Arial"/>
          <w:sz w:val="20"/>
          <w:szCs w:val="20"/>
          <w:color w:val="auto"/>
        </w:rPr>
        <w:t>STYLEREF "Letter - Date" \* MERGEFORMAT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Appendix 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RSUs</w:t>
      </w:r>
    </w:p>
    <w:p>
      <w:pPr>
        <w:spacing w:after="0" w:line="204"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If you are a participant in the Amended and Restated Vroom, Inc. Executive Severance Plan (as may be amended from time to time, the “</w:t>
      </w:r>
      <w:r>
        <w:rPr>
          <w:rFonts w:ascii="Arial" w:cs="Arial" w:eastAsia="Arial" w:hAnsi="Arial"/>
          <w:sz w:val="20"/>
          <w:szCs w:val="20"/>
          <w:u w:val="single" w:color="auto"/>
          <w:color w:val="auto"/>
        </w:rPr>
        <w:t>Severance Plan</w:t>
      </w:r>
      <w:r>
        <w:rPr>
          <w:rFonts w:ascii="Arial" w:cs="Arial" w:eastAsia="Arial" w:hAnsi="Arial"/>
          <w:sz w:val="20"/>
          <w:szCs w:val="20"/>
          <w:color w:val="auto"/>
        </w:rPr>
        <w:t>”), “Cause” and “Good Reason” shall have the meanings set forth therein. If you are not a participant in the Severance Plan, “Cause” and “Good Reason” shall have the meanings set forth as follows:</w:t>
      </w:r>
    </w:p>
    <w:p>
      <w:pPr>
        <w:spacing w:after="0" w:line="170"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i w:val="1"/>
          <w:iCs w:val="1"/>
          <w:color w:val="auto"/>
        </w:rPr>
        <w:t xml:space="preserve">” </w:t>
      </w:r>
      <w:r>
        <w:rPr>
          <w:rFonts w:ascii="Arial" w:cs="Arial" w:eastAsia="Arial" w:hAnsi="Arial"/>
          <w:sz w:val="20"/>
          <w:szCs w:val="20"/>
          <w:color w:val="auto"/>
        </w:rPr>
        <w:t>means the occurrence of any of the following: (1) your willful failure to substantially perform your duties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(other than any such failure resulting from your incapacity due to physical or mental illness or any such actual or anticipated failure after your issuance of a notice of termination for Good Reason), after a written demand for performance is delivered to you by the Board of Directors or the Chief Executive Officer of the Company, which demand specifically identifies the manner in which the Board of Directors or the Chief Executive Officer of the Company believes that you have not performed your duties; (2) your commission of an act of fraud or material dishonesty resulting in reputational, economic or financial injury to the Company; (3) your commission of, including any entry by you of a guilty or no contest plea to, a felony or other crime involving moral turpitude; (4) a material breach by you of your fiduciary duty to the Company which results in reputational, economic, or other injury to the Company; or (5) your material breach of your obligation under a written agreement between the Company and you.</w:t>
      </w:r>
    </w:p>
    <w:p>
      <w:pPr>
        <w:spacing w:after="0" w:line="179"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i w:val="1"/>
          <w:iCs w:val="1"/>
          <w:color w:val="auto"/>
        </w:rPr>
        <w:t xml:space="preserve">” </w:t>
      </w:r>
      <w:r>
        <w:rPr>
          <w:rFonts w:ascii="Arial" w:cs="Arial" w:eastAsia="Arial" w:hAnsi="Arial"/>
          <w:sz w:val="20"/>
          <w:szCs w:val="20"/>
          <w:color w:val="auto"/>
        </w:rPr>
        <w:t>means the occurrence of any of the following conditions without your informed written consent unless</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fully corrects the circumstances constituting Good Reason (provided such circumstances are capable of correction):</w:t>
      </w:r>
    </w:p>
    <w:p>
      <w:pPr>
        <w:spacing w:after="0" w:line="170" w:lineRule="exact"/>
        <w:rPr>
          <w:sz w:val="20"/>
          <w:szCs w:val="20"/>
          <w:color w:val="auto"/>
        </w:rPr>
      </w:pPr>
    </w:p>
    <w:p>
      <w:pPr>
        <w:jc w:val="both"/>
        <w:ind w:left="2260" w:hanging="380"/>
        <w:spacing w:after="0" w:line="236" w:lineRule="auto"/>
        <w:tabs>
          <w:tab w:leader="none" w:pos="22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 material diminution in your position (including status, offices, titles and reporting requirements), authority, duties or responsibilities, excluding for this purpose any isolated, insubstantial or inadvertent actions not taken in bad faith and which are remedied by the Company promptly after receipt of notice thereof given by you; or</w:t>
      </w:r>
    </w:p>
    <w:p>
      <w:pPr>
        <w:spacing w:after="0" w:line="174" w:lineRule="exact"/>
        <w:rPr>
          <w:rFonts w:ascii="Arial" w:cs="Arial" w:eastAsia="Arial" w:hAnsi="Arial"/>
          <w:sz w:val="20"/>
          <w:szCs w:val="20"/>
          <w:color w:val="auto"/>
        </w:rPr>
      </w:pPr>
    </w:p>
    <w:p>
      <w:pPr>
        <w:ind w:left="2260" w:hanging="380"/>
        <w:spacing w:after="0" w:line="257" w:lineRule="auto"/>
        <w:tabs>
          <w:tab w:leader="none" w:pos="22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Company’s material reduction in your base salary, as the same may be increased from time to time; or</w:t>
      </w:r>
    </w:p>
    <w:p>
      <w:pPr>
        <w:spacing w:after="0" w:line="154" w:lineRule="exact"/>
        <w:rPr>
          <w:rFonts w:ascii="Arial" w:cs="Arial" w:eastAsia="Arial" w:hAnsi="Arial"/>
          <w:sz w:val="20"/>
          <w:szCs w:val="20"/>
          <w:color w:val="auto"/>
        </w:rPr>
      </w:pPr>
    </w:p>
    <w:p>
      <w:pPr>
        <w:jc w:val="both"/>
        <w:ind w:left="2260" w:hanging="380"/>
        <w:spacing w:after="0" w:line="241" w:lineRule="auto"/>
        <w:tabs>
          <w:tab w:leader="none" w:pos="22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 material change in the geographic location of your principal location as of the Letter Agreement, which shall, in any event, include only a relocation of more than twenty-five (25) miles from such principal location; or</w:t>
      </w:r>
    </w:p>
    <w:p>
      <w:pPr>
        <w:spacing w:after="0" w:line="170" w:lineRule="exact"/>
        <w:rPr>
          <w:rFonts w:ascii="Arial" w:cs="Arial" w:eastAsia="Arial" w:hAnsi="Arial"/>
          <w:sz w:val="20"/>
          <w:szCs w:val="20"/>
          <w:color w:val="auto"/>
        </w:rPr>
      </w:pPr>
    </w:p>
    <w:p>
      <w:pPr>
        <w:ind w:left="2260" w:hanging="380"/>
        <w:spacing w:after="0"/>
        <w:tabs>
          <w:tab w:leader="none" w:pos="226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any material breach of the Letter Agreement by the Company with respect to you.</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Notwithstanding the foregoing, you will not be deemed to have resigned for Good Reason unless (1) you provide the Company with written notice setting forth in reasonable detail the facts and circumstances claimed by you to constitute Good Reason within sixty (60) days after the date of the occurrence of any event that you know or should reasonably have known to constitute Good Reason, (2) the Company fails to cure such acts or omissions within thirty (30) days following its receipt of such notice, and (3) the effective date of your termination for Good Reason occurs no later than sixty (60) days after the expiration of the Company’s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1000125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4" w:name="page165"/>
    <w:bookmarkEnd w:id="164"/>
    <w:p>
      <w:pPr>
        <w:spacing w:after="0"/>
        <w:rPr>
          <w:sz w:val="20"/>
          <w:szCs w:val="20"/>
          <w:color w:val="auto"/>
        </w:rPr>
      </w:pPr>
      <w:r>
        <w:rPr>
          <w:rFonts w:ascii="Arial" w:cs="Arial" w:eastAsia="Arial" w:hAnsi="Arial"/>
          <w:sz w:val="20"/>
          <w:szCs w:val="20"/>
          <w:color w:val="auto"/>
        </w:rPr>
        <w:t>STYLEREF "Letter - Date" \* MERGEFORMAT</w:t>
      </w:r>
    </w:p>
    <w:p>
      <w:pPr>
        <w:spacing w:after="0" w:line="200" w:lineRule="exact"/>
        <w:rPr>
          <w:sz w:val="20"/>
          <w:szCs w:val="20"/>
          <w:color w:val="auto"/>
        </w:rPr>
      </w:pPr>
    </w:p>
    <w:p>
      <w:pPr>
        <w:spacing w:after="0" w:line="215"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u w:val="single" w:color="auto"/>
          <w:color w:val="auto"/>
        </w:rPr>
        <w:t>Appendix II</w:t>
      </w:r>
    </w:p>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1028065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99"/>
          </w:cols>
          <w:pgMar w:left="1260" w:top="765" w:right="1440" w:bottom="1440" w:gutter="0" w:footer="0" w:header="0"/>
        </w:sectPr>
      </w:pPr>
    </w:p>
    <w:bookmarkStart w:id="165" w:name="page166"/>
    <w:bookmarkEnd w:id="165"/>
    <w:p>
      <w:pPr>
        <w:ind w:left="7600"/>
        <w:spacing w:after="0"/>
        <w:rPr>
          <w:sz w:val="20"/>
          <w:szCs w:val="20"/>
          <w:color w:val="auto"/>
        </w:rPr>
      </w:pPr>
      <w:r>
        <w:rPr>
          <w:rFonts w:ascii="Times New Roman" w:cs="Times New Roman" w:eastAsia="Times New Roman" w:hAnsi="Times New Roman"/>
          <w:sz w:val="17"/>
          <w:szCs w:val="17"/>
          <w:color w:val="auto"/>
        </w:rPr>
        <w:t>EXHIBIT 10.26</w:t>
      </w:r>
      <w:r>
        <w:rPr>
          <w:sz w:val="1"/>
          <w:szCs w:val="1"/>
          <w:color w:val="auto"/>
        </w:rPr>
        <w:drawing>
          <wp:inline distT="0" distB="0" distL="0" distR="0">
            <wp:extent cx="1567180" cy="342265"/>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0">
                      <a:extLst>
                        <a:ext uri="{28A0092B-C50C-407E-A947-70E740481C1C}"/>
                      </a:extLst>
                    </a:blip>
                    <a:srcRect/>
                    <a:stretch>
                      <a:fillRect/>
                    </a:stretch>
                  </pic:blipFill>
                  <pic:spPr bwMode="auto">
                    <a:xfrm>
                      <a:off x="0" y="0"/>
                      <a:ext cx="1567180" cy="34226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March 11,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Robert Ronald Krakowiak</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Delivered via email</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Amendment to Compensation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Robert,</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You are receiving this letter (“</w:t>
      </w:r>
      <w:r>
        <w:rPr>
          <w:rFonts w:ascii="Arial" w:cs="Arial" w:eastAsia="Arial" w:hAnsi="Arial"/>
          <w:sz w:val="19"/>
          <w:szCs w:val="19"/>
          <w:u w:val="single" w:color="auto"/>
          <w:color w:val="auto"/>
        </w:rPr>
        <w:t>Letter Agreement</w:t>
      </w:r>
      <w:r>
        <w:rPr>
          <w:rFonts w:ascii="Arial" w:cs="Arial" w:eastAsia="Arial" w:hAnsi="Arial"/>
          <w:sz w:val="19"/>
          <w:szCs w:val="19"/>
          <w:color w:val="auto"/>
        </w:rPr>
        <w:t>”) because the Compensation Committee of the Board of Directors of Vroom, Inc. (the “</w:t>
      </w:r>
      <w:r>
        <w:rPr>
          <w:rFonts w:ascii="Arial" w:cs="Arial" w:eastAsia="Arial" w:hAnsi="Arial"/>
          <w:sz w:val="19"/>
          <w:szCs w:val="19"/>
          <w:u w:val="single" w:color="auto"/>
          <w:color w:val="auto"/>
        </w:rPr>
        <w:t>Company</w:t>
      </w:r>
      <w:r>
        <w:rPr>
          <w:rFonts w:ascii="Arial" w:cs="Arial" w:eastAsia="Arial" w:hAnsi="Arial"/>
          <w:sz w:val="19"/>
          <w:szCs w:val="19"/>
          <w:color w:val="auto"/>
        </w:rPr>
        <w:t>”) has determined to modify the terms of your compensation package with the Company, including as relates to your outstanding restricted stock unit awards previously granted to you by the Company under the Company’s 2020 Incentive Award Plan (the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which are scheduled to vest in 2024, 2025 and 2026 and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RSUs</w:t>
      </w:r>
      <w:r>
        <w:rPr>
          <w:rFonts w:ascii="Arial" w:cs="Arial" w:eastAsia="Arial" w:hAnsi="Arial"/>
          <w:sz w:val="19"/>
          <w:szCs w:val="19"/>
          <w:color w:val="auto"/>
        </w:rPr>
        <w:t>”). This Letter Agreement serves as an amendment to the restricted stock unit award agreement(s) evidencing the RSUs (the “</w:t>
      </w:r>
      <w:r>
        <w:rPr>
          <w:rFonts w:ascii="Arial" w:cs="Arial" w:eastAsia="Arial" w:hAnsi="Arial"/>
          <w:sz w:val="19"/>
          <w:szCs w:val="19"/>
          <w:u w:val="single" w:color="auto"/>
          <w:color w:val="auto"/>
        </w:rPr>
        <w:t>RSU</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Agreements</w:t>
      </w:r>
      <w:r>
        <w:rPr>
          <w:rFonts w:ascii="Arial" w:cs="Arial" w:eastAsia="Arial" w:hAnsi="Arial"/>
          <w:sz w:val="19"/>
          <w:szCs w:val="19"/>
          <w:color w:val="auto"/>
        </w:rPr>
        <w:t>”) as well as a notice of certain changes to the Amended and Restated Vroom, Inc. Executive Severance Plan (as may be amended from time to time, the “</w:t>
      </w:r>
      <w:r>
        <w:rPr>
          <w:rFonts w:ascii="Arial" w:cs="Arial" w:eastAsia="Arial" w:hAnsi="Arial"/>
          <w:sz w:val="19"/>
          <w:szCs w:val="19"/>
          <w:u w:val="single" w:color="auto"/>
          <w:color w:val="auto"/>
        </w:rPr>
        <w:t>Severance Plan</w:t>
      </w:r>
      <w:r>
        <w:rPr>
          <w:rFonts w:ascii="Arial" w:cs="Arial" w:eastAsia="Arial" w:hAnsi="Arial"/>
          <w:sz w:val="19"/>
          <w:szCs w:val="19"/>
          <w:color w:val="auto"/>
        </w:rPr>
        <w:t>”), subject to the terms and conditions of this Letter Agreement.</w:t>
      </w:r>
    </w:p>
    <w:p>
      <w:pPr>
        <w:spacing w:after="0" w:line="169" w:lineRule="exact"/>
        <w:rPr>
          <w:sz w:val="20"/>
          <w:szCs w:val="20"/>
          <w:color w:val="auto"/>
        </w:rPr>
      </w:pPr>
    </w:p>
    <w:p>
      <w:pPr>
        <w:ind w:left="760" w:right="20" w:hanging="378"/>
        <w:spacing w:after="0" w:line="259" w:lineRule="auto"/>
        <w:tabs>
          <w:tab w:leader="none" w:pos="760" w:val="left"/>
        </w:tabs>
        <w:numPr>
          <w:ilvl w:val="0"/>
          <w:numId w:val="84"/>
        </w:numPr>
        <w:rPr>
          <w:rFonts w:ascii="Arial" w:cs="Arial" w:eastAsia="Arial" w:hAnsi="Arial"/>
          <w:sz w:val="20"/>
          <w:szCs w:val="20"/>
          <w:color w:val="auto"/>
        </w:rPr>
      </w:pPr>
      <w:r>
        <w:rPr>
          <w:rFonts w:ascii="Arial" w:cs="Arial" w:eastAsia="Arial" w:hAnsi="Arial"/>
          <w:sz w:val="20"/>
          <w:szCs w:val="20"/>
          <w:b w:val="1"/>
          <w:bCs w:val="1"/>
          <w:color w:val="auto"/>
        </w:rPr>
        <w:t>RSU Amendments</w:t>
      </w:r>
      <w:r>
        <w:rPr>
          <w:rFonts w:ascii="Arial" w:cs="Arial" w:eastAsia="Arial" w:hAnsi="Arial"/>
          <w:sz w:val="20"/>
          <w:szCs w:val="20"/>
          <w:color w:val="auto"/>
        </w:rPr>
        <w:t>. Subject to your execution of this Letter Agreement, effective as of March 8, 2024, the RSU</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are hereby amended as follows:</w:t>
      </w:r>
    </w:p>
    <w:p>
      <w:pPr>
        <w:spacing w:after="0" w:line="152" w:lineRule="exact"/>
        <w:rPr>
          <w:rFonts w:ascii="Arial" w:cs="Arial" w:eastAsia="Arial" w:hAnsi="Arial"/>
          <w:sz w:val="20"/>
          <w:szCs w:val="20"/>
          <w:color w:val="auto"/>
        </w:rPr>
      </w:pPr>
    </w:p>
    <w:p>
      <w:pPr>
        <w:jc w:val="both"/>
        <w:ind w:left="1500" w:hanging="369"/>
        <w:spacing w:after="0" w:line="234" w:lineRule="auto"/>
        <w:tabs>
          <w:tab w:leader="none" w:pos="15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RSUs will vest in full on March 18, 2025 (the “</w:t>
      </w:r>
      <w:r>
        <w:rPr>
          <w:rFonts w:ascii="Arial" w:cs="Arial" w:eastAsia="Arial" w:hAnsi="Arial"/>
          <w:sz w:val="20"/>
          <w:szCs w:val="20"/>
          <w:u w:val="single" w:color="auto"/>
          <w:color w:val="auto"/>
        </w:rPr>
        <w:t>New Vesting Date</w:t>
      </w:r>
      <w:r>
        <w:rPr>
          <w:rFonts w:ascii="Arial" w:cs="Arial" w:eastAsia="Arial" w:hAnsi="Arial"/>
          <w:sz w:val="20"/>
          <w:szCs w:val="20"/>
          <w:color w:val="auto"/>
        </w:rPr>
        <w:t>”), subject to your continued employment through such date. In consideration for your agreement to the New Vesting Date, the Company hereby agrees to increase the number of RSUs which were originally scheduled to vest in 2024 by 25%, which additional RSUs will, for the avoidance of doubt, be subject to the terms of the RSU Agreements governing the RSUs which were originally scheduled to vest in 2024, as expressly amended herein.</w:t>
      </w:r>
    </w:p>
    <w:p>
      <w:pPr>
        <w:spacing w:after="0" w:line="173" w:lineRule="exact"/>
        <w:rPr>
          <w:rFonts w:ascii="Arial" w:cs="Arial" w:eastAsia="Arial" w:hAnsi="Arial"/>
          <w:sz w:val="20"/>
          <w:szCs w:val="20"/>
          <w:color w:val="auto"/>
        </w:rPr>
      </w:pPr>
    </w:p>
    <w:p>
      <w:pPr>
        <w:jc w:val="both"/>
        <w:ind w:left="1500" w:hanging="369"/>
        <w:spacing w:after="0" w:line="229" w:lineRule="auto"/>
        <w:tabs>
          <w:tab w:leader="none" w:pos="15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 xml:space="preserve">In the event your employment with the Company and its subsidiaries terminates without Cause or for Good Reason (each as defined on </w:t>
      </w:r>
      <w:r>
        <w:rPr>
          <w:rFonts w:ascii="Arial" w:cs="Arial" w:eastAsia="Arial" w:hAnsi="Arial"/>
          <w:sz w:val="20"/>
          <w:szCs w:val="20"/>
          <w:i w:val="1"/>
          <w:iCs w:val="1"/>
          <w:color w:val="auto"/>
        </w:rPr>
        <w:t>Appendix I</w:t>
      </w:r>
      <w:r>
        <w:rPr>
          <w:rFonts w:ascii="Arial" w:cs="Arial" w:eastAsia="Arial" w:hAnsi="Arial"/>
          <w:sz w:val="20"/>
          <w:szCs w:val="20"/>
          <w:color w:val="auto"/>
        </w:rPr>
        <w:t xml:space="preserve"> hereto) prior to the New Vesting Date and you are not asked by the Company to serve as a consultant to the Company, the RSUs will accelerate and vest in full. In the event your employment with the Company and its subsidiaries terminates without Cause or for Good Reason prior to the New Vesting Date and you are asked by the Company to commence service as a consultant, subject to the terms of a consulting agreement to be entered into by and between you and the Company, the Company agrees that any RSUs held by you as of the date of termination of your employment will remain outstanding and eligible to vest on the New Vesting Date, subject to your continued service with the Company as a consultant; </w:t>
      </w:r>
      <w:r>
        <w:rPr>
          <w:rFonts w:ascii="Arial" w:cs="Arial" w:eastAsia="Arial" w:hAnsi="Arial"/>
          <w:sz w:val="20"/>
          <w:szCs w:val="20"/>
          <w:i w:val="1"/>
          <w:iCs w:val="1"/>
          <w:color w:val="auto"/>
        </w:rPr>
        <w:t>provided</w:t>
      </w:r>
      <w:r>
        <w:rPr>
          <w:rFonts w:ascii="Arial" w:cs="Arial" w:eastAsia="Arial" w:hAnsi="Arial"/>
          <w:sz w:val="20"/>
          <w:szCs w:val="20"/>
          <w:color w:val="auto"/>
        </w:rPr>
        <w:t>, that if your service with the Company is terminated during the consulting period by the Company without Cause your outstanding RSUs will accelerate and vest in full. Notwithstanding the foregoing, the post-termination exercise period of any vested option to purchase Company common stock held by the Participant as of such Participant’s termination without Cause or for Good Reason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66" w:name="page167"/>
    <w:bookmarkEnd w:id="166"/>
    <w:p>
      <w:pPr>
        <w:ind w:left="940"/>
        <w:spacing w:after="0"/>
        <w:rPr>
          <w:sz w:val="20"/>
          <w:szCs w:val="20"/>
          <w:color w:val="auto"/>
        </w:rPr>
      </w:pPr>
      <w:r>
        <w:rPr>
          <w:rFonts w:ascii="Arial" w:cs="Arial" w:eastAsia="Arial" w:hAnsi="Arial"/>
          <w:sz w:val="20"/>
          <w:szCs w:val="20"/>
          <w:color w:val="auto"/>
        </w:rPr>
        <w:t>STYLEREF "Letter - Date" \* MERGEFORMAT</w:t>
      </w:r>
    </w:p>
    <w:p>
      <w:pPr>
        <w:spacing w:after="0" w:line="200" w:lineRule="exact"/>
        <w:rPr>
          <w:sz w:val="20"/>
          <w:szCs w:val="20"/>
          <w:color w:val="auto"/>
        </w:rPr>
      </w:pPr>
    </w:p>
    <w:p>
      <w:pPr>
        <w:spacing w:after="0" w:line="21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extended through the original expiration date of such option.</w:t>
      </w:r>
    </w:p>
    <w:p>
      <w:pPr>
        <w:spacing w:after="0" w:line="200" w:lineRule="exact"/>
        <w:rPr>
          <w:sz w:val="20"/>
          <w:szCs w:val="20"/>
          <w:color w:val="auto"/>
        </w:rPr>
      </w:pPr>
    </w:p>
    <w:p>
      <w:pPr>
        <w:jc w:val="both"/>
        <w:ind w:left="760" w:hanging="378"/>
        <w:spacing w:after="0" w:line="246" w:lineRule="auto"/>
        <w:tabs>
          <w:tab w:leader="none" w:pos="760" w:val="left"/>
        </w:tabs>
        <w:numPr>
          <w:ilvl w:val="0"/>
          <w:numId w:val="85"/>
        </w:numPr>
        <w:rPr>
          <w:rFonts w:ascii="Arial" w:cs="Arial" w:eastAsia="Arial" w:hAnsi="Arial"/>
          <w:sz w:val="19"/>
          <w:szCs w:val="19"/>
          <w:color w:val="auto"/>
        </w:rPr>
      </w:pPr>
      <w:r>
        <w:rPr>
          <w:rFonts w:ascii="Arial" w:cs="Arial" w:eastAsia="Arial" w:hAnsi="Arial"/>
          <w:sz w:val="19"/>
          <w:szCs w:val="19"/>
          <w:b w:val="1"/>
          <w:bCs w:val="1"/>
          <w:color w:val="auto"/>
        </w:rPr>
        <w:t>Severance Plan</w:t>
      </w:r>
      <w:r>
        <w:rPr>
          <w:rFonts w:ascii="Arial" w:cs="Arial" w:eastAsia="Arial" w:hAnsi="Arial"/>
          <w:sz w:val="19"/>
          <w:szCs w:val="19"/>
          <w:color w:val="auto"/>
        </w:rPr>
        <w:t>. The Severance Plan has been amended by the Company to provide that in the event of your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Separation from Service without Cause or for Good Reason (other than a Termination Upon a Change in Control), the Severance Amount payable to you pursuant to Section 4.2(a) of the Severance Plan will be payable over a Severance Period of four months, subject to the terms and conditions of the Severance Plan, and notwithstanding anything to the contrary in your offer letter with the Company or otherwise. A copy of the amended Severance Plan is enclosed with this Letter Agreement as </w:t>
      </w:r>
      <w:r>
        <w:rPr>
          <w:rFonts w:ascii="Arial" w:cs="Arial" w:eastAsia="Arial" w:hAnsi="Arial"/>
          <w:sz w:val="19"/>
          <w:szCs w:val="19"/>
          <w:i w:val="1"/>
          <w:iCs w:val="1"/>
          <w:color w:val="auto"/>
        </w:rPr>
        <w:t>Appendix II</w:t>
      </w:r>
      <w:r>
        <w:rPr>
          <w:rFonts w:ascii="Arial" w:cs="Arial" w:eastAsia="Arial" w:hAnsi="Arial"/>
          <w:sz w:val="19"/>
          <w:szCs w:val="19"/>
          <w:color w:val="auto"/>
        </w:rPr>
        <w:t xml:space="preserve"> (with all capitalized terms used and not defined in this section as defined therein).</w:t>
      </w:r>
    </w:p>
    <w:p>
      <w:pPr>
        <w:spacing w:after="0" w:line="16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You acknowledge and agree that, in consideration for the benefits provided for in this Letter Agreement, you hereby waive any right to terminate your employment for Good Reason as a result of any action or event occurring prior to the date hereof, including without limitation, due to or in connection with the Company’s Value Maximization Plan. You and the Company hereby acknowledge that you do not waive your right to resign for Good Reason as a result of events that may occur following the date hereof.</w:t>
      </w:r>
    </w:p>
    <w:p>
      <w:pPr>
        <w:spacing w:after="0" w:line="17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You further acknowledge and agree that the Company or any applicable subsidiary thereof will be entitled to withhold from amounts to be paid to you hereunder any federal, state or local withholding or other taxes that the Company or such applicable subsidiary is required to withhold.</w:t>
      </w:r>
    </w:p>
    <w:p>
      <w:pPr>
        <w:spacing w:after="0" w:line="17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Neither this Letter Agreement, nor any modification thereof, nor the payment of any benefits shall be construed as giving you the right to be retained in the service or employ of the Company or any of its affiliates. The intent of the parties is that payments and benefits under this Agreement be exempt from, or comply with, Section 409A of the Internal Revenue Code of 1986, as amended, and the rules and regulations issued thereunder, and accordingly, to the maximum extent permitted, this Letter Agreement shall be interpreted and administered to be in accordance therewith.</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Except as explicitly amended by this Letter Agreement, the RSU Agreements shall continue in full force and effect in accordance with their terms. This Letter Agreement shall be interpreted, construed, and governed according to the laws of the State of Delaware, without reference to conflicts of law principles thereof. This Letter Agreement may be executed in two or more counterparts, each of which shall be deemed an original, but all of which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Should you have any questions, please reach out to Deni Stott at Deni.Stott@vroom.com.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C. Denise Stott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Chief People &amp; Culture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7" w:name="page168"/>
    <w:bookmarkEnd w:id="167"/>
    <w:p>
      <w:pPr>
        <w:ind w:left="940"/>
        <w:spacing w:after="0"/>
        <w:rPr>
          <w:sz w:val="20"/>
          <w:szCs w:val="20"/>
          <w:color w:val="auto"/>
        </w:rPr>
      </w:pPr>
      <w:r>
        <w:rPr>
          <w:rFonts w:ascii="Arial" w:cs="Arial" w:eastAsia="Arial" w:hAnsi="Arial"/>
          <w:sz w:val="20"/>
          <w:szCs w:val="20"/>
          <w:color w:val="auto"/>
        </w:rPr>
        <w:t>STYLEREF "Letter - Date" \* MERGEFORMAT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I hereby acknowledge and agree to all of the terms and provisions of this Letter Agreement:</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gridSpan w:val="2"/>
          </w:tcPr>
          <w:p>
            <w:pPr>
              <w:spacing w:after="0"/>
              <w:rPr>
                <w:sz w:val="20"/>
                <w:szCs w:val="20"/>
                <w:color w:val="auto"/>
              </w:rPr>
            </w:pPr>
            <w:r>
              <w:rPr>
                <w:rFonts w:ascii="Arial" w:cs="Arial" w:eastAsia="Arial" w:hAnsi="Arial"/>
                <w:sz w:val="20"/>
                <w:szCs w:val="20"/>
                <w:color w:val="auto"/>
              </w:rPr>
              <w:t>/s/ Robert Ronald Krakowiak__________</w:t>
            </w:r>
          </w:p>
        </w:tc>
        <w:tc>
          <w:tcPr>
            <w:tcW w:w="7280" w:type="dxa"/>
            <w:vAlign w:val="bottom"/>
            <w:gridSpan w:val="2"/>
          </w:tcPr>
          <w:p>
            <w:pPr>
              <w:spacing w:after="0"/>
              <w:rPr>
                <w:sz w:val="20"/>
                <w:szCs w:val="20"/>
                <w:color w:val="auto"/>
              </w:rPr>
            </w:pPr>
            <w:r>
              <w:rPr>
                <w:rFonts w:ascii="Arial" w:cs="Arial" w:eastAsia="Arial" w:hAnsi="Arial"/>
                <w:sz w:val="20"/>
                <w:szCs w:val="20"/>
                <w:color w:val="auto"/>
              </w:rPr>
              <w:t>March 13, 2024________________</w:t>
            </w:r>
          </w:p>
        </w:tc>
      </w:tr>
      <w:tr>
        <w:trPr>
          <w:trHeight w:val="254"/>
        </w:trPr>
        <w:tc>
          <w:tcPr>
            <w:tcW w:w="36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Robert Ronald Krakowiak</w:t>
            </w:r>
          </w:p>
        </w:tc>
        <w:tc>
          <w:tcPr>
            <w:tcW w:w="340" w:type="dxa"/>
            <w:vAlign w:val="bottom"/>
          </w:tcPr>
          <w:p>
            <w:pPr>
              <w:spacing w:after="0"/>
              <w:rPr>
                <w:sz w:val="20"/>
                <w:szCs w:val="20"/>
                <w:color w:val="auto"/>
              </w:rPr>
            </w:pPr>
            <w:r>
              <w:rPr>
                <w:rFonts w:ascii="Arial" w:cs="Arial" w:eastAsia="Arial" w:hAnsi="Arial"/>
                <w:sz w:val="20"/>
                <w:szCs w:val="20"/>
                <w:color w:val="auto"/>
                <w:w w:val="75"/>
              </w:rPr>
              <w:t>Date</w:t>
            </w:r>
          </w:p>
        </w:tc>
        <w:tc>
          <w:tcPr>
            <w:tcW w:w="3140" w:type="dxa"/>
            <w:vAlign w:val="bottom"/>
            <w:tcBorders>
              <w:top w:val="single" w:sz="8" w:color="auto"/>
            </w:tcBorders>
          </w:tcPr>
          <w:p>
            <w:pPr>
              <w:spacing w:after="0"/>
              <w:rPr>
                <w:sz w:val="22"/>
                <w:szCs w:val="22"/>
                <w:color w:val="auto"/>
              </w:rPr>
            </w:pPr>
          </w:p>
        </w:tc>
        <w:tc>
          <w:tcPr>
            <w:tcW w:w="4140" w:type="dxa"/>
            <w:vAlign w:val="bottom"/>
          </w:tcPr>
          <w:p>
            <w:pPr>
              <w:spacing w:after="0"/>
              <w:rPr>
                <w:sz w:val="22"/>
                <w:szCs w:val="22"/>
                <w:color w:val="auto"/>
              </w:rPr>
            </w:pPr>
          </w:p>
        </w:tc>
      </w:tr>
      <w:tr>
        <w:trPr>
          <w:trHeight w:val="2241"/>
        </w:trPr>
        <w:tc>
          <w:tcPr>
            <w:tcW w:w="3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8" w:name="page169"/>
    <w:bookmarkEnd w:id="168"/>
    <w:p>
      <w:pPr>
        <w:ind w:left="940"/>
        <w:spacing w:after="0"/>
        <w:rPr>
          <w:sz w:val="20"/>
          <w:szCs w:val="20"/>
          <w:color w:val="auto"/>
        </w:rPr>
      </w:pPr>
      <w:r>
        <w:rPr>
          <w:rFonts w:ascii="Arial" w:cs="Arial" w:eastAsia="Arial" w:hAnsi="Arial"/>
          <w:sz w:val="20"/>
          <w:szCs w:val="20"/>
          <w:color w:val="auto"/>
        </w:rPr>
        <w:t>STYLEREF "Letter - Date" \* MERGEFORMAT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Appendix 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RSUs</w:t>
      </w:r>
    </w:p>
    <w:p>
      <w:pPr>
        <w:spacing w:after="0" w:line="204"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If you are a participant in the Amended and Restated Vroom, Inc. Executive Severance Plan (as may be amended from time to time, the “</w:t>
      </w:r>
      <w:r>
        <w:rPr>
          <w:rFonts w:ascii="Arial" w:cs="Arial" w:eastAsia="Arial" w:hAnsi="Arial"/>
          <w:sz w:val="20"/>
          <w:szCs w:val="20"/>
          <w:u w:val="single" w:color="auto"/>
          <w:color w:val="auto"/>
        </w:rPr>
        <w:t>Severance Plan</w:t>
      </w:r>
      <w:r>
        <w:rPr>
          <w:rFonts w:ascii="Arial" w:cs="Arial" w:eastAsia="Arial" w:hAnsi="Arial"/>
          <w:sz w:val="20"/>
          <w:szCs w:val="20"/>
          <w:color w:val="auto"/>
        </w:rPr>
        <w:t>”), “Cause” and “Good Reason” shall have the meanings set forth therein. If you are not a participant in the Severance Plan, “Cause” and “Good Reason” shall have the meanings set forth as follows:</w:t>
      </w:r>
    </w:p>
    <w:p>
      <w:pPr>
        <w:spacing w:after="0" w:line="170"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i w:val="1"/>
          <w:iCs w:val="1"/>
          <w:color w:val="auto"/>
        </w:rPr>
        <w:t xml:space="preserve">” </w:t>
      </w:r>
      <w:r>
        <w:rPr>
          <w:rFonts w:ascii="Arial" w:cs="Arial" w:eastAsia="Arial" w:hAnsi="Arial"/>
          <w:sz w:val="20"/>
          <w:szCs w:val="20"/>
          <w:color w:val="auto"/>
        </w:rPr>
        <w:t>means the occurrence of any of the following: (1) your willful failure to substantially perform your duties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(other than any such failure resulting from your incapacity due to physical or mental illness or any such actual or anticipated failure after your issuance of a notice of termination for Good Reason), after a written demand for performance is delivered to you by the Board of Directors or the Chief Executive Officer of the Company, which demand specifically identifies the manner in which the Board of Directors or the Chief Executive Officer of the Company believes that you have not performed your duties; (2) your commission of an act of fraud or material dishonesty resulting in reputational, economic or financial injury to the Company; (3) your commission of, including any entry by you of a guilty or no contest plea to, a felony or other crime involving moral turpitude; (4) a material breach by you of your fiduciary duty to the Company which results in reputational, economic, or other injury to the Company; or (5) your material breach of your obligation under a written agreement between the Company and you.</w:t>
      </w:r>
    </w:p>
    <w:p>
      <w:pPr>
        <w:spacing w:after="0" w:line="179"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i w:val="1"/>
          <w:iCs w:val="1"/>
          <w:color w:val="auto"/>
        </w:rPr>
        <w:t xml:space="preserve">” </w:t>
      </w:r>
      <w:r>
        <w:rPr>
          <w:rFonts w:ascii="Arial" w:cs="Arial" w:eastAsia="Arial" w:hAnsi="Arial"/>
          <w:sz w:val="20"/>
          <w:szCs w:val="20"/>
          <w:color w:val="auto"/>
        </w:rPr>
        <w:t>means the occurrence of any of the following conditions without your informed written consent unless</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fully corrects the circumstances constituting Good Reason (provided such circumstances are capable of correction):</w:t>
      </w:r>
    </w:p>
    <w:p>
      <w:pPr>
        <w:spacing w:after="0" w:line="170" w:lineRule="exact"/>
        <w:rPr>
          <w:sz w:val="20"/>
          <w:szCs w:val="20"/>
          <w:color w:val="auto"/>
        </w:rPr>
      </w:pPr>
    </w:p>
    <w:p>
      <w:pPr>
        <w:jc w:val="both"/>
        <w:ind w:left="2260" w:hanging="380"/>
        <w:spacing w:after="0" w:line="236" w:lineRule="auto"/>
        <w:tabs>
          <w:tab w:leader="none" w:pos="22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 material diminution in your position (including status, offices, titles and reporting requirements), authority, duties or responsibilities, excluding for this purpose any isolated, insubstantial or inadvertent actions not taken in bad faith and which are remedied by the Company promptly after receipt of notice thereof given by you; or</w:t>
      </w:r>
    </w:p>
    <w:p>
      <w:pPr>
        <w:spacing w:after="0" w:line="174" w:lineRule="exact"/>
        <w:rPr>
          <w:rFonts w:ascii="Arial" w:cs="Arial" w:eastAsia="Arial" w:hAnsi="Arial"/>
          <w:sz w:val="20"/>
          <w:szCs w:val="20"/>
          <w:color w:val="auto"/>
        </w:rPr>
      </w:pPr>
    </w:p>
    <w:p>
      <w:pPr>
        <w:ind w:left="2260" w:hanging="380"/>
        <w:spacing w:after="0" w:line="257" w:lineRule="auto"/>
        <w:tabs>
          <w:tab w:leader="none" w:pos="22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Company’s material reduction in your base salary, as the same may be increased from time to time; or</w:t>
      </w:r>
    </w:p>
    <w:p>
      <w:pPr>
        <w:spacing w:after="0" w:line="154" w:lineRule="exact"/>
        <w:rPr>
          <w:rFonts w:ascii="Arial" w:cs="Arial" w:eastAsia="Arial" w:hAnsi="Arial"/>
          <w:sz w:val="20"/>
          <w:szCs w:val="20"/>
          <w:color w:val="auto"/>
        </w:rPr>
      </w:pPr>
    </w:p>
    <w:p>
      <w:pPr>
        <w:jc w:val="both"/>
        <w:ind w:left="2260" w:hanging="380"/>
        <w:spacing w:after="0" w:line="241" w:lineRule="auto"/>
        <w:tabs>
          <w:tab w:leader="none" w:pos="22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 material change in the geographic location of your principal location as of the Letter Agreement, which shall, in any event, include only a relocation of more than twenty-five (25) miles from such principal location; or</w:t>
      </w:r>
    </w:p>
    <w:p>
      <w:pPr>
        <w:spacing w:after="0" w:line="170" w:lineRule="exact"/>
        <w:rPr>
          <w:rFonts w:ascii="Arial" w:cs="Arial" w:eastAsia="Arial" w:hAnsi="Arial"/>
          <w:sz w:val="20"/>
          <w:szCs w:val="20"/>
          <w:color w:val="auto"/>
        </w:rPr>
      </w:pPr>
    </w:p>
    <w:p>
      <w:pPr>
        <w:ind w:left="2260" w:hanging="380"/>
        <w:spacing w:after="0"/>
        <w:tabs>
          <w:tab w:leader="none" w:pos="2260" w:val="left"/>
        </w:tabs>
        <w:numPr>
          <w:ilvl w:val="0"/>
          <w:numId w:val="86"/>
        </w:numPr>
        <w:rPr>
          <w:rFonts w:ascii="Arial" w:cs="Arial" w:eastAsia="Arial" w:hAnsi="Arial"/>
          <w:sz w:val="20"/>
          <w:szCs w:val="20"/>
          <w:color w:val="auto"/>
        </w:rPr>
      </w:pPr>
      <w:r>
        <w:rPr>
          <w:rFonts w:ascii="Arial" w:cs="Arial" w:eastAsia="Arial" w:hAnsi="Arial"/>
          <w:sz w:val="20"/>
          <w:szCs w:val="20"/>
          <w:color w:val="auto"/>
        </w:rPr>
        <w:t>any material breach of the Letter Agreement by the Company with respect to you.</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Notwithstanding the foregoing, you will not be deemed to have resigned for Good Reason unless (1) you provide the Company with written notice setting forth in reasonable detail the facts and circumstances claimed by you to constitute Good Reason within sixty (60) days after the date of the occurrence of any event that you know or should reasonably have known to constitute Good Reason, (2) the Company fails to cure such acts or omissions within thirty (30) days following its receipt of such notice, and (3) the effective date of your termination for Good Reason occurs no later than sixty (60) days after the expiration of the Company’s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1000125</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9" w:name="page170"/>
    <w:bookmarkEnd w:id="169"/>
    <w:p>
      <w:pPr>
        <w:spacing w:after="0"/>
        <w:rPr>
          <w:sz w:val="20"/>
          <w:szCs w:val="20"/>
          <w:color w:val="auto"/>
        </w:rPr>
      </w:pPr>
      <w:r>
        <w:rPr>
          <w:rFonts w:ascii="Arial" w:cs="Arial" w:eastAsia="Arial" w:hAnsi="Arial"/>
          <w:sz w:val="20"/>
          <w:szCs w:val="20"/>
          <w:color w:val="auto"/>
        </w:rPr>
        <w:t>STYLEREF "Letter - Date" \* MERGEFORMAT</w:t>
      </w:r>
    </w:p>
    <w:p>
      <w:pPr>
        <w:spacing w:after="0" w:line="200" w:lineRule="exact"/>
        <w:rPr>
          <w:sz w:val="20"/>
          <w:szCs w:val="20"/>
          <w:color w:val="auto"/>
        </w:rPr>
      </w:pPr>
    </w:p>
    <w:p>
      <w:pPr>
        <w:spacing w:after="0" w:line="215"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u w:val="single" w:color="auto"/>
          <w:color w:val="auto"/>
        </w:rPr>
        <w:t>Appendix II</w:t>
      </w:r>
    </w:p>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1028065</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99"/>
          </w:cols>
          <w:pgMar w:left="1260" w:top="765" w:right="1440" w:bottom="1440" w:gutter="0" w:footer="0" w:header="0"/>
        </w:sectPr>
      </w:pPr>
    </w:p>
    <w:bookmarkStart w:id="170" w:name="page171"/>
    <w:bookmarkEnd w:id="170"/>
    <w:p>
      <w:pPr>
        <w:ind w:left="7600"/>
        <w:spacing w:after="0"/>
        <w:rPr>
          <w:sz w:val="20"/>
          <w:szCs w:val="20"/>
          <w:color w:val="auto"/>
        </w:rPr>
      </w:pPr>
      <w:r>
        <w:rPr>
          <w:rFonts w:ascii="Times New Roman" w:cs="Times New Roman" w:eastAsia="Times New Roman" w:hAnsi="Times New Roman"/>
          <w:sz w:val="17"/>
          <w:szCs w:val="17"/>
          <w:color w:val="auto"/>
        </w:rPr>
        <w:t>EXHIBIT 10.27</w:t>
      </w:r>
      <w:r>
        <w:rPr>
          <w:sz w:val="1"/>
          <w:szCs w:val="1"/>
          <w:color w:val="auto"/>
        </w:rPr>
        <w:drawing>
          <wp:inline distT="0" distB="0" distL="0" distR="0">
            <wp:extent cx="1567180" cy="342265"/>
            <wp:effectExtent l="0" t="0" r="0" b="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7">
                      <a:extLst>
                        <a:ext uri="{28A0092B-C50C-407E-A947-70E740481C1C}"/>
                      </a:extLst>
                    </a:blip>
                    <a:srcRect/>
                    <a:stretch>
                      <a:fillRect/>
                    </a:stretch>
                  </pic:blipFill>
                  <pic:spPr bwMode="auto">
                    <a:xfrm>
                      <a:off x="0" y="0"/>
                      <a:ext cx="1567180" cy="342265"/>
                    </a:xfrm>
                    <a:prstGeom prst="rect">
                      <a:avLst/>
                    </a:prstGeom>
                    <a:noFill/>
                    <a:ln>
                      <a:noFill/>
                    </a:ln>
                  </pic:spPr>
                </pic:pic>
              </a:graphicData>
            </a:graphic>
          </wp:inline>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March 11, 2024</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Patricia Moran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Delivered via email</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Amendment to Compensation Arrangements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Dear Patricia,</w:t>
      </w:r>
    </w:p>
    <w:p>
      <w:pPr>
        <w:spacing w:after="0" w:line="202"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You are receiving this letter (“</w:t>
      </w:r>
      <w:r>
        <w:rPr>
          <w:rFonts w:ascii="Arial" w:cs="Arial" w:eastAsia="Arial" w:hAnsi="Arial"/>
          <w:sz w:val="19"/>
          <w:szCs w:val="19"/>
          <w:u w:val="single" w:color="auto"/>
          <w:color w:val="auto"/>
        </w:rPr>
        <w:t>Letter Agreement</w:t>
      </w:r>
      <w:r>
        <w:rPr>
          <w:rFonts w:ascii="Arial" w:cs="Arial" w:eastAsia="Arial" w:hAnsi="Arial"/>
          <w:sz w:val="19"/>
          <w:szCs w:val="19"/>
          <w:color w:val="auto"/>
        </w:rPr>
        <w:t>”) because the Compensation Committee of the Board of Directors of Vroom, Inc. (the “</w:t>
      </w:r>
      <w:r>
        <w:rPr>
          <w:rFonts w:ascii="Arial" w:cs="Arial" w:eastAsia="Arial" w:hAnsi="Arial"/>
          <w:sz w:val="19"/>
          <w:szCs w:val="19"/>
          <w:u w:val="single" w:color="auto"/>
          <w:color w:val="auto"/>
        </w:rPr>
        <w:t>Company</w:t>
      </w:r>
      <w:r>
        <w:rPr>
          <w:rFonts w:ascii="Arial" w:cs="Arial" w:eastAsia="Arial" w:hAnsi="Arial"/>
          <w:sz w:val="19"/>
          <w:szCs w:val="19"/>
          <w:color w:val="auto"/>
        </w:rPr>
        <w:t>”) has determined to modify the terms of your compensation package with the Company, including as relates to your outstanding restricted stock unit awards previously granted to you by the Company under the Company’s 2020 Incentive Award Plan (the “</w:t>
      </w:r>
      <w:r>
        <w:rPr>
          <w:rFonts w:ascii="Arial" w:cs="Arial" w:eastAsia="Arial" w:hAnsi="Arial"/>
          <w:sz w:val="19"/>
          <w:szCs w:val="19"/>
          <w:u w:val="single" w:color="auto"/>
          <w:color w:val="auto"/>
        </w:rPr>
        <w:t>Plan</w:t>
      </w:r>
      <w:r>
        <w:rPr>
          <w:rFonts w:ascii="Arial" w:cs="Arial" w:eastAsia="Arial" w:hAnsi="Arial"/>
          <w:sz w:val="19"/>
          <w:szCs w:val="19"/>
          <w:color w:val="auto"/>
        </w:rPr>
        <w:t xml:space="preserve">”) which are scheduled to vest in 2024, 2025 and 2026 and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RSUs</w:t>
      </w:r>
      <w:r>
        <w:rPr>
          <w:rFonts w:ascii="Arial" w:cs="Arial" w:eastAsia="Arial" w:hAnsi="Arial"/>
          <w:sz w:val="19"/>
          <w:szCs w:val="19"/>
          <w:color w:val="auto"/>
        </w:rPr>
        <w:t>”). This Letter Agreement serves as an amendment to the restricted stock unit award agreement(s) evidencing the RSUs (the “</w:t>
      </w:r>
      <w:r>
        <w:rPr>
          <w:rFonts w:ascii="Arial" w:cs="Arial" w:eastAsia="Arial" w:hAnsi="Arial"/>
          <w:sz w:val="19"/>
          <w:szCs w:val="19"/>
          <w:u w:val="single" w:color="auto"/>
          <w:color w:val="auto"/>
        </w:rPr>
        <w:t>RSU</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Agreements</w:t>
      </w:r>
      <w:r>
        <w:rPr>
          <w:rFonts w:ascii="Arial" w:cs="Arial" w:eastAsia="Arial" w:hAnsi="Arial"/>
          <w:sz w:val="19"/>
          <w:szCs w:val="19"/>
          <w:color w:val="auto"/>
        </w:rPr>
        <w:t>”) as well as a notice of certain changes to the Amended and Restated Vroom, Inc. Executive Severance Plan (as may be amended from time to time, the “</w:t>
      </w:r>
      <w:r>
        <w:rPr>
          <w:rFonts w:ascii="Arial" w:cs="Arial" w:eastAsia="Arial" w:hAnsi="Arial"/>
          <w:sz w:val="19"/>
          <w:szCs w:val="19"/>
          <w:u w:val="single" w:color="auto"/>
          <w:color w:val="auto"/>
        </w:rPr>
        <w:t>Severance Plan</w:t>
      </w:r>
      <w:r>
        <w:rPr>
          <w:rFonts w:ascii="Arial" w:cs="Arial" w:eastAsia="Arial" w:hAnsi="Arial"/>
          <w:sz w:val="19"/>
          <w:szCs w:val="19"/>
          <w:color w:val="auto"/>
        </w:rPr>
        <w:t>”), subject to the terms and conditions of this Letter Agreement.</w:t>
      </w:r>
    </w:p>
    <w:p>
      <w:pPr>
        <w:spacing w:after="0" w:line="169" w:lineRule="exact"/>
        <w:rPr>
          <w:sz w:val="20"/>
          <w:szCs w:val="20"/>
          <w:color w:val="auto"/>
        </w:rPr>
      </w:pPr>
    </w:p>
    <w:p>
      <w:pPr>
        <w:ind w:left="760" w:right="20" w:hanging="378"/>
        <w:spacing w:after="0" w:line="259" w:lineRule="auto"/>
        <w:tabs>
          <w:tab w:leader="none" w:pos="760" w:val="left"/>
        </w:tabs>
        <w:numPr>
          <w:ilvl w:val="0"/>
          <w:numId w:val="87"/>
        </w:numPr>
        <w:rPr>
          <w:rFonts w:ascii="Arial" w:cs="Arial" w:eastAsia="Arial" w:hAnsi="Arial"/>
          <w:sz w:val="20"/>
          <w:szCs w:val="20"/>
          <w:color w:val="auto"/>
        </w:rPr>
      </w:pPr>
      <w:r>
        <w:rPr>
          <w:rFonts w:ascii="Arial" w:cs="Arial" w:eastAsia="Arial" w:hAnsi="Arial"/>
          <w:sz w:val="20"/>
          <w:szCs w:val="20"/>
          <w:b w:val="1"/>
          <w:bCs w:val="1"/>
          <w:color w:val="auto"/>
        </w:rPr>
        <w:t>RSU Amendments</w:t>
      </w:r>
      <w:r>
        <w:rPr>
          <w:rFonts w:ascii="Arial" w:cs="Arial" w:eastAsia="Arial" w:hAnsi="Arial"/>
          <w:sz w:val="20"/>
          <w:szCs w:val="20"/>
          <w:color w:val="auto"/>
        </w:rPr>
        <w:t>. Subject to your execution of this Letter Agreement, effective as of March 8, 2024, the RSU</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Agreements are hereby amended as follows:</w:t>
      </w:r>
    </w:p>
    <w:p>
      <w:pPr>
        <w:spacing w:after="0" w:line="152" w:lineRule="exact"/>
        <w:rPr>
          <w:rFonts w:ascii="Arial" w:cs="Arial" w:eastAsia="Arial" w:hAnsi="Arial"/>
          <w:sz w:val="20"/>
          <w:szCs w:val="20"/>
          <w:color w:val="auto"/>
        </w:rPr>
      </w:pPr>
    </w:p>
    <w:p>
      <w:pPr>
        <w:jc w:val="both"/>
        <w:ind w:left="1500" w:hanging="369"/>
        <w:spacing w:after="0" w:line="234" w:lineRule="auto"/>
        <w:tabs>
          <w:tab w:leader="none" w:pos="1500"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RSUs will vest in full on March 17, 2025 (the “</w:t>
      </w:r>
      <w:r>
        <w:rPr>
          <w:rFonts w:ascii="Arial" w:cs="Arial" w:eastAsia="Arial" w:hAnsi="Arial"/>
          <w:sz w:val="20"/>
          <w:szCs w:val="20"/>
          <w:u w:val="single" w:color="auto"/>
          <w:color w:val="auto"/>
        </w:rPr>
        <w:t>New Vesting Date</w:t>
      </w:r>
      <w:r>
        <w:rPr>
          <w:rFonts w:ascii="Arial" w:cs="Arial" w:eastAsia="Arial" w:hAnsi="Arial"/>
          <w:sz w:val="20"/>
          <w:szCs w:val="20"/>
          <w:color w:val="auto"/>
        </w:rPr>
        <w:t>”), subject to your continued employment through such date. In consideration for your agreement to the New Vesting Date, the Company hereby agrees to increase the number of RSUs which were originally scheduled to vest in 2024 by 25%, which additional RSUs will, for the avoidance of doubt, be subject to the terms of the RSU Agreements governing the RSUs which were originally scheduled to vest in 2024, as expressly amended herein.</w:t>
      </w:r>
    </w:p>
    <w:p>
      <w:pPr>
        <w:spacing w:after="0" w:line="173" w:lineRule="exact"/>
        <w:rPr>
          <w:rFonts w:ascii="Arial" w:cs="Arial" w:eastAsia="Arial" w:hAnsi="Arial"/>
          <w:sz w:val="20"/>
          <w:szCs w:val="20"/>
          <w:color w:val="auto"/>
        </w:rPr>
      </w:pPr>
    </w:p>
    <w:p>
      <w:pPr>
        <w:jc w:val="both"/>
        <w:ind w:left="1500" w:hanging="369"/>
        <w:spacing w:after="0" w:line="229" w:lineRule="auto"/>
        <w:tabs>
          <w:tab w:leader="none" w:pos="1500" w:val="left"/>
        </w:tabs>
        <w:numPr>
          <w:ilvl w:val="1"/>
          <w:numId w:val="87"/>
        </w:numPr>
        <w:rPr>
          <w:rFonts w:ascii="Arial" w:cs="Arial" w:eastAsia="Arial" w:hAnsi="Arial"/>
          <w:sz w:val="20"/>
          <w:szCs w:val="20"/>
          <w:color w:val="auto"/>
        </w:rPr>
      </w:pPr>
      <w:r>
        <w:rPr>
          <w:rFonts w:ascii="Arial" w:cs="Arial" w:eastAsia="Arial" w:hAnsi="Arial"/>
          <w:sz w:val="20"/>
          <w:szCs w:val="20"/>
          <w:color w:val="auto"/>
        </w:rPr>
        <w:t xml:space="preserve">In the event your employment with the Company and its subsidiaries terminates without Cause or for Good Reason (each as defined on </w:t>
      </w:r>
      <w:r>
        <w:rPr>
          <w:rFonts w:ascii="Arial" w:cs="Arial" w:eastAsia="Arial" w:hAnsi="Arial"/>
          <w:sz w:val="20"/>
          <w:szCs w:val="20"/>
          <w:i w:val="1"/>
          <w:iCs w:val="1"/>
          <w:color w:val="auto"/>
        </w:rPr>
        <w:t>Appendix I</w:t>
      </w:r>
      <w:r>
        <w:rPr>
          <w:rFonts w:ascii="Arial" w:cs="Arial" w:eastAsia="Arial" w:hAnsi="Arial"/>
          <w:sz w:val="20"/>
          <w:szCs w:val="20"/>
          <w:color w:val="auto"/>
        </w:rPr>
        <w:t xml:space="preserve"> hereto) prior to the New Vesting Date and you are not asked by the Company to serve as a consultant to the Company, the RSUs will accelerate and vest in full. In the event your employment with the Company and its subsidiaries terminates without Cause or for Good Reason prior to the New Vesting Date and you are asked by the Company to commence service as a consultant, subject to the terms of a consulting agreement to be entered into by and between you and the Company, the Company agrees that any RSUs held by you as of the date of termination of your employment will remain outstanding and eligible to vest on the New Vesting Date, subject to your continued service with the Company as a consultant; </w:t>
      </w:r>
      <w:r>
        <w:rPr>
          <w:rFonts w:ascii="Arial" w:cs="Arial" w:eastAsia="Arial" w:hAnsi="Arial"/>
          <w:sz w:val="20"/>
          <w:szCs w:val="20"/>
          <w:i w:val="1"/>
          <w:iCs w:val="1"/>
          <w:color w:val="auto"/>
        </w:rPr>
        <w:t>provided</w:t>
      </w:r>
      <w:r>
        <w:rPr>
          <w:rFonts w:ascii="Arial" w:cs="Arial" w:eastAsia="Arial" w:hAnsi="Arial"/>
          <w:sz w:val="20"/>
          <w:szCs w:val="20"/>
          <w:color w:val="auto"/>
        </w:rPr>
        <w:t>, that if your service with the Company is terminated during the consulting period by the Company without Cause your outstanding RSUs will accelerate and vest in full. Notwithstanding the foregoing, the post-termination exercise period of any vested option to purchase Company common stock held by the Participant as of such Participant’s termination without Cause or for Good Reason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171" w:name="page172"/>
    <w:bookmarkEnd w:id="171"/>
    <w:p>
      <w:pPr>
        <w:ind w:left="940"/>
        <w:spacing w:after="0"/>
        <w:rPr>
          <w:sz w:val="20"/>
          <w:szCs w:val="20"/>
          <w:color w:val="auto"/>
        </w:rPr>
      </w:pPr>
      <w:r>
        <w:rPr>
          <w:rFonts w:ascii="Arial" w:cs="Arial" w:eastAsia="Arial" w:hAnsi="Arial"/>
          <w:sz w:val="20"/>
          <w:szCs w:val="20"/>
          <w:color w:val="auto"/>
        </w:rPr>
        <w:t>STYLEREF "Letter - Date" \* MERGEFORMAT</w:t>
      </w:r>
    </w:p>
    <w:p>
      <w:pPr>
        <w:spacing w:after="0" w:line="200" w:lineRule="exact"/>
        <w:rPr>
          <w:sz w:val="20"/>
          <w:szCs w:val="20"/>
          <w:color w:val="auto"/>
        </w:rPr>
      </w:pPr>
    </w:p>
    <w:p>
      <w:pPr>
        <w:spacing w:after="0" w:line="217"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extended through the original expiration date of such option.</w:t>
      </w:r>
    </w:p>
    <w:p>
      <w:pPr>
        <w:spacing w:after="0" w:line="200" w:lineRule="exact"/>
        <w:rPr>
          <w:sz w:val="20"/>
          <w:szCs w:val="20"/>
          <w:color w:val="auto"/>
        </w:rPr>
      </w:pPr>
    </w:p>
    <w:p>
      <w:pPr>
        <w:jc w:val="both"/>
        <w:ind w:left="760" w:hanging="378"/>
        <w:spacing w:after="0" w:line="246" w:lineRule="auto"/>
        <w:tabs>
          <w:tab w:leader="none" w:pos="760" w:val="left"/>
        </w:tabs>
        <w:numPr>
          <w:ilvl w:val="0"/>
          <w:numId w:val="88"/>
        </w:numPr>
        <w:rPr>
          <w:rFonts w:ascii="Arial" w:cs="Arial" w:eastAsia="Arial" w:hAnsi="Arial"/>
          <w:sz w:val="19"/>
          <w:szCs w:val="19"/>
          <w:color w:val="auto"/>
        </w:rPr>
      </w:pPr>
      <w:r>
        <w:rPr>
          <w:rFonts w:ascii="Arial" w:cs="Arial" w:eastAsia="Arial" w:hAnsi="Arial"/>
          <w:sz w:val="19"/>
          <w:szCs w:val="19"/>
          <w:b w:val="1"/>
          <w:bCs w:val="1"/>
          <w:color w:val="auto"/>
        </w:rPr>
        <w:t>Severance Plan</w:t>
      </w:r>
      <w:r>
        <w:rPr>
          <w:rFonts w:ascii="Arial" w:cs="Arial" w:eastAsia="Arial" w:hAnsi="Arial"/>
          <w:sz w:val="19"/>
          <w:szCs w:val="19"/>
          <w:color w:val="auto"/>
        </w:rPr>
        <w:t>. The Severance Plan has been amended by the Company to provide that in the event of your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Separation from Service without Cause or for Good Reason (other than a Termination Upon a Change in Control), the Severance Amount payable to you pursuant to Section 4.2(a) of the Severance Plan will be payable over a Severance Period of four months, subject to the terms and conditions of the Severance Plan, and notwithstanding anything to the contrary in your offer letter with the Company or otherwise. A copy of the amended Severance Plan is enclosed with this Letter Agreement as </w:t>
      </w:r>
      <w:r>
        <w:rPr>
          <w:rFonts w:ascii="Arial" w:cs="Arial" w:eastAsia="Arial" w:hAnsi="Arial"/>
          <w:sz w:val="19"/>
          <w:szCs w:val="19"/>
          <w:i w:val="1"/>
          <w:iCs w:val="1"/>
          <w:color w:val="auto"/>
        </w:rPr>
        <w:t>Appendix II</w:t>
      </w:r>
      <w:r>
        <w:rPr>
          <w:rFonts w:ascii="Arial" w:cs="Arial" w:eastAsia="Arial" w:hAnsi="Arial"/>
          <w:sz w:val="19"/>
          <w:szCs w:val="19"/>
          <w:color w:val="auto"/>
        </w:rPr>
        <w:t xml:space="preserve"> (with all capitalized terms used and not defined in this section as defined therein).</w:t>
      </w:r>
    </w:p>
    <w:p>
      <w:pPr>
        <w:spacing w:after="0" w:line="16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You acknowledge and agree that, in consideration for the benefits provided for in this Letter Agreement, you hereby waive any right to terminate your employment for Good Reason as a result of any action or event occurring prior to the date hereof, including without limitation, due to or in connection with the Company’s Value Maximization Plan. You and the Company hereby acknowledge that you do not waive your right to resign for Good Reason as a result of events that may occur following the date hereof.</w:t>
      </w:r>
    </w:p>
    <w:p>
      <w:pPr>
        <w:spacing w:after="0" w:line="173"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You further acknowledge and agree that the Company or any applicable subsidiary thereof will be entitled to withhold from amounts to be paid to you hereunder any federal, state or local withholding or other taxes that the Company or such applicable subsidiary is required to withhold.</w:t>
      </w:r>
    </w:p>
    <w:p>
      <w:pPr>
        <w:spacing w:after="0" w:line="170"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Neither this Letter Agreement, nor any modification thereof, nor the payment of any benefits shall be construed as giving you the right to be retained in the service or employ of the Company or any of its affiliates. The intent of the parties is that payments and benefits under this Agreement be exempt from, or comply with, Section 409A of the Internal Revenue Code of 1986, as amended, and the rules and regulations issued thereunder, and accordingly, to the maximum extent permitted, this Letter Agreement shall be interpreted and administered to be in accordance therewith.</w:t>
      </w:r>
    </w:p>
    <w:p>
      <w:pPr>
        <w:spacing w:after="0" w:line="173"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Except as explicitly amended by this Letter Agreement, the RSU Agreements shall continue in full force and effect in accordance with their terms. This Letter Agreement shall be interpreted, construed, and governed according to the laws of the State of Delaware, without reference to conflicts of law principles thereof. This Letter Agreement may be executed in two or more counterparts, each of which shall be deemed an original, but all of which together shall constitute one and the same instrument.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color w:val="auto"/>
        </w:rPr>
        <w:t>Should you have any questions, please reach out to Deni Stott at Deni.Stott@vroom.com.</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color w:val="auto"/>
        </w:rPr>
        <w:t>C. Denise Stott</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Chief People &amp; Culture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2" w:name="page173"/>
    <w:bookmarkEnd w:id="172"/>
    <w:p>
      <w:pPr>
        <w:ind w:left="940"/>
        <w:spacing w:after="0"/>
        <w:rPr>
          <w:sz w:val="20"/>
          <w:szCs w:val="20"/>
          <w:color w:val="auto"/>
        </w:rPr>
      </w:pPr>
      <w:r>
        <w:rPr>
          <w:rFonts w:ascii="Arial" w:cs="Arial" w:eastAsia="Arial" w:hAnsi="Arial"/>
          <w:sz w:val="20"/>
          <w:szCs w:val="20"/>
          <w:color w:val="auto"/>
        </w:rPr>
        <w:t>STYLEREF "Letter - Date" \* MERGEFORMAT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I hereby acknowledge and agree to all of the terms and provisions of this Letter Agreement:</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Arial" w:cs="Arial" w:eastAsia="Arial" w:hAnsi="Arial"/>
                <w:sz w:val="20"/>
                <w:szCs w:val="20"/>
                <w:color w:val="auto"/>
              </w:rPr>
              <w:t>/s/ Patricia Moran______________________</w:t>
            </w:r>
          </w:p>
        </w:tc>
        <w:tc>
          <w:tcPr>
            <w:tcW w:w="6840" w:type="dxa"/>
            <w:vAlign w:val="bottom"/>
            <w:gridSpan w:val="2"/>
          </w:tcPr>
          <w:p>
            <w:pPr>
              <w:spacing w:after="0"/>
              <w:rPr>
                <w:sz w:val="20"/>
                <w:szCs w:val="20"/>
                <w:color w:val="auto"/>
              </w:rPr>
            </w:pPr>
            <w:r>
              <w:rPr>
                <w:rFonts w:ascii="Arial" w:cs="Arial" w:eastAsia="Arial" w:hAnsi="Arial"/>
                <w:sz w:val="20"/>
                <w:szCs w:val="20"/>
                <w:color w:val="auto"/>
              </w:rPr>
              <w:t>March 13, 2024________________</w:t>
            </w:r>
          </w:p>
        </w:tc>
      </w:tr>
      <w:tr>
        <w:trPr>
          <w:trHeight w:val="254"/>
        </w:trPr>
        <w:tc>
          <w:tcPr>
            <w:tcW w:w="24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Patricia Moran</w:t>
            </w:r>
          </w:p>
        </w:tc>
        <w:tc>
          <w:tcPr>
            <w:tcW w:w="1560" w:type="dxa"/>
            <w:vAlign w:val="bottom"/>
            <w:tcBorders>
              <w:top w:val="single" w:sz="8" w:color="auto"/>
            </w:tcBorders>
          </w:tcPr>
          <w:p>
            <w:pPr>
              <w:ind w:left="1120"/>
              <w:spacing w:after="0"/>
              <w:rPr>
                <w:sz w:val="20"/>
                <w:szCs w:val="20"/>
                <w:color w:val="auto"/>
              </w:rPr>
            </w:pPr>
            <w:r>
              <w:rPr>
                <w:rFonts w:ascii="Arial" w:cs="Arial" w:eastAsia="Arial" w:hAnsi="Arial"/>
                <w:sz w:val="20"/>
                <w:szCs w:val="20"/>
                <w:color w:val="auto"/>
                <w:w w:val="99"/>
              </w:rPr>
              <w:t>Date</w:t>
            </w:r>
          </w:p>
        </w:tc>
        <w:tc>
          <w:tcPr>
            <w:tcW w:w="440" w:type="dxa"/>
            <w:vAlign w:val="bottom"/>
          </w:tcPr>
          <w:p>
            <w:pPr>
              <w:spacing w:after="0"/>
              <w:rPr>
                <w:sz w:val="22"/>
                <w:szCs w:val="22"/>
                <w:color w:val="auto"/>
              </w:rPr>
            </w:pPr>
          </w:p>
        </w:tc>
        <w:tc>
          <w:tcPr>
            <w:tcW w:w="3140" w:type="dxa"/>
            <w:vAlign w:val="bottom"/>
            <w:tcBorders>
              <w:top w:val="single" w:sz="8" w:color="auto"/>
            </w:tcBorders>
          </w:tcPr>
          <w:p>
            <w:pPr>
              <w:spacing w:after="0"/>
              <w:rPr>
                <w:sz w:val="22"/>
                <w:szCs w:val="22"/>
                <w:color w:val="auto"/>
              </w:rPr>
            </w:pPr>
          </w:p>
        </w:tc>
        <w:tc>
          <w:tcPr>
            <w:tcW w:w="3700" w:type="dxa"/>
            <w:vAlign w:val="bottom"/>
          </w:tcPr>
          <w:p>
            <w:pPr>
              <w:spacing w:after="0"/>
              <w:rPr>
                <w:sz w:val="22"/>
                <w:szCs w:val="22"/>
                <w:color w:val="auto"/>
              </w:rPr>
            </w:pPr>
          </w:p>
        </w:tc>
      </w:tr>
      <w:tr>
        <w:trPr>
          <w:trHeight w:val="2241"/>
        </w:trPr>
        <w:tc>
          <w:tcPr>
            <w:tcW w:w="24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3" w:name="page174"/>
    <w:bookmarkEnd w:id="173"/>
    <w:p>
      <w:pPr>
        <w:ind w:left="940"/>
        <w:spacing w:after="0"/>
        <w:rPr>
          <w:sz w:val="20"/>
          <w:szCs w:val="20"/>
          <w:color w:val="auto"/>
        </w:rPr>
      </w:pPr>
      <w:r>
        <w:rPr>
          <w:rFonts w:ascii="Arial" w:cs="Arial" w:eastAsia="Arial" w:hAnsi="Arial"/>
          <w:sz w:val="20"/>
          <w:szCs w:val="20"/>
          <w:color w:val="auto"/>
        </w:rPr>
        <w:t>STYLEREF "Letter - Date" \* MERGEFORMAT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Appendix 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RSUs</w:t>
      </w:r>
    </w:p>
    <w:p>
      <w:pPr>
        <w:spacing w:after="0" w:line="204"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color w:val="auto"/>
        </w:rPr>
        <w:t>If you are a participant in the Amended and Restated Vroom, Inc. Executive Severance Plan (as may be amended from time to time, the “</w:t>
      </w:r>
      <w:r>
        <w:rPr>
          <w:rFonts w:ascii="Arial" w:cs="Arial" w:eastAsia="Arial" w:hAnsi="Arial"/>
          <w:sz w:val="20"/>
          <w:szCs w:val="20"/>
          <w:u w:val="single" w:color="auto"/>
          <w:color w:val="auto"/>
        </w:rPr>
        <w:t>Severance Plan</w:t>
      </w:r>
      <w:r>
        <w:rPr>
          <w:rFonts w:ascii="Arial" w:cs="Arial" w:eastAsia="Arial" w:hAnsi="Arial"/>
          <w:sz w:val="20"/>
          <w:szCs w:val="20"/>
          <w:color w:val="auto"/>
        </w:rPr>
        <w:t>”), “Cause” and “Good Reason” shall have the meanings set forth therein. If you are not a participant in the Severance Plan, “Cause” and “Good Reason” shall have the meanings set forth as follows:</w:t>
      </w:r>
    </w:p>
    <w:p>
      <w:pPr>
        <w:spacing w:after="0" w:line="170"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Cause</w:t>
      </w:r>
      <w:r>
        <w:rPr>
          <w:rFonts w:ascii="Arial" w:cs="Arial" w:eastAsia="Arial" w:hAnsi="Arial"/>
          <w:sz w:val="20"/>
          <w:szCs w:val="20"/>
          <w:i w:val="1"/>
          <w:iCs w:val="1"/>
          <w:color w:val="auto"/>
        </w:rPr>
        <w:t xml:space="preserve">” </w:t>
      </w:r>
      <w:r>
        <w:rPr>
          <w:rFonts w:ascii="Arial" w:cs="Arial" w:eastAsia="Arial" w:hAnsi="Arial"/>
          <w:sz w:val="20"/>
          <w:szCs w:val="20"/>
          <w:color w:val="auto"/>
        </w:rPr>
        <w:t>means the occurrence of any of the following: (1) your willful failure to substantially perform your duties to the</w:t>
      </w:r>
      <w:r>
        <w:rPr>
          <w:rFonts w:ascii="Arial" w:cs="Arial" w:eastAsia="Arial" w:hAnsi="Arial"/>
          <w:sz w:val="20"/>
          <w:szCs w:val="20"/>
          <w:i w:val="1"/>
          <w:iCs w:val="1"/>
          <w:color w:val="auto"/>
        </w:rPr>
        <w:t xml:space="preserve"> </w:t>
      </w:r>
      <w:r>
        <w:rPr>
          <w:rFonts w:ascii="Arial" w:cs="Arial" w:eastAsia="Arial" w:hAnsi="Arial"/>
          <w:sz w:val="20"/>
          <w:szCs w:val="20"/>
          <w:color w:val="auto"/>
        </w:rPr>
        <w:t>Company (other than any such failure resulting from your incapacity due to physical or mental illness or any such actual or anticipated failure after your issuance of a notice of termination for Good Reason), after a written demand for performance is delivered to you by the Board of Directors or the Chief Executive Officer of the Company, which demand specifically identifies the manner in which the Board of Directors or the Chief Executive Officer of the Company believes that you have not performed your duties; (2) your commission of an act of fraud or material dishonesty resulting in reputational, economic or financial injury to the Company; (3) your commission of, including any entry by you of a guilty or no contest plea to, a felony or other crime involving moral turpitude; (4) a material breach by you of your fiduciary duty to the Company which results in reputational, economic, or other injury to the Company; or (5) your material breach of your obligation under a written agreement between the Company and you.</w:t>
      </w:r>
    </w:p>
    <w:p>
      <w:pPr>
        <w:spacing w:after="0" w:line="179"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20"/>
          <w:szCs w:val="20"/>
          <w:i w:val="1"/>
          <w:iCs w:val="1"/>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i w:val="1"/>
          <w:iCs w:val="1"/>
          <w:color w:val="auto"/>
        </w:rPr>
        <w:t xml:space="preserve">” </w:t>
      </w:r>
      <w:r>
        <w:rPr>
          <w:rFonts w:ascii="Arial" w:cs="Arial" w:eastAsia="Arial" w:hAnsi="Arial"/>
          <w:sz w:val="20"/>
          <w:szCs w:val="20"/>
          <w:color w:val="auto"/>
        </w:rPr>
        <w:t>means the occurrence of any of the following conditions without your informed written consent unless</w:t>
      </w:r>
      <w:r>
        <w:rPr>
          <w:rFonts w:ascii="Arial" w:cs="Arial" w:eastAsia="Arial" w:hAnsi="Arial"/>
          <w:sz w:val="20"/>
          <w:szCs w:val="20"/>
          <w:i w:val="1"/>
          <w:iCs w:val="1"/>
          <w:color w:val="auto"/>
        </w:rPr>
        <w:t xml:space="preserve"> </w:t>
      </w:r>
      <w:r>
        <w:rPr>
          <w:rFonts w:ascii="Arial" w:cs="Arial" w:eastAsia="Arial" w:hAnsi="Arial"/>
          <w:sz w:val="20"/>
          <w:szCs w:val="20"/>
          <w:color w:val="auto"/>
        </w:rPr>
        <w:t>the Company fully corrects the circumstances constituting Good Reason (provided such circumstances are capable of correction):</w:t>
      </w:r>
    </w:p>
    <w:p>
      <w:pPr>
        <w:spacing w:after="0" w:line="170" w:lineRule="exact"/>
        <w:rPr>
          <w:sz w:val="20"/>
          <w:szCs w:val="20"/>
          <w:color w:val="auto"/>
        </w:rPr>
      </w:pPr>
    </w:p>
    <w:p>
      <w:pPr>
        <w:jc w:val="both"/>
        <w:ind w:left="2260" w:hanging="380"/>
        <w:spacing w:after="0" w:line="236" w:lineRule="auto"/>
        <w:tabs>
          <w:tab w:leader="none" w:pos="22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a material diminution in your position (including status, offices, titles and reporting requirements), authority, duties or responsibilities, excluding for this purpose any isolated, insubstantial or inadvertent actions not taken in bad faith and which are remedied by the Company promptly after receipt of notice thereof given by you; or</w:t>
      </w:r>
    </w:p>
    <w:p>
      <w:pPr>
        <w:spacing w:after="0" w:line="174" w:lineRule="exact"/>
        <w:rPr>
          <w:rFonts w:ascii="Arial" w:cs="Arial" w:eastAsia="Arial" w:hAnsi="Arial"/>
          <w:sz w:val="20"/>
          <w:szCs w:val="20"/>
          <w:color w:val="auto"/>
        </w:rPr>
      </w:pPr>
    </w:p>
    <w:p>
      <w:pPr>
        <w:ind w:left="2260" w:hanging="380"/>
        <w:spacing w:after="0" w:line="257" w:lineRule="auto"/>
        <w:tabs>
          <w:tab w:leader="none" w:pos="22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Company’s material reduction in your base salary, as the same may be increased from time to time; or</w:t>
      </w:r>
    </w:p>
    <w:p>
      <w:pPr>
        <w:spacing w:after="0" w:line="154" w:lineRule="exact"/>
        <w:rPr>
          <w:rFonts w:ascii="Arial" w:cs="Arial" w:eastAsia="Arial" w:hAnsi="Arial"/>
          <w:sz w:val="20"/>
          <w:szCs w:val="20"/>
          <w:color w:val="auto"/>
        </w:rPr>
      </w:pPr>
    </w:p>
    <w:p>
      <w:pPr>
        <w:jc w:val="both"/>
        <w:ind w:left="2260" w:hanging="380"/>
        <w:spacing w:after="0" w:line="241" w:lineRule="auto"/>
        <w:tabs>
          <w:tab w:leader="none" w:pos="22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a material change in the geographic location of your principal location as of the Letter Agreement, which shall, in any event, include only a relocation of more than twenty-five (25) miles from such principal location; or</w:t>
      </w:r>
    </w:p>
    <w:p>
      <w:pPr>
        <w:spacing w:after="0" w:line="170" w:lineRule="exact"/>
        <w:rPr>
          <w:rFonts w:ascii="Arial" w:cs="Arial" w:eastAsia="Arial" w:hAnsi="Arial"/>
          <w:sz w:val="20"/>
          <w:szCs w:val="20"/>
          <w:color w:val="auto"/>
        </w:rPr>
      </w:pPr>
    </w:p>
    <w:p>
      <w:pPr>
        <w:ind w:left="2260" w:hanging="380"/>
        <w:spacing w:after="0"/>
        <w:tabs>
          <w:tab w:leader="none" w:pos="2260" w:val="left"/>
        </w:tabs>
        <w:numPr>
          <w:ilvl w:val="0"/>
          <w:numId w:val="89"/>
        </w:numPr>
        <w:rPr>
          <w:rFonts w:ascii="Arial" w:cs="Arial" w:eastAsia="Arial" w:hAnsi="Arial"/>
          <w:sz w:val="20"/>
          <w:szCs w:val="20"/>
          <w:color w:val="auto"/>
        </w:rPr>
      </w:pPr>
      <w:r>
        <w:rPr>
          <w:rFonts w:ascii="Arial" w:cs="Arial" w:eastAsia="Arial" w:hAnsi="Arial"/>
          <w:sz w:val="20"/>
          <w:szCs w:val="20"/>
          <w:color w:val="auto"/>
        </w:rPr>
        <w:t>any material breach of the Letter Agreement by the Company with respect to you.</w:t>
      </w:r>
    </w:p>
    <w:p>
      <w:pPr>
        <w:spacing w:after="0" w:line="202"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Notwithstanding the foregoing, you will not be deemed to have resigned for Good Reason unless (1) you provide the Company with written notice setting forth in reasonable detail the facts and circumstances claimed by you to constitute Good Reason within sixty (60) days after the date of the occurrence of any event that you know or should reasonably have known to constitute Good Reason, (2) the Company fails to cure such acts or omissions within thirty (30) days following its receipt of such notice, and (3) the effective date of your termination for Good Reason occurs no later than sixty (60) days after the expiration of the Company’s cure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1000125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4" w:name="page175"/>
    <w:bookmarkEnd w:id="174"/>
    <w:p>
      <w:pPr>
        <w:spacing w:after="0"/>
        <w:rPr>
          <w:sz w:val="20"/>
          <w:szCs w:val="20"/>
          <w:color w:val="auto"/>
        </w:rPr>
      </w:pPr>
      <w:r>
        <w:rPr>
          <w:rFonts w:ascii="Arial" w:cs="Arial" w:eastAsia="Arial" w:hAnsi="Arial"/>
          <w:sz w:val="20"/>
          <w:szCs w:val="20"/>
          <w:color w:val="auto"/>
        </w:rPr>
        <w:t>STYLEREF "Letter - Date" \* MERGEFORMAT</w:t>
      </w:r>
    </w:p>
    <w:p>
      <w:pPr>
        <w:spacing w:after="0" w:line="200" w:lineRule="exact"/>
        <w:rPr>
          <w:sz w:val="20"/>
          <w:szCs w:val="20"/>
          <w:color w:val="auto"/>
        </w:rPr>
      </w:pPr>
    </w:p>
    <w:p>
      <w:pPr>
        <w:spacing w:after="0" w:line="215"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u w:val="single" w:color="auto"/>
          <w:color w:val="auto"/>
        </w:rPr>
        <w:t>Appendix II</w:t>
      </w:r>
    </w:p>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-603885</wp:posOffset>
            </wp:positionH>
            <wp:positionV relativeFrom="paragraph">
              <wp:posOffset>1028065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99"/>
          </w:cols>
          <w:pgMar w:left="1260" w:top="765"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5080" w:type="dxa"/>
            <w:vAlign w:val="bottom"/>
          </w:tcPr>
          <w:p>
            <w:pPr>
              <w:ind w:left="2260"/>
              <w:spacing w:after="0"/>
              <w:rPr>
                <w:sz w:val="20"/>
                <w:szCs w:val="20"/>
                <w:color w:val="auto"/>
              </w:rPr>
            </w:pPr>
            <w:r>
              <w:rPr>
                <w:rFonts w:ascii="Arial" w:cs="Arial" w:eastAsia="Arial" w:hAnsi="Arial"/>
                <w:sz w:val="18"/>
                <w:szCs w:val="18"/>
                <w:b w:val="1"/>
                <w:bCs w:val="1"/>
                <w:color w:val="auto"/>
              </w:rPr>
              <w:t>Subsidiaries of Vroom, Inc.</w:t>
            </w:r>
          </w:p>
        </w:tc>
        <w:tc>
          <w:tcPr>
            <w:tcW w:w="30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554"/>
        </w:trPr>
        <w:tc>
          <w:tcPr>
            <w:tcW w:w="20" w:type="dxa"/>
            <w:vAlign w:val="bottom"/>
          </w:tcPr>
          <w:p>
            <w:pPr>
              <w:spacing w:after="0"/>
              <w:rPr>
                <w:sz w:val="24"/>
                <w:szCs w:val="24"/>
                <w:color w:val="auto"/>
              </w:rPr>
            </w:pPr>
          </w:p>
        </w:tc>
        <w:tc>
          <w:tcPr>
            <w:tcW w:w="2200" w:type="dxa"/>
            <w:vAlign w:val="bottom"/>
          </w:tcPr>
          <w:p>
            <w:pPr>
              <w:spacing w:after="0"/>
              <w:rPr>
                <w:sz w:val="20"/>
                <w:szCs w:val="20"/>
                <w:color w:val="auto"/>
              </w:rPr>
            </w:pPr>
            <w:r>
              <w:rPr>
                <w:rFonts w:ascii="Arial" w:cs="Arial" w:eastAsia="Arial" w:hAnsi="Arial"/>
                <w:sz w:val="18"/>
                <w:szCs w:val="18"/>
                <w:b w:val="1"/>
                <w:bCs w:val="1"/>
                <w:color w:val="auto"/>
                <w:w w:val="99"/>
              </w:rPr>
              <w:t>Legal Name of Subsidiary</w:t>
            </w:r>
          </w:p>
        </w:tc>
        <w:tc>
          <w:tcPr>
            <w:tcW w:w="5080" w:type="dxa"/>
            <w:vAlign w:val="bottom"/>
          </w:tcPr>
          <w:p>
            <w:pPr>
              <w:spacing w:after="0"/>
              <w:rPr>
                <w:sz w:val="24"/>
                <w:szCs w:val="24"/>
                <w:color w:val="auto"/>
              </w:rPr>
            </w:pPr>
          </w:p>
        </w:tc>
        <w:tc>
          <w:tcPr>
            <w:tcW w:w="3940" w:type="dxa"/>
            <w:vAlign w:val="bottom"/>
            <w:gridSpan w:val="3"/>
          </w:tcPr>
          <w:p>
            <w:pPr>
              <w:ind w:left="300"/>
              <w:spacing w:after="0"/>
              <w:rPr>
                <w:sz w:val="20"/>
                <w:szCs w:val="20"/>
                <w:color w:val="auto"/>
              </w:rPr>
            </w:pPr>
            <w:r>
              <w:rPr>
                <w:rFonts w:ascii="Arial" w:cs="Arial" w:eastAsia="Arial" w:hAnsi="Arial"/>
                <w:sz w:val="18"/>
                <w:szCs w:val="18"/>
                <w:b w:val="1"/>
                <w:bCs w:val="1"/>
                <w:color w:val="auto"/>
              </w:rPr>
              <w:t>Jurisdiction of Organization</w:t>
            </w:r>
          </w:p>
        </w:tc>
      </w:tr>
      <w:tr>
        <w:trPr>
          <w:trHeight w:val="20"/>
        </w:trPr>
        <w:tc>
          <w:tcPr>
            <w:tcW w:w="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AAGP, LLC d/b/a Vroom</w:t>
            </w:r>
          </w:p>
        </w:tc>
        <w:tc>
          <w:tcPr>
            <w:tcW w:w="5080" w:type="dxa"/>
            <w:vAlign w:val="bottom"/>
          </w:tcPr>
          <w:p>
            <w:pPr>
              <w:spacing w:after="0"/>
              <w:rPr>
                <w:sz w:val="18"/>
                <w:szCs w:val="18"/>
                <w:color w:val="auto"/>
              </w:rPr>
            </w:pP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Texas</w:t>
            </w:r>
          </w:p>
        </w:tc>
      </w:tr>
      <w:tr>
        <w:trPr>
          <w:trHeight w:val="202"/>
        </w:trPr>
        <w:tc>
          <w:tcPr>
            <w:tcW w:w="20" w:type="dxa"/>
            <w:vAlign w:val="bottom"/>
          </w:tcPr>
          <w:p>
            <w:pPr>
              <w:spacing w:after="0"/>
              <w:rPr>
                <w:sz w:val="17"/>
                <w:szCs w:val="17"/>
                <w:color w:val="auto"/>
              </w:rPr>
            </w:pPr>
          </w:p>
        </w:tc>
        <w:tc>
          <w:tcPr>
            <w:tcW w:w="7280" w:type="dxa"/>
            <w:vAlign w:val="bottom"/>
            <w:gridSpan w:val="2"/>
          </w:tcPr>
          <w:p>
            <w:pPr>
              <w:spacing w:after="0" w:line="202" w:lineRule="exact"/>
              <w:rPr>
                <w:sz w:val="20"/>
                <w:szCs w:val="20"/>
                <w:color w:val="auto"/>
              </w:rPr>
            </w:pPr>
            <w:r>
              <w:rPr>
                <w:rFonts w:ascii="Arial" w:cs="Arial" w:eastAsia="Arial" w:hAnsi="Arial"/>
                <w:sz w:val="18"/>
                <w:szCs w:val="18"/>
                <w:color w:val="auto"/>
              </w:rPr>
              <w:t>Vroom Automotive, LLC d/b/a Texas Direct Auto and Vroom and f/k/a Left Gate Property</w:t>
            </w:r>
          </w:p>
        </w:tc>
        <w:tc>
          <w:tcPr>
            <w:tcW w:w="3940" w:type="dxa"/>
            <w:vAlign w:val="bottom"/>
            <w:gridSpan w:val="3"/>
          </w:tcPr>
          <w:p>
            <w:pPr>
              <w:ind w:left="300"/>
              <w:spacing w:after="0" w:line="202" w:lineRule="exact"/>
              <w:rPr>
                <w:sz w:val="20"/>
                <w:szCs w:val="20"/>
                <w:color w:val="auto"/>
              </w:rPr>
            </w:pPr>
            <w:r>
              <w:rPr>
                <w:rFonts w:ascii="Arial" w:cs="Arial" w:eastAsia="Arial" w:hAnsi="Arial"/>
                <w:sz w:val="18"/>
                <w:szCs w:val="18"/>
                <w:color w:val="auto"/>
              </w:rPr>
              <w:t>Texas</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Holding, LLC</w:t>
            </w: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Vroom Logistics, LLC</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CarStory, LLC</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Vast.com, Inc. d/b/a CarStory</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California</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Vast D.O.O.</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Serbia</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Vroom Transportation Services, LLC</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Vroom Finance Holdings, LLC</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Vroom Finance Corporation</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Vroom Automotive Finance Corporation</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California</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United Auto Credit Corporation</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California</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UACC Auto Financing Trust III</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UACC Auto Financing Trust IV</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16"/>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UACC Auto Financing Trust V</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239"/>
        </w:trPr>
        <w:tc>
          <w:tcPr>
            <w:tcW w:w="20" w:type="dxa"/>
            <w:vAlign w:val="bottom"/>
          </w:tcPr>
          <w:p>
            <w:pPr>
              <w:spacing w:after="0"/>
              <w:rPr>
                <w:sz w:val="20"/>
                <w:szCs w:val="20"/>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United Auto Credit Financing LLC</w:t>
            </w:r>
          </w:p>
        </w:tc>
        <w:tc>
          <w:tcPr>
            <w:tcW w:w="3940" w:type="dxa"/>
            <w:vAlign w:val="bottom"/>
            <w:gridSpan w:val="3"/>
          </w:tcPr>
          <w:p>
            <w:pPr>
              <w:ind w:left="300"/>
              <w:spacing w:after="0"/>
              <w:rPr>
                <w:sz w:val="20"/>
                <w:szCs w:val="20"/>
                <w:color w:val="auto"/>
              </w:rPr>
            </w:pPr>
            <w:r>
              <w:rPr>
                <w:rFonts w:ascii="Arial" w:cs="Arial" w:eastAsia="Arial" w:hAnsi="Arial"/>
                <w:sz w:val="18"/>
                <w:szCs w:val="18"/>
                <w:color w:val="auto"/>
              </w:rPr>
              <w:t>Delaware</w:t>
            </w:r>
          </w:p>
        </w:tc>
      </w:tr>
      <w:tr>
        <w:trPr>
          <w:trHeight w:val="960"/>
        </w:trPr>
        <w:tc>
          <w:tcPr>
            <w:tcW w:w="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76" w:name="page177"/>
    <w:bookmarkEnd w:id="176"/>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Georgia" w:cs="Georgia" w:eastAsia="Georgia" w:hAnsi="Georgia"/>
          <w:sz w:val="18"/>
          <w:szCs w:val="18"/>
          <w:b w:val="1"/>
          <w:bCs w:val="1"/>
          <w:color w:val="auto"/>
        </w:rPr>
        <w:t>Exhibit 23.1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ind w:right="200"/>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333-267361) and Form S-8 (No. 333-239093, No. 333-263121, No. 333-265233, and No.333-270227) of Vroom, Inc. of our report dated March 13, 2024 relating to the financial statements and the effectiveness of internal control over financial reporting, which appears in this Form 10-K.</w:t>
      </w:r>
    </w:p>
    <w:p>
      <w:pPr>
        <w:spacing w:after="0" w:line="215"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13" w:lineRule="exact"/>
        <w:rPr>
          <w:sz w:val="20"/>
          <w:szCs w:val="20"/>
          <w:color w:val="auto"/>
        </w:rPr>
      </w:pPr>
    </w:p>
    <w:p>
      <w:pPr>
        <w:spacing w:after="0"/>
        <w:rPr>
          <w:sz w:val="20"/>
          <w:szCs w:val="20"/>
          <w:color w:val="auto"/>
        </w:rPr>
      </w:pPr>
      <w:r>
        <w:rPr>
          <w:rFonts w:ascii="Georgia" w:cs="Georgia" w:eastAsia="Georgia" w:hAnsi="Georgia"/>
          <w:sz w:val="18"/>
          <w:szCs w:val="18"/>
          <w:color w:val="auto"/>
        </w:rPr>
        <w:t>New York, New York</w:t>
      </w:r>
    </w:p>
    <w:p>
      <w:pPr>
        <w:spacing w:after="0" w:line="238" w:lineRule="auto"/>
        <w:rPr>
          <w:sz w:val="20"/>
          <w:szCs w:val="20"/>
          <w:color w:val="auto"/>
        </w:rPr>
      </w:pPr>
      <w:r>
        <w:rPr>
          <w:rFonts w:ascii="Georgia" w:cs="Georgia" w:eastAsia="Georgia" w:hAnsi="Georgia"/>
          <w:sz w:val="18"/>
          <w:szCs w:val="18"/>
          <w:color w:val="auto"/>
        </w:rPr>
        <w:t>March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1307465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H. Shortt, certify that:</w:t>
      </w:r>
    </w:p>
    <w:p>
      <w:pPr>
        <w:spacing w:after="0" w:line="238" w:lineRule="exact"/>
        <w:rPr>
          <w:sz w:val="20"/>
          <w:szCs w:val="20"/>
          <w:color w:val="auto"/>
        </w:rPr>
      </w:pPr>
    </w:p>
    <w:p>
      <w:pPr>
        <w:ind w:left="480" w:hanging="459"/>
        <w:spacing w:after="0"/>
        <w:tabs>
          <w:tab w:leader="none" w:pos="4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Vroom, Inc.;</w:t>
      </w: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jc w:val="both"/>
        <w:ind w:left="480" w:right="300" w:hanging="459"/>
        <w:spacing w:after="0" w:line="265" w:lineRule="auto"/>
        <w:tabs>
          <w:tab w:leader="none" w:pos="4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ind w:left="480" w:right="260" w:hanging="459"/>
        <w:spacing w:after="0" w:line="281" w:lineRule="auto"/>
        <w:tabs>
          <w:tab w:leader="none" w:pos="4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480" w:right="300" w:hanging="459"/>
        <w:spacing w:after="0" w:line="265" w:lineRule="auto"/>
        <w:tabs>
          <w:tab w:leader="none" w:pos="4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ind w:left="940" w:right="100" w:hanging="460"/>
        <w:spacing w:after="0" w:line="265" w:lineRule="auto"/>
        <w:tabs>
          <w:tab w:leader="none" w:pos="9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940" w:right="420" w:hanging="460"/>
        <w:spacing w:after="0" w:line="265" w:lineRule="auto"/>
        <w:tabs>
          <w:tab w:leader="none" w:pos="9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jc w:val="both"/>
        <w:ind w:left="940" w:right="580" w:hanging="460"/>
        <w:spacing w:after="0" w:line="312" w:lineRule="auto"/>
        <w:tabs>
          <w:tab w:leader="none" w:pos="94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7"/>
          <w:szCs w:val="17"/>
          <w:color w:val="auto"/>
        </w:rPr>
      </w:pPr>
    </w:p>
    <w:p>
      <w:pPr>
        <w:spacing w:after="0" w:line="208" w:lineRule="exact"/>
        <w:rPr>
          <w:rFonts w:ascii="Times New Roman" w:cs="Times New Roman" w:eastAsia="Times New Roman" w:hAnsi="Times New Roman"/>
          <w:sz w:val="17"/>
          <w:szCs w:val="17"/>
          <w:color w:val="auto"/>
        </w:rPr>
      </w:pPr>
    </w:p>
    <w:p>
      <w:pPr>
        <w:ind w:left="940" w:right="100" w:hanging="460"/>
        <w:spacing w:after="0" w:line="265" w:lineRule="auto"/>
        <w:tabs>
          <w:tab w:leader="none" w:pos="9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ind w:left="480" w:right="200" w:hanging="459"/>
        <w:spacing w:after="0" w:line="281" w:lineRule="auto"/>
        <w:tabs>
          <w:tab w:leader="none" w:pos="4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940" w:right="820" w:hanging="460"/>
        <w:spacing w:after="0" w:line="281" w:lineRule="auto"/>
        <w:tabs>
          <w:tab w:leader="none" w:pos="9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940" w:right="520" w:hanging="460"/>
        <w:spacing w:after="0" w:line="281" w:lineRule="auto"/>
        <w:tabs>
          <w:tab w:leader="none" w:pos="9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4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13, 2024</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H. Shortt</w:t>
            </w:r>
          </w:p>
        </w:tc>
      </w:tr>
      <w:tr>
        <w:trPr>
          <w:trHeight w:val="204"/>
        </w:trPr>
        <w:tc>
          <w:tcPr>
            <w:tcW w:w="3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Thomas H. Shortt</w:t>
            </w:r>
          </w:p>
        </w:tc>
      </w:tr>
      <w:tr>
        <w:trPr>
          <w:trHeight w:val="214"/>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991"/>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3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R. Krakowiak, certify that:</w:t>
      </w:r>
    </w:p>
    <w:p>
      <w:pPr>
        <w:spacing w:after="0" w:line="238" w:lineRule="exact"/>
        <w:rPr>
          <w:sz w:val="20"/>
          <w:szCs w:val="20"/>
          <w:color w:val="auto"/>
        </w:rPr>
      </w:pPr>
    </w:p>
    <w:p>
      <w:pPr>
        <w:ind w:left="480" w:hanging="459"/>
        <w:spacing w:after="0"/>
        <w:tabs>
          <w:tab w:leader="none" w:pos="4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Vroom, Inc.;</w:t>
      </w:r>
    </w:p>
    <w:p>
      <w:pPr>
        <w:spacing w:after="0" w:line="200" w:lineRule="exact"/>
        <w:rPr>
          <w:rFonts w:ascii="Times New Roman" w:cs="Times New Roman" w:eastAsia="Times New Roman" w:hAnsi="Times New Roman"/>
          <w:sz w:val="18"/>
          <w:szCs w:val="18"/>
          <w:color w:val="auto"/>
        </w:rPr>
      </w:pPr>
    </w:p>
    <w:p>
      <w:pPr>
        <w:spacing w:after="0" w:line="267" w:lineRule="exact"/>
        <w:rPr>
          <w:rFonts w:ascii="Times New Roman" w:cs="Times New Roman" w:eastAsia="Times New Roman" w:hAnsi="Times New Roman"/>
          <w:sz w:val="18"/>
          <w:szCs w:val="18"/>
          <w:color w:val="auto"/>
        </w:rPr>
      </w:pPr>
    </w:p>
    <w:p>
      <w:pPr>
        <w:jc w:val="both"/>
        <w:ind w:left="480" w:right="300" w:hanging="459"/>
        <w:spacing w:after="0" w:line="265" w:lineRule="auto"/>
        <w:tabs>
          <w:tab w:leader="none" w:pos="4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480" w:right="260" w:hanging="459"/>
        <w:spacing w:after="0" w:line="281" w:lineRule="auto"/>
        <w:tabs>
          <w:tab w:leader="none" w:pos="4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480" w:right="300" w:hanging="459"/>
        <w:spacing w:after="0" w:line="265" w:lineRule="auto"/>
        <w:tabs>
          <w:tab w:leader="none" w:pos="4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940" w:right="100" w:hanging="460"/>
        <w:spacing w:after="0" w:line="265" w:lineRule="auto"/>
        <w:tabs>
          <w:tab w:leader="none" w:pos="9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940" w:right="420" w:hanging="460"/>
        <w:spacing w:after="0" w:line="265" w:lineRule="auto"/>
        <w:tabs>
          <w:tab w:leader="none" w:pos="9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jc w:val="both"/>
        <w:ind w:left="940" w:right="580" w:hanging="460"/>
        <w:spacing w:after="0" w:line="312" w:lineRule="auto"/>
        <w:tabs>
          <w:tab w:leader="none" w:pos="940" w:val="left"/>
        </w:tabs>
        <w:numPr>
          <w:ilvl w:val="1"/>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Times New Roman" w:cs="Times New Roman" w:eastAsia="Times New Roman" w:hAnsi="Times New Roman"/>
          <w:sz w:val="17"/>
          <w:szCs w:val="17"/>
          <w:color w:val="auto"/>
        </w:rPr>
      </w:pPr>
    </w:p>
    <w:p>
      <w:pPr>
        <w:spacing w:after="0" w:line="397" w:lineRule="exact"/>
        <w:rPr>
          <w:rFonts w:ascii="Times New Roman" w:cs="Times New Roman" w:eastAsia="Times New Roman" w:hAnsi="Times New Roman"/>
          <w:sz w:val="17"/>
          <w:szCs w:val="17"/>
          <w:color w:val="auto"/>
        </w:rPr>
      </w:pPr>
    </w:p>
    <w:p>
      <w:pPr>
        <w:ind w:left="940" w:right="100" w:hanging="460"/>
        <w:spacing w:after="0" w:line="265" w:lineRule="auto"/>
        <w:tabs>
          <w:tab w:leader="none" w:pos="9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ind w:left="480" w:right="200" w:hanging="459"/>
        <w:spacing w:after="0" w:line="281" w:lineRule="auto"/>
        <w:tabs>
          <w:tab w:leader="none" w:pos="4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940" w:right="820" w:hanging="460"/>
        <w:spacing w:after="0" w:line="281" w:lineRule="auto"/>
        <w:tabs>
          <w:tab w:leader="none" w:pos="9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940" w:right="520" w:hanging="460"/>
        <w:spacing w:after="0" w:line="281" w:lineRule="auto"/>
        <w:tabs>
          <w:tab w:leader="none" w:pos="9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13, 2024</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R. Krakowiak</w:t>
            </w:r>
          </w:p>
        </w:tc>
      </w:tr>
      <w:tr>
        <w:trPr>
          <w:trHeight w:val="204"/>
        </w:trPr>
        <w:tc>
          <w:tcPr>
            <w:tcW w:w="3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Robert R. Krakowiak</w:t>
            </w:r>
          </w:p>
        </w:tc>
      </w:tr>
      <w:tr>
        <w:trPr>
          <w:trHeight w:val="214"/>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6"/>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991"/>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1103630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Vroom, Inc. (the “Company”) for the period ended December 31, 2023 as filed with the Securities and Exchange Commission on the date hereof (the “Report”), I certify, pursuant to 18 U.S.C. § 1350, as adopted pursuant to § 906 of the Sarbanes-Oxley Act of 2002, that:</w:t>
      </w:r>
    </w:p>
    <w:p>
      <w:pPr>
        <w:spacing w:after="0" w:line="191" w:lineRule="exact"/>
        <w:rPr>
          <w:sz w:val="20"/>
          <w:szCs w:val="20"/>
          <w:color w:val="auto"/>
        </w:rPr>
      </w:pPr>
    </w:p>
    <w:p>
      <w:pPr>
        <w:ind w:left="940" w:hanging="460"/>
        <w:spacing w:after="0"/>
        <w:tabs>
          <w:tab w:leader="none" w:pos="9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940" w:right="640" w:hanging="460"/>
        <w:spacing w:after="0" w:line="281" w:lineRule="auto"/>
        <w:tabs>
          <w:tab w:leader="none" w:pos="9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13, 2024</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Thomas H. Shortt</w:t>
            </w:r>
          </w:p>
        </w:tc>
      </w:tr>
      <w:tr>
        <w:trPr>
          <w:trHeight w:val="204"/>
        </w:trPr>
        <w:tc>
          <w:tcPr>
            <w:tcW w:w="3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Thomas H. Shortt</w:t>
            </w:r>
          </w:p>
        </w:tc>
      </w:tr>
      <w:tr>
        <w:trPr>
          <w:trHeight w:val="214"/>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1450"/>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ind w:right="14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on Form 10-K of Vroom, Inc. (the “Company”) for the period ended December 31, 2023 as filed with the Securities and Exchange Commission on the date hereof (the “Report”), I certify, pursuant to 18 U.S.C. § 1350, as adopted pursuant to § 906 of the Sarbanes-Oxley Act of 2002, that:</w:t>
      </w:r>
    </w:p>
    <w:p>
      <w:pPr>
        <w:spacing w:after="0" w:line="191" w:lineRule="exact"/>
        <w:rPr>
          <w:sz w:val="20"/>
          <w:szCs w:val="20"/>
          <w:color w:val="auto"/>
        </w:rPr>
      </w:pPr>
    </w:p>
    <w:p>
      <w:pPr>
        <w:ind w:left="940" w:hanging="460"/>
        <w:spacing w:after="0"/>
        <w:tabs>
          <w:tab w:leader="none" w:pos="9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00" w:lineRule="exact"/>
        <w:rPr>
          <w:rFonts w:ascii="Times New Roman" w:cs="Times New Roman" w:eastAsia="Times New Roman" w:hAnsi="Times New Roman"/>
          <w:sz w:val="18"/>
          <w:szCs w:val="18"/>
          <w:color w:val="auto"/>
        </w:rPr>
      </w:pPr>
    </w:p>
    <w:p>
      <w:pPr>
        <w:spacing w:after="0" w:line="294" w:lineRule="exact"/>
        <w:rPr>
          <w:rFonts w:ascii="Times New Roman" w:cs="Times New Roman" w:eastAsia="Times New Roman" w:hAnsi="Times New Roman"/>
          <w:sz w:val="18"/>
          <w:szCs w:val="18"/>
          <w:color w:val="auto"/>
        </w:rPr>
      </w:pPr>
    </w:p>
    <w:p>
      <w:pPr>
        <w:ind w:left="940" w:right="640" w:hanging="460"/>
        <w:spacing w:after="0" w:line="281" w:lineRule="auto"/>
        <w:tabs>
          <w:tab w:leader="none" w:pos="9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March 13, 2024</w:t>
            </w:r>
          </w:p>
        </w:tc>
        <w:tc>
          <w:tcPr>
            <w:tcW w:w="238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R. Krakowiak</w:t>
            </w:r>
          </w:p>
        </w:tc>
      </w:tr>
      <w:tr>
        <w:trPr>
          <w:trHeight w:val="204"/>
        </w:trPr>
        <w:tc>
          <w:tcPr>
            <w:tcW w:w="3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2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Robert R. Krakowiak</w:t>
            </w:r>
          </w:p>
        </w:tc>
      </w:tr>
      <w:tr>
        <w:trPr>
          <w:trHeight w:val="214"/>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6"/>
        </w:trPr>
        <w:tc>
          <w:tcPr>
            <w:tcW w:w="36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p>
        </w:tc>
      </w:tr>
      <w:tr>
        <w:trPr>
          <w:trHeight w:val="2097"/>
        </w:trPr>
        <w:tc>
          <w:tcPr>
            <w:tcW w:w="36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83" w:name="page184"/>
    <w:bookmarkEnd w:id="183"/>
    <w:p>
      <w:pPr>
        <w:jc w:val="right"/>
        <w:spacing w:after="0"/>
        <w:rPr>
          <w:sz w:val="20"/>
          <w:szCs w:val="20"/>
          <w:color w:val="auto"/>
        </w:rPr>
      </w:pPr>
      <w:r>
        <w:rPr>
          <w:rFonts w:ascii="Calibri" w:cs="Calibri" w:eastAsia="Calibri" w:hAnsi="Calibri"/>
          <w:sz w:val="20"/>
          <w:szCs w:val="20"/>
          <w:color w:val="auto"/>
        </w:rPr>
        <w:t>Exhibit 97.1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VROOM, INC. POLICY FOR RECOVERY OF ERRONEOUSLY AWARDED COMPENSATION</w:t>
      </w:r>
    </w:p>
    <w:p>
      <w:pPr>
        <w:spacing w:after="0" w:line="20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Vroom,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has adopted this Policy for Recovery of Erroneously Awarded Compensation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effective as of October 2,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Capitalized terms used in this Policy but not otherwise defined in the text of this Policy are defined in Section 11.</w:t>
      </w:r>
    </w:p>
    <w:p>
      <w:pPr>
        <w:spacing w:after="0" w:line="168" w:lineRule="exact"/>
        <w:rPr>
          <w:sz w:val="20"/>
          <w:szCs w:val="20"/>
          <w:color w:val="auto"/>
        </w:rPr>
      </w:pPr>
    </w:p>
    <w:p>
      <w:pPr>
        <w:ind w:left="760" w:hanging="752"/>
        <w:spacing w:after="0"/>
        <w:tabs>
          <w:tab w:leader="none" w:pos="760" w:val="left"/>
        </w:tabs>
        <w:numPr>
          <w:ilvl w:val="0"/>
          <w:numId w:val="9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Persons Subject to Policy</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shall apply to current and former Officers of the Company. Each Officer is required to sign an acknowledgement agreeing to be bound by the terms of the Policy. However, even if an Officer fails to sign the acknowledgment, this Policy will continue to apply to the Officer.</w:t>
      </w:r>
    </w:p>
    <w:p>
      <w:pPr>
        <w:spacing w:after="0" w:line="168" w:lineRule="exact"/>
        <w:rPr>
          <w:sz w:val="20"/>
          <w:szCs w:val="20"/>
          <w:color w:val="auto"/>
        </w:rPr>
      </w:pPr>
    </w:p>
    <w:p>
      <w:pPr>
        <w:ind w:left="760" w:hanging="752"/>
        <w:spacing w:after="0"/>
        <w:tabs>
          <w:tab w:leader="none" w:pos="760" w:val="left"/>
        </w:tabs>
        <w:numPr>
          <w:ilvl w:val="0"/>
          <w:numId w:val="95"/>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Compensation Subject to Policy</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when the relevant Financial Reporting Measure is attained or satisfied, without regard to whether the grant, vesting or payment of the Incentive-Based Compensation occurs after the end of that period.</w:t>
      </w:r>
    </w:p>
    <w:p>
      <w:pPr>
        <w:spacing w:after="0" w:line="176" w:lineRule="exact"/>
        <w:rPr>
          <w:sz w:val="20"/>
          <w:szCs w:val="20"/>
          <w:color w:val="auto"/>
        </w:rPr>
      </w:pPr>
    </w:p>
    <w:p>
      <w:pPr>
        <w:ind w:left="760" w:hanging="752"/>
        <w:spacing w:after="0"/>
        <w:tabs>
          <w:tab w:leader="none" w:pos="760" w:val="left"/>
        </w:tabs>
        <w:numPr>
          <w:ilvl w:val="0"/>
          <w:numId w:val="9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Recovery of Compensation</w:t>
      </w:r>
    </w:p>
    <w:p>
      <w:pPr>
        <w:spacing w:after="0" w:line="20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alone,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80" w:lineRule="exact"/>
        <w:rPr>
          <w:sz w:val="20"/>
          <w:szCs w:val="20"/>
          <w:color w:val="auto"/>
        </w:rPr>
      </w:pPr>
    </w:p>
    <w:p>
      <w:pPr>
        <w:ind w:left="760" w:hanging="752"/>
        <w:spacing w:after="0"/>
        <w:tabs>
          <w:tab w:leader="none" w:pos="760" w:val="left"/>
        </w:tabs>
        <w:numPr>
          <w:ilvl w:val="0"/>
          <w:numId w:val="9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Manner of Recovery; Limitation on Duplicative Recovery</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139"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184" w:name="page185"/>
    <w:bookmarkEnd w:id="184"/>
    <w:p>
      <w:pPr>
        <w:jc w:val="both"/>
        <w:spacing w:after="0" w:line="234" w:lineRule="auto"/>
        <w:rPr>
          <w:sz w:val="20"/>
          <w:szCs w:val="20"/>
          <w:color w:val="auto"/>
        </w:rPr>
      </w:pPr>
      <w:r>
        <w:rPr>
          <w:rFonts w:ascii="Times New Roman" w:cs="Times New Roman" w:eastAsia="Times New Roman" w:hAnsi="Times New Roman"/>
          <w:sz w:val="22"/>
          <w:szCs w:val="22"/>
          <w:color w:val="auto"/>
        </w:rPr>
        <w:t>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Sarbanes-Oxley Act Section 304 or Other Recovery Arrangements, the amount of Erroneously Awarded Compensation already recovered by the Company from the recipient of such Erroneously Awarded Compensation will be credited to the amount of Erroneously Awarded Compensation required to be recovered pursuant to this Policy from such person.</w:t>
      </w:r>
    </w:p>
    <w:p>
      <w:pPr>
        <w:spacing w:after="0" w:line="180" w:lineRule="exact"/>
        <w:rPr>
          <w:sz w:val="20"/>
          <w:szCs w:val="20"/>
          <w:color w:val="auto"/>
        </w:rPr>
      </w:pPr>
    </w:p>
    <w:p>
      <w:pPr>
        <w:ind w:left="760" w:hanging="752"/>
        <w:spacing w:after="0"/>
        <w:tabs>
          <w:tab w:leader="none" w:pos="760" w:val="left"/>
        </w:tabs>
        <w:numPr>
          <w:ilvl w:val="0"/>
          <w:numId w:val="9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Administration</w:t>
      </w:r>
    </w:p>
    <w:p>
      <w:pPr>
        <w:spacing w:after="0" w:line="20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This Policy shall be administered, interpreted and construed by the Committee, which is authorized to make all determinations necessary, appropriate or advisable for such purpose. The Board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stockholders and employees. The Committee may delegate administrative duties with respect to this Policy to one or more directors or employees of the Company, as permitted under applicable law, including any Applicable Rules.</w:t>
      </w:r>
    </w:p>
    <w:p>
      <w:pPr>
        <w:spacing w:after="0" w:line="180" w:lineRule="exact"/>
        <w:rPr>
          <w:sz w:val="20"/>
          <w:szCs w:val="20"/>
          <w:color w:val="auto"/>
        </w:rPr>
      </w:pPr>
    </w:p>
    <w:p>
      <w:pPr>
        <w:ind w:left="760" w:hanging="752"/>
        <w:spacing w:after="0"/>
        <w:tabs>
          <w:tab w:leader="none" w:pos="760" w:val="left"/>
        </w:tabs>
        <w:numPr>
          <w:ilvl w:val="0"/>
          <w:numId w:val="9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Interpretation</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68" w:lineRule="exact"/>
        <w:rPr>
          <w:sz w:val="20"/>
          <w:szCs w:val="20"/>
          <w:color w:val="auto"/>
        </w:rPr>
      </w:pPr>
    </w:p>
    <w:p>
      <w:pPr>
        <w:ind w:left="760" w:hanging="752"/>
        <w:spacing w:after="0"/>
        <w:tabs>
          <w:tab w:leader="none" w:pos="760" w:val="left"/>
        </w:tabs>
        <w:numPr>
          <w:ilvl w:val="0"/>
          <w:numId w:val="10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 Indemnification; No Personal Liability</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 member of the Committee or the Board shall have any personal liability to any person as a result of actions taken under this Policy.</w:t>
      </w:r>
    </w:p>
    <w:p>
      <w:pPr>
        <w:spacing w:after="0" w:line="176" w:lineRule="exact"/>
        <w:rPr>
          <w:sz w:val="20"/>
          <w:szCs w:val="20"/>
          <w:color w:val="auto"/>
        </w:rPr>
      </w:pPr>
    </w:p>
    <w:p>
      <w:pPr>
        <w:ind w:left="760" w:hanging="752"/>
        <w:spacing w:after="0"/>
        <w:tabs>
          <w:tab w:leader="none" w:pos="760" w:val="left"/>
        </w:tabs>
        <w:numPr>
          <w:ilvl w:val="0"/>
          <w:numId w:val="10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Application; Enforceability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153"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5" w:name="page186"/>
    <w:bookmarkEnd w:id="185"/>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2"/>
          <w:szCs w:val="22"/>
          <w:b w:val="1"/>
          <w:bCs w:val="1"/>
          <w:i w:val="1"/>
          <w:iCs w:val="1"/>
          <w:color w:val="auto"/>
        </w:rPr>
        <w:t>Other Recovery Arrangements</w:t>
      </w:r>
      <w:r>
        <w:rPr>
          <w:rFonts w:ascii="Times New Roman" w:cs="Times New Roman" w:eastAsia="Times New Roman" w:hAnsi="Times New Roman"/>
          <w:sz w:val="22"/>
          <w:szCs w:val="22"/>
          <w:color w:val="auto"/>
        </w:rPr>
        <w:t>”). The remedy specified in this Policy shall not be exclusive and shall be in addition to every other right or remedy at law or in equity that may be available to the Company or an affiliate of the Company.</w:t>
      </w:r>
    </w:p>
    <w:p>
      <w:pPr>
        <w:spacing w:after="0" w:line="177" w:lineRule="exact"/>
        <w:rPr>
          <w:sz w:val="20"/>
          <w:szCs w:val="20"/>
          <w:color w:val="auto"/>
        </w:rPr>
      </w:pPr>
    </w:p>
    <w:p>
      <w:pPr>
        <w:ind w:left="760" w:hanging="752"/>
        <w:spacing w:after="0"/>
        <w:tabs>
          <w:tab w:leader="none" w:pos="760" w:val="left"/>
        </w:tabs>
        <w:numPr>
          <w:ilvl w:val="0"/>
          <w:numId w:val="10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Severability</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5" w:lineRule="exact"/>
        <w:rPr>
          <w:sz w:val="20"/>
          <w:szCs w:val="20"/>
          <w:color w:val="auto"/>
        </w:rPr>
      </w:pPr>
    </w:p>
    <w:p>
      <w:pPr>
        <w:ind w:left="760" w:hanging="752"/>
        <w:spacing w:after="0"/>
        <w:tabs>
          <w:tab w:leader="none" w:pos="760" w:val="left"/>
        </w:tabs>
        <w:numPr>
          <w:ilvl w:val="0"/>
          <w:numId w:val="10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Amendment and Termination</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68" w:lineRule="exact"/>
        <w:rPr>
          <w:sz w:val="20"/>
          <w:szCs w:val="20"/>
          <w:color w:val="auto"/>
        </w:rPr>
      </w:pPr>
    </w:p>
    <w:p>
      <w:pPr>
        <w:ind w:left="760" w:hanging="752"/>
        <w:spacing w:after="0"/>
        <w:tabs>
          <w:tab w:leader="none" w:pos="760" w:val="left"/>
        </w:tabs>
        <w:numPr>
          <w:ilvl w:val="0"/>
          <w:numId w:val="10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Definitions</w:t>
      </w:r>
    </w:p>
    <w:p>
      <w:pPr>
        <w:spacing w:after="0" w:line="203" w:lineRule="exact"/>
        <w:rPr>
          <w:rFonts w:ascii="Times New Roman" w:cs="Times New Roman" w:eastAsia="Times New Roman" w:hAnsi="Times New Roman"/>
          <w:sz w:val="22"/>
          <w:szCs w:val="22"/>
          <w:b w:val="1"/>
          <w:bCs w:val="1"/>
          <w:u w:val="single" w:color="auto"/>
          <w:color w:val="auto"/>
        </w:rPr>
      </w:pPr>
    </w:p>
    <w:p>
      <w:pPr>
        <w:jc w:val="both"/>
        <w:ind w:firstLine="432"/>
        <w:spacing w:after="0" w:line="241" w:lineRule="auto"/>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Rules</w:t>
      </w:r>
      <w:r>
        <w:rPr>
          <w:rFonts w:ascii="Times New Roman" w:cs="Times New Roman" w:eastAsia="Times New Roman" w:hAnsi="Times New Roman"/>
          <w:sz w:val="22"/>
          <w:szCs w:val="22"/>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103"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6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139"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6" w:name="page187"/>
    <w:bookmarkEnd w:id="186"/>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20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price and total stockholder return.</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GAAP</w:t>
      </w:r>
      <w:r>
        <w:rPr>
          <w:rFonts w:ascii="Times New Roman" w:cs="Times New Roman" w:eastAsia="Times New Roman" w:hAnsi="Times New Roman"/>
          <w:sz w:val="22"/>
          <w:szCs w:val="22"/>
          <w:color w:val="auto"/>
        </w:rPr>
        <w:t>” means United States generally accepted accounting principles.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IFRS</w:t>
      </w:r>
      <w:r>
        <w:rPr>
          <w:rFonts w:ascii="Times New Roman" w:cs="Times New Roman" w:eastAsia="Times New Roman" w:hAnsi="Times New Roman"/>
          <w:sz w:val="22"/>
          <w:szCs w:val="22"/>
          <w:color w:val="auto"/>
        </w:rPr>
        <w:t>” means international financial reporting standards as adopted by the International Accounting Standards Board.</w:t>
      </w:r>
    </w:p>
    <w:p>
      <w:pPr>
        <w:spacing w:after="0" w:line="20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Impracticable</w:t>
      </w:r>
      <w:r>
        <w:rPr>
          <w:rFonts w:ascii="Times New Roman" w:cs="Times New Roman" w:eastAsia="Times New Roman" w:hAnsi="Times New Roman"/>
          <w:sz w:val="22"/>
          <w:szCs w:val="22"/>
          <w:color w:val="auto"/>
        </w:rPr>
        <w:t>” means (a) (i)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7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46" w:lineRule="exact"/>
        <w:rPr>
          <w:sz w:val="20"/>
          <w:szCs w:val="20"/>
          <w:color w:val="auto"/>
        </w:rPr>
      </w:pPr>
    </w:p>
    <w:p>
      <w:pPr>
        <w:jc w:val="both"/>
        <w:ind w:right="20" w:firstLine="749"/>
        <w:spacing w:after="0" w:line="286"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Officer</w:t>
      </w:r>
      <w:r>
        <w:rPr>
          <w:rFonts w:ascii="Times New Roman" w:cs="Times New Roman" w:eastAsia="Times New Roman" w:hAnsi="Times New Roman"/>
          <w:sz w:val="22"/>
          <w:szCs w:val="22"/>
          <w:color w:val="auto"/>
        </w:rPr>
        <w:t>” means each person who serves as an executive officer of the Company, as defined in Rule 10D</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1(d) under the Exchange Act.</w:t>
      </w:r>
    </w:p>
    <w:p>
      <w:pPr>
        <w:spacing w:after="0" w:line="17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w:t>
      </w:r>
      <w:r>
        <w:rPr>
          <w:rFonts w:ascii="Times New Roman" w:cs="Times New Roman" w:eastAsia="Times New Roman" w:hAnsi="Times New Roman"/>
          <w:sz w:val="20"/>
          <w:szCs w:val="20"/>
          <w:color w:val="auto"/>
        </w:rPr>
        <w:t>” means an accounting restatement to correct the Company’s material noncompliance with any financial reporting requirement under securities laws, including restatements that correct an error in previously issued financial statements</w:t>
      </w:r>
    </w:p>
    <w:p>
      <w:pPr>
        <w:spacing w:after="0" w:line="2" w:lineRule="exact"/>
        <w:rPr>
          <w:sz w:val="20"/>
          <w:szCs w:val="20"/>
          <w:color w:val="auto"/>
        </w:rPr>
      </w:pPr>
    </w:p>
    <w:p>
      <w:pPr>
        <w:ind w:right="20" w:firstLine="8"/>
        <w:spacing w:after="0" w:line="237" w:lineRule="auto"/>
        <w:tabs>
          <w:tab w:leader="none" w:pos="314"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is material to the previously issued financial statements or (b) that would result in a material misstatement if the error were corrected in the current period or left uncorrected in the current period.</w:t>
      </w:r>
    </w:p>
    <w:p>
      <w:pPr>
        <w:spacing w:after="0" w:line="172"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Three-Year Period</w:t>
      </w:r>
      <w:r>
        <w:rPr>
          <w:rFonts w:ascii="Times New Roman" w:cs="Times New Roman" w:eastAsia="Times New Roman" w:hAnsi="Times New Roman"/>
          <w:sz w:val="22"/>
          <w:szCs w:val="22"/>
          <w:color w:val="auto"/>
        </w:rPr>
        <w:t>” means, with respect to a Restatement, the three completed fiscal years immediately preceding the date that the Board, a committee of the Board, or the officer or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153"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1" w:right="339" w:bottom="1440" w:gutter="0" w:footer="0" w:header="0"/>
        </w:sectPr>
      </w:pPr>
    </w:p>
    <w:bookmarkStart w:id="187" w:name="page188"/>
    <w:bookmarkEnd w:id="187"/>
    <w:p>
      <w:pPr>
        <w:jc w:val="both"/>
        <w:spacing w:after="0" w:line="267" w:lineRule="auto"/>
        <w:rPr>
          <w:sz w:val="20"/>
          <w:szCs w:val="20"/>
          <w:color w:val="auto"/>
        </w:rPr>
      </w:pPr>
      <w:r>
        <w:rPr>
          <w:rFonts w:ascii="Times New Roman" w:cs="Times New Roman" w:eastAsia="Times New Roman" w:hAnsi="Times New Roman"/>
          <w:sz w:val="20"/>
          <w:szCs w:val="20"/>
          <w:color w:val="auto"/>
        </w:rPr>
        <w:t>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w:t>
      </w:r>
    </w:p>
    <w:p>
      <w:pPr>
        <w:jc w:val="both"/>
        <w:spacing w:after="0" w:line="267" w:lineRule="auto"/>
        <w:rPr>
          <w:sz w:val="20"/>
          <w:szCs w:val="20"/>
          <w:color w:val="auto"/>
        </w:rPr>
      </w:pPr>
      <w:r>
        <w:rPr>
          <w:rFonts w:ascii="Times New Roman" w:cs="Times New Roman" w:eastAsia="Times New Roman" w:hAnsi="Times New Roman"/>
          <w:sz w:val="20"/>
          <w:szCs w:val="20"/>
          <w:color w:val="auto"/>
        </w:rPr>
        <w:t>period (that results from a change in the Company’s fiscal year) within or immediately following the three completed fiscal years identified in the preceding sentence. However, a transition period between the last day of the Company’s previous fiscal year end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153"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88" w:name="page189"/>
    <w:bookmarkEnd w:id="18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0"/>
          <w:szCs w:val="20"/>
          <w:color w:val="auto"/>
        </w:rPr>
        <w:t>6</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139"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89" w:name="page190"/>
    <w:bookmarkEnd w:id="189"/>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ACKNOWLEDGMENT AND CONSENT TO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POLICY FOR RECOVERY OF ERRONEOUSLY AWARDED COMPENSATION</w:t>
      </w:r>
    </w:p>
    <w:p>
      <w:pPr>
        <w:spacing w:after="0" w:line="200" w:lineRule="exact"/>
        <w:rPr>
          <w:sz w:val="20"/>
          <w:szCs w:val="20"/>
          <w:color w:val="auto"/>
        </w:rPr>
      </w:pPr>
    </w:p>
    <w:p>
      <w:pPr>
        <w:spacing w:after="0" w:line="29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undersigned has received a copy of the Policy for Recovery of Erroneously Awarded Compensation (the “Policy”) adopted by Vroom, Inc. (the “Company”) and agrees to the terms of the Policy such that compensation received by the undersigned may be subject to reduction, cancellation, forfeiture and/or recoupment to the extent necessary to comply with the Policy, notwithstanding any other agreement to the contrary. The undersigned also acknowledges and agrees that the undersigned is not entitled to indemnification in connection with any enforcement of the Policy to the extent set forth in the Policy and expressly waives any rights to such indemnification under the Company’s organizational documents or otherwise.</w:t>
      </w:r>
    </w:p>
    <w:p>
      <w:pPr>
        <w:sectPr>
          <w:pgSz w:w="11900" w:h="16838" w:orient="portrait"/>
          <w:cols w:equalWidth="0" w:num="1">
            <w:col w:w="11240"/>
          </w:cols>
          <w:pgMar w:left="320" w:top="14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w:t>
      </w:r>
    </w:p>
    <w:p>
      <w:pPr>
        <w:spacing w:after="0" w:line="161" w:lineRule="exact"/>
        <w:rPr>
          <w:sz w:val="20"/>
          <w:szCs w:val="20"/>
          <w:color w:val="auto"/>
        </w:rPr>
      </w:pPr>
    </w:p>
    <w:p>
      <w:pPr>
        <w:sectPr>
          <w:pgSz w:w="11900" w:h="16838" w:orient="portrait"/>
          <w:cols w:equalWidth="0" w:num="2">
            <w:col w:w="2520" w:space="720"/>
            <w:col w:w="8000"/>
          </w:cols>
          <w:pgMar w:left="320" w:top="1403"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23" w:lineRule="exact"/>
        <w:rPr>
          <w:sz w:val="20"/>
          <w:szCs w:val="20"/>
          <w:color w:val="auto"/>
        </w:rPr>
      </w:pPr>
    </w:p>
    <w:p>
      <w:pPr>
        <w:sectPr>
          <w:pgSz w:w="11900" w:h="16838" w:orient="portrait"/>
          <w:cols w:equalWidth="0" w:num="2">
            <w:col w:w="2520" w:space="720"/>
            <w:col w:w="8000"/>
          </w:cols>
          <w:pgMar w:left="320" w:top="1403" w:right="339" w:bottom="1440" w:gutter="0" w:footer="0" w:header="0"/>
          <w:type w:val="continuous"/>
        </w:sectPr>
      </w:pPr>
    </w:p>
    <w:p>
      <w:pPr>
        <w:spacing w:after="0" w:line="3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________________________________________</w:t>
      </w:r>
    </w:p>
    <w:p>
      <w:pPr>
        <w:spacing w:after="0" w:line="16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34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________________________________________</w:t>
      </w:r>
    </w:p>
    <w:p>
      <w:pPr>
        <w:spacing w:after="0" w:line="16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4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153" w:lineRule="exact"/>
        <w:rPr>
          <w:sz w:val="20"/>
          <w:szCs w:val="20"/>
          <w:color w:val="auto"/>
        </w:rPr>
      </w:pPr>
    </w:p>
    <w:p>
      <w:pPr>
        <w:spacing w:after="0"/>
        <w:rPr>
          <w:sz w:val="20"/>
          <w:szCs w:val="20"/>
          <w:color w:val="auto"/>
        </w:rPr>
      </w:pPr>
      <w:r>
        <w:rPr>
          <w:rFonts w:ascii="Calibri" w:cs="Calibri" w:eastAsia="Calibri" w:hAnsi="Calibri"/>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573405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type w:val="continuous"/>
        </w:sectPr>
      </w:pPr>
    </w:p>
    <w:bookmarkStart w:id="190" w:name="page191"/>
    <w:bookmarkEnd w:id="1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
      <w:numFmt w:val="bullet"/>
      <w:start w:val="1"/>
    </w:lvl>
  </w:abstractNum>
  <w:abstractNum w:abstractNumId="6">
    <w:nsid w:val="275AC794"/>
    <w:multiLevelType w:val="hybridMultilevel"/>
    <w:lvl w:ilvl="0">
      <w:lvlJc w:val="left"/>
      <w:lvlText w:val="•"/>
      <w:numFmt w:val="bullet"/>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
      <w:numFmt w:val="bullet"/>
      <w:start w:val="1"/>
    </w:lvl>
  </w:abstractNum>
  <w:abstractNum w:abstractNumId="9">
    <w:nsid w:val="180115BE"/>
    <w:multiLevelType w:val="hybridMultilevel"/>
    <w:lvl w:ilvl="0">
      <w:lvlJc w:val="left"/>
      <w:lvlText w:val="•"/>
      <w:numFmt w:val="bullet"/>
      <w:start w:val="1"/>
    </w:lvl>
  </w:abstractNum>
  <w:abstractNum w:abstractNumId="10">
    <w:nsid w:val="235BA861"/>
    <w:multiLevelType w:val="hybridMultilevel"/>
    <w:lvl w:ilvl="0">
      <w:lvlJc w:val="left"/>
      <w:lvlText w:val="•"/>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1)"/>
      <w:numFmt w:val="lowerLetter"/>
      <w:start w:val="2"/>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1)"/>
      <w:numFmt w:val="decimal"/>
      <w:start w:val="1"/>
    </w:lvl>
  </w:abstractNum>
  <w:abstractNum w:abstractNumId="19">
    <w:nsid w:val="7E0C57B1"/>
    <w:multiLevelType w:val="hybridMultilevel"/>
    <w:lvl w:ilvl="0">
      <w:lvlJc w:val="left"/>
      <w:lvlText w:val="•"/>
      <w:numFmt w:val="bullet"/>
      <w:start w:val="1"/>
    </w:lvl>
  </w:abstractNum>
  <w:abstractNum w:abstractNumId="20">
    <w:nsid w:val="77AE35EB"/>
    <w:multiLevelType w:val="hybridMultilevel"/>
    <w:lvl w:ilvl="0">
      <w:lvlJc w:val="left"/>
      <w:lvlText w:val="(%1)"/>
      <w:numFmt w:val="decimal"/>
      <w:start w:val="1"/>
    </w:lvl>
  </w:abstractNum>
  <w:abstractNum w:abstractNumId="21">
    <w:nsid w:val="579BE4F1"/>
    <w:multiLevelType w:val="hybridMultilevel"/>
    <w:lvl w:ilvl="0">
      <w:lvlJc w:val="left"/>
      <w:lvlText w:val="•"/>
      <w:numFmt w:val="bullet"/>
      <w:start w:val="1"/>
    </w:lvl>
  </w:abstractNum>
  <w:abstractNum w:abstractNumId="22">
    <w:nsid w:val="310C50B3"/>
    <w:multiLevelType w:val="hybridMultilevel"/>
    <w:lvl w:ilvl="0">
      <w:lvlJc w:val="left"/>
      <w:lvlText w:val="(%1)"/>
      <w:numFmt w:val="decimal"/>
      <w:start w:val="1"/>
    </w:lvl>
  </w:abstractNum>
  <w:abstractNum w:abstractNumId="23">
    <w:nsid w:val="5FF87E05"/>
    <w:multiLevelType w:val="hybridMultilevel"/>
    <w:lvl w:ilvl="0">
      <w:lvlJc w:val="left"/>
      <w:lvlText w:val="%1)"/>
      <w:numFmt w:val="lowerLetter"/>
      <w:start w:val="1"/>
    </w:lvl>
  </w:abstractNum>
  <w:abstractNum w:abstractNumId="24">
    <w:nsid w:val="2F305DEF"/>
    <w:multiLevelType w:val="hybridMultilevel"/>
    <w:lvl w:ilvl="0">
      <w:lvlJc w:val="left"/>
      <w:lvlText w:val="%1)"/>
      <w:numFmt w:val="lowerLetter"/>
      <w:start w:val="2"/>
    </w:lvl>
  </w:abstractNum>
  <w:abstractNum w:abstractNumId="25">
    <w:nsid w:val="25A70BF7"/>
    <w:multiLevelType w:val="hybridMultilevel"/>
    <w:lvl w:ilvl="0">
      <w:lvlJc w:val="left"/>
      <w:lvlText w:val="%1."/>
      <w:numFmt w:val="decimal"/>
      <w:start w:val="1"/>
    </w:lvl>
  </w:abstractNum>
  <w:abstractNum w:abstractNumId="26">
    <w:nsid w:val="1DBABF00"/>
    <w:multiLevelType w:val="hybridMultilevel"/>
    <w:lvl w:ilvl="0">
      <w:lvlJc w:val="left"/>
      <w:lvlText w:val="†"/>
      <w:numFmt w:val="bullet"/>
      <w:start w:val="1"/>
    </w:lvl>
    <w:lvl w:ilvl="1">
      <w:lvlJc w:val="left"/>
      <w:lvlText w:val="%2"/>
      <w:numFmt w:val="decimal"/>
      <w:start w:val="104"/>
    </w:lvl>
  </w:abstractNum>
  <w:abstractNum w:abstractNumId="27">
    <w:nsid w:val="4AD084E9"/>
    <w:multiLevelType w:val="hybridMultilevel"/>
    <w:lvl w:ilvl="0">
      <w:lvlJc w:val="left"/>
      <w:lvlText w:val="%1."/>
      <w:numFmt w:val="decimal"/>
      <w:start w:val="1"/>
    </w:lvl>
  </w:abstractNum>
  <w:abstractNum w:abstractNumId="28">
    <w:nsid w:val="1F48EAA1"/>
    <w:multiLevelType w:val="hybridMultilevel"/>
    <w:lvl w:ilvl="0">
      <w:lvlJc w:val="left"/>
      <w:lvlText w:val="%1."/>
      <w:numFmt w:val="decimal"/>
      <w:start w:val="2"/>
    </w:lvl>
  </w:abstractNum>
  <w:abstractNum w:abstractNumId="29">
    <w:nsid w:val="1381823A"/>
    <w:multiLevelType w:val="hybridMultilevel"/>
    <w:lvl w:ilvl="0">
      <w:lvlJc w:val="left"/>
      <w:lvlText w:val="%1."/>
      <w:numFmt w:val="decimal"/>
      <w:start w:val="3"/>
    </w:lvl>
  </w:abstractNum>
  <w:abstractNum w:abstractNumId="30">
    <w:nsid w:val="5DB70AE5"/>
    <w:multiLevelType w:val="hybridMultilevel"/>
    <w:lvl w:ilvl="0">
      <w:lvlJc w:val="left"/>
      <w:lvlText w:val="%1."/>
      <w:numFmt w:val="decimal"/>
      <w:start w:val="4"/>
    </w:lvl>
  </w:abstractNum>
  <w:abstractNum w:abstractNumId="31">
    <w:nsid w:val="100F8FCA"/>
    <w:multiLevelType w:val="hybridMultilevel"/>
    <w:lvl w:ilvl="0">
      <w:lvlJc w:val="left"/>
      <w:lvlText w:val="(%1)"/>
      <w:numFmt w:val="lowerLetter"/>
      <w:start w:val="1"/>
    </w:lvl>
  </w:abstractNum>
  <w:abstractNum w:abstractNumId="32">
    <w:nsid w:val="6590700B"/>
    <w:multiLevelType w:val="hybridMultilevel"/>
    <w:lvl w:ilvl="0">
      <w:lvlJc w:val="left"/>
      <w:lvlText w:val="%1"/>
      <w:numFmt w:val="decimal"/>
      <w:start w:val="1"/>
    </w:lvl>
    <w:lvl w:ilvl="1">
      <w:lvlJc w:val="left"/>
      <w:lvlText w:val="(%2)"/>
      <w:numFmt w:val="lowerLetter"/>
      <w:start w:val="3"/>
    </w:lvl>
  </w:abstractNum>
  <w:abstractNum w:abstractNumId="33">
    <w:nsid w:val="15014ACB"/>
    <w:multiLevelType w:val="hybridMultilevel"/>
    <w:lvl w:ilvl="0">
      <w:lvlJc w:val="left"/>
      <w:lvlText w:val="%1."/>
      <w:numFmt w:val="decimal"/>
      <w:start w:val="5"/>
    </w:lvl>
    <w:lvl w:ilvl="1">
      <w:lvlJc w:val="left"/>
      <w:lvlText w:val="%2"/>
      <w:numFmt w:val="lowerLetter"/>
      <w:start w:val="1"/>
    </w:lvl>
  </w:abstractNum>
  <w:abstractNum w:abstractNumId="34">
    <w:nsid w:val="5F5E7FD0"/>
    <w:multiLevelType w:val="hybridMultilevel"/>
    <w:lvl w:ilvl="0">
      <w:lvlJc w:val="left"/>
      <w:lvlText w:val="(%1)"/>
      <w:numFmt w:val="lowerLetter"/>
      <w:start w:val="1"/>
    </w:lvl>
  </w:abstractNum>
  <w:abstractNum w:abstractNumId="35">
    <w:nsid w:val="98A3148"/>
    <w:multiLevelType w:val="hybridMultilevel"/>
    <w:lvl w:ilvl="0">
      <w:lvlJc w:val="left"/>
      <w:lvlText w:val="(%1)"/>
      <w:numFmt w:val="lowerLetter"/>
      <w:start w:val="3"/>
    </w:lvl>
  </w:abstractNum>
  <w:abstractNum w:abstractNumId="36">
    <w:nsid w:val="799D0247"/>
    <w:multiLevelType w:val="hybridMultilevel"/>
    <w:lvl w:ilvl="0">
      <w:lvlJc w:val="left"/>
      <w:lvlText w:val="%1"/>
      <w:numFmt w:val="decimal"/>
      <w:start w:val="1"/>
    </w:lvl>
    <w:lvl w:ilvl="1">
      <w:lvlJc w:val="left"/>
      <w:lvlText w:val="(%2)"/>
      <w:numFmt w:val="lowerLetter"/>
      <w:start w:val="6"/>
    </w:lvl>
  </w:abstractNum>
  <w:abstractNum w:abstractNumId="37">
    <w:nsid w:val="6B94764"/>
    <w:multiLevelType w:val="hybridMultilevel"/>
    <w:lvl w:ilvl="0">
      <w:lvlJc w:val="left"/>
      <w:lvlText w:val="%1."/>
      <w:numFmt w:val="decimal"/>
      <w:start w:val="6"/>
    </w:lvl>
    <w:lvl w:ilvl="1">
      <w:lvlJc w:val="left"/>
      <w:lvlText w:val="%2"/>
      <w:numFmt w:val="lowerLetter"/>
      <w:start w:val="1"/>
    </w:lvl>
  </w:abstractNum>
  <w:abstractNum w:abstractNumId="38">
    <w:nsid w:val="42C296BD"/>
    <w:multiLevelType w:val="hybridMultilevel"/>
    <w:lvl w:ilvl="0">
      <w:lvlJc w:val="left"/>
      <w:lvlText w:val="(%1)"/>
      <w:numFmt w:val="lowerLetter"/>
      <w:start w:val="1"/>
    </w:lvl>
  </w:abstractNum>
  <w:abstractNum w:abstractNumId="39">
    <w:nsid w:val="168E121F"/>
    <w:multiLevelType w:val="hybridMultilevel"/>
    <w:lvl w:ilvl="0">
      <w:lvlJc w:val="left"/>
      <w:lvlText w:val="%1."/>
      <w:numFmt w:val="decimal"/>
      <w:start w:val="7"/>
    </w:lvl>
  </w:abstractNum>
  <w:abstractNum w:abstractNumId="40">
    <w:nsid w:val="1EBA5D23"/>
    <w:multiLevelType w:val="hybridMultilevel"/>
    <w:lvl w:ilvl="0">
      <w:lvlJc w:val="left"/>
      <w:lvlText w:val="%1."/>
      <w:numFmt w:val="decimal"/>
      <w:start w:val="8"/>
    </w:lvl>
  </w:abstractNum>
  <w:abstractNum w:abstractNumId="41">
    <w:nsid w:val="661E3F1E"/>
    <w:multiLevelType w:val="hybridMultilevel"/>
    <w:lvl w:ilvl="0">
      <w:lvlJc w:val="left"/>
      <w:lvlText w:val="%1."/>
      <w:numFmt w:val="decimal"/>
      <w:start w:val="9"/>
    </w:lvl>
  </w:abstractNum>
  <w:abstractNum w:abstractNumId="42">
    <w:nsid w:val="5DC79EA8"/>
    <w:multiLevelType w:val="hybridMultilevel"/>
    <w:lvl w:ilvl="0">
      <w:lvlJc w:val="left"/>
      <w:lvlText w:val="(%1)"/>
      <w:numFmt w:val="lowerLetter"/>
      <w:start w:val="1"/>
    </w:lvl>
    <w:lvl w:ilvl="1">
      <w:lvlJc w:val="left"/>
      <w:lvlText w:val="(%2)"/>
      <w:numFmt w:val="decimal"/>
      <w:start w:val="1"/>
    </w:lvl>
  </w:abstractNum>
  <w:abstractNum w:abstractNumId="43">
    <w:nsid w:val="540A471C"/>
    <w:multiLevelType w:val="hybridMultilevel"/>
    <w:lvl w:ilvl="0">
      <w:lvlJc w:val="left"/>
      <w:lvlText w:val="(%1)"/>
      <w:numFmt w:val="lowerLetter"/>
      <w:start w:val="3"/>
    </w:lvl>
    <w:lvl w:ilvl="1">
      <w:lvlJc w:val="left"/>
      <w:lvlText w:val="(%2)"/>
      <w:numFmt w:val="decimal"/>
      <w:start w:val="1"/>
    </w:lvl>
  </w:abstractNum>
  <w:abstractNum w:abstractNumId="44">
    <w:nsid w:val="7BD3EE7B"/>
    <w:multiLevelType w:val="hybridMultilevel"/>
    <w:lvl w:ilvl="0">
      <w:lvlJc w:val="left"/>
      <w:lvlText w:val="(%1)"/>
      <w:numFmt w:val="lowerLetter"/>
      <w:start w:val="1"/>
    </w:lvl>
  </w:abstractNum>
  <w:abstractNum w:abstractNumId="45">
    <w:nsid w:val="51D9C564"/>
    <w:multiLevelType w:val="hybridMultilevel"/>
    <w:lvl w:ilvl="0">
      <w:lvlJc w:val="left"/>
      <w:lvlText w:val="%1."/>
      <w:numFmt w:val="decimal"/>
      <w:start w:val="14"/>
    </w:lvl>
  </w:abstractNum>
  <w:abstractNum w:abstractNumId="46">
    <w:nsid w:val="613EFDC5"/>
    <w:multiLevelType w:val="hybridMultilevel"/>
    <w:lvl w:ilvl="0">
      <w:lvlJc w:val="left"/>
      <w:lvlText w:val="(%1)"/>
      <w:numFmt w:val="lowerLetter"/>
      <w:start w:val="2"/>
    </w:lvl>
  </w:abstractNum>
  <w:abstractNum w:abstractNumId="47">
    <w:nsid w:val="BF72B14"/>
    <w:multiLevelType w:val="hybridMultilevel"/>
    <w:lvl w:ilvl="0">
      <w:lvlJc w:val="left"/>
      <w:lvlText w:val="(%1)"/>
      <w:numFmt w:val="lowerLetter"/>
      <w:start w:val="1"/>
    </w:lvl>
  </w:abstractNum>
  <w:abstractNum w:abstractNumId="48">
    <w:nsid w:val="11447B73"/>
    <w:multiLevelType w:val="hybridMultilevel"/>
    <w:lvl w:ilvl="0">
      <w:lvlJc w:val="left"/>
      <w:lvlText w:val="(%1)"/>
      <w:numFmt w:val="lowerLetter"/>
      <w:start w:val="2"/>
    </w:lvl>
  </w:abstractNum>
  <w:abstractNum w:abstractNumId="49">
    <w:nsid w:val="42963E5A"/>
    <w:multiLevelType w:val="hybridMultilevel"/>
    <w:lvl w:ilvl="0">
      <w:lvlJc w:val="left"/>
      <w:lvlText w:val="(%1)"/>
      <w:numFmt w:val="lowerLetter"/>
      <w:start w:val="1"/>
    </w:lvl>
    <w:lvl w:ilvl="1">
      <w:lvlJc w:val="left"/>
      <w:lvlText w:val="(%2)"/>
      <w:numFmt w:val="decimal"/>
      <w:start w:val="1"/>
    </w:lvl>
  </w:abstractNum>
  <w:abstractNum w:abstractNumId="50">
    <w:nsid w:val="A0382C5"/>
    <w:multiLevelType w:val="hybridMultilevel"/>
    <w:lvl w:ilvl="0">
      <w:lvlJc w:val="left"/>
      <w:lvlText w:val="(%1)"/>
      <w:numFmt w:val="lowerLetter"/>
      <w:start w:val="8"/>
    </w:lvl>
  </w:abstractNum>
  <w:abstractNum w:abstractNumId="51">
    <w:nsid w:val="8F2B15E"/>
    <w:multiLevelType w:val="hybridMultilevel"/>
    <w:lvl w:ilvl="0">
      <w:lvlJc w:val="left"/>
      <w:lvlText w:val="(%1)"/>
      <w:numFmt w:val="decimal"/>
      <w:start w:val="1"/>
    </w:lvl>
  </w:abstractNum>
  <w:abstractNum w:abstractNumId="52">
    <w:nsid w:val="1A32234B"/>
    <w:multiLevelType w:val="hybridMultilevel"/>
    <w:lvl w:ilvl="0">
      <w:lvlJc w:val="left"/>
      <w:lvlText w:val="(%1)"/>
      <w:numFmt w:val="lowerLetter"/>
      <w:start w:val="14"/>
    </w:lvl>
  </w:abstractNum>
  <w:abstractNum w:abstractNumId="53">
    <w:nsid w:val="3B0FD379"/>
    <w:multiLevelType w:val="hybridMultilevel"/>
    <w:lvl w:ilvl="0">
      <w:lvlJc w:val="left"/>
      <w:lvlText w:val="(%1)"/>
      <w:numFmt w:val="lowerLetter"/>
      <w:start w:val="16"/>
    </w:lvl>
    <w:lvl w:ilvl="1">
      <w:lvlJc w:val="left"/>
      <w:lvlText w:val="(%2)"/>
      <w:numFmt w:val="decimal"/>
      <w:start w:val="1"/>
    </w:lvl>
  </w:abstractNum>
  <w:abstractNum w:abstractNumId="54">
    <w:nsid w:val="68EB2F63"/>
    <w:multiLevelType w:val="hybridMultilevel"/>
    <w:lvl w:ilvl="0">
      <w:lvlJc w:val="left"/>
      <w:lvlText w:val="(%1)"/>
      <w:numFmt w:val="lowerRoman"/>
      <w:start w:val="10"/>
    </w:lvl>
    <w:lvl w:ilvl="1">
      <w:lvlJc w:val="left"/>
      <w:lvlText w:val="(%2)"/>
      <w:numFmt w:val="decimal"/>
      <w:start w:val="1"/>
    </w:lvl>
  </w:abstractNum>
  <w:abstractNum w:abstractNumId="55">
    <w:nsid w:val="4962813B"/>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56">
    <w:nsid w:val="60B6DF70"/>
    <w:multiLevelType w:val="hybridMultilevel"/>
    <w:lvl w:ilvl="0">
      <w:lvlJc w:val="left"/>
      <w:lvlText w:val="(%1)"/>
      <w:numFmt w:val="decimal"/>
      <w:start w:val="12"/>
    </w:lvl>
    <w:lvl w:ilvl="1">
      <w:lvlJc w:val="left"/>
      <w:lvlText w:val="(%2)"/>
      <w:numFmt w:val="lowerLetter"/>
      <w:start w:val="25"/>
    </w:lvl>
    <w:lvl w:ilvl="2">
      <w:lvlJc w:val="left"/>
      <w:lvlText w:val="%3"/>
      <w:numFmt w:val="decimal"/>
      <w:start w:val="1"/>
    </w:lvl>
  </w:abstractNum>
  <w:abstractNum w:abstractNumId="57">
    <w:nsid w:val="6A5EE64"/>
    <w:multiLevelType w:val="hybridMultilevel"/>
    <w:lvl w:ilvl="0">
      <w:lvlJc w:val="left"/>
      <w:lvlText w:val="(%1)"/>
      <w:numFmt w:val="decimal"/>
      <w:start w:val="1"/>
    </w:lvl>
  </w:abstractNum>
  <w:abstractNum w:abstractNumId="58">
    <w:nsid w:val="14330624"/>
    <w:multiLevelType w:val="hybridMultilevel"/>
    <w:lvl w:ilvl="0">
      <w:lvlJc w:val="left"/>
      <w:lvlText w:val="%1."/>
      <w:numFmt w:val="upperLetter"/>
      <w:start w:val="9"/>
    </w:lvl>
  </w:abstractNum>
  <w:abstractNum w:abstractNumId="59">
    <w:nsid w:val="7FFFCA11"/>
    <w:multiLevelType w:val="hybridMultilevel"/>
    <w:lvl w:ilvl="0">
      <w:lvlJc w:val="left"/>
      <w:lvlText w:val="%1."/>
      <w:numFmt w:val="upperLetter"/>
      <w:start w:val="1"/>
    </w:lvl>
  </w:abstractNum>
  <w:abstractNum w:abstractNumId="60">
    <w:nsid w:val="1A27709E"/>
    <w:multiLevelType w:val="hybridMultilevel"/>
    <w:lvl w:ilvl="0">
      <w:lvlJc w:val="left"/>
      <w:lvlText w:val="%1."/>
      <w:numFmt w:val="upperLetter"/>
      <w:start w:val="35"/>
    </w:lvl>
  </w:abstractNum>
  <w:abstractNum w:abstractNumId="61">
    <w:nsid w:val="71EA1109"/>
    <w:multiLevelType w:val="hybridMultilevel"/>
    <w:lvl w:ilvl="0">
      <w:lvlJc w:val="left"/>
      <w:lvlText w:val="%1."/>
      <w:numFmt w:val="upperLetter"/>
      <w:start w:val="1"/>
    </w:lvl>
  </w:abstractNum>
  <w:abstractNum w:abstractNumId="62">
    <w:nsid w:val="100F59DC"/>
    <w:multiLevelType w:val="hybridMultilevel"/>
    <w:lvl w:ilvl="0">
      <w:lvlJc w:val="left"/>
      <w:lvlText w:val="%1."/>
      <w:numFmt w:val="upperLetter"/>
      <w:start w:val="61"/>
    </w:lvl>
  </w:abstractNum>
  <w:abstractNum w:abstractNumId="63">
    <w:nsid w:val="7FB7E0AA"/>
    <w:multiLevelType w:val="hybridMultilevel"/>
    <w:lvl w:ilvl="0">
      <w:lvlJc w:val="left"/>
      <w:lvlText w:val="%1."/>
      <w:numFmt w:val="upperLetter"/>
      <w:start w:val="1"/>
    </w:lvl>
    <w:lvl w:ilvl="1">
      <w:lvlJc w:val="left"/>
      <w:lvlText w:val="%2."/>
      <w:numFmt w:val="decimal"/>
      <w:start w:val="2"/>
    </w:lvl>
  </w:abstractNum>
  <w:abstractNum w:abstractNumId="64">
    <w:nsid w:val="6EB5BD4"/>
    <w:multiLevelType w:val="hybridMultilevel"/>
    <w:lvl w:ilvl="0">
      <w:lvlJc w:val="left"/>
      <w:lvlText w:val="%1."/>
      <w:numFmt w:val="upperLetter"/>
      <w:start w:val="3"/>
    </w:lvl>
    <w:lvl w:ilvl="1">
      <w:lvlJc w:val="left"/>
      <w:lvlText w:val="%2."/>
      <w:numFmt w:val="decimal"/>
      <w:start w:val="8"/>
    </w:lvl>
  </w:abstractNum>
  <w:abstractNum w:abstractNumId="65">
    <w:nsid w:val="6F6DD9AC"/>
    <w:multiLevelType w:val="hybridMultilevel"/>
    <w:lvl w:ilvl="0">
      <w:lvlJc w:val="left"/>
      <w:lvlText w:val="%1"/>
      <w:numFmt w:val="upperLetter"/>
      <w:start w:val="1"/>
    </w:lvl>
    <w:lvl w:ilvl="1">
      <w:lvlJc w:val="left"/>
      <w:lvlText w:val="%2."/>
      <w:numFmt w:val="decimal"/>
      <w:start w:val="9"/>
    </w:lvl>
  </w:abstractNum>
  <w:abstractNum w:abstractNumId="66">
    <w:nsid w:val="94211F2"/>
    <w:multiLevelType w:val="hybridMultilevel"/>
    <w:lvl w:ilvl="0">
      <w:lvlJc w:val="left"/>
      <w:lvlText w:val="%1."/>
      <w:numFmt w:val="upperLetter"/>
      <w:start w:val="5"/>
    </w:lvl>
    <w:lvl w:ilvl="1">
      <w:lvlJc w:val="left"/>
      <w:lvlText w:val="%2"/>
      <w:numFmt w:val="decimal"/>
      <w:start w:val="1"/>
    </w:lvl>
  </w:abstractNum>
  <w:abstractNum w:abstractNumId="67">
    <w:nsid w:val="885E1B"/>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68">
    <w:nsid w:val="76272110"/>
    <w:multiLevelType w:val="hybridMultilevel"/>
    <w:lvl w:ilvl="0">
      <w:lvlJc w:val="left"/>
      <w:lvlText w:val="%1."/>
      <w:numFmt w:val="upperLetter"/>
      <w:start w:val="6"/>
    </w:lvl>
    <w:lvl w:ilvl="1">
      <w:lvlJc w:val="left"/>
      <w:lvlText w:val="%2"/>
      <w:numFmt w:val="lowerLetter"/>
      <w:start w:val="1"/>
    </w:lvl>
    <w:lvl w:ilvl="2">
      <w:lvlJc w:val="left"/>
      <w:lvlText w:val="(%3)"/>
      <w:numFmt w:val="lowerLetter"/>
      <w:start w:val="2"/>
    </w:lvl>
  </w:abstractNum>
  <w:abstractNum w:abstractNumId="69">
    <w:nsid w:val="4C04A8AF"/>
    <w:multiLevelType w:val="hybridMultilevel"/>
    <w:lvl w:ilvl="0">
      <w:lvlJc w:val="left"/>
      <w:lvlText w:val="%1."/>
      <w:numFmt w:val="upperLetter"/>
      <w:start w:val="7"/>
    </w:lvl>
    <w:lvl w:ilvl="1">
      <w:lvlJc w:val="left"/>
      <w:lvlText w:val="(%2)"/>
      <w:numFmt w:val="lowerLetter"/>
      <w:start w:val="7"/>
    </w:lvl>
  </w:abstractNum>
  <w:abstractNum w:abstractNumId="70">
    <w:nsid w:val="1716703B"/>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lvl w:ilvl="3">
      <w:lvlJc w:val="left"/>
      <w:lvlText w:val="%4"/>
      <w:numFmt w:val="decimal"/>
      <w:start w:val="1"/>
    </w:lvl>
    <w:lvl w:ilvl="4">
      <w:lvlJc w:val="left"/>
      <w:lvlText w:val="%5."/>
      <w:numFmt w:val="decimal"/>
      <w:start w:val="3"/>
    </w:lvl>
  </w:abstractNum>
  <w:abstractNum w:abstractNumId="71">
    <w:nsid w:val="14E17E33"/>
    <w:multiLevelType w:val="hybridMultilevel"/>
    <w:lvl w:ilvl="0">
      <w:lvlJc w:val="left"/>
      <w:lvlText w:val="%1"/>
      <w:numFmt w:val="upperLetter"/>
      <w:start w:val="1"/>
    </w:lvl>
    <w:lvl w:ilvl="1">
      <w:lvlJc w:val="left"/>
      <w:lvlText w:val="%2."/>
      <w:numFmt w:val="upperLetter"/>
      <w:start w:val="9"/>
    </w:lvl>
    <w:lvl w:ilvl="2">
      <w:lvlJc w:val="left"/>
      <w:lvlText w:val="%3"/>
      <w:numFmt w:val="lowerLetter"/>
      <w:start w:val="1"/>
    </w:lvl>
    <w:lvl w:ilvl="3">
      <w:lvlJc w:val="left"/>
      <w:lvlText w:val="%4."/>
      <w:numFmt w:val="decimal"/>
      <w:start w:val="4"/>
    </w:lvl>
    <w:lvl w:ilvl="4">
      <w:lvlJc w:val="left"/>
      <w:lvlText w:val="%5"/>
      <w:numFmt w:val="decimal"/>
      <w:start w:val="1"/>
    </w:lvl>
  </w:abstractNum>
  <w:abstractNum w:abstractNumId="72">
    <w:nsid w:val="3222E7CD"/>
    <w:multiLevelType w:val="hybridMultilevel"/>
    <w:lvl w:ilvl="0">
      <w:lvlJc w:val="left"/>
      <w:lvlText w:val="%1."/>
      <w:numFmt w:val="upperLetter"/>
      <w:start w:val="13"/>
    </w:lvl>
    <w:lvl w:ilvl="1">
      <w:lvlJc w:val="left"/>
      <w:lvlText w:val="%2"/>
      <w:numFmt w:val="upperLetter"/>
      <w:start w:val="1"/>
    </w:lvl>
    <w:lvl w:ilvl="2">
      <w:lvlJc w:val="left"/>
      <w:lvlText w:val="%3"/>
      <w:numFmt w:val="lowerLetter"/>
      <w:start w:val="1"/>
    </w:lvl>
    <w:lvl w:ilvl="3">
      <w:lvlJc w:val="left"/>
      <w:lvlText w:val="%4"/>
      <w:numFmt w:val="decimal"/>
      <w:start w:val="1"/>
    </w:lvl>
    <w:lvl w:ilvl="4">
      <w:lvlJc w:val="left"/>
      <w:lvlText w:val="%5"/>
      <w:numFmt w:val="decimal"/>
      <w:start w:val="1"/>
    </w:lvl>
  </w:abstractNum>
  <w:abstractNum w:abstractNumId="73">
    <w:nsid w:val="74DE0EE3"/>
    <w:multiLevelType w:val="hybridMultilevel"/>
    <w:lvl w:ilvl="0">
      <w:lvlJc w:val="left"/>
      <w:lvlText w:val="%1."/>
      <w:numFmt w:val="lowerLetter"/>
      <w:start w:val="2"/>
    </w:lvl>
  </w:abstractNum>
  <w:abstractNum w:abstractNumId="74">
    <w:nsid w:val="68EBC550"/>
    <w:multiLevelType w:val="hybridMultilevel"/>
    <w:lvl w:ilvl="0">
      <w:lvlJc w:val="left"/>
      <w:lvlText w:val="%1."/>
      <w:numFmt w:val="upperLetter"/>
      <w:start w:val="9"/>
    </w:lvl>
  </w:abstractNum>
  <w:abstractNum w:abstractNumId="75">
    <w:nsid w:val="2DF6D648"/>
    <w:multiLevelType w:val="hybridMultilevel"/>
    <w:lvl w:ilvl="0">
      <w:lvlJc w:val="left"/>
      <w:lvlText w:val="%1."/>
      <w:numFmt w:val="upperLetter"/>
      <w:start w:val="1"/>
    </w:lvl>
  </w:abstractNum>
  <w:abstractNum w:abstractNumId="76">
    <w:nsid w:val="46B7D447"/>
    <w:multiLevelType w:val="hybridMultilevel"/>
    <w:lvl w:ilvl="0">
      <w:lvlJc w:val="left"/>
      <w:lvlText w:val="%1."/>
      <w:numFmt w:val="upperLetter"/>
      <w:start w:val="35"/>
    </w:lvl>
  </w:abstractNum>
  <w:abstractNum w:abstractNumId="77">
    <w:nsid w:val="4A2AC315"/>
    <w:multiLevelType w:val="hybridMultilevel"/>
    <w:lvl w:ilvl="0">
      <w:lvlJc w:val="left"/>
      <w:lvlText w:val="%1."/>
      <w:numFmt w:val="upperLetter"/>
      <w:start w:val="1"/>
    </w:lvl>
  </w:abstractNum>
  <w:abstractNum w:abstractNumId="78">
    <w:nsid w:val="39EE015C"/>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61"/>
    </w:lvl>
  </w:abstractNum>
  <w:abstractNum w:abstractNumId="79">
    <w:nsid w:val="57FC4FBB"/>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80">
    <w:nsid w:val="CC1016F"/>
    <w:multiLevelType w:val="hybridMultilevel"/>
    <w:lvl w:ilvl="0">
      <w:lvlJc w:val="left"/>
      <w:lvlText w:val="%1."/>
      <w:numFmt w:val="decimal"/>
      <w:start w:val="1"/>
    </w:lvl>
    <w:lvl w:ilvl="1">
      <w:lvlJc w:val="left"/>
      <w:lvlText w:val="%2)"/>
      <w:numFmt w:val="lowerLetter"/>
      <w:start w:val="1"/>
    </w:lvl>
  </w:abstractNum>
  <w:abstractNum w:abstractNumId="81">
    <w:nsid w:val="43F18422"/>
    <w:multiLevelType w:val="hybridMultilevel"/>
    <w:lvl w:ilvl="0">
      <w:lvlJc w:val="left"/>
      <w:lvlText w:val="%1."/>
      <w:numFmt w:val="decimal"/>
      <w:start w:val="2"/>
    </w:lvl>
  </w:abstractNum>
  <w:abstractNum w:abstractNumId="82">
    <w:nsid w:val="60EF0119"/>
    <w:multiLevelType w:val="hybridMultilevel"/>
    <w:lvl w:ilvl="0">
      <w:lvlJc w:val="left"/>
      <w:lvlText w:val="%1)"/>
      <w:numFmt w:val="decimal"/>
      <w:start w:val="1"/>
    </w:lvl>
  </w:abstractNum>
  <w:abstractNum w:abstractNumId="83">
    <w:nsid w:val="26F324BA"/>
    <w:multiLevelType w:val="hybridMultilevel"/>
    <w:lvl w:ilvl="0">
      <w:lvlJc w:val="left"/>
      <w:lvlText w:val="%1."/>
      <w:numFmt w:val="decimal"/>
      <w:start w:val="1"/>
    </w:lvl>
    <w:lvl w:ilvl="1">
      <w:lvlJc w:val="left"/>
      <w:lvlText w:val="%2)"/>
      <w:numFmt w:val="lowerLetter"/>
      <w:start w:val="1"/>
    </w:lvl>
  </w:abstractNum>
  <w:abstractNum w:abstractNumId="84">
    <w:nsid w:val="7F01579B"/>
    <w:multiLevelType w:val="hybridMultilevel"/>
    <w:lvl w:ilvl="0">
      <w:lvlJc w:val="left"/>
      <w:lvlText w:val="%1."/>
      <w:numFmt w:val="decimal"/>
      <w:start w:val="2"/>
    </w:lvl>
  </w:abstractNum>
  <w:abstractNum w:abstractNumId="85">
    <w:nsid w:val="49DA307D"/>
    <w:multiLevelType w:val="hybridMultilevel"/>
    <w:lvl w:ilvl="0">
      <w:lvlJc w:val="left"/>
      <w:lvlText w:val="%1)"/>
      <w:numFmt w:val="decimal"/>
      <w:start w:val="1"/>
    </w:lvl>
  </w:abstractNum>
  <w:abstractNum w:abstractNumId="86">
    <w:nsid w:val="7055A5F5"/>
    <w:multiLevelType w:val="hybridMultilevel"/>
    <w:lvl w:ilvl="0">
      <w:lvlJc w:val="left"/>
      <w:lvlText w:val="%1."/>
      <w:numFmt w:val="decimal"/>
      <w:start w:val="1"/>
    </w:lvl>
    <w:lvl w:ilvl="1">
      <w:lvlJc w:val="left"/>
      <w:lvlText w:val="%2)"/>
      <w:numFmt w:val="lowerLetter"/>
      <w:start w:val="1"/>
    </w:lvl>
  </w:abstractNum>
  <w:abstractNum w:abstractNumId="87">
    <w:nsid w:val="5FB8370B"/>
    <w:multiLevelType w:val="hybridMultilevel"/>
    <w:lvl w:ilvl="0">
      <w:lvlJc w:val="left"/>
      <w:lvlText w:val="%1."/>
      <w:numFmt w:val="decimal"/>
      <w:start w:val="2"/>
    </w:lvl>
  </w:abstractNum>
  <w:abstractNum w:abstractNumId="88">
    <w:nsid w:val="50801EE1"/>
    <w:multiLevelType w:val="hybridMultilevel"/>
    <w:lvl w:ilvl="0">
      <w:lvlJc w:val="left"/>
      <w:lvlText w:val="%1)"/>
      <w:numFmt w:val="decimal"/>
      <w:start w:val="1"/>
    </w:lvl>
  </w:abstractNum>
  <w:abstractNum w:abstractNumId="89">
    <w:nsid w:val="488AC1A"/>
    <w:multiLevelType w:val="hybridMultilevel"/>
    <w:lvl w:ilvl="0">
      <w:lvlJc w:val="left"/>
      <w:lvlText w:val="%1."/>
      <w:numFmt w:val="decimal"/>
      <w:start w:val="1"/>
    </w:lvl>
    <w:lvl w:ilvl="1">
      <w:lvlJc w:val="left"/>
      <w:lvlText w:val="(%2)"/>
      <w:numFmt w:val="lowerLetter"/>
      <w:start w:val="1"/>
    </w:lvl>
  </w:abstractNum>
  <w:abstractNum w:abstractNumId="90">
    <w:nsid w:val="5FB8011C"/>
    <w:multiLevelType w:val="hybridMultilevel"/>
    <w:lvl w:ilvl="0">
      <w:lvlJc w:val="left"/>
      <w:lvlText w:val="%1."/>
      <w:numFmt w:val="decimal"/>
      <w:start w:val="1"/>
    </w:lvl>
    <w:lvl w:ilvl="1">
      <w:lvlJc w:val="left"/>
      <w:lvlText w:val="(%2)"/>
      <w:numFmt w:val="lowerLetter"/>
      <w:start w:val="1"/>
    </w:lvl>
  </w:abstractNum>
  <w:abstractNum w:abstractNumId="91">
    <w:nsid w:val="6AA78F7F"/>
    <w:multiLevelType w:val="hybridMultilevel"/>
    <w:lvl w:ilvl="0">
      <w:lvlJc w:val="left"/>
      <w:lvlText w:val="(%1)"/>
      <w:numFmt w:val="decimal"/>
      <w:start w:val="1"/>
    </w:lvl>
  </w:abstractNum>
  <w:abstractNum w:abstractNumId="92">
    <w:nsid w:val="7672BD23"/>
    <w:multiLevelType w:val="hybridMultilevel"/>
    <w:lvl w:ilvl="0">
      <w:lvlJc w:val="left"/>
      <w:lvlText w:val="(%1)"/>
      <w:numFmt w:val="decimal"/>
      <w:start w:val="1"/>
    </w:lvl>
  </w:abstractNum>
  <w:abstractNum w:abstractNumId="93">
    <w:nsid w:val="6FC75AF8"/>
    <w:multiLevelType w:val="hybridMultilevel"/>
    <w:lvl w:ilvl="0">
      <w:lvlJc w:val="left"/>
      <w:lvlText w:val="%1."/>
      <w:numFmt w:val="decimal"/>
      <w:start w:val="1"/>
    </w:lvl>
  </w:abstractNum>
  <w:abstractNum w:abstractNumId="94">
    <w:nsid w:val="6A5F7029"/>
    <w:multiLevelType w:val="hybridMultilevel"/>
    <w:lvl w:ilvl="0">
      <w:lvlJc w:val="left"/>
      <w:lvlText w:val="%1."/>
      <w:numFmt w:val="decimal"/>
      <w:start w:val="2"/>
    </w:lvl>
  </w:abstractNum>
  <w:abstractNum w:abstractNumId="95">
    <w:nsid w:val="7D5E18F8"/>
    <w:multiLevelType w:val="hybridMultilevel"/>
    <w:lvl w:ilvl="0">
      <w:lvlJc w:val="left"/>
      <w:lvlText w:val="%1."/>
      <w:numFmt w:val="decimal"/>
      <w:start w:val="3"/>
    </w:lvl>
  </w:abstractNum>
  <w:abstractNum w:abstractNumId="96">
    <w:nsid w:val="5F3534A4"/>
    <w:multiLevelType w:val="hybridMultilevel"/>
    <w:lvl w:ilvl="0">
      <w:lvlJc w:val="left"/>
      <w:lvlText w:val="%1."/>
      <w:numFmt w:val="decimal"/>
      <w:start w:val="4"/>
    </w:lvl>
  </w:abstractNum>
  <w:abstractNum w:abstractNumId="97">
    <w:nsid w:val="73A1821B"/>
    <w:multiLevelType w:val="hybridMultilevel"/>
    <w:lvl w:ilvl="0">
      <w:lvlJc w:val="left"/>
      <w:lvlText w:val="%1."/>
      <w:numFmt w:val="decimal"/>
      <w:start w:val="5"/>
    </w:lvl>
  </w:abstractNum>
  <w:abstractNum w:abstractNumId="98">
    <w:nsid w:val="7DE67713"/>
    <w:multiLevelType w:val="hybridMultilevel"/>
    <w:lvl w:ilvl="0">
      <w:lvlJc w:val="left"/>
      <w:lvlText w:val="%1."/>
      <w:numFmt w:val="decimal"/>
      <w:start w:val="6"/>
    </w:lvl>
  </w:abstractNum>
  <w:abstractNum w:abstractNumId="99">
    <w:nsid w:val="555C55B5"/>
    <w:multiLevelType w:val="hybridMultilevel"/>
    <w:lvl w:ilvl="0">
      <w:lvlJc w:val="left"/>
      <w:lvlText w:val="%1."/>
      <w:numFmt w:val="decimal"/>
      <w:start w:val="7"/>
    </w:lvl>
  </w:abstractNum>
  <w:abstractNum w:abstractNumId="100">
    <w:nsid w:val="3FA62ACA"/>
    <w:multiLevelType w:val="hybridMultilevel"/>
    <w:lvl w:ilvl="0">
      <w:lvlJc w:val="left"/>
      <w:lvlText w:val="%1."/>
      <w:numFmt w:val="decimal"/>
      <w:start w:val="8"/>
    </w:lvl>
  </w:abstractNum>
  <w:abstractNum w:abstractNumId="101">
    <w:nsid w:val="14FCE74E"/>
    <w:multiLevelType w:val="hybridMultilevel"/>
    <w:lvl w:ilvl="0">
      <w:lvlJc w:val="left"/>
      <w:lvlText w:val="%1."/>
      <w:numFmt w:val="decimal"/>
      <w:start w:val="9"/>
    </w:lvl>
  </w:abstractNum>
  <w:abstractNum w:abstractNumId="102">
    <w:nsid w:val="6A3DD3E8"/>
    <w:multiLevelType w:val="hybridMultilevel"/>
    <w:lvl w:ilvl="0">
      <w:lvlJc w:val="left"/>
      <w:lvlText w:val="%1."/>
      <w:numFmt w:val="decimal"/>
      <w:start w:val="10"/>
    </w:lvl>
  </w:abstractNum>
  <w:abstractNum w:abstractNumId="103">
    <w:nsid w:val="71C91298"/>
    <w:multiLevelType w:val="hybridMultilevel"/>
    <w:lvl w:ilvl="0">
      <w:lvlJc w:val="left"/>
      <w:lvlText w:val="%1."/>
      <w:numFmt w:val="decimal"/>
      <w:start w:val="11"/>
    </w:lvl>
    <w:lvl w:ilvl="1">
      <w:lvlJc w:val="left"/>
      <w:lvlText w:val="\ldblquote"/>
      <w:numFmt w:val="bullet"/>
      <w:start w:val="1"/>
    </w:lvl>
  </w:abstractNum>
  <w:abstractNum w:abstractNumId="104">
    <w:nsid w:val="9DAF6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43" Type="http://schemas.openxmlformats.org/officeDocument/2006/relationships/image" Target="media/image529.png"/><Relationship Id="rId544" Type="http://schemas.openxmlformats.org/officeDocument/2006/relationships/image" Target="media/image530.png"/><Relationship Id="rId560" Type="http://schemas.openxmlformats.org/officeDocument/2006/relationships/image" Target="media/image531.png"/><Relationship Id="rId561" Type="http://schemas.openxmlformats.org/officeDocument/2006/relationships/image" Target="media/image532.png"/><Relationship Id="rId569" Type="http://schemas.openxmlformats.org/officeDocument/2006/relationships/image" Target="media/image533.png"/><Relationship Id="rId570" Type="http://schemas.openxmlformats.org/officeDocument/2006/relationships/image" Target="media/image534.png"/><Relationship Id="rId574" Type="http://schemas.openxmlformats.org/officeDocument/2006/relationships/image" Target="media/image535.png"/><Relationship Id="rId575" Type="http://schemas.openxmlformats.org/officeDocument/2006/relationships/image" Target="media/image536.png"/><Relationship Id="rId576" Type="http://schemas.openxmlformats.org/officeDocument/2006/relationships/image" Target="media/image537.png"/><Relationship Id="rId577" Type="http://schemas.openxmlformats.org/officeDocument/2006/relationships/image" Target="media/image538.png"/><Relationship Id="rId578" Type="http://schemas.openxmlformats.org/officeDocument/2006/relationships/image" Target="media/image539.png"/><Relationship Id="rId579" Type="http://schemas.openxmlformats.org/officeDocument/2006/relationships/image" Target="media/image540.png"/><Relationship Id="rId580" Type="http://schemas.openxmlformats.org/officeDocument/2006/relationships/image" Target="media/image541.png"/><Relationship Id="rId581" Type="http://schemas.openxmlformats.org/officeDocument/2006/relationships/image" Target="media/image542.png"/><Relationship Id="rId582" Type="http://schemas.openxmlformats.org/officeDocument/2006/relationships/image" Target="media/image543.png"/><Relationship Id="rId583" Type="http://schemas.openxmlformats.org/officeDocument/2006/relationships/image" Target="media/image544.png"/><Relationship Id="rId584" Type="http://schemas.openxmlformats.org/officeDocument/2006/relationships/image" Target="media/image545.png"/><Relationship Id="rId585" Type="http://schemas.openxmlformats.org/officeDocument/2006/relationships/image" Target="media/image546.png"/><Relationship Id="rId586" Type="http://schemas.openxmlformats.org/officeDocument/2006/relationships/image" Target="media/image547.png"/><Relationship Id="rId587" Type="http://schemas.openxmlformats.org/officeDocument/2006/relationships/image" Target="media/image548.png"/><Relationship Id="rId588" Type="http://schemas.openxmlformats.org/officeDocument/2006/relationships/image" Target="media/image549.png"/><Relationship Id="rId589" Type="http://schemas.openxmlformats.org/officeDocument/2006/relationships/image" Target="media/image550.png"/><Relationship Id="rId590" Type="http://schemas.openxmlformats.org/officeDocument/2006/relationships/image" Target="media/image551.png"/><Relationship Id="rId591" Type="http://schemas.openxmlformats.org/officeDocument/2006/relationships/image" Target="media/image552.png"/><Relationship Id="rId592" Type="http://schemas.openxmlformats.org/officeDocument/2006/relationships/image" Target="media/image553.png"/><Relationship Id="rId593" Type="http://schemas.openxmlformats.org/officeDocument/2006/relationships/image" Target="media/image554.png"/><Relationship Id="rId594" Type="http://schemas.openxmlformats.org/officeDocument/2006/relationships/image" Target="media/image555.png"/><Relationship Id="rId595" Type="http://schemas.openxmlformats.org/officeDocument/2006/relationships/image" Target="media/image556.png"/><Relationship Id="rId596" Type="http://schemas.openxmlformats.org/officeDocument/2006/relationships/image" Target="media/image557.png"/><Relationship Id="rId597" Type="http://schemas.openxmlformats.org/officeDocument/2006/relationships/image" Target="media/image558.png"/><Relationship Id="rId598" Type="http://schemas.openxmlformats.org/officeDocument/2006/relationships/image" Target="media/image559.png"/><Relationship Id="rId599" Type="http://schemas.openxmlformats.org/officeDocument/2006/relationships/image" Target="media/image560.png"/><Relationship Id="rId600" Type="http://schemas.openxmlformats.org/officeDocument/2006/relationships/image" Target="media/image561.png"/><Relationship Id="rId601" Type="http://schemas.openxmlformats.org/officeDocument/2006/relationships/image" Target="media/image562.png"/><Relationship Id="rId602" Type="http://schemas.openxmlformats.org/officeDocument/2006/relationships/image" Target="media/image563.png"/><Relationship Id="rId603" Type="http://schemas.openxmlformats.org/officeDocument/2006/relationships/image" Target="media/image564.png"/><Relationship Id="rId604" Type="http://schemas.openxmlformats.org/officeDocument/2006/relationships/image" Target="media/image565.png"/><Relationship Id="rId605" Type="http://schemas.openxmlformats.org/officeDocument/2006/relationships/image" Target="media/image566.png"/><Relationship Id="rId606" Type="http://schemas.openxmlformats.org/officeDocument/2006/relationships/image" Target="media/image567.png"/><Relationship Id="rId607" Type="http://schemas.openxmlformats.org/officeDocument/2006/relationships/image" Target="media/image568.png"/><Relationship Id="rId608" Type="http://schemas.openxmlformats.org/officeDocument/2006/relationships/image" Target="media/image569.png"/><Relationship Id="rId609" Type="http://schemas.openxmlformats.org/officeDocument/2006/relationships/image" Target="media/image570.png"/><Relationship Id="rId610" Type="http://schemas.openxmlformats.org/officeDocument/2006/relationships/image" Target="media/image571.png"/><Relationship Id="rId611" Type="http://schemas.openxmlformats.org/officeDocument/2006/relationships/image" Target="media/image572.png"/><Relationship Id="rId612" Type="http://schemas.openxmlformats.org/officeDocument/2006/relationships/image" Target="media/image573.png"/><Relationship Id="rId613" Type="http://schemas.openxmlformats.org/officeDocument/2006/relationships/image" Target="media/image574.jpeg"/><Relationship Id="rId614" Type="http://schemas.openxmlformats.org/officeDocument/2006/relationships/image" Target="media/image575.png"/><Relationship Id="rId615" Type="http://schemas.openxmlformats.org/officeDocument/2006/relationships/image" Target="media/image576.png"/><Relationship Id="rId616" Type="http://schemas.openxmlformats.org/officeDocument/2006/relationships/image" Target="media/image577.png"/><Relationship Id="rId617" Type="http://schemas.openxmlformats.org/officeDocument/2006/relationships/image" Target="media/image578.png"/><Relationship Id="rId618" Type="http://schemas.openxmlformats.org/officeDocument/2006/relationships/image" Target="media/image579.png"/><Relationship Id="rId619" Type="http://schemas.openxmlformats.org/officeDocument/2006/relationships/image" Target="media/image580.png"/><Relationship Id="rId620" Type="http://schemas.openxmlformats.org/officeDocument/2006/relationships/image" Target="media/image581.jpeg"/><Relationship Id="rId621" Type="http://schemas.openxmlformats.org/officeDocument/2006/relationships/image" Target="media/image582.png"/><Relationship Id="rId622" Type="http://schemas.openxmlformats.org/officeDocument/2006/relationships/image" Target="media/image583.png"/><Relationship Id="rId623" Type="http://schemas.openxmlformats.org/officeDocument/2006/relationships/image" Target="media/image584.png"/><Relationship Id="rId624" Type="http://schemas.openxmlformats.org/officeDocument/2006/relationships/image" Target="media/image585.png"/><Relationship Id="rId625" Type="http://schemas.openxmlformats.org/officeDocument/2006/relationships/image" Target="media/image586.png"/><Relationship Id="rId626" Type="http://schemas.openxmlformats.org/officeDocument/2006/relationships/image" Target="media/image587.png"/><Relationship Id="rId627" Type="http://schemas.openxmlformats.org/officeDocument/2006/relationships/image" Target="media/image588.jpeg"/><Relationship Id="rId628" Type="http://schemas.openxmlformats.org/officeDocument/2006/relationships/image" Target="media/image589.png"/><Relationship Id="rId629" Type="http://schemas.openxmlformats.org/officeDocument/2006/relationships/image" Target="media/image590.png"/><Relationship Id="rId630" Type="http://schemas.openxmlformats.org/officeDocument/2006/relationships/image" Target="media/image591.png"/><Relationship Id="rId631" Type="http://schemas.openxmlformats.org/officeDocument/2006/relationships/image" Target="media/image592.png"/><Relationship Id="rId632" Type="http://schemas.openxmlformats.org/officeDocument/2006/relationships/image" Target="media/image593.png"/><Relationship Id="rId633" Type="http://schemas.openxmlformats.org/officeDocument/2006/relationships/image" Target="media/image594.png"/><Relationship Id="rId634" Type="http://schemas.openxmlformats.org/officeDocument/2006/relationships/image" Target="media/image595.png"/><Relationship Id="rId635" Type="http://schemas.openxmlformats.org/officeDocument/2006/relationships/image" Target="media/image596.png"/><Relationship Id="rId636" Type="http://schemas.openxmlformats.org/officeDocument/2006/relationships/image" Target="media/image597.png"/><Relationship Id="rId637" Type="http://schemas.openxmlformats.org/officeDocument/2006/relationships/image" Target="media/image598.png"/><Relationship Id="rId638" Type="http://schemas.openxmlformats.org/officeDocument/2006/relationships/image" Target="media/image599.png"/><Relationship Id="rId639" Type="http://schemas.openxmlformats.org/officeDocument/2006/relationships/image" Target="media/image600.png"/><Relationship Id="rId640" Type="http://schemas.openxmlformats.org/officeDocument/2006/relationships/image" Target="media/image601.png"/><Relationship Id="rId641" Type="http://schemas.openxmlformats.org/officeDocument/2006/relationships/image" Target="media/image602.png"/><Relationship Id="rId642" Type="http://schemas.openxmlformats.org/officeDocument/2006/relationships/image" Target="media/image603.png"/><Relationship Id="rId643" Type="http://schemas.openxmlformats.org/officeDocument/2006/relationships/image" Target="media/image604.png"/><Relationship Id="rId644" Type="http://schemas.openxmlformats.org/officeDocument/2006/relationships/image" Target="media/image605.png"/><Relationship Id="rId645" Type="http://schemas.openxmlformats.org/officeDocument/2006/relationships/image" Target="media/image606.png"/><Relationship Id="rId646" Type="http://schemas.openxmlformats.org/officeDocument/2006/relationships/image" Target="media/image607.png"/><Relationship Id="rId647" Type="http://schemas.openxmlformats.org/officeDocument/2006/relationships/image" Target="media/image608.png"/><Relationship Id="rId648" Type="http://schemas.openxmlformats.org/officeDocument/2006/relationships/image" Target="media/image609.png"/><Relationship Id="rId649" Type="http://schemas.openxmlformats.org/officeDocument/2006/relationships/image" Target="media/image610.png"/><Relationship Id="rId650" Type="http://schemas.openxmlformats.org/officeDocument/2006/relationships/image" Target="media/image611.png"/><Relationship Id="rId651" Type="http://schemas.openxmlformats.org/officeDocument/2006/relationships/image" Target="media/image612.png"/><Relationship Id="rId652" Type="http://schemas.openxmlformats.org/officeDocument/2006/relationships/image" Target="media/image613.png"/><Relationship Id="rId653" Type="http://schemas.openxmlformats.org/officeDocument/2006/relationships/image" Target="media/image614.png"/><Relationship Id="rId536" Type="http://schemas.openxmlformats.org/officeDocument/2006/relationships/hyperlink" Target="https://www.sec.gov/Archives/edgar/data/1580864/000095017021002077/vrm-ex2_1.htm" TargetMode="External"/><Relationship Id="rId537" Type="http://schemas.openxmlformats.org/officeDocument/2006/relationships/hyperlink" Target="https://www.sec.gov/Archives/edgar/data/1580864/000156459020039778/vrm-ex31_460.htm" TargetMode="External"/><Relationship Id="rId538" Type="http://schemas.openxmlformats.org/officeDocument/2006/relationships/hyperlink" Target="https://www.sec.gov/Archives/edgar/data/1580864/000095017024014928/vrm-ex3_1.htm" TargetMode="External"/><Relationship Id="rId539" Type="http://schemas.openxmlformats.org/officeDocument/2006/relationships/hyperlink" Target="https://www.sec.gov/Archives/edgar/data/1580864/000156459020039778/vrm-ex32_234.htm" TargetMode="External"/><Relationship Id="rId540" Type="http://schemas.openxmlformats.org/officeDocument/2006/relationships/hyperlink" Target="https://www.sec.gov/Archives/edgar/data/1580864/000119312520157158/d801274dex41.htm" TargetMode="External"/><Relationship Id="rId541" Type="http://schemas.openxmlformats.org/officeDocument/2006/relationships/hyperlink" Target="https://www.sec.gov/Archives/edgar/data/1580864/000119312521195245/d93781dex41.htm" TargetMode="External"/><Relationship Id="rId542" Type="http://schemas.openxmlformats.org/officeDocument/2006/relationships/hyperlink" Target="https://www.sec.gov/Archives/edgar/data/1580864/000119312520145219/d801274dex42.htm" TargetMode="External"/><Relationship Id="rId545" Type="http://schemas.openxmlformats.org/officeDocument/2006/relationships/hyperlink" Target="https://www.sec.gov/Archives/edgar/data/0001580864/000156459021010584/vrm-ex43_991.htm" TargetMode="External"/><Relationship Id="rId546" Type="http://schemas.openxmlformats.org/officeDocument/2006/relationships/hyperlink" Target="https://www.sec.gov/Archives/edgar/data/1580864/000119312520145219/d801274dex101.htm" TargetMode="External"/><Relationship Id="rId547" Type="http://schemas.openxmlformats.org/officeDocument/2006/relationships/hyperlink" Target="https://www.sec.gov/Archives/edgar/data/1580864/000156459020039778/vrm-ex103_232.htm" TargetMode="External"/><Relationship Id="rId548" Type="http://schemas.openxmlformats.org/officeDocument/2006/relationships/hyperlink" Target="https://www.sec.gov/Archives/edgar/data/1580864/000156459020039778/vrm-ex104_233.htm" TargetMode="External"/><Relationship Id="rId549" Type="http://schemas.openxmlformats.org/officeDocument/2006/relationships/hyperlink" Target="https://www.sec.gov/Archives/edgar/data/1580864/000156459021010584/vrm-ex104_993.htm" TargetMode="External"/><Relationship Id="rId550" Type="http://schemas.openxmlformats.org/officeDocument/2006/relationships/hyperlink" Target="https://www.sec.gov/Archives/edgar/data/1580864/000156459021010584/vrm-ex105_992.htm" TargetMode="External"/><Relationship Id="rId551" Type="http://schemas.openxmlformats.org/officeDocument/2006/relationships/hyperlink" Target="https://www.sec.gov/Archives/edgar/data/1580864/000119312520145219/d801274dex102.htm" TargetMode="External"/><Relationship Id="rId552" Type="http://schemas.openxmlformats.org/officeDocument/2006/relationships/hyperlink" Target="https://www.sec.gov/Archives/edgar/data/1580864/000119312520157158/d801274dex103.htm" TargetMode="External"/><Relationship Id="rId553" Type="http://schemas.openxmlformats.org/officeDocument/2006/relationships/hyperlink" Target="https://www.sec.gov/Archives/edgar/data/1580864/000156459020039778/vrm-ex102_602.htm" TargetMode="External"/><Relationship Id="rId554" Type="http://schemas.openxmlformats.org/officeDocument/2006/relationships/hyperlink" Target="https://www.sec.gov/Archives/edgar/data/1580864/000095017022015563/vrm-ex10_4.htm" TargetMode="External"/><Relationship Id="rId555" Type="http://schemas.openxmlformats.org/officeDocument/2006/relationships/hyperlink" Target="https://www.sec.gov/Archives/edgar/data/1580864/000119312522161029/d350681dex991.htm" TargetMode="External"/><Relationship Id="rId556" Type="http://schemas.openxmlformats.org/officeDocument/2006/relationships/hyperlink" Target="https://www.sec.gov/Archives/edgar/data/1580864/000119312522161029/d350681dex992.htm" TargetMode="External"/><Relationship Id="rId557" Type="http://schemas.openxmlformats.org/officeDocument/2006/relationships/hyperlink" Target="https://www.sec.gov/Archives/edgar/data/1580864/000119312522161029/d350681dex993.htm" TargetMode="External"/><Relationship Id="rId558" Type="http://schemas.openxmlformats.org/officeDocument/2006/relationships/hyperlink" Target="https://www.sec.gov/Archives/edgar/data/1580864/000095017022015563/vrm-ex10_9.htm" TargetMode="External"/><Relationship Id="rId559" Type="http://schemas.openxmlformats.org/officeDocument/2006/relationships/hyperlink" Target="https://www.sec.gov/Archives/edgar/data/1580864/000119312520157158/d801274dex105.htm" TargetMode="External"/><Relationship Id="rId562" Type="http://schemas.openxmlformats.org/officeDocument/2006/relationships/hyperlink" Target="https://www.sec.gov/Archives/edgar/data/1580864/000095017022022672/vrm-ex10_1.htm" TargetMode="External"/><Relationship Id="rId563" Type="http://schemas.openxmlformats.org/officeDocument/2006/relationships/hyperlink" Target="https://www.sec.gov/Archives/edgar/data/1580864/000095017023039852/vrm-ex10_1.htm" TargetMode="External"/><Relationship Id="rId564" Type="http://schemas.openxmlformats.org/officeDocument/2006/relationships/hyperlink" Target="https://www.sec.gov/Archives/edgar/data/1580864/000119312520241003/d94166dex1018.htm" TargetMode="External"/><Relationship Id="rId565" Type="http://schemas.openxmlformats.org/officeDocument/2006/relationships/hyperlink" Target="https://www.sec.gov/Archives/edgar/data/1580864/000119312520241003/d94166dex1019.htm" TargetMode="External"/><Relationship Id="rId566" Type="http://schemas.openxmlformats.org/officeDocument/2006/relationships/hyperlink" Target="https://www.sec.gov/Archives/edgar/data/1580864/000119312521270936/d212413dex101.htm" TargetMode="External"/><Relationship Id="rId567" Type="http://schemas.openxmlformats.org/officeDocument/2006/relationships/hyperlink" Target="https://www.sec.gov/Archives/edgar/data/1580864/000095017022010761/vrm-ex10_2.htm" TargetMode="External"/><Relationship Id="rId568" Type="http://schemas.openxmlformats.org/officeDocument/2006/relationships/hyperlink" Target="https://www.sec.gov/Archives/edgar/data/1580864/000119312521359499/d162285dex101.htm" TargetMode="External"/><Relationship Id="rId571" Type="http://schemas.openxmlformats.org/officeDocument/2006/relationships/hyperlink" Target="https://www.sec.gov/Archives/edgar/data/1580864/000095017022008529/vrm-ex10_1.htm" TargetMode="External"/><Relationship Id="rId572" Type="http://schemas.openxmlformats.org/officeDocument/2006/relationships/hyperlink" Target="https://www.sec.gov/Archives/edgar/data/0001580864/000119312520241003/d94166dex1021.htm" TargetMode="External"/><Relationship Id="rId573" Type="http://schemas.openxmlformats.org/officeDocument/2006/relationships/hyperlink" Target="https://www.sec.gov/Archives/edgar/data/1580864/000156459021043465/vrm-ex101_35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2024-03-13T15:25:22Z</dcterms:created>
  <dcterms:modified xsi:type="dcterms:W3CDTF">2024-03-13T15:25:22Z</dcterms:modified>
</cp:coreProperties>
</file>